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eastAsia="华文楷体"/>
          <w:b/>
          <w:color w:val="auto"/>
          <w:kern w:val="0"/>
          <w:sz w:val="52"/>
          <w:szCs w:val="52"/>
          <w:highlight w:val="none"/>
        </w:rPr>
      </w:pPr>
      <w:bookmarkStart w:id="0" w:name="_Toc360778947"/>
      <w:bookmarkStart w:id="1" w:name="_Toc257792320"/>
      <w:bookmarkStart w:id="2" w:name="_Toc396207002"/>
    </w:p>
    <w:p>
      <w:pPr>
        <w:jc w:val="center"/>
        <w:rPr>
          <w:rFonts w:eastAsia="华文楷体"/>
          <w:b/>
          <w:color w:val="auto"/>
          <w:kern w:val="0"/>
          <w:sz w:val="52"/>
          <w:szCs w:val="52"/>
          <w:highlight w:val="none"/>
        </w:rPr>
      </w:pPr>
    </w:p>
    <w:p>
      <w:pPr>
        <w:jc w:val="center"/>
        <w:rPr>
          <w:rFonts w:eastAsia="华文楷体"/>
          <w:b/>
          <w:color w:val="auto"/>
          <w:kern w:val="0"/>
          <w:sz w:val="52"/>
          <w:szCs w:val="52"/>
          <w:highlight w:val="none"/>
        </w:rPr>
      </w:pPr>
    </w:p>
    <w:p>
      <w:pPr>
        <w:jc w:val="center"/>
        <w:rPr>
          <w:rFonts w:eastAsia="华文楷体"/>
          <w:b/>
          <w:color w:val="auto"/>
          <w:kern w:val="0"/>
          <w:sz w:val="52"/>
          <w:szCs w:val="52"/>
          <w:highlight w:val="none"/>
        </w:rPr>
      </w:pPr>
    </w:p>
    <w:p>
      <w:pPr>
        <w:jc w:val="center"/>
        <w:rPr>
          <w:rFonts w:eastAsia="华文楷体"/>
          <w:b/>
          <w:color w:val="auto"/>
          <w:kern w:val="0"/>
          <w:sz w:val="52"/>
          <w:szCs w:val="52"/>
          <w:highlight w:val="none"/>
        </w:rPr>
      </w:pPr>
    </w:p>
    <w:p>
      <w:pPr>
        <w:spacing w:line="360" w:lineRule="auto"/>
        <w:jc w:val="center"/>
        <w:rPr>
          <w:rFonts w:hint="eastAsia" w:asciiTheme="minorEastAsia" w:hAnsiTheme="minorEastAsia" w:eastAsiaTheme="minorEastAsia" w:cstheme="minorEastAsia"/>
          <w:b/>
          <w:color w:val="auto"/>
          <w:kern w:val="0"/>
          <w:sz w:val="52"/>
          <w:szCs w:val="52"/>
          <w:highlight w:val="none"/>
        </w:rPr>
      </w:pPr>
      <w:r>
        <w:rPr>
          <w:rFonts w:hint="eastAsia" w:asciiTheme="minorEastAsia" w:hAnsiTheme="minorEastAsia" w:eastAsiaTheme="minorEastAsia" w:cstheme="minorEastAsia"/>
          <w:b/>
          <w:color w:val="auto"/>
          <w:kern w:val="0"/>
          <w:sz w:val="52"/>
          <w:szCs w:val="52"/>
          <w:highlight w:val="none"/>
        </w:rPr>
        <w:t>青岛源润宏防腐精饰科技有限公司</w:t>
      </w:r>
    </w:p>
    <w:p>
      <w:pPr>
        <w:spacing w:line="360" w:lineRule="auto"/>
        <w:jc w:val="center"/>
        <w:rPr>
          <w:rFonts w:hint="eastAsia" w:asciiTheme="minorEastAsia" w:hAnsiTheme="minorEastAsia" w:eastAsiaTheme="minorEastAsia" w:cstheme="minorEastAsia"/>
          <w:snapToGrid w:val="0"/>
          <w:color w:val="auto"/>
          <w:spacing w:val="80"/>
          <w:kern w:val="0"/>
          <w:sz w:val="72"/>
          <w:szCs w:val="72"/>
          <w:highlight w:val="none"/>
        </w:rPr>
      </w:pPr>
      <w:r>
        <w:rPr>
          <w:rFonts w:hint="eastAsia" w:asciiTheme="minorEastAsia" w:hAnsiTheme="minorEastAsia" w:eastAsiaTheme="minorEastAsia" w:cstheme="minorEastAsia"/>
          <w:b/>
          <w:color w:val="auto"/>
          <w:kern w:val="0"/>
          <w:sz w:val="52"/>
          <w:szCs w:val="52"/>
          <w:highlight w:val="none"/>
          <w:lang w:val="en-US" w:eastAsia="zh-CN"/>
        </w:rPr>
        <w:t>电镀</w:t>
      </w:r>
      <w:r>
        <w:rPr>
          <w:rFonts w:hint="eastAsia" w:asciiTheme="minorEastAsia" w:hAnsiTheme="minorEastAsia" w:eastAsiaTheme="minorEastAsia" w:cstheme="minorEastAsia"/>
          <w:b/>
          <w:color w:val="auto"/>
          <w:kern w:val="0"/>
          <w:sz w:val="52"/>
          <w:szCs w:val="52"/>
          <w:highlight w:val="none"/>
        </w:rPr>
        <w:t>项目</w:t>
      </w:r>
      <w:r>
        <w:rPr>
          <w:rFonts w:hint="eastAsia" w:asciiTheme="minorEastAsia" w:hAnsiTheme="minorEastAsia" w:eastAsiaTheme="minorEastAsia" w:cstheme="minorEastAsia"/>
          <w:b/>
          <w:color w:val="auto"/>
          <w:kern w:val="0"/>
          <w:sz w:val="52"/>
          <w:szCs w:val="52"/>
          <w:highlight w:val="none"/>
        </w:rPr>
        <w:t>环境影响后评价报告</w:t>
      </w:r>
    </w:p>
    <w:p>
      <w:pPr>
        <w:spacing w:line="360" w:lineRule="auto"/>
        <w:rPr>
          <w:snapToGrid w:val="0"/>
          <w:color w:val="auto"/>
          <w:spacing w:val="80"/>
          <w:kern w:val="0"/>
          <w:sz w:val="72"/>
          <w:szCs w:val="72"/>
          <w:highlight w:val="none"/>
        </w:rPr>
      </w:pPr>
    </w:p>
    <w:p>
      <w:pPr>
        <w:spacing w:line="360" w:lineRule="auto"/>
        <w:rPr>
          <w:snapToGrid w:val="0"/>
          <w:color w:val="auto"/>
          <w:spacing w:val="80"/>
          <w:kern w:val="0"/>
          <w:sz w:val="72"/>
          <w:szCs w:val="72"/>
          <w:highlight w:val="none"/>
        </w:rPr>
      </w:pPr>
    </w:p>
    <w:p>
      <w:pPr>
        <w:spacing w:line="360" w:lineRule="auto"/>
        <w:rPr>
          <w:snapToGrid w:val="0"/>
          <w:color w:val="auto"/>
          <w:spacing w:val="80"/>
          <w:kern w:val="0"/>
          <w:sz w:val="72"/>
          <w:szCs w:val="72"/>
          <w:highlight w:val="none"/>
        </w:rPr>
      </w:pPr>
    </w:p>
    <w:p>
      <w:pPr>
        <w:spacing w:line="360" w:lineRule="auto"/>
        <w:rPr>
          <w:snapToGrid w:val="0"/>
          <w:color w:val="auto"/>
          <w:spacing w:val="80"/>
          <w:kern w:val="0"/>
          <w:sz w:val="72"/>
          <w:szCs w:val="72"/>
          <w:highlight w:val="none"/>
        </w:rPr>
      </w:pPr>
    </w:p>
    <w:p>
      <w:pPr>
        <w:spacing w:line="360" w:lineRule="auto"/>
        <w:jc w:val="center"/>
        <w:rPr>
          <w:snapToGrid w:val="0"/>
          <w:color w:val="auto"/>
          <w:spacing w:val="80"/>
          <w:kern w:val="0"/>
          <w:sz w:val="72"/>
          <w:szCs w:val="72"/>
          <w:highlight w:val="none"/>
        </w:rPr>
      </w:pPr>
    </w:p>
    <w:p>
      <w:pPr>
        <w:spacing w:line="360" w:lineRule="auto"/>
        <w:jc w:val="center"/>
        <w:rPr>
          <w:snapToGrid w:val="0"/>
          <w:color w:val="auto"/>
          <w:spacing w:val="80"/>
          <w:kern w:val="0"/>
          <w:sz w:val="72"/>
          <w:szCs w:val="72"/>
          <w:highlight w:val="none"/>
        </w:rPr>
      </w:pPr>
    </w:p>
    <w:p>
      <w:pPr>
        <w:spacing w:line="360" w:lineRule="auto"/>
        <w:jc w:val="center"/>
        <w:rPr>
          <w:snapToGrid w:val="0"/>
          <w:color w:val="auto"/>
          <w:spacing w:val="80"/>
          <w:kern w:val="0"/>
          <w:sz w:val="72"/>
          <w:szCs w:val="72"/>
          <w:highlight w:val="none"/>
        </w:rPr>
      </w:pPr>
    </w:p>
    <w:p>
      <w:pPr>
        <w:snapToGrid w:val="0"/>
        <w:spacing w:line="360" w:lineRule="auto"/>
        <w:jc w:val="center"/>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建设单位：青岛源润宏防腐精饰科技有限公司(公章)</w:t>
      </w:r>
    </w:p>
    <w:p>
      <w:pPr>
        <w:snapToGrid w:val="0"/>
        <w:spacing w:line="360" w:lineRule="auto"/>
        <w:jc w:val="center"/>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编制单位：青岛海西环保科技有限公司</w:t>
      </w:r>
    </w:p>
    <w:p>
      <w:pPr>
        <w:snapToGrid w:val="0"/>
        <w:spacing w:line="360" w:lineRule="auto"/>
        <w:jc w:val="center"/>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二〇一</w:t>
      </w:r>
      <w:r>
        <w:rPr>
          <w:rFonts w:hint="eastAsia" w:ascii="宋体" w:hAnsi="宋体" w:eastAsia="宋体" w:cs="宋体"/>
          <w:b/>
          <w:color w:val="auto"/>
          <w:sz w:val="36"/>
          <w:szCs w:val="36"/>
          <w:highlight w:val="none"/>
          <w:lang w:eastAsia="zh-CN"/>
        </w:rPr>
        <w:t>九</w:t>
      </w:r>
      <w:r>
        <w:rPr>
          <w:rFonts w:hint="eastAsia" w:ascii="宋体" w:hAnsi="宋体" w:eastAsia="宋体" w:cs="宋体"/>
          <w:b/>
          <w:color w:val="auto"/>
          <w:sz w:val="36"/>
          <w:szCs w:val="36"/>
          <w:highlight w:val="none"/>
        </w:rPr>
        <w:t>年十月</w:t>
      </w:r>
    </w:p>
    <w:p>
      <w:pPr>
        <w:pStyle w:val="26"/>
        <w:rPr>
          <w:rFonts w:hint="eastAsia" w:ascii="宋体" w:hAnsi="宋体" w:eastAsia="宋体" w:cs="宋体"/>
          <w:color w:val="auto"/>
          <w:highlight w:val="none"/>
        </w:rPr>
        <w:sectPr>
          <w:headerReference r:id="rId3" w:type="default"/>
          <w:footerReference r:id="rId4" w:type="default"/>
          <w:pgSz w:w="11906" w:h="16838"/>
          <w:pgMar w:top="1440" w:right="1418" w:bottom="1440" w:left="1474"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p>
    <w:p>
      <w:pPr>
        <w:jc w:val="center"/>
        <w:rPr>
          <w:b/>
          <w:color w:val="auto"/>
          <w:sz w:val="28"/>
          <w:highlight w:val="none"/>
        </w:rPr>
      </w:pPr>
      <w:r>
        <w:rPr>
          <w:rFonts w:hint="eastAsia"/>
          <w:b/>
          <w:color w:val="auto"/>
          <w:sz w:val="28"/>
          <w:highlight w:val="none"/>
        </w:rPr>
        <w:t>目录</w:t>
      </w:r>
    </w:p>
    <w:p>
      <w:pPr>
        <w:pStyle w:val="26"/>
        <w:keepNext w:val="0"/>
        <w:keepLines w:val="0"/>
        <w:pageBreakBefore w:val="0"/>
        <w:widowControl w:val="0"/>
        <w:tabs>
          <w:tab w:val="right" w:leader="dot" w:pos="9070"/>
        </w:tabs>
        <w:kinsoku/>
        <w:wordWrap/>
        <w:overflowPunct/>
        <w:topLinePunct w:val="0"/>
        <w:autoSpaceDE/>
        <w:autoSpaceDN/>
        <w:bidi w:val="0"/>
        <w:snapToGrid w:val="0"/>
        <w:spacing w:before="0" w:line="400" w:lineRule="exact"/>
        <w:textAlignment w:val="auto"/>
        <w:rPr>
          <w:rFonts w:hint="default" w:ascii="Times New Roman" w:hAnsi="Times New Roman" w:eastAsia="黑体" w:cs="Times New Roman"/>
          <w:b w:val="0"/>
          <w:bCs w:val="0"/>
          <w:i w:val="0"/>
          <w:iCs w:val="0"/>
          <w:color w:val="auto"/>
          <w:sz w:val="24"/>
          <w:szCs w:val="24"/>
          <w:highlight w:val="none"/>
        </w:rPr>
      </w:pPr>
      <w:r>
        <w:rPr>
          <w:rFonts w:hint="default" w:ascii="Times New Roman" w:hAnsi="Times New Roman" w:cs="Times New Roman" w:eastAsiaTheme="minorEastAsia"/>
          <w:b w:val="0"/>
          <w:bCs w:val="0"/>
          <w:i w:val="0"/>
          <w:iCs w:val="0"/>
          <w:color w:val="auto"/>
          <w:sz w:val="24"/>
          <w:szCs w:val="24"/>
          <w:highlight w:val="none"/>
        </w:rPr>
        <w:fldChar w:fldCharType="begin"/>
      </w:r>
      <w:r>
        <w:rPr>
          <w:rFonts w:hint="default" w:ascii="Times New Roman" w:hAnsi="Times New Roman" w:cs="Times New Roman" w:eastAsiaTheme="minorEastAsia"/>
          <w:b w:val="0"/>
          <w:bCs w:val="0"/>
          <w:i w:val="0"/>
          <w:iCs w:val="0"/>
          <w:color w:val="auto"/>
          <w:sz w:val="24"/>
          <w:szCs w:val="24"/>
          <w:highlight w:val="none"/>
        </w:rPr>
        <w:instrText xml:space="preserve"> TOC \o "1-2" \h \z \u </w:instrText>
      </w:r>
      <w:r>
        <w:rPr>
          <w:rFonts w:hint="default" w:ascii="Times New Roman" w:hAnsi="Times New Roman" w:cs="Times New Roman" w:eastAsiaTheme="minorEastAsia"/>
          <w:b w:val="0"/>
          <w:bCs w:val="0"/>
          <w:i w:val="0"/>
          <w:iCs w:val="0"/>
          <w:color w:val="auto"/>
          <w:sz w:val="24"/>
          <w:szCs w:val="24"/>
          <w:highlight w:val="none"/>
        </w:rPr>
        <w:fldChar w:fldCharType="separate"/>
      </w:r>
      <w:r>
        <w:rPr>
          <w:rFonts w:hint="default" w:ascii="Times New Roman" w:hAnsi="Times New Roman" w:eastAsia="黑体" w:cs="Times New Roman"/>
          <w:b w:val="0"/>
          <w:bCs w:val="0"/>
          <w:i w:val="0"/>
          <w:iCs w:val="0"/>
          <w:color w:val="auto"/>
          <w:sz w:val="24"/>
          <w:szCs w:val="24"/>
          <w:highlight w:val="none"/>
        </w:rPr>
        <w:fldChar w:fldCharType="begin"/>
      </w:r>
      <w:r>
        <w:rPr>
          <w:rFonts w:hint="default" w:ascii="Times New Roman" w:hAnsi="Times New Roman" w:eastAsia="黑体" w:cs="Times New Roman"/>
          <w:b w:val="0"/>
          <w:bCs w:val="0"/>
          <w:i w:val="0"/>
          <w:iCs w:val="0"/>
          <w:color w:val="auto"/>
          <w:sz w:val="24"/>
          <w:szCs w:val="24"/>
          <w:highlight w:val="none"/>
        </w:rPr>
        <w:instrText xml:space="preserve"> HYPERLINK \l _Toc16445 </w:instrText>
      </w:r>
      <w:r>
        <w:rPr>
          <w:rFonts w:hint="default" w:ascii="Times New Roman" w:hAnsi="Times New Roman" w:eastAsia="黑体" w:cs="Times New Roman"/>
          <w:b w:val="0"/>
          <w:bCs w:val="0"/>
          <w:i w:val="0"/>
          <w:iCs w:val="0"/>
          <w:color w:val="auto"/>
          <w:sz w:val="24"/>
          <w:szCs w:val="24"/>
          <w:highlight w:val="none"/>
        </w:rPr>
        <w:fldChar w:fldCharType="separate"/>
      </w:r>
      <w:r>
        <w:rPr>
          <w:rFonts w:hint="default" w:ascii="Times New Roman" w:hAnsi="Times New Roman" w:eastAsia="黑体" w:cs="Times New Roman"/>
          <w:b w:val="0"/>
          <w:bCs w:val="0"/>
          <w:i w:val="0"/>
          <w:iCs w:val="0"/>
          <w:color w:val="auto"/>
          <w:sz w:val="24"/>
          <w:szCs w:val="24"/>
          <w:highlight w:val="none"/>
        </w:rPr>
        <w:t>1 总论</w:t>
      </w:r>
      <w:r>
        <w:rPr>
          <w:rFonts w:hint="default" w:ascii="Times New Roman" w:hAnsi="Times New Roman" w:eastAsia="黑体" w:cs="Times New Roman"/>
          <w:b w:val="0"/>
          <w:bCs w:val="0"/>
          <w:i w:val="0"/>
          <w:iCs w:val="0"/>
          <w:color w:val="auto"/>
          <w:sz w:val="24"/>
          <w:szCs w:val="24"/>
          <w:highlight w:val="none"/>
        </w:rPr>
        <w:tab/>
      </w:r>
      <w:r>
        <w:rPr>
          <w:rFonts w:hint="default" w:ascii="Times New Roman" w:hAnsi="Times New Roman" w:eastAsia="黑体" w:cs="Times New Roman"/>
          <w:b w:val="0"/>
          <w:bCs w:val="0"/>
          <w:i w:val="0"/>
          <w:iCs w:val="0"/>
          <w:color w:val="auto"/>
          <w:sz w:val="24"/>
          <w:szCs w:val="24"/>
          <w:highlight w:val="none"/>
        </w:rPr>
        <w:fldChar w:fldCharType="begin"/>
      </w:r>
      <w:r>
        <w:rPr>
          <w:rFonts w:hint="default" w:ascii="Times New Roman" w:hAnsi="Times New Roman" w:eastAsia="黑体" w:cs="Times New Roman"/>
          <w:b w:val="0"/>
          <w:bCs w:val="0"/>
          <w:i w:val="0"/>
          <w:iCs w:val="0"/>
          <w:color w:val="auto"/>
          <w:sz w:val="24"/>
          <w:szCs w:val="24"/>
          <w:highlight w:val="none"/>
        </w:rPr>
        <w:instrText xml:space="preserve"> PAGEREF _Toc16445 </w:instrText>
      </w:r>
      <w:r>
        <w:rPr>
          <w:rFonts w:hint="default" w:ascii="Times New Roman" w:hAnsi="Times New Roman" w:eastAsia="黑体" w:cs="Times New Roman"/>
          <w:b w:val="0"/>
          <w:bCs w:val="0"/>
          <w:i w:val="0"/>
          <w:iCs w:val="0"/>
          <w:color w:val="auto"/>
          <w:sz w:val="24"/>
          <w:szCs w:val="24"/>
          <w:highlight w:val="none"/>
        </w:rPr>
        <w:fldChar w:fldCharType="separate"/>
      </w:r>
      <w:r>
        <w:rPr>
          <w:rFonts w:hint="default" w:ascii="Times New Roman" w:hAnsi="Times New Roman" w:eastAsia="黑体" w:cs="Times New Roman"/>
          <w:b w:val="0"/>
          <w:bCs w:val="0"/>
          <w:i w:val="0"/>
          <w:iCs w:val="0"/>
          <w:color w:val="auto"/>
          <w:sz w:val="24"/>
          <w:szCs w:val="24"/>
          <w:highlight w:val="none"/>
        </w:rPr>
        <w:t>1</w:t>
      </w:r>
      <w:r>
        <w:rPr>
          <w:rFonts w:hint="default" w:ascii="Times New Roman" w:hAnsi="Times New Roman" w:eastAsia="黑体" w:cs="Times New Roman"/>
          <w:b w:val="0"/>
          <w:bCs w:val="0"/>
          <w:i w:val="0"/>
          <w:iCs w:val="0"/>
          <w:color w:val="auto"/>
          <w:sz w:val="24"/>
          <w:szCs w:val="24"/>
          <w:highlight w:val="none"/>
        </w:rPr>
        <w:fldChar w:fldCharType="end"/>
      </w:r>
      <w:r>
        <w:rPr>
          <w:rFonts w:hint="default" w:ascii="Times New Roman" w:hAnsi="Times New Roman" w:eastAsia="黑体" w:cs="Times New Roman"/>
          <w:b w:val="0"/>
          <w:bCs w:val="0"/>
          <w:i w:val="0"/>
          <w:iCs w:val="0"/>
          <w:color w:val="auto"/>
          <w:sz w:val="24"/>
          <w:szCs w:val="24"/>
          <w:highlight w:val="none"/>
        </w:rPr>
        <w:fldChar w:fldCharType="end"/>
      </w:r>
    </w:p>
    <w:p>
      <w:pPr>
        <w:pStyle w:val="32"/>
        <w:keepNext w:val="0"/>
        <w:keepLines w:val="0"/>
        <w:pageBreakBefore w:val="0"/>
        <w:widowControl w:val="0"/>
        <w:tabs>
          <w:tab w:val="right" w:leader="dot" w:pos="9070"/>
          <w:tab w:val="clear" w:pos="600"/>
          <w:tab w:val="clear" w:pos="9060"/>
        </w:tabs>
        <w:kinsoku/>
        <w:wordWrap/>
        <w:overflowPunct/>
        <w:topLinePunct w:val="0"/>
        <w:autoSpaceDE/>
        <w:autoSpaceDN/>
        <w:bidi w:val="0"/>
        <w:snapToGrid w:val="0"/>
        <w:spacing w:before="0" w:line="400" w:lineRule="exact"/>
        <w:textAlignment w:val="auto"/>
        <w:rPr>
          <w:rFonts w:hint="default" w:ascii="Times New Roman" w:hAnsi="Times New Roman" w:cs="Times New Roman" w:eastAsiaTheme="minorEastAsia"/>
          <w:b w:val="0"/>
          <w:bCs w:val="0"/>
          <w:i w:val="0"/>
          <w:iCs w:val="0"/>
          <w:color w:val="auto"/>
          <w:sz w:val="24"/>
          <w:szCs w:val="24"/>
          <w:highlight w:val="none"/>
        </w:rPr>
      </w:pPr>
      <w:r>
        <w:rPr>
          <w:rFonts w:hint="default" w:ascii="Times New Roman" w:hAnsi="Times New Roman" w:cs="Times New Roman" w:eastAsiaTheme="minorEastAsia"/>
          <w:b w:val="0"/>
          <w:bCs w:val="0"/>
          <w:i w:val="0"/>
          <w:iCs w:val="0"/>
          <w:color w:val="auto"/>
          <w:sz w:val="24"/>
          <w:szCs w:val="24"/>
          <w:highlight w:val="none"/>
        </w:rPr>
        <w:fldChar w:fldCharType="begin"/>
      </w:r>
      <w:r>
        <w:rPr>
          <w:rFonts w:hint="default" w:ascii="Times New Roman" w:hAnsi="Times New Roman" w:cs="Times New Roman" w:eastAsiaTheme="minorEastAsia"/>
          <w:b w:val="0"/>
          <w:bCs w:val="0"/>
          <w:i w:val="0"/>
          <w:iCs w:val="0"/>
          <w:color w:val="auto"/>
          <w:sz w:val="24"/>
          <w:szCs w:val="24"/>
          <w:highlight w:val="none"/>
        </w:rPr>
        <w:instrText xml:space="preserve"> HYPERLINK \l _Toc13131 </w:instrText>
      </w:r>
      <w:r>
        <w:rPr>
          <w:rFonts w:hint="default" w:ascii="Times New Roman" w:hAnsi="Times New Roman" w:cs="Times New Roman" w:eastAsiaTheme="minorEastAsia"/>
          <w:b w:val="0"/>
          <w:bCs w:val="0"/>
          <w:i w:val="0"/>
          <w:iCs w:val="0"/>
          <w:color w:val="auto"/>
          <w:sz w:val="24"/>
          <w:szCs w:val="24"/>
          <w:highlight w:val="none"/>
        </w:rPr>
        <w:fldChar w:fldCharType="separate"/>
      </w:r>
      <w:r>
        <w:rPr>
          <w:rFonts w:hint="default" w:ascii="Times New Roman" w:hAnsi="Times New Roman" w:cs="Times New Roman" w:eastAsiaTheme="minorEastAsia"/>
          <w:b w:val="0"/>
          <w:bCs w:val="0"/>
          <w:i w:val="0"/>
          <w:iCs w:val="0"/>
          <w:color w:val="auto"/>
          <w:sz w:val="24"/>
          <w:szCs w:val="24"/>
          <w:highlight w:val="none"/>
          <w:lang w:val="zh-CN"/>
        </w:rPr>
        <w:t>1.1项目由来</w:t>
      </w:r>
      <w:r>
        <w:rPr>
          <w:rFonts w:hint="default" w:ascii="Times New Roman" w:hAnsi="Times New Roman" w:cs="Times New Roman" w:eastAsiaTheme="minorEastAsia"/>
          <w:b w:val="0"/>
          <w:bCs w:val="0"/>
          <w:i w:val="0"/>
          <w:iCs w:val="0"/>
          <w:color w:val="auto"/>
          <w:sz w:val="24"/>
          <w:szCs w:val="24"/>
          <w:highlight w:val="none"/>
        </w:rPr>
        <w:tab/>
      </w:r>
      <w:r>
        <w:rPr>
          <w:rFonts w:hint="default" w:ascii="Times New Roman" w:hAnsi="Times New Roman" w:cs="Times New Roman" w:eastAsiaTheme="minorEastAsia"/>
          <w:b w:val="0"/>
          <w:bCs w:val="0"/>
          <w:i w:val="0"/>
          <w:iCs w:val="0"/>
          <w:color w:val="auto"/>
          <w:sz w:val="24"/>
          <w:szCs w:val="24"/>
          <w:highlight w:val="none"/>
        </w:rPr>
        <w:fldChar w:fldCharType="begin"/>
      </w:r>
      <w:r>
        <w:rPr>
          <w:rFonts w:hint="default" w:ascii="Times New Roman" w:hAnsi="Times New Roman" w:cs="Times New Roman" w:eastAsiaTheme="minorEastAsia"/>
          <w:b w:val="0"/>
          <w:bCs w:val="0"/>
          <w:i w:val="0"/>
          <w:iCs w:val="0"/>
          <w:color w:val="auto"/>
          <w:sz w:val="24"/>
          <w:szCs w:val="24"/>
          <w:highlight w:val="none"/>
        </w:rPr>
        <w:instrText xml:space="preserve"> PAGEREF _Toc13131 </w:instrText>
      </w:r>
      <w:r>
        <w:rPr>
          <w:rFonts w:hint="default" w:ascii="Times New Roman" w:hAnsi="Times New Roman" w:cs="Times New Roman" w:eastAsiaTheme="minorEastAsia"/>
          <w:b w:val="0"/>
          <w:bCs w:val="0"/>
          <w:i w:val="0"/>
          <w:iCs w:val="0"/>
          <w:color w:val="auto"/>
          <w:sz w:val="24"/>
          <w:szCs w:val="24"/>
          <w:highlight w:val="none"/>
        </w:rPr>
        <w:fldChar w:fldCharType="separate"/>
      </w:r>
      <w:r>
        <w:rPr>
          <w:rFonts w:hint="default" w:ascii="Times New Roman" w:hAnsi="Times New Roman" w:cs="Times New Roman" w:eastAsiaTheme="minorEastAsia"/>
          <w:b w:val="0"/>
          <w:bCs w:val="0"/>
          <w:i w:val="0"/>
          <w:iCs w:val="0"/>
          <w:color w:val="auto"/>
          <w:sz w:val="24"/>
          <w:szCs w:val="24"/>
          <w:highlight w:val="none"/>
        </w:rPr>
        <w:t>1</w:t>
      </w:r>
      <w:r>
        <w:rPr>
          <w:rFonts w:hint="default" w:ascii="Times New Roman" w:hAnsi="Times New Roman" w:cs="Times New Roman" w:eastAsiaTheme="minorEastAsia"/>
          <w:b w:val="0"/>
          <w:bCs w:val="0"/>
          <w:i w:val="0"/>
          <w:iCs w:val="0"/>
          <w:color w:val="auto"/>
          <w:sz w:val="24"/>
          <w:szCs w:val="24"/>
          <w:highlight w:val="none"/>
        </w:rPr>
        <w:fldChar w:fldCharType="end"/>
      </w:r>
      <w:r>
        <w:rPr>
          <w:rFonts w:hint="default" w:ascii="Times New Roman" w:hAnsi="Times New Roman" w:cs="Times New Roman" w:eastAsiaTheme="minorEastAsia"/>
          <w:b w:val="0"/>
          <w:bCs w:val="0"/>
          <w:i w:val="0"/>
          <w:iCs w:val="0"/>
          <w:color w:val="auto"/>
          <w:sz w:val="24"/>
          <w:szCs w:val="24"/>
          <w:highlight w:val="none"/>
        </w:rPr>
        <w:fldChar w:fldCharType="end"/>
      </w:r>
    </w:p>
    <w:p>
      <w:pPr>
        <w:pStyle w:val="32"/>
        <w:keepNext w:val="0"/>
        <w:keepLines w:val="0"/>
        <w:pageBreakBefore w:val="0"/>
        <w:widowControl w:val="0"/>
        <w:tabs>
          <w:tab w:val="right" w:leader="dot" w:pos="9070"/>
          <w:tab w:val="clear" w:pos="600"/>
          <w:tab w:val="clear" w:pos="9060"/>
        </w:tabs>
        <w:kinsoku/>
        <w:wordWrap/>
        <w:overflowPunct/>
        <w:topLinePunct w:val="0"/>
        <w:autoSpaceDE/>
        <w:autoSpaceDN/>
        <w:bidi w:val="0"/>
        <w:snapToGrid w:val="0"/>
        <w:spacing w:before="0" w:line="400" w:lineRule="exact"/>
        <w:textAlignment w:val="auto"/>
        <w:rPr>
          <w:rFonts w:hint="default" w:ascii="Times New Roman" w:hAnsi="Times New Roman" w:cs="Times New Roman" w:eastAsiaTheme="minorEastAsia"/>
          <w:b w:val="0"/>
          <w:bCs w:val="0"/>
          <w:i w:val="0"/>
          <w:iCs w:val="0"/>
          <w:color w:val="auto"/>
          <w:sz w:val="24"/>
          <w:szCs w:val="24"/>
          <w:highlight w:val="none"/>
        </w:rPr>
      </w:pPr>
      <w:r>
        <w:rPr>
          <w:rFonts w:hint="default" w:ascii="Times New Roman" w:hAnsi="Times New Roman" w:cs="Times New Roman" w:eastAsiaTheme="minorEastAsia"/>
          <w:b w:val="0"/>
          <w:bCs w:val="0"/>
          <w:i w:val="0"/>
          <w:iCs w:val="0"/>
          <w:color w:val="auto"/>
          <w:sz w:val="24"/>
          <w:szCs w:val="24"/>
          <w:highlight w:val="none"/>
        </w:rPr>
        <w:fldChar w:fldCharType="begin"/>
      </w:r>
      <w:r>
        <w:rPr>
          <w:rFonts w:hint="default" w:ascii="Times New Roman" w:hAnsi="Times New Roman" w:cs="Times New Roman" w:eastAsiaTheme="minorEastAsia"/>
          <w:b w:val="0"/>
          <w:bCs w:val="0"/>
          <w:i w:val="0"/>
          <w:iCs w:val="0"/>
          <w:color w:val="auto"/>
          <w:sz w:val="24"/>
          <w:szCs w:val="24"/>
          <w:highlight w:val="none"/>
        </w:rPr>
        <w:instrText xml:space="preserve"> HYPERLINK \l _Toc11782 </w:instrText>
      </w:r>
      <w:r>
        <w:rPr>
          <w:rFonts w:hint="default" w:ascii="Times New Roman" w:hAnsi="Times New Roman" w:cs="Times New Roman" w:eastAsiaTheme="minorEastAsia"/>
          <w:b w:val="0"/>
          <w:bCs w:val="0"/>
          <w:i w:val="0"/>
          <w:iCs w:val="0"/>
          <w:color w:val="auto"/>
          <w:sz w:val="24"/>
          <w:szCs w:val="24"/>
          <w:highlight w:val="none"/>
        </w:rPr>
        <w:fldChar w:fldCharType="separate"/>
      </w:r>
      <w:r>
        <w:rPr>
          <w:rFonts w:hint="default" w:ascii="Times New Roman" w:hAnsi="Times New Roman" w:cs="Times New Roman" w:eastAsiaTheme="minorEastAsia"/>
          <w:b w:val="0"/>
          <w:bCs w:val="0"/>
          <w:i w:val="0"/>
          <w:iCs w:val="0"/>
          <w:color w:val="auto"/>
          <w:sz w:val="24"/>
          <w:szCs w:val="24"/>
          <w:highlight w:val="none"/>
        </w:rPr>
        <w:t>1.2 编制依据</w:t>
      </w:r>
      <w:r>
        <w:rPr>
          <w:rFonts w:hint="default" w:ascii="Times New Roman" w:hAnsi="Times New Roman" w:cs="Times New Roman" w:eastAsiaTheme="minorEastAsia"/>
          <w:b w:val="0"/>
          <w:bCs w:val="0"/>
          <w:i w:val="0"/>
          <w:iCs w:val="0"/>
          <w:color w:val="auto"/>
          <w:sz w:val="24"/>
          <w:szCs w:val="24"/>
          <w:highlight w:val="none"/>
        </w:rPr>
        <w:tab/>
      </w:r>
      <w:r>
        <w:rPr>
          <w:rFonts w:hint="default" w:ascii="Times New Roman" w:hAnsi="Times New Roman" w:cs="Times New Roman" w:eastAsiaTheme="minorEastAsia"/>
          <w:b w:val="0"/>
          <w:bCs w:val="0"/>
          <w:i w:val="0"/>
          <w:iCs w:val="0"/>
          <w:color w:val="auto"/>
          <w:sz w:val="24"/>
          <w:szCs w:val="24"/>
          <w:highlight w:val="none"/>
        </w:rPr>
        <w:fldChar w:fldCharType="begin"/>
      </w:r>
      <w:r>
        <w:rPr>
          <w:rFonts w:hint="default" w:ascii="Times New Roman" w:hAnsi="Times New Roman" w:cs="Times New Roman" w:eastAsiaTheme="minorEastAsia"/>
          <w:b w:val="0"/>
          <w:bCs w:val="0"/>
          <w:i w:val="0"/>
          <w:iCs w:val="0"/>
          <w:color w:val="auto"/>
          <w:sz w:val="24"/>
          <w:szCs w:val="24"/>
          <w:highlight w:val="none"/>
        </w:rPr>
        <w:instrText xml:space="preserve"> PAGEREF _Toc11782 </w:instrText>
      </w:r>
      <w:r>
        <w:rPr>
          <w:rFonts w:hint="default" w:ascii="Times New Roman" w:hAnsi="Times New Roman" w:cs="Times New Roman" w:eastAsiaTheme="minorEastAsia"/>
          <w:b w:val="0"/>
          <w:bCs w:val="0"/>
          <w:i w:val="0"/>
          <w:iCs w:val="0"/>
          <w:color w:val="auto"/>
          <w:sz w:val="24"/>
          <w:szCs w:val="24"/>
          <w:highlight w:val="none"/>
        </w:rPr>
        <w:fldChar w:fldCharType="separate"/>
      </w:r>
      <w:r>
        <w:rPr>
          <w:rFonts w:hint="default" w:ascii="Times New Roman" w:hAnsi="Times New Roman" w:cs="Times New Roman" w:eastAsiaTheme="minorEastAsia"/>
          <w:b w:val="0"/>
          <w:bCs w:val="0"/>
          <w:i w:val="0"/>
          <w:iCs w:val="0"/>
          <w:color w:val="auto"/>
          <w:sz w:val="24"/>
          <w:szCs w:val="24"/>
          <w:highlight w:val="none"/>
        </w:rPr>
        <w:t>2</w:t>
      </w:r>
      <w:r>
        <w:rPr>
          <w:rFonts w:hint="default" w:ascii="Times New Roman" w:hAnsi="Times New Roman" w:cs="Times New Roman" w:eastAsiaTheme="minorEastAsia"/>
          <w:b w:val="0"/>
          <w:bCs w:val="0"/>
          <w:i w:val="0"/>
          <w:iCs w:val="0"/>
          <w:color w:val="auto"/>
          <w:sz w:val="24"/>
          <w:szCs w:val="24"/>
          <w:highlight w:val="none"/>
        </w:rPr>
        <w:fldChar w:fldCharType="end"/>
      </w:r>
      <w:r>
        <w:rPr>
          <w:rFonts w:hint="default" w:ascii="Times New Roman" w:hAnsi="Times New Roman" w:cs="Times New Roman" w:eastAsiaTheme="minorEastAsia"/>
          <w:b w:val="0"/>
          <w:bCs w:val="0"/>
          <w:i w:val="0"/>
          <w:iCs w:val="0"/>
          <w:color w:val="auto"/>
          <w:sz w:val="24"/>
          <w:szCs w:val="24"/>
          <w:highlight w:val="none"/>
        </w:rPr>
        <w:fldChar w:fldCharType="end"/>
      </w:r>
    </w:p>
    <w:p>
      <w:pPr>
        <w:pStyle w:val="32"/>
        <w:keepNext w:val="0"/>
        <w:keepLines w:val="0"/>
        <w:pageBreakBefore w:val="0"/>
        <w:widowControl w:val="0"/>
        <w:tabs>
          <w:tab w:val="right" w:leader="dot" w:pos="9070"/>
          <w:tab w:val="clear" w:pos="600"/>
          <w:tab w:val="clear" w:pos="9060"/>
        </w:tabs>
        <w:kinsoku/>
        <w:wordWrap/>
        <w:overflowPunct/>
        <w:topLinePunct w:val="0"/>
        <w:autoSpaceDE/>
        <w:autoSpaceDN/>
        <w:bidi w:val="0"/>
        <w:snapToGrid w:val="0"/>
        <w:spacing w:before="0" w:line="400" w:lineRule="exact"/>
        <w:textAlignment w:val="auto"/>
        <w:rPr>
          <w:rFonts w:hint="default" w:ascii="Times New Roman" w:hAnsi="Times New Roman" w:cs="Times New Roman" w:eastAsiaTheme="minorEastAsia"/>
          <w:b w:val="0"/>
          <w:bCs w:val="0"/>
          <w:i w:val="0"/>
          <w:iCs w:val="0"/>
          <w:color w:val="auto"/>
          <w:sz w:val="24"/>
          <w:szCs w:val="24"/>
          <w:highlight w:val="none"/>
        </w:rPr>
      </w:pPr>
      <w:r>
        <w:rPr>
          <w:rFonts w:hint="default" w:ascii="Times New Roman" w:hAnsi="Times New Roman" w:cs="Times New Roman" w:eastAsiaTheme="minorEastAsia"/>
          <w:b w:val="0"/>
          <w:bCs w:val="0"/>
          <w:i w:val="0"/>
          <w:iCs w:val="0"/>
          <w:color w:val="auto"/>
          <w:sz w:val="24"/>
          <w:szCs w:val="24"/>
          <w:highlight w:val="none"/>
        </w:rPr>
        <w:fldChar w:fldCharType="begin"/>
      </w:r>
      <w:r>
        <w:rPr>
          <w:rFonts w:hint="default" w:ascii="Times New Roman" w:hAnsi="Times New Roman" w:cs="Times New Roman" w:eastAsiaTheme="minorEastAsia"/>
          <w:b w:val="0"/>
          <w:bCs w:val="0"/>
          <w:i w:val="0"/>
          <w:iCs w:val="0"/>
          <w:color w:val="auto"/>
          <w:sz w:val="24"/>
          <w:szCs w:val="24"/>
          <w:highlight w:val="none"/>
        </w:rPr>
        <w:instrText xml:space="preserve"> HYPERLINK \l _Toc6353 </w:instrText>
      </w:r>
      <w:r>
        <w:rPr>
          <w:rFonts w:hint="default" w:ascii="Times New Roman" w:hAnsi="Times New Roman" w:cs="Times New Roman" w:eastAsiaTheme="minorEastAsia"/>
          <w:b w:val="0"/>
          <w:bCs w:val="0"/>
          <w:i w:val="0"/>
          <w:iCs w:val="0"/>
          <w:color w:val="auto"/>
          <w:sz w:val="24"/>
          <w:szCs w:val="24"/>
          <w:highlight w:val="none"/>
        </w:rPr>
        <w:fldChar w:fldCharType="separate"/>
      </w:r>
      <w:r>
        <w:rPr>
          <w:rFonts w:hint="default" w:ascii="Times New Roman" w:hAnsi="Times New Roman" w:cs="Times New Roman" w:eastAsiaTheme="minorEastAsia"/>
          <w:b w:val="0"/>
          <w:bCs w:val="0"/>
          <w:i w:val="0"/>
          <w:iCs w:val="0"/>
          <w:color w:val="auto"/>
          <w:sz w:val="24"/>
          <w:szCs w:val="24"/>
          <w:highlight w:val="none"/>
        </w:rPr>
        <w:t xml:space="preserve">1.3 </w:t>
      </w:r>
      <w:r>
        <w:rPr>
          <w:rFonts w:hint="default" w:ascii="Times New Roman" w:hAnsi="Times New Roman" w:cs="Times New Roman" w:eastAsiaTheme="minorEastAsia"/>
          <w:b w:val="0"/>
          <w:bCs w:val="0"/>
          <w:i w:val="0"/>
          <w:iCs w:val="0"/>
          <w:color w:val="auto"/>
          <w:sz w:val="24"/>
          <w:szCs w:val="24"/>
          <w:highlight w:val="none"/>
          <w:lang w:val="en-US" w:eastAsia="zh-CN"/>
        </w:rPr>
        <w:t>环境</w:t>
      </w:r>
      <w:r>
        <w:rPr>
          <w:rFonts w:hint="default" w:ascii="Times New Roman" w:hAnsi="Times New Roman" w:cs="Times New Roman" w:eastAsiaTheme="minorEastAsia"/>
          <w:b w:val="0"/>
          <w:bCs w:val="0"/>
          <w:i w:val="0"/>
          <w:iCs w:val="0"/>
          <w:color w:val="auto"/>
          <w:sz w:val="24"/>
          <w:szCs w:val="24"/>
          <w:highlight w:val="none"/>
        </w:rPr>
        <w:t>功能区划和环境影响因</w:t>
      </w:r>
      <w:r>
        <w:rPr>
          <w:rFonts w:hint="default" w:ascii="Times New Roman" w:hAnsi="Times New Roman" w:cs="Times New Roman" w:eastAsiaTheme="minorEastAsia"/>
          <w:b w:val="0"/>
          <w:bCs w:val="0"/>
          <w:i w:val="0"/>
          <w:iCs w:val="0"/>
          <w:color w:val="auto"/>
          <w:sz w:val="24"/>
          <w:szCs w:val="24"/>
          <w:highlight w:val="none"/>
          <w:lang w:eastAsia="zh-CN"/>
        </w:rPr>
        <w:t>子</w:t>
      </w:r>
      <w:r>
        <w:rPr>
          <w:rFonts w:hint="default" w:ascii="Times New Roman" w:hAnsi="Times New Roman" w:cs="Times New Roman" w:eastAsiaTheme="minorEastAsia"/>
          <w:b w:val="0"/>
          <w:bCs w:val="0"/>
          <w:i w:val="0"/>
          <w:iCs w:val="0"/>
          <w:color w:val="auto"/>
          <w:sz w:val="24"/>
          <w:szCs w:val="24"/>
          <w:highlight w:val="none"/>
        </w:rPr>
        <w:t>识别</w:t>
      </w:r>
      <w:r>
        <w:rPr>
          <w:rFonts w:hint="default" w:ascii="Times New Roman" w:hAnsi="Times New Roman" w:cs="Times New Roman" w:eastAsiaTheme="minorEastAsia"/>
          <w:b w:val="0"/>
          <w:bCs w:val="0"/>
          <w:i w:val="0"/>
          <w:iCs w:val="0"/>
          <w:color w:val="auto"/>
          <w:sz w:val="24"/>
          <w:szCs w:val="24"/>
          <w:highlight w:val="none"/>
        </w:rPr>
        <w:tab/>
      </w:r>
      <w:r>
        <w:rPr>
          <w:rFonts w:hint="default" w:ascii="Times New Roman" w:hAnsi="Times New Roman" w:cs="Times New Roman" w:eastAsiaTheme="minorEastAsia"/>
          <w:b w:val="0"/>
          <w:bCs w:val="0"/>
          <w:i w:val="0"/>
          <w:iCs w:val="0"/>
          <w:color w:val="auto"/>
          <w:sz w:val="24"/>
          <w:szCs w:val="24"/>
          <w:highlight w:val="none"/>
        </w:rPr>
        <w:fldChar w:fldCharType="begin"/>
      </w:r>
      <w:r>
        <w:rPr>
          <w:rFonts w:hint="default" w:ascii="Times New Roman" w:hAnsi="Times New Roman" w:cs="Times New Roman" w:eastAsiaTheme="minorEastAsia"/>
          <w:b w:val="0"/>
          <w:bCs w:val="0"/>
          <w:i w:val="0"/>
          <w:iCs w:val="0"/>
          <w:color w:val="auto"/>
          <w:sz w:val="24"/>
          <w:szCs w:val="24"/>
          <w:highlight w:val="none"/>
        </w:rPr>
        <w:instrText xml:space="preserve"> PAGEREF _Toc6353 </w:instrText>
      </w:r>
      <w:r>
        <w:rPr>
          <w:rFonts w:hint="default" w:ascii="Times New Roman" w:hAnsi="Times New Roman" w:cs="Times New Roman" w:eastAsiaTheme="minorEastAsia"/>
          <w:b w:val="0"/>
          <w:bCs w:val="0"/>
          <w:i w:val="0"/>
          <w:iCs w:val="0"/>
          <w:color w:val="auto"/>
          <w:sz w:val="24"/>
          <w:szCs w:val="24"/>
          <w:highlight w:val="none"/>
        </w:rPr>
        <w:fldChar w:fldCharType="separate"/>
      </w:r>
      <w:r>
        <w:rPr>
          <w:rFonts w:hint="default" w:ascii="Times New Roman" w:hAnsi="Times New Roman" w:cs="Times New Roman" w:eastAsiaTheme="minorEastAsia"/>
          <w:b w:val="0"/>
          <w:bCs w:val="0"/>
          <w:i w:val="0"/>
          <w:iCs w:val="0"/>
          <w:color w:val="auto"/>
          <w:sz w:val="24"/>
          <w:szCs w:val="24"/>
          <w:highlight w:val="none"/>
        </w:rPr>
        <w:t>6</w:t>
      </w:r>
      <w:r>
        <w:rPr>
          <w:rFonts w:hint="default" w:ascii="Times New Roman" w:hAnsi="Times New Roman" w:cs="Times New Roman" w:eastAsiaTheme="minorEastAsia"/>
          <w:b w:val="0"/>
          <w:bCs w:val="0"/>
          <w:i w:val="0"/>
          <w:iCs w:val="0"/>
          <w:color w:val="auto"/>
          <w:sz w:val="24"/>
          <w:szCs w:val="24"/>
          <w:highlight w:val="none"/>
        </w:rPr>
        <w:fldChar w:fldCharType="end"/>
      </w:r>
      <w:r>
        <w:rPr>
          <w:rFonts w:hint="default" w:ascii="Times New Roman" w:hAnsi="Times New Roman" w:cs="Times New Roman" w:eastAsiaTheme="minorEastAsia"/>
          <w:b w:val="0"/>
          <w:bCs w:val="0"/>
          <w:i w:val="0"/>
          <w:iCs w:val="0"/>
          <w:color w:val="auto"/>
          <w:sz w:val="24"/>
          <w:szCs w:val="24"/>
          <w:highlight w:val="none"/>
        </w:rPr>
        <w:fldChar w:fldCharType="end"/>
      </w:r>
    </w:p>
    <w:p>
      <w:pPr>
        <w:pStyle w:val="32"/>
        <w:keepNext w:val="0"/>
        <w:keepLines w:val="0"/>
        <w:pageBreakBefore w:val="0"/>
        <w:widowControl w:val="0"/>
        <w:tabs>
          <w:tab w:val="right" w:leader="dot" w:pos="9070"/>
          <w:tab w:val="clear" w:pos="600"/>
          <w:tab w:val="clear" w:pos="9060"/>
        </w:tabs>
        <w:kinsoku/>
        <w:wordWrap/>
        <w:overflowPunct/>
        <w:topLinePunct w:val="0"/>
        <w:autoSpaceDE/>
        <w:autoSpaceDN/>
        <w:bidi w:val="0"/>
        <w:snapToGrid w:val="0"/>
        <w:spacing w:before="0" w:line="400" w:lineRule="exact"/>
        <w:textAlignment w:val="auto"/>
        <w:rPr>
          <w:rFonts w:hint="default" w:ascii="Times New Roman" w:hAnsi="Times New Roman" w:cs="Times New Roman" w:eastAsiaTheme="minorEastAsia"/>
          <w:b w:val="0"/>
          <w:bCs w:val="0"/>
          <w:i w:val="0"/>
          <w:iCs w:val="0"/>
          <w:color w:val="auto"/>
          <w:sz w:val="24"/>
          <w:szCs w:val="24"/>
          <w:highlight w:val="none"/>
        </w:rPr>
      </w:pPr>
      <w:r>
        <w:rPr>
          <w:rFonts w:hint="default" w:ascii="Times New Roman" w:hAnsi="Times New Roman" w:cs="Times New Roman" w:eastAsiaTheme="minorEastAsia"/>
          <w:b w:val="0"/>
          <w:bCs w:val="0"/>
          <w:i w:val="0"/>
          <w:iCs w:val="0"/>
          <w:color w:val="auto"/>
          <w:sz w:val="24"/>
          <w:szCs w:val="24"/>
          <w:highlight w:val="none"/>
        </w:rPr>
        <w:fldChar w:fldCharType="begin"/>
      </w:r>
      <w:r>
        <w:rPr>
          <w:rFonts w:hint="default" w:ascii="Times New Roman" w:hAnsi="Times New Roman" w:cs="Times New Roman" w:eastAsiaTheme="minorEastAsia"/>
          <w:b w:val="0"/>
          <w:bCs w:val="0"/>
          <w:i w:val="0"/>
          <w:iCs w:val="0"/>
          <w:color w:val="auto"/>
          <w:sz w:val="24"/>
          <w:szCs w:val="24"/>
          <w:highlight w:val="none"/>
        </w:rPr>
        <w:instrText xml:space="preserve"> HYPERLINK \l _Toc870 </w:instrText>
      </w:r>
      <w:r>
        <w:rPr>
          <w:rFonts w:hint="default" w:ascii="Times New Roman" w:hAnsi="Times New Roman" w:cs="Times New Roman" w:eastAsiaTheme="minorEastAsia"/>
          <w:b w:val="0"/>
          <w:bCs w:val="0"/>
          <w:i w:val="0"/>
          <w:iCs w:val="0"/>
          <w:color w:val="auto"/>
          <w:sz w:val="24"/>
          <w:szCs w:val="24"/>
          <w:highlight w:val="none"/>
        </w:rPr>
        <w:fldChar w:fldCharType="separate"/>
      </w:r>
      <w:r>
        <w:rPr>
          <w:rFonts w:hint="default" w:ascii="Times New Roman" w:hAnsi="Times New Roman" w:cs="Times New Roman" w:eastAsiaTheme="minorEastAsia"/>
          <w:b w:val="0"/>
          <w:bCs w:val="0"/>
          <w:i w:val="0"/>
          <w:iCs w:val="0"/>
          <w:color w:val="auto"/>
          <w:sz w:val="24"/>
          <w:szCs w:val="24"/>
          <w:highlight w:val="none"/>
        </w:rPr>
        <w:t>1.4 评价标准</w:t>
      </w:r>
      <w:r>
        <w:rPr>
          <w:rFonts w:hint="default" w:ascii="Times New Roman" w:hAnsi="Times New Roman" w:cs="Times New Roman" w:eastAsiaTheme="minorEastAsia"/>
          <w:b w:val="0"/>
          <w:bCs w:val="0"/>
          <w:i w:val="0"/>
          <w:iCs w:val="0"/>
          <w:color w:val="auto"/>
          <w:sz w:val="24"/>
          <w:szCs w:val="24"/>
          <w:highlight w:val="none"/>
        </w:rPr>
        <w:tab/>
      </w:r>
      <w:r>
        <w:rPr>
          <w:rFonts w:hint="default" w:ascii="Times New Roman" w:hAnsi="Times New Roman" w:cs="Times New Roman" w:eastAsiaTheme="minorEastAsia"/>
          <w:b w:val="0"/>
          <w:bCs w:val="0"/>
          <w:i w:val="0"/>
          <w:iCs w:val="0"/>
          <w:color w:val="auto"/>
          <w:sz w:val="24"/>
          <w:szCs w:val="24"/>
          <w:highlight w:val="none"/>
        </w:rPr>
        <w:fldChar w:fldCharType="begin"/>
      </w:r>
      <w:r>
        <w:rPr>
          <w:rFonts w:hint="default" w:ascii="Times New Roman" w:hAnsi="Times New Roman" w:cs="Times New Roman" w:eastAsiaTheme="minorEastAsia"/>
          <w:b w:val="0"/>
          <w:bCs w:val="0"/>
          <w:i w:val="0"/>
          <w:iCs w:val="0"/>
          <w:color w:val="auto"/>
          <w:sz w:val="24"/>
          <w:szCs w:val="24"/>
          <w:highlight w:val="none"/>
        </w:rPr>
        <w:instrText xml:space="preserve"> PAGEREF _Toc870 </w:instrText>
      </w:r>
      <w:r>
        <w:rPr>
          <w:rFonts w:hint="default" w:ascii="Times New Roman" w:hAnsi="Times New Roman" w:cs="Times New Roman" w:eastAsiaTheme="minorEastAsia"/>
          <w:b w:val="0"/>
          <w:bCs w:val="0"/>
          <w:i w:val="0"/>
          <w:iCs w:val="0"/>
          <w:color w:val="auto"/>
          <w:sz w:val="24"/>
          <w:szCs w:val="24"/>
          <w:highlight w:val="none"/>
        </w:rPr>
        <w:fldChar w:fldCharType="separate"/>
      </w:r>
      <w:r>
        <w:rPr>
          <w:rFonts w:hint="default" w:ascii="Times New Roman" w:hAnsi="Times New Roman" w:cs="Times New Roman" w:eastAsiaTheme="minorEastAsia"/>
          <w:b w:val="0"/>
          <w:bCs w:val="0"/>
          <w:i w:val="0"/>
          <w:iCs w:val="0"/>
          <w:color w:val="auto"/>
          <w:sz w:val="24"/>
          <w:szCs w:val="24"/>
          <w:highlight w:val="none"/>
        </w:rPr>
        <w:t>8</w:t>
      </w:r>
      <w:r>
        <w:rPr>
          <w:rFonts w:hint="default" w:ascii="Times New Roman" w:hAnsi="Times New Roman" w:cs="Times New Roman" w:eastAsiaTheme="minorEastAsia"/>
          <w:b w:val="0"/>
          <w:bCs w:val="0"/>
          <w:i w:val="0"/>
          <w:iCs w:val="0"/>
          <w:color w:val="auto"/>
          <w:sz w:val="24"/>
          <w:szCs w:val="24"/>
          <w:highlight w:val="none"/>
        </w:rPr>
        <w:fldChar w:fldCharType="end"/>
      </w:r>
      <w:r>
        <w:rPr>
          <w:rFonts w:hint="default" w:ascii="Times New Roman" w:hAnsi="Times New Roman" w:cs="Times New Roman" w:eastAsiaTheme="minorEastAsia"/>
          <w:b w:val="0"/>
          <w:bCs w:val="0"/>
          <w:i w:val="0"/>
          <w:iCs w:val="0"/>
          <w:color w:val="auto"/>
          <w:sz w:val="24"/>
          <w:szCs w:val="24"/>
          <w:highlight w:val="none"/>
        </w:rPr>
        <w:fldChar w:fldCharType="end"/>
      </w:r>
    </w:p>
    <w:p>
      <w:pPr>
        <w:pStyle w:val="32"/>
        <w:keepNext w:val="0"/>
        <w:keepLines w:val="0"/>
        <w:pageBreakBefore w:val="0"/>
        <w:widowControl w:val="0"/>
        <w:tabs>
          <w:tab w:val="right" w:leader="dot" w:pos="9070"/>
          <w:tab w:val="clear" w:pos="600"/>
          <w:tab w:val="clear" w:pos="9060"/>
        </w:tabs>
        <w:kinsoku/>
        <w:wordWrap/>
        <w:overflowPunct/>
        <w:topLinePunct w:val="0"/>
        <w:autoSpaceDE/>
        <w:autoSpaceDN/>
        <w:bidi w:val="0"/>
        <w:snapToGrid w:val="0"/>
        <w:spacing w:before="0" w:line="400" w:lineRule="exact"/>
        <w:textAlignment w:val="auto"/>
        <w:rPr>
          <w:rFonts w:hint="default" w:ascii="Times New Roman" w:hAnsi="Times New Roman" w:cs="Times New Roman" w:eastAsiaTheme="minorEastAsia"/>
          <w:b w:val="0"/>
          <w:bCs w:val="0"/>
          <w:i w:val="0"/>
          <w:iCs w:val="0"/>
          <w:color w:val="auto"/>
          <w:sz w:val="24"/>
          <w:szCs w:val="24"/>
          <w:highlight w:val="none"/>
        </w:rPr>
      </w:pPr>
      <w:r>
        <w:rPr>
          <w:rFonts w:hint="default" w:ascii="Times New Roman" w:hAnsi="Times New Roman" w:cs="Times New Roman" w:eastAsiaTheme="minorEastAsia"/>
          <w:b w:val="0"/>
          <w:bCs w:val="0"/>
          <w:i w:val="0"/>
          <w:iCs w:val="0"/>
          <w:color w:val="auto"/>
          <w:sz w:val="24"/>
          <w:szCs w:val="24"/>
          <w:highlight w:val="none"/>
        </w:rPr>
        <w:fldChar w:fldCharType="begin"/>
      </w:r>
      <w:r>
        <w:rPr>
          <w:rFonts w:hint="default" w:ascii="Times New Roman" w:hAnsi="Times New Roman" w:cs="Times New Roman" w:eastAsiaTheme="minorEastAsia"/>
          <w:b w:val="0"/>
          <w:bCs w:val="0"/>
          <w:i w:val="0"/>
          <w:iCs w:val="0"/>
          <w:color w:val="auto"/>
          <w:sz w:val="24"/>
          <w:szCs w:val="24"/>
          <w:highlight w:val="none"/>
        </w:rPr>
        <w:instrText xml:space="preserve"> HYPERLINK \l _Toc20215 </w:instrText>
      </w:r>
      <w:r>
        <w:rPr>
          <w:rFonts w:hint="default" w:ascii="Times New Roman" w:hAnsi="Times New Roman" w:cs="Times New Roman" w:eastAsiaTheme="minorEastAsia"/>
          <w:b w:val="0"/>
          <w:bCs w:val="0"/>
          <w:i w:val="0"/>
          <w:iCs w:val="0"/>
          <w:color w:val="auto"/>
          <w:sz w:val="24"/>
          <w:szCs w:val="24"/>
          <w:highlight w:val="none"/>
        </w:rPr>
        <w:fldChar w:fldCharType="separate"/>
      </w:r>
      <w:r>
        <w:rPr>
          <w:rFonts w:hint="default" w:ascii="Times New Roman" w:hAnsi="Times New Roman" w:cs="Times New Roman" w:eastAsiaTheme="minorEastAsia"/>
          <w:b w:val="0"/>
          <w:bCs w:val="0"/>
          <w:i w:val="0"/>
          <w:iCs w:val="0"/>
          <w:color w:val="auto"/>
          <w:sz w:val="24"/>
          <w:szCs w:val="24"/>
          <w:highlight w:val="none"/>
        </w:rPr>
        <w:t>1.</w:t>
      </w:r>
      <w:r>
        <w:rPr>
          <w:rFonts w:hint="default" w:ascii="Times New Roman" w:hAnsi="Times New Roman" w:cs="Times New Roman" w:eastAsiaTheme="minorEastAsia"/>
          <w:b w:val="0"/>
          <w:bCs w:val="0"/>
          <w:i w:val="0"/>
          <w:iCs w:val="0"/>
          <w:color w:val="auto"/>
          <w:sz w:val="24"/>
          <w:szCs w:val="24"/>
          <w:highlight w:val="none"/>
          <w:lang w:val="en-US" w:eastAsia="zh-CN"/>
        </w:rPr>
        <w:t>5</w:t>
      </w:r>
      <w:r>
        <w:rPr>
          <w:rFonts w:hint="default" w:ascii="Times New Roman" w:hAnsi="Times New Roman" w:cs="Times New Roman" w:eastAsiaTheme="minorEastAsia"/>
          <w:b w:val="0"/>
          <w:bCs w:val="0"/>
          <w:i w:val="0"/>
          <w:iCs w:val="0"/>
          <w:color w:val="auto"/>
          <w:sz w:val="24"/>
          <w:szCs w:val="24"/>
          <w:highlight w:val="none"/>
        </w:rPr>
        <w:t xml:space="preserve"> 评价工作等级</w:t>
      </w:r>
      <w:r>
        <w:rPr>
          <w:rFonts w:hint="default" w:ascii="Times New Roman" w:hAnsi="Times New Roman" w:cs="Times New Roman" w:eastAsiaTheme="minorEastAsia"/>
          <w:b w:val="0"/>
          <w:bCs w:val="0"/>
          <w:i w:val="0"/>
          <w:iCs w:val="0"/>
          <w:color w:val="auto"/>
          <w:sz w:val="24"/>
          <w:szCs w:val="24"/>
          <w:highlight w:val="none"/>
        </w:rPr>
        <w:tab/>
      </w:r>
      <w:r>
        <w:rPr>
          <w:rFonts w:hint="default" w:ascii="Times New Roman" w:hAnsi="Times New Roman" w:cs="Times New Roman" w:eastAsiaTheme="minorEastAsia"/>
          <w:b w:val="0"/>
          <w:bCs w:val="0"/>
          <w:i w:val="0"/>
          <w:iCs w:val="0"/>
          <w:color w:val="auto"/>
          <w:sz w:val="24"/>
          <w:szCs w:val="24"/>
          <w:highlight w:val="none"/>
        </w:rPr>
        <w:fldChar w:fldCharType="begin"/>
      </w:r>
      <w:r>
        <w:rPr>
          <w:rFonts w:hint="default" w:ascii="Times New Roman" w:hAnsi="Times New Roman" w:cs="Times New Roman" w:eastAsiaTheme="minorEastAsia"/>
          <w:b w:val="0"/>
          <w:bCs w:val="0"/>
          <w:i w:val="0"/>
          <w:iCs w:val="0"/>
          <w:color w:val="auto"/>
          <w:sz w:val="24"/>
          <w:szCs w:val="24"/>
          <w:highlight w:val="none"/>
        </w:rPr>
        <w:instrText xml:space="preserve"> PAGEREF _Toc20215 </w:instrText>
      </w:r>
      <w:r>
        <w:rPr>
          <w:rFonts w:hint="default" w:ascii="Times New Roman" w:hAnsi="Times New Roman" w:cs="Times New Roman" w:eastAsiaTheme="minorEastAsia"/>
          <w:b w:val="0"/>
          <w:bCs w:val="0"/>
          <w:i w:val="0"/>
          <w:iCs w:val="0"/>
          <w:color w:val="auto"/>
          <w:sz w:val="24"/>
          <w:szCs w:val="24"/>
          <w:highlight w:val="none"/>
        </w:rPr>
        <w:fldChar w:fldCharType="separate"/>
      </w:r>
      <w:r>
        <w:rPr>
          <w:rFonts w:hint="default" w:ascii="Times New Roman" w:hAnsi="Times New Roman" w:cs="Times New Roman" w:eastAsiaTheme="minorEastAsia"/>
          <w:b w:val="0"/>
          <w:bCs w:val="0"/>
          <w:i w:val="0"/>
          <w:iCs w:val="0"/>
          <w:color w:val="auto"/>
          <w:sz w:val="24"/>
          <w:szCs w:val="24"/>
          <w:highlight w:val="none"/>
        </w:rPr>
        <w:t>12</w:t>
      </w:r>
      <w:r>
        <w:rPr>
          <w:rFonts w:hint="default" w:ascii="Times New Roman" w:hAnsi="Times New Roman" w:cs="Times New Roman" w:eastAsiaTheme="minorEastAsia"/>
          <w:b w:val="0"/>
          <w:bCs w:val="0"/>
          <w:i w:val="0"/>
          <w:iCs w:val="0"/>
          <w:color w:val="auto"/>
          <w:sz w:val="24"/>
          <w:szCs w:val="24"/>
          <w:highlight w:val="none"/>
        </w:rPr>
        <w:fldChar w:fldCharType="end"/>
      </w:r>
      <w:r>
        <w:rPr>
          <w:rFonts w:hint="default" w:ascii="Times New Roman" w:hAnsi="Times New Roman" w:cs="Times New Roman" w:eastAsiaTheme="minorEastAsia"/>
          <w:b w:val="0"/>
          <w:bCs w:val="0"/>
          <w:i w:val="0"/>
          <w:iCs w:val="0"/>
          <w:color w:val="auto"/>
          <w:sz w:val="24"/>
          <w:szCs w:val="24"/>
          <w:highlight w:val="none"/>
        </w:rPr>
        <w:fldChar w:fldCharType="end"/>
      </w:r>
    </w:p>
    <w:p>
      <w:pPr>
        <w:pStyle w:val="32"/>
        <w:keepNext w:val="0"/>
        <w:keepLines w:val="0"/>
        <w:pageBreakBefore w:val="0"/>
        <w:widowControl w:val="0"/>
        <w:tabs>
          <w:tab w:val="right" w:leader="dot" w:pos="9070"/>
          <w:tab w:val="clear" w:pos="600"/>
          <w:tab w:val="clear" w:pos="9060"/>
        </w:tabs>
        <w:kinsoku/>
        <w:wordWrap/>
        <w:overflowPunct/>
        <w:topLinePunct w:val="0"/>
        <w:autoSpaceDE/>
        <w:autoSpaceDN/>
        <w:bidi w:val="0"/>
        <w:snapToGrid w:val="0"/>
        <w:spacing w:before="0" w:line="400" w:lineRule="exact"/>
        <w:textAlignment w:val="auto"/>
        <w:rPr>
          <w:rFonts w:hint="default" w:ascii="Times New Roman" w:hAnsi="Times New Roman" w:cs="Times New Roman" w:eastAsiaTheme="minorEastAsia"/>
          <w:b w:val="0"/>
          <w:bCs w:val="0"/>
          <w:i w:val="0"/>
          <w:iCs w:val="0"/>
          <w:color w:val="auto"/>
          <w:sz w:val="24"/>
          <w:szCs w:val="24"/>
          <w:highlight w:val="none"/>
        </w:rPr>
      </w:pPr>
      <w:r>
        <w:rPr>
          <w:rFonts w:hint="default" w:ascii="Times New Roman" w:hAnsi="Times New Roman" w:cs="Times New Roman" w:eastAsiaTheme="minorEastAsia"/>
          <w:b w:val="0"/>
          <w:bCs w:val="0"/>
          <w:i w:val="0"/>
          <w:iCs w:val="0"/>
          <w:color w:val="auto"/>
          <w:sz w:val="24"/>
          <w:szCs w:val="24"/>
          <w:highlight w:val="none"/>
        </w:rPr>
        <w:fldChar w:fldCharType="begin"/>
      </w:r>
      <w:r>
        <w:rPr>
          <w:rFonts w:hint="default" w:ascii="Times New Roman" w:hAnsi="Times New Roman" w:cs="Times New Roman" w:eastAsiaTheme="minorEastAsia"/>
          <w:b w:val="0"/>
          <w:bCs w:val="0"/>
          <w:i w:val="0"/>
          <w:iCs w:val="0"/>
          <w:color w:val="auto"/>
          <w:sz w:val="24"/>
          <w:szCs w:val="24"/>
          <w:highlight w:val="none"/>
        </w:rPr>
        <w:instrText xml:space="preserve"> HYPERLINK \l _Toc26052 </w:instrText>
      </w:r>
      <w:r>
        <w:rPr>
          <w:rFonts w:hint="default" w:ascii="Times New Roman" w:hAnsi="Times New Roman" w:cs="Times New Roman" w:eastAsiaTheme="minorEastAsia"/>
          <w:b w:val="0"/>
          <w:bCs w:val="0"/>
          <w:i w:val="0"/>
          <w:iCs w:val="0"/>
          <w:color w:val="auto"/>
          <w:sz w:val="24"/>
          <w:szCs w:val="24"/>
          <w:highlight w:val="none"/>
        </w:rPr>
        <w:fldChar w:fldCharType="separate"/>
      </w:r>
      <w:r>
        <w:rPr>
          <w:rFonts w:hint="default" w:ascii="Times New Roman" w:hAnsi="Times New Roman" w:cs="Times New Roman" w:eastAsiaTheme="minorEastAsia"/>
          <w:b w:val="0"/>
          <w:bCs w:val="0"/>
          <w:i w:val="0"/>
          <w:iCs w:val="0"/>
          <w:color w:val="auto"/>
          <w:sz w:val="24"/>
          <w:szCs w:val="24"/>
          <w:highlight w:val="none"/>
        </w:rPr>
        <w:t>1.</w:t>
      </w:r>
      <w:r>
        <w:rPr>
          <w:rFonts w:hint="default" w:ascii="Times New Roman" w:hAnsi="Times New Roman" w:cs="Times New Roman" w:eastAsiaTheme="minorEastAsia"/>
          <w:b w:val="0"/>
          <w:bCs w:val="0"/>
          <w:i w:val="0"/>
          <w:iCs w:val="0"/>
          <w:color w:val="auto"/>
          <w:sz w:val="24"/>
          <w:szCs w:val="24"/>
          <w:highlight w:val="none"/>
          <w:lang w:val="en-US" w:eastAsia="zh-CN"/>
        </w:rPr>
        <w:t>6</w:t>
      </w:r>
      <w:r>
        <w:rPr>
          <w:rFonts w:hint="default" w:ascii="Times New Roman" w:hAnsi="Times New Roman" w:cs="Times New Roman" w:eastAsiaTheme="minorEastAsia"/>
          <w:b w:val="0"/>
          <w:bCs w:val="0"/>
          <w:i w:val="0"/>
          <w:iCs w:val="0"/>
          <w:color w:val="auto"/>
          <w:sz w:val="24"/>
          <w:szCs w:val="24"/>
          <w:highlight w:val="none"/>
        </w:rPr>
        <w:t xml:space="preserve"> 评价范围</w:t>
      </w:r>
      <w:r>
        <w:rPr>
          <w:rFonts w:hint="default" w:ascii="Times New Roman" w:hAnsi="Times New Roman" w:cs="Times New Roman" w:eastAsiaTheme="minorEastAsia"/>
          <w:b w:val="0"/>
          <w:bCs w:val="0"/>
          <w:i w:val="0"/>
          <w:iCs w:val="0"/>
          <w:color w:val="auto"/>
          <w:sz w:val="24"/>
          <w:szCs w:val="24"/>
          <w:highlight w:val="none"/>
        </w:rPr>
        <w:tab/>
      </w:r>
      <w:r>
        <w:rPr>
          <w:rFonts w:hint="default" w:ascii="Times New Roman" w:hAnsi="Times New Roman" w:cs="Times New Roman" w:eastAsiaTheme="minorEastAsia"/>
          <w:b w:val="0"/>
          <w:bCs w:val="0"/>
          <w:i w:val="0"/>
          <w:iCs w:val="0"/>
          <w:color w:val="auto"/>
          <w:sz w:val="24"/>
          <w:szCs w:val="24"/>
          <w:highlight w:val="none"/>
        </w:rPr>
        <w:fldChar w:fldCharType="begin"/>
      </w:r>
      <w:r>
        <w:rPr>
          <w:rFonts w:hint="default" w:ascii="Times New Roman" w:hAnsi="Times New Roman" w:cs="Times New Roman" w:eastAsiaTheme="minorEastAsia"/>
          <w:b w:val="0"/>
          <w:bCs w:val="0"/>
          <w:i w:val="0"/>
          <w:iCs w:val="0"/>
          <w:color w:val="auto"/>
          <w:sz w:val="24"/>
          <w:szCs w:val="24"/>
          <w:highlight w:val="none"/>
        </w:rPr>
        <w:instrText xml:space="preserve"> PAGEREF _Toc26052 </w:instrText>
      </w:r>
      <w:r>
        <w:rPr>
          <w:rFonts w:hint="default" w:ascii="Times New Roman" w:hAnsi="Times New Roman" w:cs="Times New Roman" w:eastAsiaTheme="minorEastAsia"/>
          <w:b w:val="0"/>
          <w:bCs w:val="0"/>
          <w:i w:val="0"/>
          <w:iCs w:val="0"/>
          <w:color w:val="auto"/>
          <w:sz w:val="24"/>
          <w:szCs w:val="24"/>
          <w:highlight w:val="none"/>
        </w:rPr>
        <w:fldChar w:fldCharType="separate"/>
      </w:r>
      <w:r>
        <w:rPr>
          <w:rFonts w:hint="default" w:ascii="Times New Roman" w:hAnsi="Times New Roman" w:cs="Times New Roman" w:eastAsiaTheme="minorEastAsia"/>
          <w:b w:val="0"/>
          <w:bCs w:val="0"/>
          <w:i w:val="0"/>
          <w:iCs w:val="0"/>
          <w:color w:val="auto"/>
          <w:sz w:val="24"/>
          <w:szCs w:val="24"/>
          <w:highlight w:val="none"/>
        </w:rPr>
        <w:t>16</w:t>
      </w:r>
      <w:r>
        <w:rPr>
          <w:rFonts w:hint="default" w:ascii="Times New Roman" w:hAnsi="Times New Roman" w:cs="Times New Roman" w:eastAsiaTheme="minorEastAsia"/>
          <w:b w:val="0"/>
          <w:bCs w:val="0"/>
          <w:i w:val="0"/>
          <w:iCs w:val="0"/>
          <w:color w:val="auto"/>
          <w:sz w:val="24"/>
          <w:szCs w:val="24"/>
          <w:highlight w:val="none"/>
        </w:rPr>
        <w:fldChar w:fldCharType="end"/>
      </w:r>
      <w:r>
        <w:rPr>
          <w:rFonts w:hint="default" w:ascii="Times New Roman" w:hAnsi="Times New Roman" w:cs="Times New Roman" w:eastAsiaTheme="minorEastAsia"/>
          <w:b w:val="0"/>
          <w:bCs w:val="0"/>
          <w:i w:val="0"/>
          <w:iCs w:val="0"/>
          <w:color w:val="auto"/>
          <w:sz w:val="24"/>
          <w:szCs w:val="24"/>
          <w:highlight w:val="none"/>
        </w:rPr>
        <w:fldChar w:fldCharType="end"/>
      </w:r>
    </w:p>
    <w:p>
      <w:pPr>
        <w:pStyle w:val="32"/>
        <w:keepNext w:val="0"/>
        <w:keepLines w:val="0"/>
        <w:pageBreakBefore w:val="0"/>
        <w:widowControl w:val="0"/>
        <w:tabs>
          <w:tab w:val="right" w:leader="dot" w:pos="9070"/>
          <w:tab w:val="clear" w:pos="600"/>
          <w:tab w:val="clear" w:pos="9060"/>
        </w:tabs>
        <w:kinsoku/>
        <w:wordWrap/>
        <w:overflowPunct/>
        <w:topLinePunct w:val="0"/>
        <w:autoSpaceDE/>
        <w:autoSpaceDN/>
        <w:bidi w:val="0"/>
        <w:snapToGrid w:val="0"/>
        <w:spacing w:before="0" w:line="400" w:lineRule="exact"/>
        <w:textAlignment w:val="auto"/>
        <w:rPr>
          <w:rFonts w:hint="default" w:ascii="Times New Roman" w:hAnsi="Times New Roman" w:cs="Times New Roman" w:eastAsiaTheme="minorEastAsia"/>
          <w:b w:val="0"/>
          <w:bCs w:val="0"/>
          <w:i w:val="0"/>
          <w:iCs w:val="0"/>
          <w:color w:val="auto"/>
          <w:sz w:val="24"/>
          <w:szCs w:val="24"/>
          <w:highlight w:val="none"/>
        </w:rPr>
      </w:pPr>
      <w:r>
        <w:rPr>
          <w:rFonts w:hint="default" w:ascii="Times New Roman" w:hAnsi="Times New Roman" w:cs="Times New Roman" w:eastAsiaTheme="minorEastAsia"/>
          <w:b w:val="0"/>
          <w:bCs w:val="0"/>
          <w:i w:val="0"/>
          <w:iCs w:val="0"/>
          <w:color w:val="auto"/>
          <w:sz w:val="24"/>
          <w:szCs w:val="24"/>
          <w:highlight w:val="none"/>
        </w:rPr>
        <w:fldChar w:fldCharType="begin"/>
      </w:r>
      <w:r>
        <w:rPr>
          <w:rFonts w:hint="default" w:ascii="Times New Roman" w:hAnsi="Times New Roman" w:cs="Times New Roman" w:eastAsiaTheme="minorEastAsia"/>
          <w:b w:val="0"/>
          <w:bCs w:val="0"/>
          <w:i w:val="0"/>
          <w:iCs w:val="0"/>
          <w:color w:val="auto"/>
          <w:sz w:val="24"/>
          <w:szCs w:val="24"/>
          <w:highlight w:val="none"/>
        </w:rPr>
        <w:instrText xml:space="preserve"> HYPERLINK \l _Toc8848 </w:instrText>
      </w:r>
      <w:r>
        <w:rPr>
          <w:rFonts w:hint="default" w:ascii="Times New Roman" w:hAnsi="Times New Roman" w:cs="Times New Roman" w:eastAsiaTheme="minorEastAsia"/>
          <w:b w:val="0"/>
          <w:bCs w:val="0"/>
          <w:i w:val="0"/>
          <w:iCs w:val="0"/>
          <w:color w:val="auto"/>
          <w:sz w:val="24"/>
          <w:szCs w:val="24"/>
          <w:highlight w:val="none"/>
        </w:rPr>
        <w:fldChar w:fldCharType="separate"/>
      </w:r>
      <w:r>
        <w:rPr>
          <w:rFonts w:hint="default" w:ascii="Times New Roman" w:hAnsi="Times New Roman" w:cs="Times New Roman" w:eastAsiaTheme="minorEastAsia"/>
          <w:b w:val="0"/>
          <w:bCs w:val="0"/>
          <w:i w:val="0"/>
          <w:iCs w:val="0"/>
          <w:color w:val="auto"/>
          <w:sz w:val="24"/>
          <w:szCs w:val="24"/>
          <w:highlight w:val="none"/>
        </w:rPr>
        <w:t>1.</w:t>
      </w:r>
      <w:r>
        <w:rPr>
          <w:rFonts w:hint="default" w:ascii="Times New Roman" w:hAnsi="Times New Roman" w:cs="Times New Roman" w:eastAsiaTheme="minorEastAsia"/>
          <w:b w:val="0"/>
          <w:bCs w:val="0"/>
          <w:i w:val="0"/>
          <w:iCs w:val="0"/>
          <w:color w:val="auto"/>
          <w:sz w:val="24"/>
          <w:szCs w:val="24"/>
          <w:highlight w:val="none"/>
          <w:lang w:val="en-US" w:eastAsia="zh-CN"/>
        </w:rPr>
        <w:t>7</w:t>
      </w:r>
      <w:r>
        <w:rPr>
          <w:rFonts w:hint="default" w:ascii="Times New Roman" w:hAnsi="Times New Roman" w:cs="Times New Roman" w:eastAsiaTheme="minorEastAsia"/>
          <w:b w:val="0"/>
          <w:bCs w:val="0"/>
          <w:i w:val="0"/>
          <w:iCs w:val="0"/>
          <w:color w:val="auto"/>
          <w:sz w:val="24"/>
          <w:szCs w:val="24"/>
          <w:highlight w:val="none"/>
        </w:rPr>
        <w:t xml:space="preserve"> 环境保护目标</w:t>
      </w:r>
      <w:r>
        <w:rPr>
          <w:rFonts w:hint="default" w:ascii="Times New Roman" w:hAnsi="Times New Roman" w:cs="Times New Roman" w:eastAsiaTheme="minorEastAsia"/>
          <w:b w:val="0"/>
          <w:bCs w:val="0"/>
          <w:i w:val="0"/>
          <w:iCs w:val="0"/>
          <w:color w:val="auto"/>
          <w:sz w:val="24"/>
          <w:szCs w:val="24"/>
          <w:highlight w:val="none"/>
        </w:rPr>
        <w:tab/>
      </w:r>
      <w:r>
        <w:rPr>
          <w:rFonts w:hint="default" w:ascii="Times New Roman" w:hAnsi="Times New Roman" w:cs="Times New Roman" w:eastAsiaTheme="minorEastAsia"/>
          <w:b w:val="0"/>
          <w:bCs w:val="0"/>
          <w:i w:val="0"/>
          <w:iCs w:val="0"/>
          <w:color w:val="auto"/>
          <w:sz w:val="24"/>
          <w:szCs w:val="24"/>
          <w:highlight w:val="none"/>
        </w:rPr>
        <w:fldChar w:fldCharType="begin"/>
      </w:r>
      <w:r>
        <w:rPr>
          <w:rFonts w:hint="default" w:ascii="Times New Roman" w:hAnsi="Times New Roman" w:cs="Times New Roman" w:eastAsiaTheme="minorEastAsia"/>
          <w:b w:val="0"/>
          <w:bCs w:val="0"/>
          <w:i w:val="0"/>
          <w:iCs w:val="0"/>
          <w:color w:val="auto"/>
          <w:sz w:val="24"/>
          <w:szCs w:val="24"/>
          <w:highlight w:val="none"/>
        </w:rPr>
        <w:instrText xml:space="preserve"> PAGEREF _Toc8848 </w:instrText>
      </w:r>
      <w:r>
        <w:rPr>
          <w:rFonts w:hint="default" w:ascii="Times New Roman" w:hAnsi="Times New Roman" w:cs="Times New Roman" w:eastAsiaTheme="minorEastAsia"/>
          <w:b w:val="0"/>
          <w:bCs w:val="0"/>
          <w:i w:val="0"/>
          <w:iCs w:val="0"/>
          <w:color w:val="auto"/>
          <w:sz w:val="24"/>
          <w:szCs w:val="24"/>
          <w:highlight w:val="none"/>
        </w:rPr>
        <w:fldChar w:fldCharType="separate"/>
      </w:r>
      <w:r>
        <w:rPr>
          <w:rFonts w:hint="default" w:ascii="Times New Roman" w:hAnsi="Times New Roman" w:cs="Times New Roman" w:eastAsiaTheme="minorEastAsia"/>
          <w:b w:val="0"/>
          <w:bCs w:val="0"/>
          <w:i w:val="0"/>
          <w:iCs w:val="0"/>
          <w:color w:val="auto"/>
          <w:sz w:val="24"/>
          <w:szCs w:val="24"/>
          <w:highlight w:val="none"/>
        </w:rPr>
        <w:t>16</w:t>
      </w:r>
      <w:r>
        <w:rPr>
          <w:rFonts w:hint="default" w:ascii="Times New Roman" w:hAnsi="Times New Roman" w:cs="Times New Roman" w:eastAsiaTheme="minorEastAsia"/>
          <w:b w:val="0"/>
          <w:bCs w:val="0"/>
          <w:i w:val="0"/>
          <w:iCs w:val="0"/>
          <w:color w:val="auto"/>
          <w:sz w:val="24"/>
          <w:szCs w:val="24"/>
          <w:highlight w:val="none"/>
        </w:rPr>
        <w:fldChar w:fldCharType="end"/>
      </w:r>
      <w:r>
        <w:rPr>
          <w:rFonts w:hint="default" w:ascii="Times New Roman" w:hAnsi="Times New Roman" w:cs="Times New Roman" w:eastAsiaTheme="minorEastAsia"/>
          <w:b w:val="0"/>
          <w:bCs w:val="0"/>
          <w:i w:val="0"/>
          <w:iCs w:val="0"/>
          <w:color w:val="auto"/>
          <w:sz w:val="24"/>
          <w:szCs w:val="24"/>
          <w:highlight w:val="none"/>
        </w:rPr>
        <w:fldChar w:fldCharType="end"/>
      </w:r>
    </w:p>
    <w:p>
      <w:pPr>
        <w:pStyle w:val="26"/>
        <w:keepNext w:val="0"/>
        <w:keepLines w:val="0"/>
        <w:pageBreakBefore w:val="0"/>
        <w:widowControl w:val="0"/>
        <w:tabs>
          <w:tab w:val="right" w:leader="dot" w:pos="9070"/>
        </w:tabs>
        <w:kinsoku/>
        <w:wordWrap/>
        <w:overflowPunct/>
        <w:topLinePunct w:val="0"/>
        <w:autoSpaceDE/>
        <w:autoSpaceDN/>
        <w:bidi w:val="0"/>
        <w:snapToGrid w:val="0"/>
        <w:spacing w:before="0" w:line="400" w:lineRule="exact"/>
        <w:textAlignment w:val="auto"/>
        <w:rPr>
          <w:rFonts w:hint="default" w:ascii="Times New Roman" w:hAnsi="Times New Roman" w:eastAsia="黑体" w:cs="Times New Roman"/>
          <w:b w:val="0"/>
          <w:bCs w:val="0"/>
          <w:i w:val="0"/>
          <w:iCs w:val="0"/>
          <w:color w:val="auto"/>
          <w:sz w:val="24"/>
          <w:szCs w:val="24"/>
          <w:highlight w:val="none"/>
        </w:rPr>
      </w:pPr>
      <w:r>
        <w:rPr>
          <w:rFonts w:hint="default" w:ascii="Times New Roman" w:hAnsi="Times New Roman" w:eastAsia="黑体" w:cs="Times New Roman"/>
          <w:b w:val="0"/>
          <w:bCs w:val="0"/>
          <w:i w:val="0"/>
          <w:iCs w:val="0"/>
          <w:color w:val="auto"/>
          <w:sz w:val="24"/>
          <w:szCs w:val="24"/>
          <w:highlight w:val="none"/>
        </w:rPr>
        <w:fldChar w:fldCharType="begin"/>
      </w:r>
      <w:r>
        <w:rPr>
          <w:rFonts w:hint="default" w:ascii="Times New Roman" w:hAnsi="Times New Roman" w:eastAsia="黑体" w:cs="Times New Roman"/>
          <w:b w:val="0"/>
          <w:bCs w:val="0"/>
          <w:i w:val="0"/>
          <w:iCs w:val="0"/>
          <w:color w:val="auto"/>
          <w:sz w:val="24"/>
          <w:szCs w:val="24"/>
          <w:highlight w:val="none"/>
        </w:rPr>
        <w:instrText xml:space="preserve"> HYPERLINK \l _Toc24456 </w:instrText>
      </w:r>
      <w:r>
        <w:rPr>
          <w:rFonts w:hint="default" w:ascii="Times New Roman" w:hAnsi="Times New Roman" w:eastAsia="黑体" w:cs="Times New Roman"/>
          <w:b w:val="0"/>
          <w:bCs w:val="0"/>
          <w:i w:val="0"/>
          <w:iCs w:val="0"/>
          <w:color w:val="auto"/>
          <w:sz w:val="24"/>
          <w:szCs w:val="24"/>
          <w:highlight w:val="none"/>
        </w:rPr>
        <w:fldChar w:fldCharType="separate"/>
      </w:r>
      <w:r>
        <w:rPr>
          <w:rFonts w:hint="default" w:ascii="Times New Roman" w:hAnsi="Times New Roman" w:eastAsia="黑体" w:cs="Times New Roman"/>
          <w:b w:val="0"/>
          <w:bCs w:val="0"/>
          <w:i w:val="0"/>
          <w:iCs w:val="0"/>
          <w:color w:val="auto"/>
          <w:sz w:val="24"/>
          <w:szCs w:val="24"/>
          <w:highlight w:val="none"/>
        </w:rPr>
        <w:t>2 工程概况及工程分析</w:t>
      </w:r>
      <w:r>
        <w:rPr>
          <w:rFonts w:hint="default" w:ascii="Times New Roman" w:hAnsi="Times New Roman" w:eastAsia="黑体" w:cs="Times New Roman"/>
          <w:b w:val="0"/>
          <w:bCs w:val="0"/>
          <w:i w:val="0"/>
          <w:iCs w:val="0"/>
          <w:color w:val="auto"/>
          <w:sz w:val="24"/>
          <w:szCs w:val="24"/>
          <w:highlight w:val="none"/>
        </w:rPr>
        <w:tab/>
      </w:r>
      <w:r>
        <w:rPr>
          <w:rFonts w:hint="default" w:ascii="Times New Roman" w:hAnsi="Times New Roman" w:eastAsia="黑体" w:cs="Times New Roman"/>
          <w:b w:val="0"/>
          <w:bCs w:val="0"/>
          <w:i w:val="0"/>
          <w:iCs w:val="0"/>
          <w:color w:val="auto"/>
          <w:sz w:val="24"/>
          <w:szCs w:val="24"/>
          <w:highlight w:val="none"/>
        </w:rPr>
        <w:fldChar w:fldCharType="begin"/>
      </w:r>
      <w:r>
        <w:rPr>
          <w:rFonts w:hint="default" w:ascii="Times New Roman" w:hAnsi="Times New Roman" w:eastAsia="黑体" w:cs="Times New Roman"/>
          <w:b w:val="0"/>
          <w:bCs w:val="0"/>
          <w:i w:val="0"/>
          <w:iCs w:val="0"/>
          <w:color w:val="auto"/>
          <w:sz w:val="24"/>
          <w:szCs w:val="24"/>
          <w:highlight w:val="none"/>
        </w:rPr>
        <w:instrText xml:space="preserve"> PAGEREF _Toc24456 </w:instrText>
      </w:r>
      <w:r>
        <w:rPr>
          <w:rFonts w:hint="default" w:ascii="Times New Roman" w:hAnsi="Times New Roman" w:eastAsia="黑体" w:cs="Times New Roman"/>
          <w:b w:val="0"/>
          <w:bCs w:val="0"/>
          <w:i w:val="0"/>
          <w:iCs w:val="0"/>
          <w:color w:val="auto"/>
          <w:sz w:val="24"/>
          <w:szCs w:val="24"/>
          <w:highlight w:val="none"/>
        </w:rPr>
        <w:fldChar w:fldCharType="separate"/>
      </w:r>
      <w:r>
        <w:rPr>
          <w:rFonts w:hint="default" w:ascii="Times New Roman" w:hAnsi="Times New Roman" w:eastAsia="黑体" w:cs="Times New Roman"/>
          <w:b w:val="0"/>
          <w:bCs w:val="0"/>
          <w:i w:val="0"/>
          <w:iCs w:val="0"/>
          <w:color w:val="auto"/>
          <w:sz w:val="24"/>
          <w:szCs w:val="24"/>
          <w:highlight w:val="none"/>
        </w:rPr>
        <w:t>18</w:t>
      </w:r>
      <w:r>
        <w:rPr>
          <w:rFonts w:hint="default" w:ascii="Times New Roman" w:hAnsi="Times New Roman" w:eastAsia="黑体" w:cs="Times New Roman"/>
          <w:b w:val="0"/>
          <w:bCs w:val="0"/>
          <w:i w:val="0"/>
          <w:iCs w:val="0"/>
          <w:color w:val="auto"/>
          <w:sz w:val="24"/>
          <w:szCs w:val="24"/>
          <w:highlight w:val="none"/>
        </w:rPr>
        <w:fldChar w:fldCharType="end"/>
      </w:r>
      <w:r>
        <w:rPr>
          <w:rFonts w:hint="default" w:ascii="Times New Roman" w:hAnsi="Times New Roman" w:eastAsia="黑体" w:cs="Times New Roman"/>
          <w:b w:val="0"/>
          <w:bCs w:val="0"/>
          <w:i w:val="0"/>
          <w:iCs w:val="0"/>
          <w:color w:val="auto"/>
          <w:sz w:val="24"/>
          <w:szCs w:val="24"/>
          <w:highlight w:val="none"/>
        </w:rPr>
        <w:fldChar w:fldCharType="end"/>
      </w:r>
    </w:p>
    <w:p>
      <w:pPr>
        <w:pStyle w:val="32"/>
        <w:keepNext w:val="0"/>
        <w:keepLines w:val="0"/>
        <w:pageBreakBefore w:val="0"/>
        <w:widowControl w:val="0"/>
        <w:tabs>
          <w:tab w:val="right" w:leader="dot" w:pos="9070"/>
          <w:tab w:val="clear" w:pos="600"/>
          <w:tab w:val="clear" w:pos="9060"/>
        </w:tabs>
        <w:kinsoku/>
        <w:wordWrap/>
        <w:overflowPunct/>
        <w:topLinePunct w:val="0"/>
        <w:autoSpaceDE/>
        <w:autoSpaceDN/>
        <w:bidi w:val="0"/>
        <w:snapToGrid w:val="0"/>
        <w:spacing w:before="0" w:line="400" w:lineRule="exact"/>
        <w:textAlignment w:val="auto"/>
        <w:rPr>
          <w:rFonts w:hint="default" w:ascii="Times New Roman" w:hAnsi="Times New Roman" w:cs="Times New Roman" w:eastAsiaTheme="minorEastAsia"/>
          <w:b w:val="0"/>
          <w:bCs w:val="0"/>
          <w:i w:val="0"/>
          <w:iCs w:val="0"/>
          <w:color w:val="auto"/>
          <w:sz w:val="24"/>
          <w:szCs w:val="24"/>
          <w:highlight w:val="none"/>
        </w:rPr>
      </w:pPr>
      <w:r>
        <w:rPr>
          <w:rFonts w:hint="default" w:ascii="Times New Roman" w:hAnsi="Times New Roman" w:cs="Times New Roman" w:eastAsiaTheme="minorEastAsia"/>
          <w:b w:val="0"/>
          <w:bCs w:val="0"/>
          <w:i w:val="0"/>
          <w:iCs w:val="0"/>
          <w:color w:val="auto"/>
          <w:sz w:val="24"/>
          <w:szCs w:val="24"/>
          <w:highlight w:val="none"/>
        </w:rPr>
        <w:fldChar w:fldCharType="begin"/>
      </w:r>
      <w:r>
        <w:rPr>
          <w:rFonts w:hint="default" w:ascii="Times New Roman" w:hAnsi="Times New Roman" w:cs="Times New Roman" w:eastAsiaTheme="minorEastAsia"/>
          <w:b w:val="0"/>
          <w:bCs w:val="0"/>
          <w:i w:val="0"/>
          <w:iCs w:val="0"/>
          <w:color w:val="auto"/>
          <w:sz w:val="24"/>
          <w:szCs w:val="24"/>
          <w:highlight w:val="none"/>
        </w:rPr>
        <w:instrText xml:space="preserve"> HYPERLINK \l _Toc10680 </w:instrText>
      </w:r>
      <w:r>
        <w:rPr>
          <w:rFonts w:hint="default" w:ascii="Times New Roman" w:hAnsi="Times New Roman" w:cs="Times New Roman" w:eastAsiaTheme="minorEastAsia"/>
          <w:b w:val="0"/>
          <w:bCs w:val="0"/>
          <w:i w:val="0"/>
          <w:iCs w:val="0"/>
          <w:color w:val="auto"/>
          <w:sz w:val="24"/>
          <w:szCs w:val="24"/>
          <w:highlight w:val="none"/>
        </w:rPr>
        <w:fldChar w:fldCharType="separate"/>
      </w:r>
      <w:r>
        <w:rPr>
          <w:rFonts w:hint="default" w:ascii="Times New Roman" w:hAnsi="Times New Roman" w:cs="Times New Roman" w:eastAsiaTheme="minorEastAsia"/>
          <w:b w:val="0"/>
          <w:bCs w:val="0"/>
          <w:i w:val="0"/>
          <w:iCs w:val="0"/>
          <w:color w:val="auto"/>
          <w:sz w:val="24"/>
          <w:szCs w:val="24"/>
          <w:highlight w:val="none"/>
        </w:rPr>
        <w:t>2.1项目基本概况回顾</w:t>
      </w:r>
      <w:r>
        <w:rPr>
          <w:rFonts w:hint="default" w:ascii="Times New Roman" w:hAnsi="Times New Roman" w:cs="Times New Roman" w:eastAsiaTheme="minorEastAsia"/>
          <w:b w:val="0"/>
          <w:bCs w:val="0"/>
          <w:i w:val="0"/>
          <w:iCs w:val="0"/>
          <w:color w:val="auto"/>
          <w:sz w:val="24"/>
          <w:szCs w:val="24"/>
          <w:highlight w:val="none"/>
        </w:rPr>
        <w:tab/>
      </w:r>
      <w:r>
        <w:rPr>
          <w:rFonts w:hint="default" w:ascii="Times New Roman" w:hAnsi="Times New Roman" w:cs="Times New Roman" w:eastAsiaTheme="minorEastAsia"/>
          <w:b w:val="0"/>
          <w:bCs w:val="0"/>
          <w:i w:val="0"/>
          <w:iCs w:val="0"/>
          <w:color w:val="auto"/>
          <w:sz w:val="24"/>
          <w:szCs w:val="24"/>
          <w:highlight w:val="none"/>
        </w:rPr>
        <w:fldChar w:fldCharType="begin"/>
      </w:r>
      <w:r>
        <w:rPr>
          <w:rFonts w:hint="default" w:ascii="Times New Roman" w:hAnsi="Times New Roman" w:cs="Times New Roman" w:eastAsiaTheme="minorEastAsia"/>
          <w:b w:val="0"/>
          <w:bCs w:val="0"/>
          <w:i w:val="0"/>
          <w:iCs w:val="0"/>
          <w:color w:val="auto"/>
          <w:sz w:val="24"/>
          <w:szCs w:val="24"/>
          <w:highlight w:val="none"/>
        </w:rPr>
        <w:instrText xml:space="preserve"> PAGEREF _Toc10680 </w:instrText>
      </w:r>
      <w:r>
        <w:rPr>
          <w:rFonts w:hint="default" w:ascii="Times New Roman" w:hAnsi="Times New Roman" w:cs="Times New Roman" w:eastAsiaTheme="minorEastAsia"/>
          <w:b w:val="0"/>
          <w:bCs w:val="0"/>
          <w:i w:val="0"/>
          <w:iCs w:val="0"/>
          <w:color w:val="auto"/>
          <w:sz w:val="24"/>
          <w:szCs w:val="24"/>
          <w:highlight w:val="none"/>
        </w:rPr>
        <w:fldChar w:fldCharType="separate"/>
      </w:r>
      <w:r>
        <w:rPr>
          <w:rFonts w:hint="default" w:ascii="Times New Roman" w:hAnsi="Times New Roman" w:cs="Times New Roman" w:eastAsiaTheme="minorEastAsia"/>
          <w:b w:val="0"/>
          <w:bCs w:val="0"/>
          <w:i w:val="0"/>
          <w:iCs w:val="0"/>
          <w:color w:val="auto"/>
          <w:sz w:val="24"/>
          <w:szCs w:val="24"/>
          <w:highlight w:val="none"/>
        </w:rPr>
        <w:t>18</w:t>
      </w:r>
      <w:r>
        <w:rPr>
          <w:rFonts w:hint="default" w:ascii="Times New Roman" w:hAnsi="Times New Roman" w:cs="Times New Roman" w:eastAsiaTheme="minorEastAsia"/>
          <w:b w:val="0"/>
          <w:bCs w:val="0"/>
          <w:i w:val="0"/>
          <w:iCs w:val="0"/>
          <w:color w:val="auto"/>
          <w:sz w:val="24"/>
          <w:szCs w:val="24"/>
          <w:highlight w:val="none"/>
        </w:rPr>
        <w:fldChar w:fldCharType="end"/>
      </w:r>
      <w:r>
        <w:rPr>
          <w:rFonts w:hint="default" w:ascii="Times New Roman" w:hAnsi="Times New Roman" w:cs="Times New Roman" w:eastAsiaTheme="minorEastAsia"/>
          <w:b w:val="0"/>
          <w:bCs w:val="0"/>
          <w:i w:val="0"/>
          <w:iCs w:val="0"/>
          <w:color w:val="auto"/>
          <w:sz w:val="24"/>
          <w:szCs w:val="24"/>
          <w:highlight w:val="none"/>
        </w:rPr>
        <w:fldChar w:fldCharType="end"/>
      </w:r>
    </w:p>
    <w:p>
      <w:pPr>
        <w:pStyle w:val="32"/>
        <w:keepNext w:val="0"/>
        <w:keepLines w:val="0"/>
        <w:pageBreakBefore w:val="0"/>
        <w:widowControl w:val="0"/>
        <w:tabs>
          <w:tab w:val="right" w:leader="dot" w:pos="9070"/>
          <w:tab w:val="clear" w:pos="600"/>
          <w:tab w:val="clear" w:pos="9060"/>
        </w:tabs>
        <w:kinsoku/>
        <w:wordWrap/>
        <w:overflowPunct/>
        <w:topLinePunct w:val="0"/>
        <w:autoSpaceDE/>
        <w:autoSpaceDN/>
        <w:bidi w:val="0"/>
        <w:snapToGrid w:val="0"/>
        <w:spacing w:before="0" w:line="400" w:lineRule="exact"/>
        <w:textAlignment w:val="auto"/>
        <w:rPr>
          <w:rFonts w:hint="default" w:ascii="Times New Roman" w:hAnsi="Times New Roman" w:cs="Times New Roman" w:eastAsiaTheme="minorEastAsia"/>
          <w:b w:val="0"/>
          <w:bCs w:val="0"/>
          <w:i w:val="0"/>
          <w:iCs w:val="0"/>
          <w:color w:val="auto"/>
          <w:sz w:val="24"/>
          <w:szCs w:val="24"/>
          <w:highlight w:val="none"/>
        </w:rPr>
      </w:pPr>
      <w:r>
        <w:rPr>
          <w:rFonts w:hint="default" w:ascii="Times New Roman" w:hAnsi="Times New Roman" w:cs="Times New Roman" w:eastAsiaTheme="minorEastAsia"/>
          <w:b w:val="0"/>
          <w:bCs w:val="0"/>
          <w:i w:val="0"/>
          <w:iCs w:val="0"/>
          <w:color w:val="auto"/>
          <w:sz w:val="24"/>
          <w:szCs w:val="24"/>
          <w:highlight w:val="none"/>
        </w:rPr>
        <w:fldChar w:fldCharType="begin"/>
      </w:r>
      <w:r>
        <w:rPr>
          <w:rFonts w:hint="default" w:ascii="Times New Roman" w:hAnsi="Times New Roman" w:cs="Times New Roman" w:eastAsiaTheme="minorEastAsia"/>
          <w:b w:val="0"/>
          <w:bCs w:val="0"/>
          <w:i w:val="0"/>
          <w:iCs w:val="0"/>
          <w:color w:val="auto"/>
          <w:sz w:val="24"/>
          <w:szCs w:val="24"/>
          <w:highlight w:val="none"/>
        </w:rPr>
        <w:instrText xml:space="preserve"> HYPERLINK \l _Toc30286 </w:instrText>
      </w:r>
      <w:r>
        <w:rPr>
          <w:rFonts w:hint="default" w:ascii="Times New Roman" w:hAnsi="Times New Roman" w:cs="Times New Roman" w:eastAsiaTheme="minorEastAsia"/>
          <w:b w:val="0"/>
          <w:bCs w:val="0"/>
          <w:i w:val="0"/>
          <w:iCs w:val="0"/>
          <w:color w:val="auto"/>
          <w:sz w:val="24"/>
          <w:szCs w:val="24"/>
          <w:highlight w:val="none"/>
        </w:rPr>
        <w:fldChar w:fldCharType="separate"/>
      </w:r>
      <w:r>
        <w:rPr>
          <w:rFonts w:hint="default" w:ascii="Times New Roman" w:hAnsi="Times New Roman" w:cs="Times New Roman" w:eastAsiaTheme="minorEastAsia"/>
          <w:b w:val="0"/>
          <w:bCs w:val="0"/>
          <w:i w:val="0"/>
          <w:iCs w:val="0"/>
          <w:color w:val="auto"/>
          <w:sz w:val="24"/>
          <w:szCs w:val="24"/>
          <w:highlight w:val="none"/>
        </w:rPr>
        <w:t>2.2 项目情况</w:t>
      </w:r>
      <w:r>
        <w:rPr>
          <w:rFonts w:hint="default" w:ascii="Times New Roman" w:hAnsi="Times New Roman" w:cs="Times New Roman" w:eastAsiaTheme="minorEastAsia"/>
          <w:b w:val="0"/>
          <w:bCs w:val="0"/>
          <w:i w:val="0"/>
          <w:iCs w:val="0"/>
          <w:color w:val="auto"/>
          <w:sz w:val="24"/>
          <w:szCs w:val="24"/>
          <w:highlight w:val="none"/>
        </w:rPr>
        <w:tab/>
      </w:r>
      <w:r>
        <w:rPr>
          <w:rFonts w:hint="default" w:ascii="Times New Roman" w:hAnsi="Times New Roman" w:cs="Times New Roman" w:eastAsiaTheme="minorEastAsia"/>
          <w:b w:val="0"/>
          <w:bCs w:val="0"/>
          <w:i w:val="0"/>
          <w:iCs w:val="0"/>
          <w:color w:val="auto"/>
          <w:sz w:val="24"/>
          <w:szCs w:val="24"/>
          <w:highlight w:val="none"/>
        </w:rPr>
        <w:fldChar w:fldCharType="begin"/>
      </w:r>
      <w:r>
        <w:rPr>
          <w:rFonts w:hint="default" w:ascii="Times New Roman" w:hAnsi="Times New Roman" w:cs="Times New Roman" w:eastAsiaTheme="minorEastAsia"/>
          <w:b w:val="0"/>
          <w:bCs w:val="0"/>
          <w:i w:val="0"/>
          <w:iCs w:val="0"/>
          <w:color w:val="auto"/>
          <w:sz w:val="24"/>
          <w:szCs w:val="24"/>
          <w:highlight w:val="none"/>
        </w:rPr>
        <w:instrText xml:space="preserve"> PAGEREF _Toc30286 </w:instrText>
      </w:r>
      <w:r>
        <w:rPr>
          <w:rFonts w:hint="default" w:ascii="Times New Roman" w:hAnsi="Times New Roman" w:cs="Times New Roman" w:eastAsiaTheme="minorEastAsia"/>
          <w:b w:val="0"/>
          <w:bCs w:val="0"/>
          <w:i w:val="0"/>
          <w:iCs w:val="0"/>
          <w:color w:val="auto"/>
          <w:sz w:val="24"/>
          <w:szCs w:val="24"/>
          <w:highlight w:val="none"/>
        </w:rPr>
        <w:fldChar w:fldCharType="separate"/>
      </w:r>
      <w:r>
        <w:rPr>
          <w:rFonts w:hint="default" w:ascii="Times New Roman" w:hAnsi="Times New Roman" w:cs="Times New Roman" w:eastAsiaTheme="minorEastAsia"/>
          <w:b w:val="0"/>
          <w:bCs w:val="0"/>
          <w:i w:val="0"/>
          <w:iCs w:val="0"/>
          <w:color w:val="auto"/>
          <w:sz w:val="24"/>
          <w:szCs w:val="24"/>
          <w:highlight w:val="none"/>
        </w:rPr>
        <w:t>19</w:t>
      </w:r>
      <w:r>
        <w:rPr>
          <w:rFonts w:hint="default" w:ascii="Times New Roman" w:hAnsi="Times New Roman" w:cs="Times New Roman" w:eastAsiaTheme="minorEastAsia"/>
          <w:b w:val="0"/>
          <w:bCs w:val="0"/>
          <w:i w:val="0"/>
          <w:iCs w:val="0"/>
          <w:color w:val="auto"/>
          <w:sz w:val="24"/>
          <w:szCs w:val="24"/>
          <w:highlight w:val="none"/>
        </w:rPr>
        <w:fldChar w:fldCharType="end"/>
      </w:r>
      <w:r>
        <w:rPr>
          <w:rFonts w:hint="default" w:ascii="Times New Roman" w:hAnsi="Times New Roman" w:cs="Times New Roman" w:eastAsiaTheme="minorEastAsia"/>
          <w:b w:val="0"/>
          <w:bCs w:val="0"/>
          <w:i w:val="0"/>
          <w:iCs w:val="0"/>
          <w:color w:val="auto"/>
          <w:sz w:val="24"/>
          <w:szCs w:val="24"/>
          <w:highlight w:val="none"/>
        </w:rPr>
        <w:fldChar w:fldCharType="end"/>
      </w:r>
    </w:p>
    <w:p>
      <w:pPr>
        <w:pStyle w:val="32"/>
        <w:keepNext w:val="0"/>
        <w:keepLines w:val="0"/>
        <w:pageBreakBefore w:val="0"/>
        <w:widowControl w:val="0"/>
        <w:tabs>
          <w:tab w:val="right" w:leader="dot" w:pos="9070"/>
          <w:tab w:val="clear" w:pos="600"/>
          <w:tab w:val="clear" w:pos="9060"/>
        </w:tabs>
        <w:kinsoku/>
        <w:wordWrap/>
        <w:overflowPunct/>
        <w:topLinePunct w:val="0"/>
        <w:autoSpaceDE/>
        <w:autoSpaceDN/>
        <w:bidi w:val="0"/>
        <w:snapToGrid w:val="0"/>
        <w:spacing w:before="0" w:line="400" w:lineRule="exact"/>
        <w:textAlignment w:val="auto"/>
        <w:rPr>
          <w:rFonts w:hint="default" w:ascii="Times New Roman" w:hAnsi="Times New Roman" w:cs="Times New Roman" w:eastAsiaTheme="minorEastAsia"/>
          <w:b w:val="0"/>
          <w:bCs w:val="0"/>
          <w:i w:val="0"/>
          <w:iCs w:val="0"/>
          <w:color w:val="auto"/>
          <w:sz w:val="24"/>
          <w:szCs w:val="24"/>
          <w:highlight w:val="none"/>
        </w:rPr>
      </w:pPr>
      <w:r>
        <w:rPr>
          <w:rFonts w:hint="default" w:ascii="Times New Roman" w:hAnsi="Times New Roman" w:cs="Times New Roman" w:eastAsiaTheme="minorEastAsia"/>
          <w:b w:val="0"/>
          <w:bCs w:val="0"/>
          <w:i w:val="0"/>
          <w:iCs w:val="0"/>
          <w:color w:val="auto"/>
          <w:sz w:val="24"/>
          <w:szCs w:val="24"/>
          <w:highlight w:val="none"/>
        </w:rPr>
        <w:fldChar w:fldCharType="begin"/>
      </w:r>
      <w:r>
        <w:rPr>
          <w:rFonts w:hint="default" w:ascii="Times New Roman" w:hAnsi="Times New Roman" w:cs="Times New Roman" w:eastAsiaTheme="minorEastAsia"/>
          <w:b w:val="0"/>
          <w:bCs w:val="0"/>
          <w:i w:val="0"/>
          <w:iCs w:val="0"/>
          <w:color w:val="auto"/>
          <w:sz w:val="24"/>
          <w:szCs w:val="24"/>
          <w:highlight w:val="none"/>
        </w:rPr>
        <w:instrText xml:space="preserve"> HYPERLINK \l _Toc17356 </w:instrText>
      </w:r>
      <w:r>
        <w:rPr>
          <w:rFonts w:hint="default" w:ascii="Times New Roman" w:hAnsi="Times New Roman" w:cs="Times New Roman" w:eastAsiaTheme="minorEastAsia"/>
          <w:b w:val="0"/>
          <w:bCs w:val="0"/>
          <w:i w:val="0"/>
          <w:iCs w:val="0"/>
          <w:color w:val="auto"/>
          <w:sz w:val="24"/>
          <w:szCs w:val="24"/>
          <w:highlight w:val="none"/>
        </w:rPr>
        <w:fldChar w:fldCharType="separate"/>
      </w:r>
      <w:r>
        <w:rPr>
          <w:rFonts w:hint="default" w:ascii="Times New Roman" w:hAnsi="Times New Roman" w:cs="Times New Roman" w:eastAsiaTheme="minorEastAsia"/>
          <w:b w:val="0"/>
          <w:bCs w:val="0"/>
          <w:i w:val="0"/>
          <w:iCs w:val="0"/>
          <w:color w:val="auto"/>
          <w:sz w:val="24"/>
          <w:szCs w:val="24"/>
          <w:highlight w:val="none"/>
          <w:lang w:val="en-US" w:eastAsia="zh-CN"/>
        </w:rPr>
        <w:t>2.3</w:t>
      </w:r>
      <w:r>
        <w:rPr>
          <w:rFonts w:hint="default" w:ascii="Times New Roman" w:hAnsi="Times New Roman" w:cs="Times New Roman" w:eastAsiaTheme="minorEastAsia"/>
          <w:b w:val="0"/>
          <w:bCs w:val="0"/>
          <w:i w:val="0"/>
          <w:iCs w:val="0"/>
          <w:color w:val="auto"/>
          <w:sz w:val="24"/>
          <w:szCs w:val="24"/>
          <w:highlight w:val="none"/>
        </w:rPr>
        <w:t>平衡分析</w:t>
      </w:r>
      <w:r>
        <w:rPr>
          <w:rFonts w:hint="default" w:ascii="Times New Roman" w:hAnsi="Times New Roman" w:cs="Times New Roman" w:eastAsiaTheme="minorEastAsia"/>
          <w:b w:val="0"/>
          <w:bCs w:val="0"/>
          <w:i w:val="0"/>
          <w:iCs w:val="0"/>
          <w:color w:val="auto"/>
          <w:sz w:val="24"/>
          <w:szCs w:val="24"/>
          <w:highlight w:val="none"/>
        </w:rPr>
        <w:tab/>
      </w:r>
      <w:r>
        <w:rPr>
          <w:rFonts w:hint="default" w:ascii="Times New Roman" w:hAnsi="Times New Roman" w:cs="Times New Roman" w:eastAsiaTheme="minorEastAsia"/>
          <w:b w:val="0"/>
          <w:bCs w:val="0"/>
          <w:i w:val="0"/>
          <w:iCs w:val="0"/>
          <w:color w:val="auto"/>
          <w:sz w:val="24"/>
          <w:szCs w:val="24"/>
          <w:highlight w:val="none"/>
        </w:rPr>
        <w:fldChar w:fldCharType="begin"/>
      </w:r>
      <w:r>
        <w:rPr>
          <w:rFonts w:hint="default" w:ascii="Times New Roman" w:hAnsi="Times New Roman" w:cs="Times New Roman" w:eastAsiaTheme="minorEastAsia"/>
          <w:b w:val="0"/>
          <w:bCs w:val="0"/>
          <w:i w:val="0"/>
          <w:iCs w:val="0"/>
          <w:color w:val="auto"/>
          <w:sz w:val="24"/>
          <w:szCs w:val="24"/>
          <w:highlight w:val="none"/>
        </w:rPr>
        <w:instrText xml:space="preserve"> PAGEREF _Toc17356 </w:instrText>
      </w:r>
      <w:r>
        <w:rPr>
          <w:rFonts w:hint="default" w:ascii="Times New Roman" w:hAnsi="Times New Roman" w:cs="Times New Roman" w:eastAsiaTheme="minorEastAsia"/>
          <w:b w:val="0"/>
          <w:bCs w:val="0"/>
          <w:i w:val="0"/>
          <w:iCs w:val="0"/>
          <w:color w:val="auto"/>
          <w:sz w:val="24"/>
          <w:szCs w:val="24"/>
          <w:highlight w:val="none"/>
        </w:rPr>
        <w:fldChar w:fldCharType="separate"/>
      </w:r>
      <w:r>
        <w:rPr>
          <w:rFonts w:hint="default" w:ascii="Times New Roman" w:hAnsi="Times New Roman" w:cs="Times New Roman" w:eastAsiaTheme="minorEastAsia"/>
          <w:b w:val="0"/>
          <w:bCs w:val="0"/>
          <w:i w:val="0"/>
          <w:iCs w:val="0"/>
          <w:color w:val="auto"/>
          <w:sz w:val="24"/>
          <w:szCs w:val="24"/>
          <w:highlight w:val="none"/>
        </w:rPr>
        <w:t>36</w:t>
      </w:r>
      <w:r>
        <w:rPr>
          <w:rFonts w:hint="default" w:ascii="Times New Roman" w:hAnsi="Times New Roman" w:cs="Times New Roman" w:eastAsiaTheme="minorEastAsia"/>
          <w:b w:val="0"/>
          <w:bCs w:val="0"/>
          <w:i w:val="0"/>
          <w:iCs w:val="0"/>
          <w:color w:val="auto"/>
          <w:sz w:val="24"/>
          <w:szCs w:val="24"/>
          <w:highlight w:val="none"/>
        </w:rPr>
        <w:fldChar w:fldCharType="end"/>
      </w:r>
      <w:r>
        <w:rPr>
          <w:rFonts w:hint="default" w:ascii="Times New Roman" w:hAnsi="Times New Roman" w:cs="Times New Roman" w:eastAsiaTheme="minorEastAsia"/>
          <w:b w:val="0"/>
          <w:bCs w:val="0"/>
          <w:i w:val="0"/>
          <w:iCs w:val="0"/>
          <w:color w:val="auto"/>
          <w:sz w:val="24"/>
          <w:szCs w:val="24"/>
          <w:highlight w:val="none"/>
        </w:rPr>
        <w:fldChar w:fldCharType="end"/>
      </w:r>
    </w:p>
    <w:p>
      <w:pPr>
        <w:pStyle w:val="32"/>
        <w:keepNext w:val="0"/>
        <w:keepLines w:val="0"/>
        <w:pageBreakBefore w:val="0"/>
        <w:widowControl w:val="0"/>
        <w:tabs>
          <w:tab w:val="right" w:leader="dot" w:pos="9070"/>
          <w:tab w:val="clear" w:pos="600"/>
          <w:tab w:val="clear" w:pos="9060"/>
        </w:tabs>
        <w:kinsoku/>
        <w:wordWrap/>
        <w:overflowPunct/>
        <w:topLinePunct w:val="0"/>
        <w:autoSpaceDE/>
        <w:autoSpaceDN/>
        <w:bidi w:val="0"/>
        <w:snapToGrid w:val="0"/>
        <w:spacing w:before="0" w:line="400" w:lineRule="exact"/>
        <w:textAlignment w:val="auto"/>
        <w:rPr>
          <w:rFonts w:hint="default" w:ascii="Times New Roman" w:hAnsi="Times New Roman" w:cs="Times New Roman" w:eastAsiaTheme="minorEastAsia"/>
          <w:b w:val="0"/>
          <w:bCs w:val="0"/>
          <w:i w:val="0"/>
          <w:iCs w:val="0"/>
          <w:color w:val="auto"/>
          <w:sz w:val="24"/>
          <w:szCs w:val="24"/>
          <w:highlight w:val="none"/>
        </w:rPr>
      </w:pPr>
      <w:r>
        <w:rPr>
          <w:rFonts w:hint="default" w:ascii="Times New Roman" w:hAnsi="Times New Roman" w:cs="Times New Roman" w:eastAsiaTheme="minorEastAsia"/>
          <w:b w:val="0"/>
          <w:bCs w:val="0"/>
          <w:i w:val="0"/>
          <w:iCs w:val="0"/>
          <w:color w:val="auto"/>
          <w:sz w:val="24"/>
          <w:szCs w:val="24"/>
          <w:highlight w:val="none"/>
        </w:rPr>
        <w:fldChar w:fldCharType="begin"/>
      </w:r>
      <w:r>
        <w:rPr>
          <w:rFonts w:hint="default" w:ascii="Times New Roman" w:hAnsi="Times New Roman" w:cs="Times New Roman" w:eastAsiaTheme="minorEastAsia"/>
          <w:b w:val="0"/>
          <w:bCs w:val="0"/>
          <w:i w:val="0"/>
          <w:iCs w:val="0"/>
          <w:color w:val="auto"/>
          <w:sz w:val="24"/>
          <w:szCs w:val="24"/>
          <w:highlight w:val="none"/>
        </w:rPr>
        <w:instrText xml:space="preserve"> HYPERLINK \l _Toc25475 </w:instrText>
      </w:r>
      <w:r>
        <w:rPr>
          <w:rFonts w:hint="default" w:ascii="Times New Roman" w:hAnsi="Times New Roman" w:cs="Times New Roman" w:eastAsiaTheme="minorEastAsia"/>
          <w:b w:val="0"/>
          <w:bCs w:val="0"/>
          <w:i w:val="0"/>
          <w:iCs w:val="0"/>
          <w:color w:val="auto"/>
          <w:sz w:val="24"/>
          <w:szCs w:val="24"/>
          <w:highlight w:val="none"/>
        </w:rPr>
        <w:fldChar w:fldCharType="separate"/>
      </w:r>
      <w:r>
        <w:rPr>
          <w:rFonts w:hint="default" w:ascii="Times New Roman" w:hAnsi="Times New Roman" w:cs="Times New Roman" w:eastAsiaTheme="minorEastAsia"/>
          <w:b w:val="0"/>
          <w:bCs w:val="0"/>
          <w:i w:val="0"/>
          <w:iCs w:val="0"/>
          <w:color w:val="auto"/>
          <w:sz w:val="24"/>
          <w:szCs w:val="24"/>
          <w:highlight w:val="none"/>
        </w:rPr>
        <w:t>2.</w:t>
      </w:r>
      <w:r>
        <w:rPr>
          <w:rFonts w:hint="default" w:ascii="Times New Roman" w:hAnsi="Times New Roman" w:cs="Times New Roman" w:eastAsiaTheme="minorEastAsia"/>
          <w:b w:val="0"/>
          <w:bCs w:val="0"/>
          <w:i w:val="0"/>
          <w:iCs w:val="0"/>
          <w:color w:val="auto"/>
          <w:sz w:val="24"/>
          <w:szCs w:val="24"/>
          <w:highlight w:val="none"/>
          <w:lang w:val="en-US" w:eastAsia="zh-CN"/>
        </w:rPr>
        <w:t>4</w:t>
      </w:r>
      <w:r>
        <w:rPr>
          <w:rFonts w:hint="default" w:ascii="Times New Roman" w:hAnsi="Times New Roman" w:cs="Times New Roman" w:eastAsiaTheme="minorEastAsia"/>
          <w:b w:val="0"/>
          <w:bCs w:val="0"/>
          <w:i w:val="0"/>
          <w:iCs w:val="0"/>
          <w:color w:val="auto"/>
          <w:sz w:val="24"/>
          <w:szCs w:val="24"/>
          <w:highlight w:val="none"/>
        </w:rPr>
        <w:t xml:space="preserve"> 项目工程分析</w:t>
      </w:r>
      <w:r>
        <w:rPr>
          <w:rFonts w:hint="default" w:ascii="Times New Roman" w:hAnsi="Times New Roman" w:cs="Times New Roman" w:eastAsiaTheme="minorEastAsia"/>
          <w:b w:val="0"/>
          <w:bCs w:val="0"/>
          <w:i w:val="0"/>
          <w:iCs w:val="0"/>
          <w:color w:val="auto"/>
          <w:sz w:val="24"/>
          <w:szCs w:val="24"/>
          <w:highlight w:val="none"/>
        </w:rPr>
        <w:tab/>
      </w:r>
      <w:r>
        <w:rPr>
          <w:rFonts w:hint="default" w:ascii="Times New Roman" w:hAnsi="Times New Roman" w:cs="Times New Roman" w:eastAsiaTheme="minorEastAsia"/>
          <w:b w:val="0"/>
          <w:bCs w:val="0"/>
          <w:i w:val="0"/>
          <w:iCs w:val="0"/>
          <w:color w:val="auto"/>
          <w:sz w:val="24"/>
          <w:szCs w:val="24"/>
          <w:highlight w:val="none"/>
        </w:rPr>
        <w:fldChar w:fldCharType="begin"/>
      </w:r>
      <w:r>
        <w:rPr>
          <w:rFonts w:hint="default" w:ascii="Times New Roman" w:hAnsi="Times New Roman" w:cs="Times New Roman" w:eastAsiaTheme="minorEastAsia"/>
          <w:b w:val="0"/>
          <w:bCs w:val="0"/>
          <w:i w:val="0"/>
          <w:iCs w:val="0"/>
          <w:color w:val="auto"/>
          <w:sz w:val="24"/>
          <w:szCs w:val="24"/>
          <w:highlight w:val="none"/>
        </w:rPr>
        <w:instrText xml:space="preserve"> PAGEREF _Toc25475 </w:instrText>
      </w:r>
      <w:r>
        <w:rPr>
          <w:rFonts w:hint="default" w:ascii="Times New Roman" w:hAnsi="Times New Roman" w:cs="Times New Roman" w:eastAsiaTheme="minorEastAsia"/>
          <w:b w:val="0"/>
          <w:bCs w:val="0"/>
          <w:i w:val="0"/>
          <w:iCs w:val="0"/>
          <w:color w:val="auto"/>
          <w:sz w:val="24"/>
          <w:szCs w:val="24"/>
          <w:highlight w:val="none"/>
        </w:rPr>
        <w:fldChar w:fldCharType="separate"/>
      </w:r>
      <w:r>
        <w:rPr>
          <w:rFonts w:hint="default" w:ascii="Times New Roman" w:hAnsi="Times New Roman" w:cs="Times New Roman" w:eastAsiaTheme="minorEastAsia"/>
          <w:b w:val="0"/>
          <w:bCs w:val="0"/>
          <w:i w:val="0"/>
          <w:iCs w:val="0"/>
          <w:color w:val="auto"/>
          <w:sz w:val="24"/>
          <w:szCs w:val="24"/>
          <w:highlight w:val="none"/>
        </w:rPr>
        <w:t>42</w:t>
      </w:r>
      <w:r>
        <w:rPr>
          <w:rFonts w:hint="default" w:ascii="Times New Roman" w:hAnsi="Times New Roman" w:cs="Times New Roman" w:eastAsiaTheme="minorEastAsia"/>
          <w:b w:val="0"/>
          <w:bCs w:val="0"/>
          <w:i w:val="0"/>
          <w:iCs w:val="0"/>
          <w:color w:val="auto"/>
          <w:sz w:val="24"/>
          <w:szCs w:val="24"/>
          <w:highlight w:val="none"/>
        </w:rPr>
        <w:fldChar w:fldCharType="end"/>
      </w:r>
      <w:r>
        <w:rPr>
          <w:rFonts w:hint="default" w:ascii="Times New Roman" w:hAnsi="Times New Roman" w:cs="Times New Roman" w:eastAsiaTheme="minorEastAsia"/>
          <w:b w:val="0"/>
          <w:bCs w:val="0"/>
          <w:i w:val="0"/>
          <w:iCs w:val="0"/>
          <w:color w:val="auto"/>
          <w:sz w:val="24"/>
          <w:szCs w:val="24"/>
          <w:highlight w:val="none"/>
        </w:rPr>
        <w:fldChar w:fldCharType="end"/>
      </w:r>
    </w:p>
    <w:p>
      <w:pPr>
        <w:pStyle w:val="32"/>
        <w:keepNext w:val="0"/>
        <w:keepLines w:val="0"/>
        <w:pageBreakBefore w:val="0"/>
        <w:widowControl w:val="0"/>
        <w:tabs>
          <w:tab w:val="right" w:leader="dot" w:pos="9070"/>
          <w:tab w:val="clear" w:pos="600"/>
          <w:tab w:val="clear" w:pos="9060"/>
        </w:tabs>
        <w:kinsoku/>
        <w:wordWrap/>
        <w:overflowPunct/>
        <w:topLinePunct w:val="0"/>
        <w:autoSpaceDE/>
        <w:autoSpaceDN/>
        <w:bidi w:val="0"/>
        <w:snapToGrid w:val="0"/>
        <w:spacing w:before="0" w:line="400" w:lineRule="exact"/>
        <w:textAlignment w:val="auto"/>
        <w:rPr>
          <w:rFonts w:hint="default" w:ascii="Times New Roman" w:hAnsi="Times New Roman" w:cs="Times New Roman" w:eastAsiaTheme="minorEastAsia"/>
          <w:b w:val="0"/>
          <w:bCs w:val="0"/>
          <w:i w:val="0"/>
          <w:iCs w:val="0"/>
          <w:color w:val="auto"/>
          <w:sz w:val="24"/>
          <w:szCs w:val="24"/>
          <w:highlight w:val="none"/>
        </w:rPr>
      </w:pPr>
      <w:r>
        <w:rPr>
          <w:rFonts w:hint="default" w:ascii="Times New Roman" w:hAnsi="Times New Roman" w:cs="Times New Roman" w:eastAsiaTheme="minorEastAsia"/>
          <w:b w:val="0"/>
          <w:bCs w:val="0"/>
          <w:i w:val="0"/>
          <w:iCs w:val="0"/>
          <w:color w:val="auto"/>
          <w:sz w:val="24"/>
          <w:szCs w:val="24"/>
          <w:highlight w:val="none"/>
        </w:rPr>
        <w:fldChar w:fldCharType="begin"/>
      </w:r>
      <w:r>
        <w:rPr>
          <w:rFonts w:hint="default" w:ascii="Times New Roman" w:hAnsi="Times New Roman" w:cs="Times New Roman" w:eastAsiaTheme="minorEastAsia"/>
          <w:b w:val="0"/>
          <w:bCs w:val="0"/>
          <w:i w:val="0"/>
          <w:iCs w:val="0"/>
          <w:color w:val="auto"/>
          <w:sz w:val="24"/>
          <w:szCs w:val="24"/>
          <w:highlight w:val="none"/>
        </w:rPr>
        <w:instrText xml:space="preserve"> HYPERLINK \l _Toc17915 </w:instrText>
      </w:r>
      <w:r>
        <w:rPr>
          <w:rFonts w:hint="default" w:ascii="Times New Roman" w:hAnsi="Times New Roman" w:cs="Times New Roman" w:eastAsiaTheme="minorEastAsia"/>
          <w:b w:val="0"/>
          <w:bCs w:val="0"/>
          <w:i w:val="0"/>
          <w:iCs w:val="0"/>
          <w:color w:val="auto"/>
          <w:sz w:val="24"/>
          <w:szCs w:val="24"/>
          <w:highlight w:val="none"/>
        </w:rPr>
        <w:fldChar w:fldCharType="separate"/>
      </w:r>
      <w:r>
        <w:rPr>
          <w:rFonts w:hint="default" w:ascii="Times New Roman" w:hAnsi="Times New Roman" w:cs="Times New Roman" w:eastAsiaTheme="minorEastAsia"/>
          <w:b w:val="0"/>
          <w:bCs w:val="0"/>
          <w:i w:val="0"/>
          <w:iCs w:val="0"/>
          <w:color w:val="auto"/>
          <w:sz w:val="24"/>
          <w:szCs w:val="24"/>
          <w:highlight w:val="none"/>
          <w:lang w:eastAsia="zh-CN"/>
        </w:rPr>
        <w:t>2.5</w:t>
      </w:r>
      <w:r>
        <w:rPr>
          <w:rFonts w:hint="default" w:ascii="Times New Roman" w:hAnsi="Times New Roman" w:cs="Times New Roman" w:eastAsiaTheme="minorEastAsia"/>
          <w:b w:val="0"/>
          <w:bCs w:val="0"/>
          <w:i w:val="0"/>
          <w:iCs w:val="0"/>
          <w:color w:val="auto"/>
          <w:sz w:val="24"/>
          <w:szCs w:val="24"/>
          <w:highlight w:val="none"/>
        </w:rPr>
        <w:t xml:space="preserve"> 项目污染源强</w:t>
      </w:r>
      <w:r>
        <w:rPr>
          <w:rFonts w:hint="default" w:ascii="Times New Roman" w:hAnsi="Times New Roman" w:cs="Times New Roman" w:eastAsiaTheme="minorEastAsia"/>
          <w:b w:val="0"/>
          <w:bCs w:val="0"/>
          <w:i w:val="0"/>
          <w:iCs w:val="0"/>
          <w:color w:val="auto"/>
          <w:sz w:val="24"/>
          <w:szCs w:val="24"/>
          <w:highlight w:val="none"/>
          <w:lang w:val="en-US" w:eastAsia="zh-CN"/>
        </w:rPr>
        <w:t>现状调查与分析</w:t>
      </w:r>
      <w:r>
        <w:rPr>
          <w:rFonts w:hint="default" w:ascii="Times New Roman" w:hAnsi="Times New Roman" w:cs="Times New Roman" w:eastAsiaTheme="minorEastAsia"/>
          <w:b w:val="0"/>
          <w:bCs w:val="0"/>
          <w:i w:val="0"/>
          <w:iCs w:val="0"/>
          <w:color w:val="auto"/>
          <w:sz w:val="24"/>
          <w:szCs w:val="24"/>
          <w:highlight w:val="none"/>
        </w:rPr>
        <w:tab/>
      </w:r>
      <w:r>
        <w:rPr>
          <w:rFonts w:hint="default" w:ascii="Times New Roman" w:hAnsi="Times New Roman" w:cs="Times New Roman" w:eastAsiaTheme="minorEastAsia"/>
          <w:b w:val="0"/>
          <w:bCs w:val="0"/>
          <w:i w:val="0"/>
          <w:iCs w:val="0"/>
          <w:color w:val="auto"/>
          <w:sz w:val="24"/>
          <w:szCs w:val="24"/>
          <w:highlight w:val="none"/>
        </w:rPr>
        <w:fldChar w:fldCharType="begin"/>
      </w:r>
      <w:r>
        <w:rPr>
          <w:rFonts w:hint="default" w:ascii="Times New Roman" w:hAnsi="Times New Roman" w:cs="Times New Roman" w:eastAsiaTheme="minorEastAsia"/>
          <w:b w:val="0"/>
          <w:bCs w:val="0"/>
          <w:i w:val="0"/>
          <w:iCs w:val="0"/>
          <w:color w:val="auto"/>
          <w:sz w:val="24"/>
          <w:szCs w:val="24"/>
          <w:highlight w:val="none"/>
        </w:rPr>
        <w:instrText xml:space="preserve"> PAGEREF _Toc17915 </w:instrText>
      </w:r>
      <w:r>
        <w:rPr>
          <w:rFonts w:hint="default" w:ascii="Times New Roman" w:hAnsi="Times New Roman" w:cs="Times New Roman" w:eastAsiaTheme="minorEastAsia"/>
          <w:b w:val="0"/>
          <w:bCs w:val="0"/>
          <w:i w:val="0"/>
          <w:iCs w:val="0"/>
          <w:color w:val="auto"/>
          <w:sz w:val="24"/>
          <w:szCs w:val="24"/>
          <w:highlight w:val="none"/>
        </w:rPr>
        <w:fldChar w:fldCharType="separate"/>
      </w:r>
      <w:r>
        <w:rPr>
          <w:rFonts w:hint="default" w:ascii="Times New Roman" w:hAnsi="Times New Roman" w:cs="Times New Roman" w:eastAsiaTheme="minorEastAsia"/>
          <w:b w:val="0"/>
          <w:bCs w:val="0"/>
          <w:i w:val="0"/>
          <w:iCs w:val="0"/>
          <w:color w:val="auto"/>
          <w:sz w:val="24"/>
          <w:szCs w:val="24"/>
          <w:highlight w:val="none"/>
        </w:rPr>
        <w:t>51</w:t>
      </w:r>
      <w:r>
        <w:rPr>
          <w:rFonts w:hint="default" w:ascii="Times New Roman" w:hAnsi="Times New Roman" w:cs="Times New Roman" w:eastAsiaTheme="minorEastAsia"/>
          <w:b w:val="0"/>
          <w:bCs w:val="0"/>
          <w:i w:val="0"/>
          <w:iCs w:val="0"/>
          <w:color w:val="auto"/>
          <w:sz w:val="24"/>
          <w:szCs w:val="24"/>
          <w:highlight w:val="none"/>
        </w:rPr>
        <w:fldChar w:fldCharType="end"/>
      </w:r>
      <w:r>
        <w:rPr>
          <w:rFonts w:hint="default" w:ascii="Times New Roman" w:hAnsi="Times New Roman" w:cs="Times New Roman" w:eastAsiaTheme="minorEastAsia"/>
          <w:b w:val="0"/>
          <w:bCs w:val="0"/>
          <w:i w:val="0"/>
          <w:iCs w:val="0"/>
          <w:color w:val="auto"/>
          <w:sz w:val="24"/>
          <w:szCs w:val="24"/>
          <w:highlight w:val="none"/>
        </w:rPr>
        <w:fldChar w:fldCharType="end"/>
      </w:r>
    </w:p>
    <w:p>
      <w:pPr>
        <w:pStyle w:val="26"/>
        <w:keepNext w:val="0"/>
        <w:keepLines w:val="0"/>
        <w:pageBreakBefore w:val="0"/>
        <w:widowControl w:val="0"/>
        <w:tabs>
          <w:tab w:val="right" w:leader="dot" w:pos="9070"/>
        </w:tabs>
        <w:kinsoku/>
        <w:wordWrap/>
        <w:overflowPunct/>
        <w:topLinePunct w:val="0"/>
        <w:autoSpaceDE/>
        <w:autoSpaceDN/>
        <w:bidi w:val="0"/>
        <w:snapToGrid w:val="0"/>
        <w:spacing w:before="0" w:line="400" w:lineRule="exact"/>
        <w:textAlignment w:val="auto"/>
        <w:rPr>
          <w:rFonts w:hint="default" w:ascii="Times New Roman" w:hAnsi="Times New Roman" w:eastAsia="黑体" w:cs="Times New Roman"/>
          <w:b w:val="0"/>
          <w:bCs w:val="0"/>
          <w:i w:val="0"/>
          <w:iCs w:val="0"/>
          <w:color w:val="auto"/>
          <w:sz w:val="24"/>
          <w:szCs w:val="24"/>
          <w:highlight w:val="none"/>
        </w:rPr>
      </w:pPr>
      <w:r>
        <w:rPr>
          <w:rFonts w:hint="default" w:ascii="Times New Roman" w:hAnsi="Times New Roman" w:eastAsia="黑体" w:cs="Times New Roman"/>
          <w:b w:val="0"/>
          <w:bCs w:val="0"/>
          <w:i w:val="0"/>
          <w:iCs w:val="0"/>
          <w:color w:val="auto"/>
          <w:sz w:val="24"/>
          <w:szCs w:val="24"/>
          <w:highlight w:val="none"/>
        </w:rPr>
        <w:fldChar w:fldCharType="begin"/>
      </w:r>
      <w:r>
        <w:rPr>
          <w:rFonts w:hint="default" w:ascii="Times New Roman" w:hAnsi="Times New Roman" w:eastAsia="黑体" w:cs="Times New Roman"/>
          <w:b w:val="0"/>
          <w:bCs w:val="0"/>
          <w:i w:val="0"/>
          <w:iCs w:val="0"/>
          <w:color w:val="auto"/>
          <w:sz w:val="24"/>
          <w:szCs w:val="24"/>
          <w:highlight w:val="none"/>
        </w:rPr>
        <w:instrText xml:space="preserve"> HYPERLINK \l _Toc8583 </w:instrText>
      </w:r>
      <w:r>
        <w:rPr>
          <w:rFonts w:hint="default" w:ascii="Times New Roman" w:hAnsi="Times New Roman" w:eastAsia="黑体" w:cs="Times New Roman"/>
          <w:b w:val="0"/>
          <w:bCs w:val="0"/>
          <w:i w:val="0"/>
          <w:iCs w:val="0"/>
          <w:color w:val="auto"/>
          <w:sz w:val="24"/>
          <w:szCs w:val="24"/>
          <w:highlight w:val="none"/>
        </w:rPr>
        <w:fldChar w:fldCharType="separate"/>
      </w:r>
      <w:r>
        <w:rPr>
          <w:rFonts w:hint="default" w:ascii="Times New Roman" w:hAnsi="Times New Roman" w:eastAsia="黑体" w:cs="Times New Roman"/>
          <w:b w:val="0"/>
          <w:bCs w:val="0"/>
          <w:i w:val="0"/>
          <w:iCs w:val="0"/>
          <w:color w:val="auto"/>
          <w:sz w:val="24"/>
          <w:szCs w:val="24"/>
          <w:highlight w:val="none"/>
        </w:rPr>
        <w:t>3 区域环境变化评价</w:t>
      </w:r>
      <w:r>
        <w:rPr>
          <w:rFonts w:hint="default" w:ascii="Times New Roman" w:hAnsi="Times New Roman" w:eastAsia="黑体" w:cs="Times New Roman"/>
          <w:b w:val="0"/>
          <w:bCs w:val="0"/>
          <w:i w:val="0"/>
          <w:iCs w:val="0"/>
          <w:color w:val="auto"/>
          <w:sz w:val="24"/>
          <w:szCs w:val="24"/>
          <w:highlight w:val="none"/>
        </w:rPr>
        <w:tab/>
      </w:r>
      <w:r>
        <w:rPr>
          <w:rFonts w:hint="default" w:ascii="Times New Roman" w:hAnsi="Times New Roman" w:eastAsia="黑体" w:cs="Times New Roman"/>
          <w:b w:val="0"/>
          <w:bCs w:val="0"/>
          <w:i w:val="0"/>
          <w:iCs w:val="0"/>
          <w:color w:val="auto"/>
          <w:sz w:val="24"/>
          <w:szCs w:val="24"/>
          <w:highlight w:val="none"/>
        </w:rPr>
        <w:fldChar w:fldCharType="begin"/>
      </w:r>
      <w:r>
        <w:rPr>
          <w:rFonts w:hint="default" w:ascii="Times New Roman" w:hAnsi="Times New Roman" w:eastAsia="黑体" w:cs="Times New Roman"/>
          <w:b w:val="0"/>
          <w:bCs w:val="0"/>
          <w:i w:val="0"/>
          <w:iCs w:val="0"/>
          <w:color w:val="auto"/>
          <w:sz w:val="24"/>
          <w:szCs w:val="24"/>
          <w:highlight w:val="none"/>
        </w:rPr>
        <w:instrText xml:space="preserve"> PAGEREF _Toc8583 </w:instrText>
      </w:r>
      <w:r>
        <w:rPr>
          <w:rFonts w:hint="default" w:ascii="Times New Roman" w:hAnsi="Times New Roman" w:eastAsia="黑体" w:cs="Times New Roman"/>
          <w:b w:val="0"/>
          <w:bCs w:val="0"/>
          <w:i w:val="0"/>
          <w:iCs w:val="0"/>
          <w:color w:val="auto"/>
          <w:sz w:val="24"/>
          <w:szCs w:val="24"/>
          <w:highlight w:val="none"/>
        </w:rPr>
        <w:fldChar w:fldCharType="separate"/>
      </w:r>
      <w:r>
        <w:rPr>
          <w:rFonts w:hint="default" w:ascii="Times New Roman" w:hAnsi="Times New Roman" w:eastAsia="黑体" w:cs="Times New Roman"/>
          <w:b w:val="0"/>
          <w:bCs w:val="0"/>
          <w:i w:val="0"/>
          <w:iCs w:val="0"/>
          <w:color w:val="auto"/>
          <w:sz w:val="24"/>
          <w:szCs w:val="24"/>
          <w:highlight w:val="none"/>
        </w:rPr>
        <w:t>63</w:t>
      </w:r>
      <w:r>
        <w:rPr>
          <w:rFonts w:hint="default" w:ascii="Times New Roman" w:hAnsi="Times New Roman" w:eastAsia="黑体" w:cs="Times New Roman"/>
          <w:b w:val="0"/>
          <w:bCs w:val="0"/>
          <w:i w:val="0"/>
          <w:iCs w:val="0"/>
          <w:color w:val="auto"/>
          <w:sz w:val="24"/>
          <w:szCs w:val="24"/>
          <w:highlight w:val="none"/>
        </w:rPr>
        <w:fldChar w:fldCharType="end"/>
      </w:r>
      <w:r>
        <w:rPr>
          <w:rFonts w:hint="default" w:ascii="Times New Roman" w:hAnsi="Times New Roman" w:eastAsia="黑体" w:cs="Times New Roman"/>
          <w:b w:val="0"/>
          <w:bCs w:val="0"/>
          <w:i w:val="0"/>
          <w:iCs w:val="0"/>
          <w:color w:val="auto"/>
          <w:sz w:val="24"/>
          <w:szCs w:val="24"/>
          <w:highlight w:val="none"/>
        </w:rPr>
        <w:fldChar w:fldCharType="end"/>
      </w:r>
    </w:p>
    <w:p>
      <w:pPr>
        <w:pStyle w:val="32"/>
        <w:keepNext w:val="0"/>
        <w:keepLines w:val="0"/>
        <w:pageBreakBefore w:val="0"/>
        <w:widowControl w:val="0"/>
        <w:tabs>
          <w:tab w:val="right" w:leader="dot" w:pos="9070"/>
          <w:tab w:val="clear" w:pos="600"/>
          <w:tab w:val="clear" w:pos="9060"/>
        </w:tabs>
        <w:kinsoku/>
        <w:wordWrap/>
        <w:overflowPunct/>
        <w:topLinePunct w:val="0"/>
        <w:autoSpaceDE/>
        <w:autoSpaceDN/>
        <w:bidi w:val="0"/>
        <w:snapToGrid w:val="0"/>
        <w:spacing w:before="0" w:line="400" w:lineRule="exact"/>
        <w:textAlignment w:val="auto"/>
        <w:rPr>
          <w:rFonts w:hint="default" w:ascii="Times New Roman" w:hAnsi="Times New Roman" w:cs="Times New Roman" w:eastAsiaTheme="minorEastAsia"/>
          <w:b w:val="0"/>
          <w:bCs w:val="0"/>
          <w:i w:val="0"/>
          <w:iCs w:val="0"/>
          <w:color w:val="auto"/>
          <w:sz w:val="24"/>
          <w:szCs w:val="24"/>
          <w:highlight w:val="none"/>
        </w:rPr>
      </w:pPr>
      <w:r>
        <w:rPr>
          <w:rFonts w:hint="default" w:ascii="Times New Roman" w:hAnsi="Times New Roman" w:cs="Times New Roman" w:eastAsiaTheme="minorEastAsia"/>
          <w:b w:val="0"/>
          <w:bCs w:val="0"/>
          <w:i w:val="0"/>
          <w:iCs w:val="0"/>
          <w:color w:val="auto"/>
          <w:sz w:val="24"/>
          <w:szCs w:val="24"/>
          <w:highlight w:val="none"/>
        </w:rPr>
        <w:fldChar w:fldCharType="begin"/>
      </w:r>
      <w:r>
        <w:rPr>
          <w:rFonts w:hint="default" w:ascii="Times New Roman" w:hAnsi="Times New Roman" w:cs="Times New Roman" w:eastAsiaTheme="minorEastAsia"/>
          <w:b w:val="0"/>
          <w:bCs w:val="0"/>
          <w:i w:val="0"/>
          <w:iCs w:val="0"/>
          <w:color w:val="auto"/>
          <w:sz w:val="24"/>
          <w:szCs w:val="24"/>
          <w:highlight w:val="none"/>
        </w:rPr>
        <w:instrText xml:space="preserve"> HYPERLINK \l _Toc27040 </w:instrText>
      </w:r>
      <w:r>
        <w:rPr>
          <w:rFonts w:hint="default" w:ascii="Times New Roman" w:hAnsi="Times New Roman" w:cs="Times New Roman" w:eastAsiaTheme="minorEastAsia"/>
          <w:b w:val="0"/>
          <w:bCs w:val="0"/>
          <w:i w:val="0"/>
          <w:iCs w:val="0"/>
          <w:color w:val="auto"/>
          <w:sz w:val="24"/>
          <w:szCs w:val="24"/>
          <w:highlight w:val="none"/>
        </w:rPr>
        <w:fldChar w:fldCharType="separate"/>
      </w:r>
      <w:r>
        <w:rPr>
          <w:rFonts w:hint="default" w:ascii="Times New Roman" w:hAnsi="Times New Roman" w:cs="Times New Roman" w:eastAsiaTheme="minorEastAsia"/>
          <w:b w:val="0"/>
          <w:bCs w:val="0"/>
          <w:i w:val="0"/>
          <w:iCs w:val="0"/>
          <w:color w:val="auto"/>
          <w:sz w:val="24"/>
          <w:szCs w:val="24"/>
          <w:highlight w:val="none"/>
          <w:lang w:val="zh-CN"/>
        </w:rPr>
        <w:t>3.1 自然环境概况</w:t>
      </w:r>
      <w:r>
        <w:rPr>
          <w:rFonts w:hint="default" w:ascii="Times New Roman" w:hAnsi="Times New Roman" w:cs="Times New Roman" w:eastAsiaTheme="minorEastAsia"/>
          <w:b w:val="0"/>
          <w:bCs w:val="0"/>
          <w:i w:val="0"/>
          <w:iCs w:val="0"/>
          <w:color w:val="auto"/>
          <w:sz w:val="24"/>
          <w:szCs w:val="24"/>
          <w:highlight w:val="none"/>
        </w:rPr>
        <w:tab/>
      </w:r>
      <w:r>
        <w:rPr>
          <w:rFonts w:hint="default" w:ascii="Times New Roman" w:hAnsi="Times New Roman" w:cs="Times New Roman" w:eastAsiaTheme="minorEastAsia"/>
          <w:b w:val="0"/>
          <w:bCs w:val="0"/>
          <w:i w:val="0"/>
          <w:iCs w:val="0"/>
          <w:color w:val="auto"/>
          <w:sz w:val="24"/>
          <w:szCs w:val="24"/>
          <w:highlight w:val="none"/>
        </w:rPr>
        <w:fldChar w:fldCharType="begin"/>
      </w:r>
      <w:r>
        <w:rPr>
          <w:rFonts w:hint="default" w:ascii="Times New Roman" w:hAnsi="Times New Roman" w:cs="Times New Roman" w:eastAsiaTheme="minorEastAsia"/>
          <w:b w:val="0"/>
          <w:bCs w:val="0"/>
          <w:i w:val="0"/>
          <w:iCs w:val="0"/>
          <w:color w:val="auto"/>
          <w:sz w:val="24"/>
          <w:szCs w:val="24"/>
          <w:highlight w:val="none"/>
        </w:rPr>
        <w:instrText xml:space="preserve"> PAGEREF _Toc27040 </w:instrText>
      </w:r>
      <w:r>
        <w:rPr>
          <w:rFonts w:hint="default" w:ascii="Times New Roman" w:hAnsi="Times New Roman" w:cs="Times New Roman" w:eastAsiaTheme="minorEastAsia"/>
          <w:b w:val="0"/>
          <w:bCs w:val="0"/>
          <w:i w:val="0"/>
          <w:iCs w:val="0"/>
          <w:color w:val="auto"/>
          <w:sz w:val="24"/>
          <w:szCs w:val="24"/>
          <w:highlight w:val="none"/>
        </w:rPr>
        <w:fldChar w:fldCharType="separate"/>
      </w:r>
      <w:r>
        <w:rPr>
          <w:rFonts w:hint="default" w:ascii="Times New Roman" w:hAnsi="Times New Roman" w:cs="Times New Roman" w:eastAsiaTheme="minorEastAsia"/>
          <w:b w:val="0"/>
          <w:bCs w:val="0"/>
          <w:i w:val="0"/>
          <w:iCs w:val="0"/>
          <w:color w:val="auto"/>
          <w:sz w:val="24"/>
          <w:szCs w:val="24"/>
          <w:highlight w:val="none"/>
        </w:rPr>
        <w:t>63</w:t>
      </w:r>
      <w:r>
        <w:rPr>
          <w:rFonts w:hint="default" w:ascii="Times New Roman" w:hAnsi="Times New Roman" w:cs="Times New Roman" w:eastAsiaTheme="minorEastAsia"/>
          <w:b w:val="0"/>
          <w:bCs w:val="0"/>
          <w:i w:val="0"/>
          <w:iCs w:val="0"/>
          <w:color w:val="auto"/>
          <w:sz w:val="24"/>
          <w:szCs w:val="24"/>
          <w:highlight w:val="none"/>
        </w:rPr>
        <w:fldChar w:fldCharType="end"/>
      </w:r>
      <w:r>
        <w:rPr>
          <w:rFonts w:hint="default" w:ascii="Times New Roman" w:hAnsi="Times New Roman" w:cs="Times New Roman" w:eastAsiaTheme="minorEastAsia"/>
          <w:b w:val="0"/>
          <w:bCs w:val="0"/>
          <w:i w:val="0"/>
          <w:iCs w:val="0"/>
          <w:color w:val="auto"/>
          <w:sz w:val="24"/>
          <w:szCs w:val="24"/>
          <w:highlight w:val="none"/>
        </w:rPr>
        <w:fldChar w:fldCharType="end"/>
      </w:r>
    </w:p>
    <w:p>
      <w:pPr>
        <w:pStyle w:val="32"/>
        <w:keepNext w:val="0"/>
        <w:keepLines w:val="0"/>
        <w:pageBreakBefore w:val="0"/>
        <w:widowControl w:val="0"/>
        <w:tabs>
          <w:tab w:val="right" w:leader="dot" w:pos="9070"/>
          <w:tab w:val="clear" w:pos="600"/>
          <w:tab w:val="clear" w:pos="9060"/>
        </w:tabs>
        <w:kinsoku/>
        <w:wordWrap/>
        <w:overflowPunct/>
        <w:topLinePunct w:val="0"/>
        <w:autoSpaceDE/>
        <w:autoSpaceDN/>
        <w:bidi w:val="0"/>
        <w:snapToGrid w:val="0"/>
        <w:spacing w:before="0" w:line="400" w:lineRule="exact"/>
        <w:textAlignment w:val="auto"/>
        <w:rPr>
          <w:rFonts w:hint="default" w:ascii="Times New Roman" w:hAnsi="Times New Roman" w:cs="Times New Roman" w:eastAsiaTheme="minorEastAsia"/>
          <w:b w:val="0"/>
          <w:bCs w:val="0"/>
          <w:i w:val="0"/>
          <w:iCs w:val="0"/>
          <w:color w:val="auto"/>
          <w:sz w:val="24"/>
          <w:szCs w:val="24"/>
          <w:highlight w:val="none"/>
        </w:rPr>
      </w:pPr>
      <w:r>
        <w:rPr>
          <w:rFonts w:hint="default" w:ascii="Times New Roman" w:hAnsi="Times New Roman" w:cs="Times New Roman" w:eastAsiaTheme="minorEastAsia"/>
          <w:b w:val="0"/>
          <w:bCs w:val="0"/>
          <w:i w:val="0"/>
          <w:iCs w:val="0"/>
          <w:color w:val="auto"/>
          <w:sz w:val="24"/>
          <w:szCs w:val="24"/>
          <w:highlight w:val="none"/>
        </w:rPr>
        <w:fldChar w:fldCharType="begin"/>
      </w:r>
      <w:r>
        <w:rPr>
          <w:rFonts w:hint="default" w:ascii="Times New Roman" w:hAnsi="Times New Roman" w:cs="Times New Roman" w:eastAsiaTheme="minorEastAsia"/>
          <w:b w:val="0"/>
          <w:bCs w:val="0"/>
          <w:i w:val="0"/>
          <w:iCs w:val="0"/>
          <w:color w:val="auto"/>
          <w:sz w:val="24"/>
          <w:szCs w:val="24"/>
          <w:highlight w:val="none"/>
        </w:rPr>
        <w:instrText xml:space="preserve"> HYPERLINK \l _Toc30963 </w:instrText>
      </w:r>
      <w:r>
        <w:rPr>
          <w:rFonts w:hint="default" w:ascii="Times New Roman" w:hAnsi="Times New Roman" w:cs="Times New Roman" w:eastAsiaTheme="minorEastAsia"/>
          <w:b w:val="0"/>
          <w:bCs w:val="0"/>
          <w:i w:val="0"/>
          <w:iCs w:val="0"/>
          <w:color w:val="auto"/>
          <w:sz w:val="24"/>
          <w:szCs w:val="24"/>
          <w:highlight w:val="none"/>
        </w:rPr>
        <w:fldChar w:fldCharType="separate"/>
      </w:r>
      <w:r>
        <w:rPr>
          <w:rFonts w:hint="default" w:ascii="Times New Roman" w:hAnsi="Times New Roman" w:cs="Times New Roman" w:eastAsiaTheme="minorEastAsia"/>
          <w:b w:val="0"/>
          <w:bCs w:val="0"/>
          <w:i w:val="0"/>
          <w:iCs w:val="0"/>
          <w:color w:val="auto"/>
          <w:sz w:val="24"/>
          <w:szCs w:val="24"/>
          <w:highlight w:val="none"/>
        </w:rPr>
        <w:t>3.2项目与</w:t>
      </w:r>
      <w:r>
        <w:rPr>
          <w:rFonts w:hint="default" w:ascii="Times New Roman" w:hAnsi="Times New Roman" w:cs="Times New Roman" w:eastAsiaTheme="minorEastAsia"/>
          <w:b w:val="0"/>
          <w:bCs w:val="0"/>
          <w:i w:val="0"/>
          <w:iCs w:val="0"/>
          <w:color w:val="auto"/>
          <w:sz w:val="24"/>
          <w:szCs w:val="24"/>
          <w:highlight w:val="none"/>
          <w:lang w:val="en-US" w:eastAsia="zh-CN"/>
        </w:rPr>
        <w:t>相关法规、文件符合性分析</w:t>
      </w:r>
      <w:r>
        <w:rPr>
          <w:rFonts w:hint="default" w:ascii="Times New Roman" w:hAnsi="Times New Roman" w:cs="Times New Roman" w:eastAsiaTheme="minorEastAsia"/>
          <w:b w:val="0"/>
          <w:bCs w:val="0"/>
          <w:i w:val="0"/>
          <w:iCs w:val="0"/>
          <w:color w:val="auto"/>
          <w:sz w:val="24"/>
          <w:szCs w:val="24"/>
          <w:highlight w:val="none"/>
        </w:rPr>
        <w:tab/>
      </w:r>
      <w:r>
        <w:rPr>
          <w:rFonts w:hint="default" w:ascii="Times New Roman" w:hAnsi="Times New Roman" w:cs="Times New Roman" w:eastAsiaTheme="minorEastAsia"/>
          <w:b w:val="0"/>
          <w:bCs w:val="0"/>
          <w:i w:val="0"/>
          <w:iCs w:val="0"/>
          <w:color w:val="auto"/>
          <w:sz w:val="24"/>
          <w:szCs w:val="24"/>
          <w:highlight w:val="none"/>
        </w:rPr>
        <w:fldChar w:fldCharType="begin"/>
      </w:r>
      <w:r>
        <w:rPr>
          <w:rFonts w:hint="default" w:ascii="Times New Roman" w:hAnsi="Times New Roman" w:cs="Times New Roman" w:eastAsiaTheme="minorEastAsia"/>
          <w:b w:val="0"/>
          <w:bCs w:val="0"/>
          <w:i w:val="0"/>
          <w:iCs w:val="0"/>
          <w:color w:val="auto"/>
          <w:sz w:val="24"/>
          <w:szCs w:val="24"/>
          <w:highlight w:val="none"/>
        </w:rPr>
        <w:instrText xml:space="preserve"> PAGEREF _Toc30963 </w:instrText>
      </w:r>
      <w:r>
        <w:rPr>
          <w:rFonts w:hint="default" w:ascii="Times New Roman" w:hAnsi="Times New Roman" w:cs="Times New Roman" w:eastAsiaTheme="minorEastAsia"/>
          <w:b w:val="0"/>
          <w:bCs w:val="0"/>
          <w:i w:val="0"/>
          <w:iCs w:val="0"/>
          <w:color w:val="auto"/>
          <w:sz w:val="24"/>
          <w:szCs w:val="24"/>
          <w:highlight w:val="none"/>
        </w:rPr>
        <w:fldChar w:fldCharType="separate"/>
      </w:r>
      <w:r>
        <w:rPr>
          <w:rFonts w:hint="default" w:ascii="Times New Roman" w:hAnsi="Times New Roman" w:cs="Times New Roman" w:eastAsiaTheme="minorEastAsia"/>
          <w:b w:val="0"/>
          <w:bCs w:val="0"/>
          <w:i w:val="0"/>
          <w:iCs w:val="0"/>
          <w:color w:val="auto"/>
          <w:sz w:val="24"/>
          <w:szCs w:val="24"/>
          <w:highlight w:val="none"/>
        </w:rPr>
        <w:t>65</w:t>
      </w:r>
      <w:r>
        <w:rPr>
          <w:rFonts w:hint="default" w:ascii="Times New Roman" w:hAnsi="Times New Roman" w:cs="Times New Roman" w:eastAsiaTheme="minorEastAsia"/>
          <w:b w:val="0"/>
          <w:bCs w:val="0"/>
          <w:i w:val="0"/>
          <w:iCs w:val="0"/>
          <w:color w:val="auto"/>
          <w:sz w:val="24"/>
          <w:szCs w:val="24"/>
          <w:highlight w:val="none"/>
        </w:rPr>
        <w:fldChar w:fldCharType="end"/>
      </w:r>
      <w:r>
        <w:rPr>
          <w:rFonts w:hint="default" w:ascii="Times New Roman" w:hAnsi="Times New Roman" w:cs="Times New Roman" w:eastAsiaTheme="minorEastAsia"/>
          <w:b w:val="0"/>
          <w:bCs w:val="0"/>
          <w:i w:val="0"/>
          <w:iCs w:val="0"/>
          <w:color w:val="auto"/>
          <w:sz w:val="24"/>
          <w:szCs w:val="24"/>
          <w:highlight w:val="none"/>
        </w:rPr>
        <w:fldChar w:fldCharType="end"/>
      </w:r>
    </w:p>
    <w:p>
      <w:pPr>
        <w:pStyle w:val="32"/>
        <w:keepNext w:val="0"/>
        <w:keepLines w:val="0"/>
        <w:pageBreakBefore w:val="0"/>
        <w:widowControl w:val="0"/>
        <w:tabs>
          <w:tab w:val="right" w:leader="dot" w:pos="9070"/>
          <w:tab w:val="clear" w:pos="600"/>
          <w:tab w:val="clear" w:pos="9060"/>
        </w:tabs>
        <w:kinsoku/>
        <w:wordWrap/>
        <w:overflowPunct/>
        <w:topLinePunct w:val="0"/>
        <w:autoSpaceDE/>
        <w:autoSpaceDN/>
        <w:bidi w:val="0"/>
        <w:snapToGrid w:val="0"/>
        <w:spacing w:before="0" w:line="400" w:lineRule="exact"/>
        <w:textAlignment w:val="auto"/>
        <w:rPr>
          <w:rFonts w:hint="default" w:ascii="Times New Roman" w:hAnsi="Times New Roman" w:cs="Times New Roman" w:eastAsiaTheme="minorEastAsia"/>
          <w:b w:val="0"/>
          <w:bCs w:val="0"/>
          <w:i w:val="0"/>
          <w:iCs w:val="0"/>
          <w:color w:val="auto"/>
          <w:sz w:val="24"/>
          <w:szCs w:val="24"/>
          <w:highlight w:val="none"/>
        </w:rPr>
      </w:pPr>
      <w:r>
        <w:rPr>
          <w:rFonts w:hint="default" w:ascii="Times New Roman" w:hAnsi="Times New Roman" w:cs="Times New Roman" w:eastAsiaTheme="minorEastAsia"/>
          <w:b w:val="0"/>
          <w:bCs w:val="0"/>
          <w:i w:val="0"/>
          <w:iCs w:val="0"/>
          <w:color w:val="auto"/>
          <w:sz w:val="24"/>
          <w:szCs w:val="24"/>
          <w:highlight w:val="none"/>
        </w:rPr>
        <w:fldChar w:fldCharType="begin"/>
      </w:r>
      <w:r>
        <w:rPr>
          <w:rFonts w:hint="default" w:ascii="Times New Roman" w:hAnsi="Times New Roman" w:cs="Times New Roman" w:eastAsiaTheme="minorEastAsia"/>
          <w:b w:val="0"/>
          <w:bCs w:val="0"/>
          <w:i w:val="0"/>
          <w:iCs w:val="0"/>
          <w:color w:val="auto"/>
          <w:sz w:val="24"/>
          <w:szCs w:val="24"/>
          <w:highlight w:val="none"/>
        </w:rPr>
        <w:instrText xml:space="preserve"> HYPERLINK \l _Toc14480 </w:instrText>
      </w:r>
      <w:r>
        <w:rPr>
          <w:rFonts w:hint="default" w:ascii="Times New Roman" w:hAnsi="Times New Roman" w:cs="Times New Roman" w:eastAsiaTheme="minorEastAsia"/>
          <w:b w:val="0"/>
          <w:bCs w:val="0"/>
          <w:i w:val="0"/>
          <w:iCs w:val="0"/>
          <w:color w:val="auto"/>
          <w:sz w:val="24"/>
          <w:szCs w:val="24"/>
          <w:highlight w:val="none"/>
        </w:rPr>
        <w:fldChar w:fldCharType="separate"/>
      </w:r>
      <w:r>
        <w:rPr>
          <w:rFonts w:hint="default" w:ascii="Times New Roman" w:hAnsi="Times New Roman" w:cs="Times New Roman" w:eastAsiaTheme="minorEastAsia"/>
          <w:b w:val="0"/>
          <w:bCs w:val="0"/>
          <w:i w:val="0"/>
          <w:iCs w:val="0"/>
          <w:color w:val="auto"/>
          <w:sz w:val="24"/>
          <w:szCs w:val="24"/>
          <w:highlight w:val="none"/>
        </w:rPr>
        <w:t>3.</w:t>
      </w:r>
      <w:r>
        <w:rPr>
          <w:rFonts w:hint="default" w:ascii="Times New Roman" w:hAnsi="Times New Roman" w:cs="Times New Roman" w:eastAsiaTheme="minorEastAsia"/>
          <w:b w:val="0"/>
          <w:bCs w:val="0"/>
          <w:i w:val="0"/>
          <w:iCs w:val="0"/>
          <w:color w:val="auto"/>
          <w:sz w:val="24"/>
          <w:szCs w:val="24"/>
          <w:highlight w:val="none"/>
          <w:lang w:val="en-US" w:eastAsia="zh-CN"/>
        </w:rPr>
        <w:t>3</w:t>
      </w:r>
      <w:r>
        <w:rPr>
          <w:rFonts w:hint="default" w:ascii="Times New Roman" w:hAnsi="Times New Roman" w:cs="Times New Roman" w:eastAsiaTheme="minorEastAsia"/>
          <w:b w:val="0"/>
          <w:bCs w:val="0"/>
          <w:i w:val="0"/>
          <w:iCs w:val="0"/>
          <w:color w:val="auto"/>
          <w:sz w:val="24"/>
          <w:szCs w:val="24"/>
          <w:highlight w:val="none"/>
        </w:rPr>
        <w:t xml:space="preserve"> 项目区域环境功能区</w:t>
      </w:r>
      <w:r>
        <w:rPr>
          <w:rFonts w:hint="default" w:ascii="Times New Roman" w:hAnsi="Times New Roman" w:cs="Times New Roman" w:eastAsiaTheme="minorEastAsia"/>
          <w:b w:val="0"/>
          <w:bCs w:val="0"/>
          <w:i w:val="0"/>
          <w:iCs w:val="0"/>
          <w:color w:val="auto"/>
          <w:sz w:val="24"/>
          <w:szCs w:val="24"/>
          <w:highlight w:val="none"/>
        </w:rPr>
        <w:tab/>
      </w:r>
      <w:r>
        <w:rPr>
          <w:rFonts w:hint="default" w:ascii="Times New Roman" w:hAnsi="Times New Roman" w:cs="Times New Roman" w:eastAsiaTheme="minorEastAsia"/>
          <w:b w:val="0"/>
          <w:bCs w:val="0"/>
          <w:i w:val="0"/>
          <w:iCs w:val="0"/>
          <w:color w:val="auto"/>
          <w:sz w:val="24"/>
          <w:szCs w:val="24"/>
          <w:highlight w:val="none"/>
        </w:rPr>
        <w:fldChar w:fldCharType="begin"/>
      </w:r>
      <w:r>
        <w:rPr>
          <w:rFonts w:hint="default" w:ascii="Times New Roman" w:hAnsi="Times New Roman" w:cs="Times New Roman" w:eastAsiaTheme="minorEastAsia"/>
          <w:b w:val="0"/>
          <w:bCs w:val="0"/>
          <w:i w:val="0"/>
          <w:iCs w:val="0"/>
          <w:color w:val="auto"/>
          <w:sz w:val="24"/>
          <w:szCs w:val="24"/>
          <w:highlight w:val="none"/>
        </w:rPr>
        <w:instrText xml:space="preserve"> PAGEREF _Toc14480 </w:instrText>
      </w:r>
      <w:r>
        <w:rPr>
          <w:rFonts w:hint="default" w:ascii="Times New Roman" w:hAnsi="Times New Roman" w:cs="Times New Roman" w:eastAsiaTheme="minorEastAsia"/>
          <w:b w:val="0"/>
          <w:bCs w:val="0"/>
          <w:i w:val="0"/>
          <w:iCs w:val="0"/>
          <w:color w:val="auto"/>
          <w:sz w:val="24"/>
          <w:szCs w:val="24"/>
          <w:highlight w:val="none"/>
        </w:rPr>
        <w:fldChar w:fldCharType="separate"/>
      </w:r>
      <w:r>
        <w:rPr>
          <w:rFonts w:hint="default" w:ascii="Times New Roman" w:hAnsi="Times New Roman" w:cs="Times New Roman" w:eastAsiaTheme="minorEastAsia"/>
          <w:b w:val="0"/>
          <w:bCs w:val="0"/>
          <w:i w:val="0"/>
          <w:iCs w:val="0"/>
          <w:color w:val="auto"/>
          <w:sz w:val="24"/>
          <w:szCs w:val="24"/>
          <w:highlight w:val="none"/>
        </w:rPr>
        <w:t>66</w:t>
      </w:r>
      <w:r>
        <w:rPr>
          <w:rFonts w:hint="default" w:ascii="Times New Roman" w:hAnsi="Times New Roman" w:cs="Times New Roman" w:eastAsiaTheme="minorEastAsia"/>
          <w:b w:val="0"/>
          <w:bCs w:val="0"/>
          <w:i w:val="0"/>
          <w:iCs w:val="0"/>
          <w:color w:val="auto"/>
          <w:sz w:val="24"/>
          <w:szCs w:val="24"/>
          <w:highlight w:val="none"/>
        </w:rPr>
        <w:fldChar w:fldCharType="end"/>
      </w:r>
      <w:r>
        <w:rPr>
          <w:rFonts w:hint="default" w:ascii="Times New Roman" w:hAnsi="Times New Roman" w:cs="Times New Roman" w:eastAsiaTheme="minorEastAsia"/>
          <w:b w:val="0"/>
          <w:bCs w:val="0"/>
          <w:i w:val="0"/>
          <w:iCs w:val="0"/>
          <w:color w:val="auto"/>
          <w:sz w:val="24"/>
          <w:szCs w:val="24"/>
          <w:highlight w:val="none"/>
        </w:rPr>
        <w:fldChar w:fldCharType="end"/>
      </w:r>
    </w:p>
    <w:p>
      <w:pPr>
        <w:pStyle w:val="32"/>
        <w:keepNext w:val="0"/>
        <w:keepLines w:val="0"/>
        <w:pageBreakBefore w:val="0"/>
        <w:widowControl w:val="0"/>
        <w:tabs>
          <w:tab w:val="right" w:leader="dot" w:pos="9070"/>
          <w:tab w:val="clear" w:pos="600"/>
          <w:tab w:val="clear" w:pos="9060"/>
        </w:tabs>
        <w:kinsoku/>
        <w:wordWrap/>
        <w:overflowPunct/>
        <w:topLinePunct w:val="0"/>
        <w:autoSpaceDE/>
        <w:autoSpaceDN/>
        <w:bidi w:val="0"/>
        <w:snapToGrid w:val="0"/>
        <w:spacing w:before="0" w:line="400" w:lineRule="exact"/>
        <w:textAlignment w:val="auto"/>
        <w:rPr>
          <w:rFonts w:hint="default" w:ascii="Times New Roman" w:hAnsi="Times New Roman" w:cs="Times New Roman" w:eastAsiaTheme="minorEastAsia"/>
          <w:b w:val="0"/>
          <w:bCs w:val="0"/>
          <w:i w:val="0"/>
          <w:iCs w:val="0"/>
          <w:color w:val="auto"/>
          <w:sz w:val="24"/>
          <w:szCs w:val="24"/>
          <w:highlight w:val="none"/>
        </w:rPr>
      </w:pPr>
      <w:r>
        <w:rPr>
          <w:rFonts w:hint="default" w:ascii="Times New Roman" w:hAnsi="Times New Roman" w:cs="Times New Roman" w:eastAsiaTheme="minorEastAsia"/>
          <w:b w:val="0"/>
          <w:bCs w:val="0"/>
          <w:i w:val="0"/>
          <w:iCs w:val="0"/>
          <w:color w:val="auto"/>
          <w:sz w:val="24"/>
          <w:szCs w:val="24"/>
          <w:highlight w:val="none"/>
        </w:rPr>
        <w:fldChar w:fldCharType="begin"/>
      </w:r>
      <w:r>
        <w:rPr>
          <w:rFonts w:hint="default" w:ascii="Times New Roman" w:hAnsi="Times New Roman" w:cs="Times New Roman" w:eastAsiaTheme="minorEastAsia"/>
          <w:b w:val="0"/>
          <w:bCs w:val="0"/>
          <w:i w:val="0"/>
          <w:iCs w:val="0"/>
          <w:color w:val="auto"/>
          <w:sz w:val="24"/>
          <w:szCs w:val="24"/>
          <w:highlight w:val="none"/>
        </w:rPr>
        <w:instrText xml:space="preserve"> HYPERLINK \l _Toc938 </w:instrText>
      </w:r>
      <w:r>
        <w:rPr>
          <w:rFonts w:hint="default" w:ascii="Times New Roman" w:hAnsi="Times New Roman" w:cs="Times New Roman" w:eastAsiaTheme="minorEastAsia"/>
          <w:b w:val="0"/>
          <w:bCs w:val="0"/>
          <w:i w:val="0"/>
          <w:iCs w:val="0"/>
          <w:color w:val="auto"/>
          <w:sz w:val="24"/>
          <w:szCs w:val="24"/>
          <w:highlight w:val="none"/>
        </w:rPr>
        <w:fldChar w:fldCharType="separate"/>
      </w:r>
      <w:r>
        <w:rPr>
          <w:rFonts w:hint="default" w:ascii="Times New Roman" w:hAnsi="Times New Roman" w:cs="Times New Roman" w:eastAsiaTheme="minorEastAsia"/>
          <w:b w:val="0"/>
          <w:bCs w:val="0"/>
          <w:i w:val="0"/>
          <w:iCs w:val="0"/>
          <w:color w:val="auto"/>
          <w:sz w:val="24"/>
          <w:szCs w:val="24"/>
          <w:highlight w:val="none"/>
        </w:rPr>
        <w:t>3.</w:t>
      </w:r>
      <w:r>
        <w:rPr>
          <w:rFonts w:hint="default" w:ascii="Times New Roman" w:hAnsi="Times New Roman" w:cs="Times New Roman" w:eastAsiaTheme="minorEastAsia"/>
          <w:b w:val="0"/>
          <w:bCs w:val="0"/>
          <w:i w:val="0"/>
          <w:iCs w:val="0"/>
          <w:color w:val="auto"/>
          <w:sz w:val="24"/>
          <w:szCs w:val="24"/>
          <w:highlight w:val="none"/>
          <w:lang w:val="en-US" w:eastAsia="zh-CN"/>
        </w:rPr>
        <w:t>4</w:t>
      </w:r>
      <w:r>
        <w:rPr>
          <w:rFonts w:hint="default" w:ascii="Times New Roman" w:hAnsi="Times New Roman" w:cs="Times New Roman" w:eastAsiaTheme="minorEastAsia"/>
          <w:b w:val="0"/>
          <w:bCs w:val="0"/>
          <w:i w:val="0"/>
          <w:iCs w:val="0"/>
          <w:color w:val="auto"/>
          <w:sz w:val="24"/>
          <w:szCs w:val="24"/>
          <w:highlight w:val="none"/>
        </w:rPr>
        <w:t xml:space="preserve"> 项目敏感目标分布</w:t>
      </w:r>
      <w:r>
        <w:rPr>
          <w:rFonts w:hint="default" w:ascii="Times New Roman" w:hAnsi="Times New Roman" w:cs="Times New Roman" w:eastAsiaTheme="minorEastAsia"/>
          <w:b w:val="0"/>
          <w:bCs w:val="0"/>
          <w:i w:val="0"/>
          <w:iCs w:val="0"/>
          <w:color w:val="auto"/>
          <w:sz w:val="24"/>
          <w:szCs w:val="24"/>
          <w:highlight w:val="none"/>
        </w:rPr>
        <w:tab/>
      </w:r>
      <w:r>
        <w:rPr>
          <w:rFonts w:hint="default" w:ascii="Times New Roman" w:hAnsi="Times New Roman" w:cs="Times New Roman" w:eastAsiaTheme="minorEastAsia"/>
          <w:b w:val="0"/>
          <w:bCs w:val="0"/>
          <w:i w:val="0"/>
          <w:iCs w:val="0"/>
          <w:color w:val="auto"/>
          <w:sz w:val="24"/>
          <w:szCs w:val="24"/>
          <w:highlight w:val="none"/>
        </w:rPr>
        <w:fldChar w:fldCharType="begin"/>
      </w:r>
      <w:r>
        <w:rPr>
          <w:rFonts w:hint="default" w:ascii="Times New Roman" w:hAnsi="Times New Roman" w:cs="Times New Roman" w:eastAsiaTheme="minorEastAsia"/>
          <w:b w:val="0"/>
          <w:bCs w:val="0"/>
          <w:i w:val="0"/>
          <w:iCs w:val="0"/>
          <w:color w:val="auto"/>
          <w:sz w:val="24"/>
          <w:szCs w:val="24"/>
          <w:highlight w:val="none"/>
        </w:rPr>
        <w:instrText xml:space="preserve"> PAGEREF _Toc938 </w:instrText>
      </w:r>
      <w:r>
        <w:rPr>
          <w:rFonts w:hint="default" w:ascii="Times New Roman" w:hAnsi="Times New Roman" w:cs="Times New Roman" w:eastAsiaTheme="minorEastAsia"/>
          <w:b w:val="0"/>
          <w:bCs w:val="0"/>
          <w:i w:val="0"/>
          <w:iCs w:val="0"/>
          <w:color w:val="auto"/>
          <w:sz w:val="24"/>
          <w:szCs w:val="24"/>
          <w:highlight w:val="none"/>
        </w:rPr>
        <w:fldChar w:fldCharType="separate"/>
      </w:r>
      <w:r>
        <w:rPr>
          <w:rFonts w:hint="default" w:ascii="Times New Roman" w:hAnsi="Times New Roman" w:cs="Times New Roman" w:eastAsiaTheme="minorEastAsia"/>
          <w:b w:val="0"/>
          <w:bCs w:val="0"/>
          <w:i w:val="0"/>
          <w:iCs w:val="0"/>
          <w:color w:val="auto"/>
          <w:sz w:val="24"/>
          <w:szCs w:val="24"/>
          <w:highlight w:val="none"/>
        </w:rPr>
        <w:t>67</w:t>
      </w:r>
      <w:r>
        <w:rPr>
          <w:rFonts w:hint="default" w:ascii="Times New Roman" w:hAnsi="Times New Roman" w:cs="Times New Roman" w:eastAsiaTheme="minorEastAsia"/>
          <w:b w:val="0"/>
          <w:bCs w:val="0"/>
          <w:i w:val="0"/>
          <w:iCs w:val="0"/>
          <w:color w:val="auto"/>
          <w:sz w:val="24"/>
          <w:szCs w:val="24"/>
          <w:highlight w:val="none"/>
        </w:rPr>
        <w:fldChar w:fldCharType="end"/>
      </w:r>
      <w:r>
        <w:rPr>
          <w:rFonts w:hint="default" w:ascii="Times New Roman" w:hAnsi="Times New Roman" w:cs="Times New Roman" w:eastAsiaTheme="minorEastAsia"/>
          <w:b w:val="0"/>
          <w:bCs w:val="0"/>
          <w:i w:val="0"/>
          <w:iCs w:val="0"/>
          <w:color w:val="auto"/>
          <w:sz w:val="24"/>
          <w:szCs w:val="24"/>
          <w:highlight w:val="none"/>
        </w:rPr>
        <w:fldChar w:fldCharType="end"/>
      </w:r>
    </w:p>
    <w:p>
      <w:pPr>
        <w:pStyle w:val="32"/>
        <w:keepNext w:val="0"/>
        <w:keepLines w:val="0"/>
        <w:pageBreakBefore w:val="0"/>
        <w:widowControl w:val="0"/>
        <w:tabs>
          <w:tab w:val="right" w:leader="dot" w:pos="9070"/>
          <w:tab w:val="clear" w:pos="600"/>
          <w:tab w:val="clear" w:pos="9060"/>
        </w:tabs>
        <w:kinsoku/>
        <w:wordWrap/>
        <w:overflowPunct/>
        <w:topLinePunct w:val="0"/>
        <w:autoSpaceDE/>
        <w:autoSpaceDN/>
        <w:bidi w:val="0"/>
        <w:snapToGrid w:val="0"/>
        <w:spacing w:before="0" w:line="400" w:lineRule="exact"/>
        <w:textAlignment w:val="auto"/>
        <w:rPr>
          <w:rFonts w:hint="default" w:ascii="Times New Roman" w:hAnsi="Times New Roman" w:cs="Times New Roman" w:eastAsiaTheme="minorEastAsia"/>
          <w:b w:val="0"/>
          <w:bCs w:val="0"/>
          <w:i w:val="0"/>
          <w:iCs w:val="0"/>
          <w:color w:val="auto"/>
          <w:sz w:val="24"/>
          <w:szCs w:val="24"/>
          <w:highlight w:val="none"/>
        </w:rPr>
      </w:pPr>
      <w:r>
        <w:rPr>
          <w:rFonts w:hint="default" w:ascii="Times New Roman" w:hAnsi="Times New Roman" w:cs="Times New Roman" w:eastAsiaTheme="minorEastAsia"/>
          <w:b w:val="0"/>
          <w:bCs w:val="0"/>
          <w:i w:val="0"/>
          <w:iCs w:val="0"/>
          <w:color w:val="auto"/>
          <w:sz w:val="24"/>
          <w:szCs w:val="24"/>
          <w:highlight w:val="none"/>
        </w:rPr>
        <w:fldChar w:fldCharType="begin"/>
      </w:r>
      <w:r>
        <w:rPr>
          <w:rFonts w:hint="default" w:ascii="Times New Roman" w:hAnsi="Times New Roman" w:cs="Times New Roman" w:eastAsiaTheme="minorEastAsia"/>
          <w:b w:val="0"/>
          <w:bCs w:val="0"/>
          <w:i w:val="0"/>
          <w:iCs w:val="0"/>
          <w:color w:val="auto"/>
          <w:sz w:val="24"/>
          <w:szCs w:val="24"/>
          <w:highlight w:val="none"/>
        </w:rPr>
        <w:instrText xml:space="preserve"> HYPERLINK \l _Toc19576 </w:instrText>
      </w:r>
      <w:r>
        <w:rPr>
          <w:rFonts w:hint="default" w:ascii="Times New Roman" w:hAnsi="Times New Roman" w:cs="Times New Roman" w:eastAsiaTheme="minorEastAsia"/>
          <w:b w:val="0"/>
          <w:bCs w:val="0"/>
          <w:i w:val="0"/>
          <w:iCs w:val="0"/>
          <w:color w:val="auto"/>
          <w:sz w:val="24"/>
          <w:szCs w:val="24"/>
          <w:highlight w:val="none"/>
        </w:rPr>
        <w:fldChar w:fldCharType="separate"/>
      </w:r>
      <w:r>
        <w:rPr>
          <w:rFonts w:hint="default" w:ascii="Times New Roman" w:hAnsi="Times New Roman" w:cs="Times New Roman" w:eastAsiaTheme="minorEastAsia"/>
          <w:b w:val="0"/>
          <w:bCs w:val="0"/>
          <w:i w:val="0"/>
          <w:iCs w:val="0"/>
          <w:color w:val="auto"/>
          <w:sz w:val="24"/>
          <w:szCs w:val="24"/>
          <w:highlight w:val="none"/>
        </w:rPr>
        <w:t>3.</w:t>
      </w:r>
      <w:r>
        <w:rPr>
          <w:rFonts w:hint="default" w:ascii="Times New Roman" w:hAnsi="Times New Roman" w:cs="Times New Roman" w:eastAsiaTheme="minorEastAsia"/>
          <w:b w:val="0"/>
          <w:bCs w:val="0"/>
          <w:i w:val="0"/>
          <w:iCs w:val="0"/>
          <w:color w:val="auto"/>
          <w:sz w:val="24"/>
          <w:szCs w:val="24"/>
          <w:highlight w:val="none"/>
          <w:lang w:val="en-US" w:eastAsia="zh-CN"/>
        </w:rPr>
        <w:t>5</w:t>
      </w:r>
      <w:r>
        <w:rPr>
          <w:rFonts w:hint="default" w:ascii="Times New Roman" w:hAnsi="Times New Roman" w:cs="Times New Roman" w:eastAsiaTheme="minorEastAsia"/>
          <w:b w:val="0"/>
          <w:bCs w:val="0"/>
          <w:i w:val="0"/>
          <w:iCs w:val="0"/>
          <w:color w:val="auto"/>
          <w:sz w:val="24"/>
          <w:szCs w:val="24"/>
          <w:highlight w:val="none"/>
        </w:rPr>
        <w:t xml:space="preserve"> 区域污染源变化情况</w:t>
      </w:r>
      <w:r>
        <w:rPr>
          <w:rFonts w:hint="default" w:ascii="Times New Roman" w:hAnsi="Times New Roman" w:cs="Times New Roman" w:eastAsiaTheme="minorEastAsia"/>
          <w:b w:val="0"/>
          <w:bCs w:val="0"/>
          <w:i w:val="0"/>
          <w:iCs w:val="0"/>
          <w:color w:val="auto"/>
          <w:sz w:val="24"/>
          <w:szCs w:val="24"/>
          <w:highlight w:val="none"/>
        </w:rPr>
        <w:tab/>
      </w:r>
      <w:r>
        <w:rPr>
          <w:rFonts w:hint="default" w:ascii="Times New Roman" w:hAnsi="Times New Roman" w:cs="Times New Roman" w:eastAsiaTheme="minorEastAsia"/>
          <w:b w:val="0"/>
          <w:bCs w:val="0"/>
          <w:i w:val="0"/>
          <w:iCs w:val="0"/>
          <w:color w:val="auto"/>
          <w:sz w:val="24"/>
          <w:szCs w:val="24"/>
          <w:highlight w:val="none"/>
        </w:rPr>
        <w:fldChar w:fldCharType="begin"/>
      </w:r>
      <w:r>
        <w:rPr>
          <w:rFonts w:hint="default" w:ascii="Times New Roman" w:hAnsi="Times New Roman" w:cs="Times New Roman" w:eastAsiaTheme="minorEastAsia"/>
          <w:b w:val="0"/>
          <w:bCs w:val="0"/>
          <w:i w:val="0"/>
          <w:iCs w:val="0"/>
          <w:color w:val="auto"/>
          <w:sz w:val="24"/>
          <w:szCs w:val="24"/>
          <w:highlight w:val="none"/>
        </w:rPr>
        <w:instrText xml:space="preserve"> PAGEREF _Toc19576 </w:instrText>
      </w:r>
      <w:r>
        <w:rPr>
          <w:rFonts w:hint="default" w:ascii="Times New Roman" w:hAnsi="Times New Roman" w:cs="Times New Roman" w:eastAsiaTheme="minorEastAsia"/>
          <w:b w:val="0"/>
          <w:bCs w:val="0"/>
          <w:i w:val="0"/>
          <w:iCs w:val="0"/>
          <w:color w:val="auto"/>
          <w:sz w:val="24"/>
          <w:szCs w:val="24"/>
          <w:highlight w:val="none"/>
        </w:rPr>
        <w:fldChar w:fldCharType="separate"/>
      </w:r>
      <w:r>
        <w:rPr>
          <w:rFonts w:hint="default" w:ascii="Times New Roman" w:hAnsi="Times New Roman" w:cs="Times New Roman" w:eastAsiaTheme="minorEastAsia"/>
          <w:b w:val="0"/>
          <w:bCs w:val="0"/>
          <w:i w:val="0"/>
          <w:iCs w:val="0"/>
          <w:color w:val="auto"/>
          <w:sz w:val="24"/>
          <w:szCs w:val="24"/>
          <w:highlight w:val="none"/>
        </w:rPr>
        <w:t>67</w:t>
      </w:r>
      <w:r>
        <w:rPr>
          <w:rFonts w:hint="default" w:ascii="Times New Roman" w:hAnsi="Times New Roman" w:cs="Times New Roman" w:eastAsiaTheme="minorEastAsia"/>
          <w:b w:val="0"/>
          <w:bCs w:val="0"/>
          <w:i w:val="0"/>
          <w:iCs w:val="0"/>
          <w:color w:val="auto"/>
          <w:sz w:val="24"/>
          <w:szCs w:val="24"/>
          <w:highlight w:val="none"/>
        </w:rPr>
        <w:fldChar w:fldCharType="end"/>
      </w:r>
      <w:r>
        <w:rPr>
          <w:rFonts w:hint="default" w:ascii="Times New Roman" w:hAnsi="Times New Roman" w:cs="Times New Roman" w:eastAsiaTheme="minorEastAsia"/>
          <w:b w:val="0"/>
          <w:bCs w:val="0"/>
          <w:i w:val="0"/>
          <w:iCs w:val="0"/>
          <w:color w:val="auto"/>
          <w:sz w:val="24"/>
          <w:szCs w:val="24"/>
          <w:highlight w:val="none"/>
        </w:rPr>
        <w:fldChar w:fldCharType="end"/>
      </w:r>
    </w:p>
    <w:p>
      <w:pPr>
        <w:pStyle w:val="32"/>
        <w:keepNext w:val="0"/>
        <w:keepLines w:val="0"/>
        <w:pageBreakBefore w:val="0"/>
        <w:widowControl w:val="0"/>
        <w:tabs>
          <w:tab w:val="right" w:leader="dot" w:pos="9070"/>
          <w:tab w:val="clear" w:pos="600"/>
          <w:tab w:val="clear" w:pos="9060"/>
        </w:tabs>
        <w:kinsoku/>
        <w:wordWrap/>
        <w:overflowPunct/>
        <w:topLinePunct w:val="0"/>
        <w:autoSpaceDE/>
        <w:autoSpaceDN/>
        <w:bidi w:val="0"/>
        <w:snapToGrid w:val="0"/>
        <w:spacing w:before="0" w:line="400" w:lineRule="exact"/>
        <w:textAlignment w:val="auto"/>
        <w:rPr>
          <w:rFonts w:hint="default" w:ascii="Times New Roman" w:hAnsi="Times New Roman" w:cs="Times New Roman" w:eastAsiaTheme="minorEastAsia"/>
          <w:b w:val="0"/>
          <w:bCs w:val="0"/>
          <w:i w:val="0"/>
          <w:iCs w:val="0"/>
          <w:color w:val="auto"/>
          <w:sz w:val="24"/>
          <w:szCs w:val="24"/>
          <w:highlight w:val="none"/>
        </w:rPr>
      </w:pPr>
      <w:r>
        <w:rPr>
          <w:rFonts w:hint="default" w:ascii="Times New Roman" w:hAnsi="Times New Roman" w:cs="Times New Roman" w:eastAsiaTheme="minorEastAsia"/>
          <w:b w:val="0"/>
          <w:bCs w:val="0"/>
          <w:i w:val="0"/>
          <w:iCs w:val="0"/>
          <w:color w:val="auto"/>
          <w:sz w:val="24"/>
          <w:szCs w:val="24"/>
          <w:highlight w:val="none"/>
        </w:rPr>
        <w:fldChar w:fldCharType="begin"/>
      </w:r>
      <w:r>
        <w:rPr>
          <w:rFonts w:hint="default" w:ascii="Times New Roman" w:hAnsi="Times New Roman" w:cs="Times New Roman" w:eastAsiaTheme="minorEastAsia"/>
          <w:b w:val="0"/>
          <w:bCs w:val="0"/>
          <w:i w:val="0"/>
          <w:iCs w:val="0"/>
          <w:color w:val="auto"/>
          <w:sz w:val="24"/>
          <w:szCs w:val="24"/>
          <w:highlight w:val="none"/>
        </w:rPr>
        <w:instrText xml:space="preserve"> HYPERLINK \l _Toc23531 </w:instrText>
      </w:r>
      <w:r>
        <w:rPr>
          <w:rFonts w:hint="default" w:ascii="Times New Roman" w:hAnsi="Times New Roman" w:cs="Times New Roman" w:eastAsiaTheme="minorEastAsia"/>
          <w:b w:val="0"/>
          <w:bCs w:val="0"/>
          <w:i w:val="0"/>
          <w:iCs w:val="0"/>
          <w:color w:val="auto"/>
          <w:sz w:val="24"/>
          <w:szCs w:val="24"/>
          <w:highlight w:val="none"/>
        </w:rPr>
        <w:fldChar w:fldCharType="separate"/>
      </w:r>
      <w:r>
        <w:rPr>
          <w:rFonts w:hint="default" w:ascii="Times New Roman" w:hAnsi="Times New Roman" w:cs="Times New Roman" w:eastAsiaTheme="minorEastAsia"/>
          <w:b w:val="0"/>
          <w:bCs w:val="0"/>
          <w:i w:val="0"/>
          <w:iCs w:val="0"/>
          <w:color w:val="auto"/>
          <w:sz w:val="24"/>
          <w:szCs w:val="24"/>
          <w:highlight w:val="none"/>
        </w:rPr>
        <w:t>3.</w:t>
      </w:r>
      <w:r>
        <w:rPr>
          <w:rFonts w:hint="default" w:ascii="Times New Roman" w:hAnsi="Times New Roman" w:cs="Times New Roman" w:eastAsiaTheme="minorEastAsia"/>
          <w:b w:val="0"/>
          <w:bCs w:val="0"/>
          <w:i w:val="0"/>
          <w:iCs w:val="0"/>
          <w:color w:val="auto"/>
          <w:sz w:val="24"/>
          <w:szCs w:val="24"/>
          <w:highlight w:val="none"/>
          <w:lang w:val="en-US" w:eastAsia="zh-CN"/>
        </w:rPr>
        <w:t>6</w:t>
      </w:r>
      <w:r>
        <w:rPr>
          <w:rFonts w:hint="default" w:ascii="Times New Roman" w:hAnsi="Times New Roman" w:cs="Times New Roman" w:eastAsiaTheme="minorEastAsia"/>
          <w:b w:val="0"/>
          <w:bCs w:val="0"/>
          <w:i w:val="0"/>
          <w:iCs w:val="0"/>
          <w:color w:val="auto"/>
          <w:sz w:val="24"/>
          <w:szCs w:val="24"/>
          <w:highlight w:val="none"/>
        </w:rPr>
        <w:t xml:space="preserve"> 环境质量现状调查及变化趋势</w:t>
      </w:r>
      <w:r>
        <w:rPr>
          <w:rFonts w:hint="default" w:ascii="Times New Roman" w:hAnsi="Times New Roman" w:cs="Times New Roman" w:eastAsiaTheme="minorEastAsia"/>
          <w:b w:val="0"/>
          <w:bCs w:val="0"/>
          <w:i w:val="0"/>
          <w:iCs w:val="0"/>
          <w:color w:val="auto"/>
          <w:sz w:val="24"/>
          <w:szCs w:val="24"/>
          <w:highlight w:val="none"/>
        </w:rPr>
        <w:tab/>
      </w:r>
      <w:r>
        <w:rPr>
          <w:rFonts w:hint="default" w:ascii="Times New Roman" w:hAnsi="Times New Roman" w:cs="Times New Roman" w:eastAsiaTheme="minorEastAsia"/>
          <w:b w:val="0"/>
          <w:bCs w:val="0"/>
          <w:i w:val="0"/>
          <w:iCs w:val="0"/>
          <w:color w:val="auto"/>
          <w:sz w:val="24"/>
          <w:szCs w:val="24"/>
          <w:highlight w:val="none"/>
        </w:rPr>
        <w:fldChar w:fldCharType="begin"/>
      </w:r>
      <w:r>
        <w:rPr>
          <w:rFonts w:hint="default" w:ascii="Times New Roman" w:hAnsi="Times New Roman" w:cs="Times New Roman" w:eastAsiaTheme="minorEastAsia"/>
          <w:b w:val="0"/>
          <w:bCs w:val="0"/>
          <w:i w:val="0"/>
          <w:iCs w:val="0"/>
          <w:color w:val="auto"/>
          <w:sz w:val="24"/>
          <w:szCs w:val="24"/>
          <w:highlight w:val="none"/>
        </w:rPr>
        <w:instrText xml:space="preserve"> PAGEREF _Toc23531 </w:instrText>
      </w:r>
      <w:r>
        <w:rPr>
          <w:rFonts w:hint="default" w:ascii="Times New Roman" w:hAnsi="Times New Roman" w:cs="Times New Roman" w:eastAsiaTheme="minorEastAsia"/>
          <w:b w:val="0"/>
          <w:bCs w:val="0"/>
          <w:i w:val="0"/>
          <w:iCs w:val="0"/>
          <w:color w:val="auto"/>
          <w:sz w:val="24"/>
          <w:szCs w:val="24"/>
          <w:highlight w:val="none"/>
        </w:rPr>
        <w:fldChar w:fldCharType="separate"/>
      </w:r>
      <w:r>
        <w:rPr>
          <w:rFonts w:hint="default" w:ascii="Times New Roman" w:hAnsi="Times New Roman" w:cs="Times New Roman" w:eastAsiaTheme="minorEastAsia"/>
          <w:b w:val="0"/>
          <w:bCs w:val="0"/>
          <w:i w:val="0"/>
          <w:iCs w:val="0"/>
          <w:color w:val="auto"/>
          <w:sz w:val="24"/>
          <w:szCs w:val="24"/>
          <w:highlight w:val="none"/>
        </w:rPr>
        <w:t>68</w:t>
      </w:r>
      <w:r>
        <w:rPr>
          <w:rFonts w:hint="default" w:ascii="Times New Roman" w:hAnsi="Times New Roman" w:cs="Times New Roman" w:eastAsiaTheme="minorEastAsia"/>
          <w:b w:val="0"/>
          <w:bCs w:val="0"/>
          <w:i w:val="0"/>
          <w:iCs w:val="0"/>
          <w:color w:val="auto"/>
          <w:sz w:val="24"/>
          <w:szCs w:val="24"/>
          <w:highlight w:val="none"/>
        </w:rPr>
        <w:fldChar w:fldCharType="end"/>
      </w:r>
      <w:r>
        <w:rPr>
          <w:rFonts w:hint="default" w:ascii="Times New Roman" w:hAnsi="Times New Roman" w:cs="Times New Roman" w:eastAsiaTheme="minorEastAsia"/>
          <w:b w:val="0"/>
          <w:bCs w:val="0"/>
          <w:i w:val="0"/>
          <w:iCs w:val="0"/>
          <w:color w:val="auto"/>
          <w:sz w:val="24"/>
          <w:szCs w:val="24"/>
          <w:highlight w:val="none"/>
        </w:rPr>
        <w:fldChar w:fldCharType="end"/>
      </w:r>
    </w:p>
    <w:p>
      <w:pPr>
        <w:pStyle w:val="26"/>
        <w:keepNext w:val="0"/>
        <w:keepLines w:val="0"/>
        <w:pageBreakBefore w:val="0"/>
        <w:widowControl w:val="0"/>
        <w:tabs>
          <w:tab w:val="right" w:leader="dot" w:pos="9070"/>
        </w:tabs>
        <w:kinsoku/>
        <w:wordWrap/>
        <w:overflowPunct/>
        <w:topLinePunct w:val="0"/>
        <w:autoSpaceDE/>
        <w:autoSpaceDN/>
        <w:bidi w:val="0"/>
        <w:snapToGrid w:val="0"/>
        <w:spacing w:before="0" w:line="400" w:lineRule="exact"/>
        <w:textAlignment w:val="auto"/>
        <w:rPr>
          <w:rFonts w:hint="default" w:ascii="Times New Roman" w:hAnsi="Times New Roman" w:eastAsia="黑体" w:cs="Times New Roman"/>
          <w:b w:val="0"/>
          <w:bCs w:val="0"/>
          <w:i w:val="0"/>
          <w:iCs w:val="0"/>
          <w:color w:val="auto"/>
          <w:sz w:val="24"/>
          <w:szCs w:val="24"/>
          <w:highlight w:val="none"/>
        </w:rPr>
      </w:pPr>
      <w:r>
        <w:rPr>
          <w:rFonts w:hint="default" w:ascii="Times New Roman" w:hAnsi="Times New Roman" w:eastAsia="黑体" w:cs="Times New Roman"/>
          <w:b w:val="0"/>
          <w:bCs w:val="0"/>
          <w:i w:val="0"/>
          <w:iCs w:val="0"/>
          <w:color w:val="auto"/>
          <w:sz w:val="24"/>
          <w:szCs w:val="24"/>
          <w:highlight w:val="none"/>
        </w:rPr>
        <w:fldChar w:fldCharType="begin"/>
      </w:r>
      <w:r>
        <w:rPr>
          <w:rFonts w:hint="default" w:ascii="Times New Roman" w:hAnsi="Times New Roman" w:eastAsia="黑体" w:cs="Times New Roman"/>
          <w:b w:val="0"/>
          <w:bCs w:val="0"/>
          <w:i w:val="0"/>
          <w:iCs w:val="0"/>
          <w:color w:val="auto"/>
          <w:sz w:val="24"/>
          <w:szCs w:val="24"/>
          <w:highlight w:val="none"/>
        </w:rPr>
        <w:instrText xml:space="preserve"> HYPERLINK \l _Toc28920 </w:instrText>
      </w:r>
      <w:r>
        <w:rPr>
          <w:rFonts w:hint="default" w:ascii="Times New Roman" w:hAnsi="Times New Roman" w:eastAsia="黑体" w:cs="Times New Roman"/>
          <w:b w:val="0"/>
          <w:bCs w:val="0"/>
          <w:i w:val="0"/>
          <w:iCs w:val="0"/>
          <w:color w:val="auto"/>
          <w:sz w:val="24"/>
          <w:szCs w:val="24"/>
          <w:highlight w:val="none"/>
        </w:rPr>
        <w:fldChar w:fldCharType="separate"/>
      </w:r>
      <w:r>
        <w:rPr>
          <w:rFonts w:hint="default" w:ascii="Times New Roman" w:hAnsi="Times New Roman" w:eastAsia="黑体" w:cs="Times New Roman"/>
          <w:b w:val="0"/>
          <w:bCs w:val="0"/>
          <w:i w:val="0"/>
          <w:iCs w:val="0"/>
          <w:color w:val="auto"/>
          <w:sz w:val="24"/>
          <w:szCs w:val="24"/>
          <w:highlight w:val="none"/>
          <w:lang w:val="zh-CN"/>
        </w:rPr>
        <w:t xml:space="preserve">4 </w:t>
      </w:r>
      <w:r>
        <w:rPr>
          <w:rFonts w:hint="default" w:ascii="Times New Roman" w:hAnsi="Times New Roman" w:eastAsia="黑体" w:cs="Times New Roman"/>
          <w:b w:val="0"/>
          <w:bCs w:val="0"/>
          <w:i w:val="0"/>
          <w:iCs w:val="0"/>
          <w:color w:val="auto"/>
          <w:kern w:val="44"/>
          <w:sz w:val="24"/>
          <w:szCs w:val="24"/>
          <w:highlight w:val="none"/>
        </w:rPr>
        <w:t>环境保护措施有效性评估</w:t>
      </w:r>
      <w:r>
        <w:rPr>
          <w:rFonts w:hint="default" w:ascii="Times New Roman" w:hAnsi="Times New Roman" w:eastAsia="黑体" w:cs="Times New Roman"/>
          <w:b w:val="0"/>
          <w:bCs w:val="0"/>
          <w:i w:val="0"/>
          <w:iCs w:val="0"/>
          <w:color w:val="auto"/>
          <w:sz w:val="24"/>
          <w:szCs w:val="24"/>
          <w:highlight w:val="none"/>
        </w:rPr>
        <w:tab/>
      </w:r>
      <w:r>
        <w:rPr>
          <w:rFonts w:hint="default" w:ascii="Times New Roman" w:hAnsi="Times New Roman" w:eastAsia="黑体" w:cs="Times New Roman"/>
          <w:b w:val="0"/>
          <w:bCs w:val="0"/>
          <w:i w:val="0"/>
          <w:iCs w:val="0"/>
          <w:color w:val="auto"/>
          <w:sz w:val="24"/>
          <w:szCs w:val="24"/>
          <w:highlight w:val="none"/>
        </w:rPr>
        <w:fldChar w:fldCharType="begin"/>
      </w:r>
      <w:r>
        <w:rPr>
          <w:rFonts w:hint="default" w:ascii="Times New Roman" w:hAnsi="Times New Roman" w:eastAsia="黑体" w:cs="Times New Roman"/>
          <w:b w:val="0"/>
          <w:bCs w:val="0"/>
          <w:i w:val="0"/>
          <w:iCs w:val="0"/>
          <w:color w:val="auto"/>
          <w:sz w:val="24"/>
          <w:szCs w:val="24"/>
          <w:highlight w:val="none"/>
        </w:rPr>
        <w:instrText xml:space="preserve"> PAGEREF _Toc28920 </w:instrText>
      </w:r>
      <w:r>
        <w:rPr>
          <w:rFonts w:hint="default" w:ascii="Times New Roman" w:hAnsi="Times New Roman" w:eastAsia="黑体" w:cs="Times New Roman"/>
          <w:b w:val="0"/>
          <w:bCs w:val="0"/>
          <w:i w:val="0"/>
          <w:iCs w:val="0"/>
          <w:color w:val="auto"/>
          <w:sz w:val="24"/>
          <w:szCs w:val="24"/>
          <w:highlight w:val="none"/>
        </w:rPr>
        <w:fldChar w:fldCharType="separate"/>
      </w:r>
      <w:r>
        <w:rPr>
          <w:rFonts w:hint="default" w:ascii="Times New Roman" w:hAnsi="Times New Roman" w:eastAsia="黑体" w:cs="Times New Roman"/>
          <w:b w:val="0"/>
          <w:bCs w:val="0"/>
          <w:i w:val="0"/>
          <w:iCs w:val="0"/>
          <w:color w:val="auto"/>
          <w:sz w:val="24"/>
          <w:szCs w:val="24"/>
          <w:highlight w:val="none"/>
        </w:rPr>
        <w:t>86</w:t>
      </w:r>
      <w:r>
        <w:rPr>
          <w:rFonts w:hint="default" w:ascii="Times New Roman" w:hAnsi="Times New Roman" w:eastAsia="黑体" w:cs="Times New Roman"/>
          <w:b w:val="0"/>
          <w:bCs w:val="0"/>
          <w:i w:val="0"/>
          <w:iCs w:val="0"/>
          <w:color w:val="auto"/>
          <w:sz w:val="24"/>
          <w:szCs w:val="24"/>
          <w:highlight w:val="none"/>
        </w:rPr>
        <w:fldChar w:fldCharType="end"/>
      </w:r>
      <w:r>
        <w:rPr>
          <w:rFonts w:hint="default" w:ascii="Times New Roman" w:hAnsi="Times New Roman" w:eastAsia="黑体" w:cs="Times New Roman"/>
          <w:b w:val="0"/>
          <w:bCs w:val="0"/>
          <w:i w:val="0"/>
          <w:iCs w:val="0"/>
          <w:color w:val="auto"/>
          <w:sz w:val="24"/>
          <w:szCs w:val="24"/>
          <w:highlight w:val="none"/>
        </w:rPr>
        <w:fldChar w:fldCharType="end"/>
      </w:r>
    </w:p>
    <w:p>
      <w:pPr>
        <w:pStyle w:val="32"/>
        <w:keepNext w:val="0"/>
        <w:keepLines w:val="0"/>
        <w:pageBreakBefore w:val="0"/>
        <w:widowControl w:val="0"/>
        <w:tabs>
          <w:tab w:val="right" w:leader="dot" w:pos="9070"/>
          <w:tab w:val="clear" w:pos="600"/>
          <w:tab w:val="clear" w:pos="9060"/>
        </w:tabs>
        <w:kinsoku/>
        <w:wordWrap/>
        <w:overflowPunct/>
        <w:topLinePunct w:val="0"/>
        <w:autoSpaceDE/>
        <w:autoSpaceDN/>
        <w:bidi w:val="0"/>
        <w:snapToGrid w:val="0"/>
        <w:spacing w:before="0" w:line="400" w:lineRule="exact"/>
        <w:textAlignment w:val="auto"/>
        <w:rPr>
          <w:rFonts w:hint="default" w:ascii="Times New Roman" w:hAnsi="Times New Roman" w:cs="Times New Roman" w:eastAsiaTheme="minorEastAsia"/>
          <w:b w:val="0"/>
          <w:bCs w:val="0"/>
          <w:i w:val="0"/>
          <w:iCs w:val="0"/>
          <w:color w:val="auto"/>
          <w:sz w:val="24"/>
          <w:szCs w:val="24"/>
          <w:highlight w:val="none"/>
        </w:rPr>
      </w:pPr>
      <w:r>
        <w:rPr>
          <w:rFonts w:hint="default" w:ascii="Times New Roman" w:hAnsi="Times New Roman" w:cs="Times New Roman" w:eastAsiaTheme="minorEastAsia"/>
          <w:b w:val="0"/>
          <w:bCs w:val="0"/>
          <w:i w:val="0"/>
          <w:iCs w:val="0"/>
          <w:color w:val="auto"/>
          <w:sz w:val="24"/>
          <w:szCs w:val="24"/>
          <w:highlight w:val="none"/>
        </w:rPr>
        <w:fldChar w:fldCharType="begin"/>
      </w:r>
      <w:r>
        <w:rPr>
          <w:rFonts w:hint="default" w:ascii="Times New Roman" w:hAnsi="Times New Roman" w:cs="Times New Roman" w:eastAsiaTheme="minorEastAsia"/>
          <w:b w:val="0"/>
          <w:bCs w:val="0"/>
          <w:i w:val="0"/>
          <w:iCs w:val="0"/>
          <w:color w:val="auto"/>
          <w:sz w:val="24"/>
          <w:szCs w:val="24"/>
          <w:highlight w:val="none"/>
        </w:rPr>
        <w:instrText xml:space="preserve"> HYPERLINK \l _Toc25361 </w:instrText>
      </w:r>
      <w:r>
        <w:rPr>
          <w:rFonts w:hint="default" w:ascii="Times New Roman" w:hAnsi="Times New Roman" w:cs="Times New Roman" w:eastAsiaTheme="minorEastAsia"/>
          <w:b w:val="0"/>
          <w:bCs w:val="0"/>
          <w:i w:val="0"/>
          <w:iCs w:val="0"/>
          <w:color w:val="auto"/>
          <w:sz w:val="24"/>
          <w:szCs w:val="24"/>
          <w:highlight w:val="none"/>
        </w:rPr>
        <w:fldChar w:fldCharType="separate"/>
      </w:r>
      <w:r>
        <w:rPr>
          <w:rFonts w:hint="default" w:ascii="Times New Roman" w:hAnsi="Times New Roman" w:cs="Times New Roman" w:eastAsiaTheme="minorEastAsia"/>
          <w:b w:val="0"/>
          <w:bCs w:val="0"/>
          <w:i w:val="0"/>
          <w:iCs w:val="0"/>
          <w:color w:val="auto"/>
          <w:sz w:val="24"/>
          <w:szCs w:val="24"/>
          <w:highlight w:val="none"/>
          <w:lang w:val="zh-CN"/>
        </w:rPr>
        <w:t>4.1 废气</w:t>
      </w:r>
      <w:r>
        <w:rPr>
          <w:rFonts w:hint="default" w:ascii="Times New Roman" w:hAnsi="Times New Roman" w:cs="Times New Roman" w:eastAsiaTheme="minorEastAsia"/>
          <w:b w:val="0"/>
          <w:bCs w:val="0"/>
          <w:i w:val="0"/>
          <w:iCs w:val="0"/>
          <w:color w:val="auto"/>
          <w:sz w:val="24"/>
          <w:szCs w:val="24"/>
          <w:highlight w:val="none"/>
          <w:lang w:val="en-US" w:eastAsia="zh-CN"/>
        </w:rPr>
        <w:t>污染防治</w:t>
      </w:r>
      <w:r>
        <w:rPr>
          <w:rFonts w:hint="default" w:ascii="Times New Roman" w:hAnsi="Times New Roman" w:cs="Times New Roman" w:eastAsiaTheme="minorEastAsia"/>
          <w:b w:val="0"/>
          <w:bCs w:val="0"/>
          <w:i w:val="0"/>
          <w:iCs w:val="0"/>
          <w:color w:val="auto"/>
          <w:sz w:val="24"/>
          <w:szCs w:val="24"/>
          <w:highlight w:val="none"/>
          <w:lang w:val="zh-CN"/>
        </w:rPr>
        <w:t>措施有效性评估</w:t>
      </w:r>
      <w:r>
        <w:rPr>
          <w:rFonts w:hint="default" w:ascii="Times New Roman" w:hAnsi="Times New Roman" w:cs="Times New Roman" w:eastAsiaTheme="minorEastAsia"/>
          <w:b w:val="0"/>
          <w:bCs w:val="0"/>
          <w:i w:val="0"/>
          <w:iCs w:val="0"/>
          <w:color w:val="auto"/>
          <w:sz w:val="24"/>
          <w:szCs w:val="24"/>
          <w:highlight w:val="none"/>
        </w:rPr>
        <w:tab/>
      </w:r>
      <w:r>
        <w:rPr>
          <w:rFonts w:hint="default" w:ascii="Times New Roman" w:hAnsi="Times New Roman" w:cs="Times New Roman" w:eastAsiaTheme="minorEastAsia"/>
          <w:b w:val="0"/>
          <w:bCs w:val="0"/>
          <w:i w:val="0"/>
          <w:iCs w:val="0"/>
          <w:color w:val="auto"/>
          <w:sz w:val="24"/>
          <w:szCs w:val="24"/>
          <w:highlight w:val="none"/>
        </w:rPr>
        <w:fldChar w:fldCharType="begin"/>
      </w:r>
      <w:r>
        <w:rPr>
          <w:rFonts w:hint="default" w:ascii="Times New Roman" w:hAnsi="Times New Roman" w:cs="Times New Roman" w:eastAsiaTheme="minorEastAsia"/>
          <w:b w:val="0"/>
          <w:bCs w:val="0"/>
          <w:i w:val="0"/>
          <w:iCs w:val="0"/>
          <w:color w:val="auto"/>
          <w:sz w:val="24"/>
          <w:szCs w:val="24"/>
          <w:highlight w:val="none"/>
        </w:rPr>
        <w:instrText xml:space="preserve"> PAGEREF _Toc25361 </w:instrText>
      </w:r>
      <w:r>
        <w:rPr>
          <w:rFonts w:hint="default" w:ascii="Times New Roman" w:hAnsi="Times New Roman" w:cs="Times New Roman" w:eastAsiaTheme="minorEastAsia"/>
          <w:b w:val="0"/>
          <w:bCs w:val="0"/>
          <w:i w:val="0"/>
          <w:iCs w:val="0"/>
          <w:color w:val="auto"/>
          <w:sz w:val="24"/>
          <w:szCs w:val="24"/>
          <w:highlight w:val="none"/>
        </w:rPr>
        <w:fldChar w:fldCharType="separate"/>
      </w:r>
      <w:r>
        <w:rPr>
          <w:rFonts w:hint="default" w:ascii="Times New Roman" w:hAnsi="Times New Roman" w:cs="Times New Roman" w:eastAsiaTheme="minorEastAsia"/>
          <w:b w:val="0"/>
          <w:bCs w:val="0"/>
          <w:i w:val="0"/>
          <w:iCs w:val="0"/>
          <w:color w:val="auto"/>
          <w:sz w:val="24"/>
          <w:szCs w:val="24"/>
          <w:highlight w:val="none"/>
        </w:rPr>
        <w:t>86</w:t>
      </w:r>
      <w:r>
        <w:rPr>
          <w:rFonts w:hint="default" w:ascii="Times New Roman" w:hAnsi="Times New Roman" w:cs="Times New Roman" w:eastAsiaTheme="minorEastAsia"/>
          <w:b w:val="0"/>
          <w:bCs w:val="0"/>
          <w:i w:val="0"/>
          <w:iCs w:val="0"/>
          <w:color w:val="auto"/>
          <w:sz w:val="24"/>
          <w:szCs w:val="24"/>
          <w:highlight w:val="none"/>
        </w:rPr>
        <w:fldChar w:fldCharType="end"/>
      </w:r>
      <w:r>
        <w:rPr>
          <w:rFonts w:hint="default" w:ascii="Times New Roman" w:hAnsi="Times New Roman" w:cs="Times New Roman" w:eastAsiaTheme="minorEastAsia"/>
          <w:b w:val="0"/>
          <w:bCs w:val="0"/>
          <w:i w:val="0"/>
          <w:iCs w:val="0"/>
          <w:color w:val="auto"/>
          <w:sz w:val="24"/>
          <w:szCs w:val="24"/>
          <w:highlight w:val="none"/>
        </w:rPr>
        <w:fldChar w:fldCharType="end"/>
      </w:r>
    </w:p>
    <w:p>
      <w:pPr>
        <w:pStyle w:val="32"/>
        <w:keepNext w:val="0"/>
        <w:keepLines w:val="0"/>
        <w:pageBreakBefore w:val="0"/>
        <w:widowControl w:val="0"/>
        <w:tabs>
          <w:tab w:val="right" w:leader="dot" w:pos="9070"/>
          <w:tab w:val="clear" w:pos="600"/>
          <w:tab w:val="clear" w:pos="9060"/>
        </w:tabs>
        <w:kinsoku/>
        <w:wordWrap/>
        <w:overflowPunct/>
        <w:topLinePunct w:val="0"/>
        <w:autoSpaceDE/>
        <w:autoSpaceDN/>
        <w:bidi w:val="0"/>
        <w:snapToGrid w:val="0"/>
        <w:spacing w:before="0" w:line="400" w:lineRule="exact"/>
        <w:textAlignment w:val="auto"/>
        <w:rPr>
          <w:rFonts w:hint="default" w:ascii="Times New Roman" w:hAnsi="Times New Roman" w:cs="Times New Roman" w:eastAsiaTheme="minorEastAsia"/>
          <w:b w:val="0"/>
          <w:bCs w:val="0"/>
          <w:i w:val="0"/>
          <w:iCs w:val="0"/>
          <w:color w:val="auto"/>
          <w:sz w:val="24"/>
          <w:szCs w:val="24"/>
          <w:highlight w:val="none"/>
        </w:rPr>
      </w:pPr>
      <w:r>
        <w:rPr>
          <w:rFonts w:hint="default" w:ascii="Times New Roman" w:hAnsi="Times New Roman" w:cs="Times New Roman" w:eastAsiaTheme="minorEastAsia"/>
          <w:b w:val="0"/>
          <w:bCs w:val="0"/>
          <w:i w:val="0"/>
          <w:iCs w:val="0"/>
          <w:color w:val="auto"/>
          <w:sz w:val="24"/>
          <w:szCs w:val="24"/>
          <w:highlight w:val="none"/>
        </w:rPr>
        <w:fldChar w:fldCharType="begin"/>
      </w:r>
      <w:r>
        <w:rPr>
          <w:rFonts w:hint="default" w:ascii="Times New Roman" w:hAnsi="Times New Roman" w:cs="Times New Roman" w:eastAsiaTheme="minorEastAsia"/>
          <w:b w:val="0"/>
          <w:bCs w:val="0"/>
          <w:i w:val="0"/>
          <w:iCs w:val="0"/>
          <w:color w:val="auto"/>
          <w:sz w:val="24"/>
          <w:szCs w:val="24"/>
          <w:highlight w:val="none"/>
        </w:rPr>
        <w:instrText xml:space="preserve"> HYPERLINK \l _Toc26587 </w:instrText>
      </w:r>
      <w:r>
        <w:rPr>
          <w:rFonts w:hint="default" w:ascii="Times New Roman" w:hAnsi="Times New Roman" w:cs="Times New Roman" w:eastAsiaTheme="minorEastAsia"/>
          <w:b w:val="0"/>
          <w:bCs w:val="0"/>
          <w:i w:val="0"/>
          <w:iCs w:val="0"/>
          <w:color w:val="auto"/>
          <w:sz w:val="24"/>
          <w:szCs w:val="24"/>
          <w:highlight w:val="none"/>
        </w:rPr>
        <w:fldChar w:fldCharType="separate"/>
      </w:r>
      <w:r>
        <w:rPr>
          <w:rFonts w:hint="default" w:ascii="Times New Roman" w:hAnsi="Times New Roman" w:cs="Times New Roman" w:eastAsiaTheme="minorEastAsia"/>
          <w:b w:val="0"/>
          <w:bCs w:val="0"/>
          <w:i w:val="0"/>
          <w:iCs w:val="0"/>
          <w:color w:val="auto"/>
          <w:sz w:val="24"/>
          <w:szCs w:val="24"/>
          <w:highlight w:val="none"/>
          <w:lang w:val="zh-CN"/>
        </w:rPr>
        <w:t>4.2 水污染防治措施有效性评估</w:t>
      </w:r>
      <w:r>
        <w:rPr>
          <w:rFonts w:hint="default" w:ascii="Times New Roman" w:hAnsi="Times New Roman" w:cs="Times New Roman" w:eastAsiaTheme="minorEastAsia"/>
          <w:b w:val="0"/>
          <w:bCs w:val="0"/>
          <w:i w:val="0"/>
          <w:iCs w:val="0"/>
          <w:color w:val="auto"/>
          <w:sz w:val="24"/>
          <w:szCs w:val="24"/>
          <w:highlight w:val="none"/>
        </w:rPr>
        <w:tab/>
      </w:r>
      <w:r>
        <w:rPr>
          <w:rFonts w:hint="default" w:ascii="Times New Roman" w:hAnsi="Times New Roman" w:cs="Times New Roman" w:eastAsiaTheme="minorEastAsia"/>
          <w:b w:val="0"/>
          <w:bCs w:val="0"/>
          <w:i w:val="0"/>
          <w:iCs w:val="0"/>
          <w:color w:val="auto"/>
          <w:sz w:val="24"/>
          <w:szCs w:val="24"/>
          <w:highlight w:val="none"/>
        </w:rPr>
        <w:fldChar w:fldCharType="begin"/>
      </w:r>
      <w:r>
        <w:rPr>
          <w:rFonts w:hint="default" w:ascii="Times New Roman" w:hAnsi="Times New Roman" w:cs="Times New Roman" w:eastAsiaTheme="minorEastAsia"/>
          <w:b w:val="0"/>
          <w:bCs w:val="0"/>
          <w:i w:val="0"/>
          <w:iCs w:val="0"/>
          <w:color w:val="auto"/>
          <w:sz w:val="24"/>
          <w:szCs w:val="24"/>
          <w:highlight w:val="none"/>
        </w:rPr>
        <w:instrText xml:space="preserve"> PAGEREF _Toc26587 </w:instrText>
      </w:r>
      <w:r>
        <w:rPr>
          <w:rFonts w:hint="default" w:ascii="Times New Roman" w:hAnsi="Times New Roman" w:cs="Times New Roman" w:eastAsiaTheme="minorEastAsia"/>
          <w:b w:val="0"/>
          <w:bCs w:val="0"/>
          <w:i w:val="0"/>
          <w:iCs w:val="0"/>
          <w:color w:val="auto"/>
          <w:sz w:val="24"/>
          <w:szCs w:val="24"/>
          <w:highlight w:val="none"/>
        </w:rPr>
        <w:fldChar w:fldCharType="separate"/>
      </w:r>
      <w:r>
        <w:rPr>
          <w:rFonts w:hint="default" w:ascii="Times New Roman" w:hAnsi="Times New Roman" w:cs="Times New Roman" w:eastAsiaTheme="minorEastAsia"/>
          <w:b w:val="0"/>
          <w:bCs w:val="0"/>
          <w:i w:val="0"/>
          <w:iCs w:val="0"/>
          <w:color w:val="auto"/>
          <w:sz w:val="24"/>
          <w:szCs w:val="24"/>
          <w:highlight w:val="none"/>
        </w:rPr>
        <w:t>88</w:t>
      </w:r>
      <w:r>
        <w:rPr>
          <w:rFonts w:hint="default" w:ascii="Times New Roman" w:hAnsi="Times New Roman" w:cs="Times New Roman" w:eastAsiaTheme="minorEastAsia"/>
          <w:b w:val="0"/>
          <w:bCs w:val="0"/>
          <w:i w:val="0"/>
          <w:iCs w:val="0"/>
          <w:color w:val="auto"/>
          <w:sz w:val="24"/>
          <w:szCs w:val="24"/>
          <w:highlight w:val="none"/>
        </w:rPr>
        <w:fldChar w:fldCharType="end"/>
      </w:r>
      <w:r>
        <w:rPr>
          <w:rFonts w:hint="default" w:ascii="Times New Roman" w:hAnsi="Times New Roman" w:cs="Times New Roman" w:eastAsiaTheme="minorEastAsia"/>
          <w:b w:val="0"/>
          <w:bCs w:val="0"/>
          <w:i w:val="0"/>
          <w:iCs w:val="0"/>
          <w:color w:val="auto"/>
          <w:sz w:val="24"/>
          <w:szCs w:val="24"/>
          <w:highlight w:val="none"/>
        </w:rPr>
        <w:fldChar w:fldCharType="end"/>
      </w:r>
    </w:p>
    <w:p>
      <w:pPr>
        <w:pStyle w:val="32"/>
        <w:keepNext w:val="0"/>
        <w:keepLines w:val="0"/>
        <w:pageBreakBefore w:val="0"/>
        <w:widowControl w:val="0"/>
        <w:tabs>
          <w:tab w:val="right" w:leader="dot" w:pos="9070"/>
          <w:tab w:val="clear" w:pos="600"/>
          <w:tab w:val="clear" w:pos="9060"/>
        </w:tabs>
        <w:kinsoku/>
        <w:wordWrap/>
        <w:overflowPunct/>
        <w:topLinePunct w:val="0"/>
        <w:autoSpaceDE/>
        <w:autoSpaceDN/>
        <w:bidi w:val="0"/>
        <w:snapToGrid w:val="0"/>
        <w:spacing w:before="0" w:line="400" w:lineRule="exact"/>
        <w:textAlignment w:val="auto"/>
        <w:rPr>
          <w:rFonts w:hint="default" w:ascii="Times New Roman" w:hAnsi="Times New Roman" w:cs="Times New Roman" w:eastAsiaTheme="minorEastAsia"/>
          <w:b w:val="0"/>
          <w:bCs w:val="0"/>
          <w:i w:val="0"/>
          <w:iCs w:val="0"/>
          <w:color w:val="auto"/>
          <w:sz w:val="24"/>
          <w:szCs w:val="24"/>
          <w:highlight w:val="none"/>
        </w:rPr>
      </w:pPr>
      <w:r>
        <w:rPr>
          <w:rFonts w:hint="default" w:ascii="Times New Roman" w:hAnsi="Times New Roman" w:cs="Times New Roman" w:eastAsiaTheme="minorEastAsia"/>
          <w:b w:val="0"/>
          <w:bCs w:val="0"/>
          <w:i w:val="0"/>
          <w:iCs w:val="0"/>
          <w:color w:val="auto"/>
          <w:sz w:val="24"/>
          <w:szCs w:val="24"/>
          <w:highlight w:val="none"/>
        </w:rPr>
        <w:fldChar w:fldCharType="begin"/>
      </w:r>
      <w:r>
        <w:rPr>
          <w:rFonts w:hint="default" w:ascii="Times New Roman" w:hAnsi="Times New Roman" w:cs="Times New Roman" w:eastAsiaTheme="minorEastAsia"/>
          <w:b w:val="0"/>
          <w:bCs w:val="0"/>
          <w:i w:val="0"/>
          <w:iCs w:val="0"/>
          <w:color w:val="auto"/>
          <w:sz w:val="24"/>
          <w:szCs w:val="24"/>
          <w:highlight w:val="none"/>
        </w:rPr>
        <w:instrText xml:space="preserve"> HYPERLINK \l _Toc8881 </w:instrText>
      </w:r>
      <w:r>
        <w:rPr>
          <w:rFonts w:hint="default" w:ascii="Times New Roman" w:hAnsi="Times New Roman" w:cs="Times New Roman" w:eastAsiaTheme="minorEastAsia"/>
          <w:b w:val="0"/>
          <w:bCs w:val="0"/>
          <w:i w:val="0"/>
          <w:iCs w:val="0"/>
          <w:color w:val="auto"/>
          <w:sz w:val="24"/>
          <w:szCs w:val="24"/>
          <w:highlight w:val="none"/>
        </w:rPr>
        <w:fldChar w:fldCharType="separate"/>
      </w:r>
      <w:r>
        <w:rPr>
          <w:rFonts w:hint="default" w:ascii="Times New Roman" w:hAnsi="Times New Roman" w:cs="Times New Roman" w:eastAsiaTheme="minorEastAsia"/>
          <w:b w:val="0"/>
          <w:bCs w:val="0"/>
          <w:i w:val="0"/>
          <w:iCs w:val="0"/>
          <w:color w:val="auto"/>
          <w:sz w:val="24"/>
          <w:szCs w:val="24"/>
          <w:highlight w:val="none"/>
          <w:lang w:val="zh-CN"/>
        </w:rPr>
        <w:t>4.3 噪声污染防治措施有效性评估</w:t>
      </w:r>
      <w:r>
        <w:rPr>
          <w:rFonts w:hint="default" w:ascii="Times New Roman" w:hAnsi="Times New Roman" w:cs="Times New Roman" w:eastAsiaTheme="minorEastAsia"/>
          <w:b w:val="0"/>
          <w:bCs w:val="0"/>
          <w:i w:val="0"/>
          <w:iCs w:val="0"/>
          <w:color w:val="auto"/>
          <w:sz w:val="24"/>
          <w:szCs w:val="24"/>
          <w:highlight w:val="none"/>
        </w:rPr>
        <w:tab/>
      </w:r>
      <w:r>
        <w:rPr>
          <w:rFonts w:hint="default" w:ascii="Times New Roman" w:hAnsi="Times New Roman" w:cs="Times New Roman" w:eastAsiaTheme="minorEastAsia"/>
          <w:b w:val="0"/>
          <w:bCs w:val="0"/>
          <w:i w:val="0"/>
          <w:iCs w:val="0"/>
          <w:color w:val="auto"/>
          <w:sz w:val="24"/>
          <w:szCs w:val="24"/>
          <w:highlight w:val="none"/>
        </w:rPr>
        <w:fldChar w:fldCharType="begin"/>
      </w:r>
      <w:r>
        <w:rPr>
          <w:rFonts w:hint="default" w:ascii="Times New Roman" w:hAnsi="Times New Roman" w:cs="Times New Roman" w:eastAsiaTheme="minorEastAsia"/>
          <w:b w:val="0"/>
          <w:bCs w:val="0"/>
          <w:i w:val="0"/>
          <w:iCs w:val="0"/>
          <w:color w:val="auto"/>
          <w:sz w:val="24"/>
          <w:szCs w:val="24"/>
          <w:highlight w:val="none"/>
        </w:rPr>
        <w:instrText xml:space="preserve"> PAGEREF _Toc8881 </w:instrText>
      </w:r>
      <w:r>
        <w:rPr>
          <w:rFonts w:hint="default" w:ascii="Times New Roman" w:hAnsi="Times New Roman" w:cs="Times New Roman" w:eastAsiaTheme="minorEastAsia"/>
          <w:b w:val="0"/>
          <w:bCs w:val="0"/>
          <w:i w:val="0"/>
          <w:iCs w:val="0"/>
          <w:color w:val="auto"/>
          <w:sz w:val="24"/>
          <w:szCs w:val="24"/>
          <w:highlight w:val="none"/>
        </w:rPr>
        <w:fldChar w:fldCharType="separate"/>
      </w:r>
      <w:r>
        <w:rPr>
          <w:rFonts w:hint="default" w:ascii="Times New Roman" w:hAnsi="Times New Roman" w:cs="Times New Roman" w:eastAsiaTheme="minorEastAsia"/>
          <w:b w:val="0"/>
          <w:bCs w:val="0"/>
          <w:i w:val="0"/>
          <w:iCs w:val="0"/>
          <w:color w:val="auto"/>
          <w:sz w:val="24"/>
          <w:szCs w:val="24"/>
          <w:highlight w:val="none"/>
        </w:rPr>
        <w:t>96</w:t>
      </w:r>
      <w:r>
        <w:rPr>
          <w:rFonts w:hint="default" w:ascii="Times New Roman" w:hAnsi="Times New Roman" w:cs="Times New Roman" w:eastAsiaTheme="minorEastAsia"/>
          <w:b w:val="0"/>
          <w:bCs w:val="0"/>
          <w:i w:val="0"/>
          <w:iCs w:val="0"/>
          <w:color w:val="auto"/>
          <w:sz w:val="24"/>
          <w:szCs w:val="24"/>
          <w:highlight w:val="none"/>
        </w:rPr>
        <w:fldChar w:fldCharType="end"/>
      </w:r>
      <w:r>
        <w:rPr>
          <w:rFonts w:hint="default" w:ascii="Times New Roman" w:hAnsi="Times New Roman" w:cs="Times New Roman" w:eastAsiaTheme="minorEastAsia"/>
          <w:b w:val="0"/>
          <w:bCs w:val="0"/>
          <w:i w:val="0"/>
          <w:iCs w:val="0"/>
          <w:color w:val="auto"/>
          <w:sz w:val="24"/>
          <w:szCs w:val="24"/>
          <w:highlight w:val="none"/>
        </w:rPr>
        <w:fldChar w:fldCharType="end"/>
      </w:r>
    </w:p>
    <w:p>
      <w:pPr>
        <w:pStyle w:val="32"/>
        <w:keepNext w:val="0"/>
        <w:keepLines w:val="0"/>
        <w:pageBreakBefore w:val="0"/>
        <w:widowControl w:val="0"/>
        <w:tabs>
          <w:tab w:val="right" w:leader="dot" w:pos="9070"/>
          <w:tab w:val="clear" w:pos="600"/>
          <w:tab w:val="clear" w:pos="9060"/>
        </w:tabs>
        <w:kinsoku/>
        <w:wordWrap/>
        <w:overflowPunct/>
        <w:topLinePunct w:val="0"/>
        <w:autoSpaceDE/>
        <w:autoSpaceDN/>
        <w:bidi w:val="0"/>
        <w:snapToGrid w:val="0"/>
        <w:spacing w:before="0" w:line="400" w:lineRule="exact"/>
        <w:textAlignment w:val="auto"/>
        <w:rPr>
          <w:rFonts w:hint="default" w:ascii="Times New Roman" w:hAnsi="Times New Roman" w:cs="Times New Roman" w:eastAsiaTheme="minorEastAsia"/>
          <w:b w:val="0"/>
          <w:bCs w:val="0"/>
          <w:i w:val="0"/>
          <w:iCs w:val="0"/>
          <w:color w:val="auto"/>
          <w:sz w:val="24"/>
          <w:szCs w:val="24"/>
          <w:highlight w:val="none"/>
        </w:rPr>
      </w:pPr>
      <w:r>
        <w:rPr>
          <w:rFonts w:hint="default" w:ascii="Times New Roman" w:hAnsi="Times New Roman" w:cs="Times New Roman" w:eastAsiaTheme="minorEastAsia"/>
          <w:b w:val="0"/>
          <w:bCs w:val="0"/>
          <w:i w:val="0"/>
          <w:iCs w:val="0"/>
          <w:color w:val="auto"/>
          <w:sz w:val="24"/>
          <w:szCs w:val="24"/>
          <w:highlight w:val="none"/>
        </w:rPr>
        <w:fldChar w:fldCharType="begin"/>
      </w:r>
      <w:r>
        <w:rPr>
          <w:rFonts w:hint="default" w:ascii="Times New Roman" w:hAnsi="Times New Roman" w:cs="Times New Roman" w:eastAsiaTheme="minorEastAsia"/>
          <w:b w:val="0"/>
          <w:bCs w:val="0"/>
          <w:i w:val="0"/>
          <w:iCs w:val="0"/>
          <w:color w:val="auto"/>
          <w:sz w:val="24"/>
          <w:szCs w:val="24"/>
          <w:highlight w:val="none"/>
        </w:rPr>
        <w:instrText xml:space="preserve"> HYPERLINK \l _Toc18241 </w:instrText>
      </w:r>
      <w:r>
        <w:rPr>
          <w:rFonts w:hint="default" w:ascii="Times New Roman" w:hAnsi="Times New Roman" w:cs="Times New Roman" w:eastAsiaTheme="minorEastAsia"/>
          <w:b w:val="0"/>
          <w:bCs w:val="0"/>
          <w:i w:val="0"/>
          <w:iCs w:val="0"/>
          <w:color w:val="auto"/>
          <w:sz w:val="24"/>
          <w:szCs w:val="24"/>
          <w:highlight w:val="none"/>
        </w:rPr>
        <w:fldChar w:fldCharType="separate"/>
      </w:r>
      <w:r>
        <w:rPr>
          <w:rFonts w:hint="default" w:ascii="Times New Roman" w:hAnsi="Times New Roman" w:cs="Times New Roman" w:eastAsiaTheme="minorEastAsia"/>
          <w:b w:val="0"/>
          <w:bCs w:val="0"/>
          <w:i w:val="0"/>
          <w:iCs w:val="0"/>
          <w:color w:val="auto"/>
          <w:sz w:val="24"/>
          <w:szCs w:val="24"/>
          <w:highlight w:val="none"/>
          <w:lang w:val="zh-CN"/>
        </w:rPr>
        <w:t>4.4 固废</w:t>
      </w:r>
      <w:r>
        <w:rPr>
          <w:rFonts w:hint="default" w:ascii="Times New Roman" w:hAnsi="Times New Roman" w:cs="Times New Roman" w:eastAsiaTheme="minorEastAsia"/>
          <w:b w:val="0"/>
          <w:bCs w:val="0"/>
          <w:i w:val="0"/>
          <w:iCs w:val="0"/>
          <w:color w:val="auto"/>
          <w:sz w:val="24"/>
          <w:szCs w:val="24"/>
          <w:highlight w:val="none"/>
          <w:lang w:val="en-US" w:eastAsia="zh-CN"/>
        </w:rPr>
        <w:t>污染防治</w:t>
      </w:r>
      <w:r>
        <w:rPr>
          <w:rFonts w:hint="default" w:ascii="Times New Roman" w:hAnsi="Times New Roman" w:cs="Times New Roman" w:eastAsiaTheme="minorEastAsia"/>
          <w:b w:val="0"/>
          <w:bCs w:val="0"/>
          <w:i w:val="0"/>
          <w:iCs w:val="0"/>
          <w:color w:val="auto"/>
          <w:sz w:val="24"/>
          <w:szCs w:val="24"/>
          <w:highlight w:val="none"/>
          <w:lang w:val="zh-CN"/>
        </w:rPr>
        <w:t>措施有效性评估</w:t>
      </w:r>
      <w:r>
        <w:rPr>
          <w:rFonts w:hint="default" w:ascii="Times New Roman" w:hAnsi="Times New Roman" w:cs="Times New Roman" w:eastAsiaTheme="minorEastAsia"/>
          <w:b w:val="0"/>
          <w:bCs w:val="0"/>
          <w:i w:val="0"/>
          <w:iCs w:val="0"/>
          <w:color w:val="auto"/>
          <w:sz w:val="24"/>
          <w:szCs w:val="24"/>
          <w:highlight w:val="none"/>
        </w:rPr>
        <w:tab/>
      </w:r>
      <w:r>
        <w:rPr>
          <w:rFonts w:hint="default" w:ascii="Times New Roman" w:hAnsi="Times New Roman" w:cs="Times New Roman" w:eastAsiaTheme="minorEastAsia"/>
          <w:b w:val="0"/>
          <w:bCs w:val="0"/>
          <w:i w:val="0"/>
          <w:iCs w:val="0"/>
          <w:color w:val="auto"/>
          <w:sz w:val="24"/>
          <w:szCs w:val="24"/>
          <w:highlight w:val="none"/>
        </w:rPr>
        <w:fldChar w:fldCharType="begin"/>
      </w:r>
      <w:r>
        <w:rPr>
          <w:rFonts w:hint="default" w:ascii="Times New Roman" w:hAnsi="Times New Roman" w:cs="Times New Roman" w:eastAsiaTheme="minorEastAsia"/>
          <w:b w:val="0"/>
          <w:bCs w:val="0"/>
          <w:i w:val="0"/>
          <w:iCs w:val="0"/>
          <w:color w:val="auto"/>
          <w:sz w:val="24"/>
          <w:szCs w:val="24"/>
          <w:highlight w:val="none"/>
        </w:rPr>
        <w:instrText xml:space="preserve"> PAGEREF _Toc18241 </w:instrText>
      </w:r>
      <w:r>
        <w:rPr>
          <w:rFonts w:hint="default" w:ascii="Times New Roman" w:hAnsi="Times New Roman" w:cs="Times New Roman" w:eastAsiaTheme="minorEastAsia"/>
          <w:b w:val="0"/>
          <w:bCs w:val="0"/>
          <w:i w:val="0"/>
          <w:iCs w:val="0"/>
          <w:color w:val="auto"/>
          <w:sz w:val="24"/>
          <w:szCs w:val="24"/>
          <w:highlight w:val="none"/>
        </w:rPr>
        <w:fldChar w:fldCharType="separate"/>
      </w:r>
      <w:r>
        <w:rPr>
          <w:rFonts w:hint="default" w:ascii="Times New Roman" w:hAnsi="Times New Roman" w:cs="Times New Roman" w:eastAsiaTheme="minorEastAsia"/>
          <w:b w:val="0"/>
          <w:bCs w:val="0"/>
          <w:i w:val="0"/>
          <w:iCs w:val="0"/>
          <w:color w:val="auto"/>
          <w:sz w:val="24"/>
          <w:szCs w:val="24"/>
          <w:highlight w:val="none"/>
        </w:rPr>
        <w:t>96</w:t>
      </w:r>
      <w:r>
        <w:rPr>
          <w:rFonts w:hint="default" w:ascii="Times New Roman" w:hAnsi="Times New Roman" w:cs="Times New Roman" w:eastAsiaTheme="minorEastAsia"/>
          <w:b w:val="0"/>
          <w:bCs w:val="0"/>
          <w:i w:val="0"/>
          <w:iCs w:val="0"/>
          <w:color w:val="auto"/>
          <w:sz w:val="24"/>
          <w:szCs w:val="24"/>
          <w:highlight w:val="none"/>
        </w:rPr>
        <w:fldChar w:fldCharType="end"/>
      </w:r>
      <w:r>
        <w:rPr>
          <w:rFonts w:hint="default" w:ascii="Times New Roman" w:hAnsi="Times New Roman" w:cs="Times New Roman" w:eastAsiaTheme="minorEastAsia"/>
          <w:b w:val="0"/>
          <w:bCs w:val="0"/>
          <w:i w:val="0"/>
          <w:iCs w:val="0"/>
          <w:color w:val="auto"/>
          <w:sz w:val="24"/>
          <w:szCs w:val="24"/>
          <w:highlight w:val="none"/>
        </w:rPr>
        <w:fldChar w:fldCharType="end"/>
      </w:r>
    </w:p>
    <w:p>
      <w:pPr>
        <w:pStyle w:val="32"/>
        <w:keepNext w:val="0"/>
        <w:keepLines w:val="0"/>
        <w:pageBreakBefore w:val="0"/>
        <w:widowControl w:val="0"/>
        <w:tabs>
          <w:tab w:val="right" w:leader="dot" w:pos="9070"/>
          <w:tab w:val="clear" w:pos="600"/>
          <w:tab w:val="clear" w:pos="9060"/>
        </w:tabs>
        <w:kinsoku/>
        <w:wordWrap/>
        <w:overflowPunct/>
        <w:topLinePunct w:val="0"/>
        <w:autoSpaceDE/>
        <w:autoSpaceDN/>
        <w:bidi w:val="0"/>
        <w:snapToGrid w:val="0"/>
        <w:spacing w:before="0" w:line="400" w:lineRule="exact"/>
        <w:textAlignment w:val="auto"/>
        <w:rPr>
          <w:rFonts w:hint="default" w:ascii="Times New Roman" w:hAnsi="Times New Roman" w:cs="Times New Roman" w:eastAsiaTheme="minorEastAsia"/>
          <w:b w:val="0"/>
          <w:bCs w:val="0"/>
          <w:i w:val="0"/>
          <w:iCs w:val="0"/>
          <w:color w:val="auto"/>
          <w:sz w:val="24"/>
          <w:szCs w:val="24"/>
          <w:highlight w:val="none"/>
        </w:rPr>
      </w:pPr>
      <w:r>
        <w:rPr>
          <w:rFonts w:hint="default" w:ascii="Times New Roman" w:hAnsi="Times New Roman" w:cs="Times New Roman" w:eastAsiaTheme="minorEastAsia"/>
          <w:b w:val="0"/>
          <w:bCs w:val="0"/>
          <w:i w:val="0"/>
          <w:iCs w:val="0"/>
          <w:color w:val="auto"/>
          <w:sz w:val="24"/>
          <w:szCs w:val="24"/>
          <w:highlight w:val="none"/>
        </w:rPr>
        <w:fldChar w:fldCharType="begin"/>
      </w:r>
      <w:r>
        <w:rPr>
          <w:rFonts w:hint="default" w:ascii="Times New Roman" w:hAnsi="Times New Roman" w:cs="Times New Roman" w:eastAsiaTheme="minorEastAsia"/>
          <w:b w:val="0"/>
          <w:bCs w:val="0"/>
          <w:i w:val="0"/>
          <w:iCs w:val="0"/>
          <w:color w:val="auto"/>
          <w:sz w:val="24"/>
          <w:szCs w:val="24"/>
          <w:highlight w:val="none"/>
        </w:rPr>
        <w:instrText xml:space="preserve"> HYPERLINK \l _Toc2121 </w:instrText>
      </w:r>
      <w:r>
        <w:rPr>
          <w:rFonts w:hint="default" w:ascii="Times New Roman" w:hAnsi="Times New Roman" w:cs="Times New Roman" w:eastAsiaTheme="minorEastAsia"/>
          <w:b w:val="0"/>
          <w:bCs w:val="0"/>
          <w:i w:val="0"/>
          <w:iCs w:val="0"/>
          <w:color w:val="auto"/>
          <w:sz w:val="24"/>
          <w:szCs w:val="24"/>
          <w:highlight w:val="none"/>
        </w:rPr>
        <w:fldChar w:fldCharType="separate"/>
      </w:r>
      <w:r>
        <w:rPr>
          <w:rFonts w:hint="default" w:ascii="Times New Roman" w:hAnsi="Times New Roman" w:cs="Times New Roman" w:eastAsiaTheme="minorEastAsia"/>
          <w:b w:val="0"/>
          <w:bCs w:val="0"/>
          <w:i w:val="0"/>
          <w:iCs w:val="0"/>
          <w:color w:val="auto"/>
          <w:sz w:val="24"/>
          <w:szCs w:val="24"/>
          <w:highlight w:val="none"/>
          <w:lang w:val="en-US" w:eastAsia="zh-CN"/>
        </w:rPr>
        <w:t>4.5环境风险防范措施有效性评估</w:t>
      </w:r>
      <w:r>
        <w:rPr>
          <w:rFonts w:hint="default" w:ascii="Times New Roman" w:hAnsi="Times New Roman" w:cs="Times New Roman" w:eastAsiaTheme="minorEastAsia"/>
          <w:b w:val="0"/>
          <w:bCs w:val="0"/>
          <w:i w:val="0"/>
          <w:iCs w:val="0"/>
          <w:color w:val="auto"/>
          <w:sz w:val="24"/>
          <w:szCs w:val="24"/>
          <w:highlight w:val="none"/>
        </w:rPr>
        <w:tab/>
      </w:r>
      <w:r>
        <w:rPr>
          <w:rFonts w:hint="default" w:ascii="Times New Roman" w:hAnsi="Times New Roman" w:cs="Times New Roman" w:eastAsiaTheme="minorEastAsia"/>
          <w:b w:val="0"/>
          <w:bCs w:val="0"/>
          <w:i w:val="0"/>
          <w:iCs w:val="0"/>
          <w:color w:val="auto"/>
          <w:sz w:val="24"/>
          <w:szCs w:val="24"/>
          <w:highlight w:val="none"/>
        </w:rPr>
        <w:fldChar w:fldCharType="begin"/>
      </w:r>
      <w:r>
        <w:rPr>
          <w:rFonts w:hint="default" w:ascii="Times New Roman" w:hAnsi="Times New Roman" w:cs="Times New Roman" w:eastAsiaTheme="minorEastAsia"/>
          <w:b w:val="0"/>
          <w:bCs w:val="0"/>
          <w:i w:val="0"/>
          <w:iCs w:val="0"/>
          <w:color w:val="auto"/>
          <w:sz w:val="24"/>
          <w:szCs w:val="24"/>
          <w:highlight w:val="none"/>
        </w:rPr>
        <w:instrText xml:space="preserve"> PAGEREF _Toc2121 </w:instrText>
      </w:r>
      <w:r>
        <w:rPr>
          <w:rFonts w:hint="default" w:ascii="Times New Roman" w:hAnsi="Times New Roman" w:cs="Times New Roman" w:eastAsiaTheme="minorEastAsia"/>
          <w:b w:val="0"/>
          <w:bCs w:val="0"/>
          <w:i w:val="0"/>
          <w:iCs w:val="0"/>
          <w:color w:val="auto"/>
          <w:sz w:val="24"/>
          <w:szCs w:val="24"/>
          <w:highlight w:val="none"/>
        </w:rPr>
        <w:fldChar w:fldCharType="separate"/>
      </w:r>
      <w:r>
        <w:rPr>
          <w:rFonts w:hint="default" w:ascii="Times New Roman" w:hAnsi="Times New Roman" w:cs="Times New Roman" w:eastAsiaTheme="minorEastAsia"/>
          <w:b w:val="0"/>
          <w:bCs w:val="0"/>
          <w:i w:val="0"/>
          <w:iCs w:val="0"/>
          <w:color w:val="auto"/>
          <w:sz w:val="24"/>
          <w:szCs w:val="24"/>
          <w:highlight w:val="none"/>
        </w:rPr>
        <w:t>97</w:t>
      </w:r>
      <w:r>
        <w:rPr>
          <w:rFonts w:hint="default" w:ascii="Times New Roman" w:hAnsi="Times New Roman" w:cs="Times New Roman" w:eastAsiaTheme="minorEastAsia"/>
          <w:b w:val="0"/>
          <w:bCs w:val="0"/>
          <w:i w:val="0"/>
          <w:iCs w:val="0"/>
          <w:color w:val="auto"/>
          <w:sz w:val="24"/>
          <w:szCs w:val="24"/>
          <w:highlight w:val="none"/>
        </w:rPr>
        <w:fldChar w:fldCharType="end"/>
      </w:r>
      <w:r>
        <w:rPr>
          <w:rFonts w:hint="default" w:ascii="Times New Roman" w:hAnsi="Times New Roman" w:cs="Times New Roman" w:eastAsiaTheme="minorEastAsia"/>
          <w:b w:val="0"/>
          <w:bCs w:val="0"/>
          <w:i w:val="0"/>
          <w:iCs w:val="0"/>
          <w:color w:val="auto"/>
          <w:sz w:val="24"/>
          <w:szCs w:val="24"/>
          <w:highlight w:val="none"/>
        </w:rPr>
        <w:fldChar w:fldCharType="end"/>
      </w:r>
    </w:p>
    <w:p>
      <w:pPr>
        <w:pStyle w:val="32"/>
        <w:keepNext w:val="0"/>
        <w:keepLines w:val="0"/>
        <w:pageBreakBefore w:val="0"/>
        <w:widowControl w:val="0"/>
        <w:tabs>
          <w:tab w:val="right" w:leader="dot" w:pos="9070"/>
          <w:tab w:val="clear" w:pos="600"/>
          <w:tab w:val="clear" w:pos="9060"/>
        </w:tabs>
        <w:kinsoku/>
        <w:wordWrap/>
        <w:overflowPunct/>
        <w:topLinePunct w:val="0"/>
        <w:autoSpaceDE/>
        <w:autoSpaceDN/>
        <w:bidi w:val="0"/>
        <w:snapToGrid w:val="0"/>
        <w:spacing w:before="0" w:line="400" w:lineRule="exact"/>
        <w:textAlignment w:val="auto"/>
        <w:rPr>
          <w:rFonts w:hint="default" w:ascii="Times New Roman" w:hAnsi="Times New Roman" w:cs="Times New Roman" w:eastAsiaTheme="minorEastAsia"/>
          <w:b w:val="0"/>
          <w:bCs w:val="0"/>
          <w:i w:val="0"/>
          <w:iCs w:val="0"/>
          <w:color w:val="auto"/>
          <w:sz w:val="24"/>
          <w:szCs w:val="24"/>
          <w:highlight w:val="none"/>
        </w:rPr>
      </w:pPr>
      <w:r>
        <w:rPr>
          <w:rFonts w:hint="default" w:ascii="Times New Roman" w:hAnsi="Times New Roman" w:cs="Times New Roman" w:eastAsiaTheme="minorEastAsia"/>
          <w:b w:val="0"/>
          <w:bCs w:val="0"/>
          <w:i w:val="0"/>
          <w:iCs w:val="0"/>
          <w:color w:val="auto"/>
          <w:sz w:val="24"/>
          <w:szCs w:val="24"/>
          <w:highlight w:val="none"/>
        </w:rPr>
        <w:fldChar w:fldCharType="begin"/>
      </w:r>
      <w:r>
        <w:rPr>
          <w:rFonts w:hint="default" w:ascii="Times New Roman" w:hAnsi="Times New Roman" w:cs="Times New Roman" w:eastAsiaTheme="minorEastAsia"/>
          <w:b w:val="0"/>
          <w:bCs w:val="0"/>
          <w:i w:val="0"/>
          <w:iCs w:val="0"/>
          <w:color w:val="auto"/>
          <w:sz w:val="24"/>
          <w:szCs w:val="24"/>
          <w:highlight w:val="none"/>
        </w:rPr>
        <w:instrText xml:space="preserve"> HYPERLINK \l _Toc28473 </w:instrText>
      </w:r>
      <w:r>
        <w:rPr>
          <w:rFonts w:hint="default" w:ascii="Times New Roman" w:hAnsi="Times New Roman" w:cs="Times New Roman" w:eastAsiaTheme="minorEastAsia"/>
          <w:b w:val="0"/>
          <w:bCs w:val="0"/>
          <w:i w:val="0"/>
          <w:iCs w:val="0"/>
          <w:color w:val="auto"/>
          <w:sz w:val="24"/>
          <w:szCs w:val="24"/>
          <w:highlight w:val="none"/>
        </w:rPr>
        <w:fldChar w:fldCharType="separate"/>
      </w:r>
      <w:r>
        <w:rPr>
          <w:rFonts w:hint="default" w:ascii="Times New Roman" w:hAnsi="Times New Roman" w:cs="Times New Roman" w:eastAsiaTheme="minorEastAsia"/>
          <w:b w:val="0"/>
          <w:bCs w:val="0"/>
          <w:i w:val="0"/>
          <w:iCs w:val="0"/>
          <w:color w:val="auto"/>
          <w:sz w:val="24"/>
          <w:szCs w:val="24"/>
          <w:highlight w:val="none"/>
          <w:lang w:val="zh-CN"/>
        </w:rPr>
        <w:t>4.</w:t>
      </w:r>
      <w:r>
        <w:rPr>
          <w:rFonts w:hint="default" w:ascii="Times New Roman" w:hAnsi="Times New Roman" w:cs="Times New Roman" w:eastAsiaTheme="minorEastAsia"/>
          <w:b w:val="0"/>
          <w:bCs w:val="0"/>
          <w:i w:val="0"/>
          <w:iCs w:val="0"/>
          <w:color w:val="auto"/>
          <w:sz w:val="24"/>
          <w:szCs w:val="24"/>
          <w:highlight w:val="none"/>
          <w:lang w:val="en-US" w:eastAsia="zh-CN"/>
        </w:rPr>
        <w:t>6</w:t>
      </w:r>
      <w:r>
        <w:rPr>
          <w:rFonts w:hint="default" w:ascii="Times New Roman" w:hAnsi="Times New Roman" w:cs="Times New Roman" w:eastAsiaTheme="minorEastAsia"/>
          <w:b w:val="0"/>
          <w:bCs w:val="0"/>
          <w:i w:val="0"/>
          <w:iCs w:val="0"/>
          <w:color w:val="auto"/>
          <w:sz w:val="24"/>
          <w:szCs w:val="24"/>
          <w:highlight w:val="none"/>
          <w:lang w:val="zh-CN"/>
        </w:rPr>
        <w:t xml:space="preserve"> 环境管理与环境监测计划</w:t>
      </w:r>
      <w:r>
        <w:rPr>
          <w:rFonts w:hint="default" w:ascii="Times New Roman" w:hAnsi="Times New Roman" w:cs="Times New Roman" w:eastAsiaTheme="minorEastAsia"/>
          <w:b w:val="0"/>
          <w:bCs w:val="0"/>
          <w:i w:val="0"/>
          <w:iCs w:val="0"/>
          <w:color w:val="auto"/>
          <w:sz w:val="24"/>
          <w:szCs w:val="24"/>
          <w:highlight w:val="none"/>
        </w:rPr>
        <w:tab/>
      </w:r>
      <w:r>
        <w:rPr>
          <w:rFonts w:hint="default" w:ascii="Times New Roman" w:hAnsi="Times New Roman" w:cs="Times New Roman" w:eastAsiaTheme="minorEastAsia"/>
          <w:b w:val="0"/>
          <w:bCs w:val="0"/>
          <w:i w:val="0"/>
          <w:iCs w:val="0"/>
          <w:color w:val="auto"/>
          <w:sz w:val="24"/>
          <w:szCs w:val="24"/>
          <w:highlight w:val="none"/>
        </w:rPr>
        <w:fldChar w:fldCharType="begin"/>
      </w:r>
      <w:r>
        <w:rPr>
          <w:rFonts w:hint="default" w:ascii="Times New Roman" w:hAnsi="Times New Roman" w:cs="Times New Roman" w:eastAsiaTheme="minorEastAsia"/>
          <w:b w:val="0"/>
          <w:bCs w:val="0"/>
          <w:i w:val="0"/>
          <w:iCs w:val="0"/>
          <w:color w:val="auto"/>
          <w:sz w:val="24"/>
          <w:szCs w:val="24"/>
          <w:highlight w:val="none"/>
        </w:rPr>
        <w:instrText xml:space="preserve"> PAGEREF _Toc28473 </w:instrText>
      </w:r>
      <w:r>
        <w:rPr>
          <w:rFonts w:hint="default" w:ascii="Times New Roman" w:hAnsi="Times New Roman" w:cs="Times New Roman" w:eastAsiaTheme="minorEastAsia"/>
          <w:b w:val="0"/>
          <w:bCs w:val="0"/>
          <w:i w:val="0"/>
          <w:iCs w:val="0"/>
          <w:color w:val="auto"/>
          <w:sz w:val="24"/>
          <w:szCs w:val="24"/>
          <w:highlight w:val="none"/>
        </w:rPr>
        <w:fldChar w:fldCharType="separate"/>
      </w:r>
      <w:r>
        <w:rPr>
          <w:rFonts w:hint="default" w:ascii="Times New Roman" w:hAnsi="Times New Roman" w:cs="Times New Roman" w:eastAsiaTheme="minorEastAsia"/>
          <w:b w:val="0"/>
          <w:bCs w:val="0"/>
          <w:i w:val="0"/>
          <w:iCs w:val="0"/>
          <w:color w:val="auto"/>
          <w:sz w:val="24"/>
          <w:szCs w:val="24"/>
          <w:highlight w:val="none"/>
        </w:rPr>
        <w:t>98</w:t>
      </w:r>
      <w:r>
        <w:rPr>
          <w:rFonts w:hint="default" w:ascii="Times New Roman" w:hAnsi="Times New Roman" w:cs="Times New Roman" w:eastAsiaTheme="minorEastAsia"/>
          <w:b w:val="0"/>
          <w:bCs w:val="0"/>
          <w:i w:val="0"/>
          <w:iCs w:val="0"/>
          <w:color w:val="auto"/>
          <w:sz w:val="24"/>
          <w:szCs w:val="24"/>
          <w:highlight w:val="none"/>
        </w:rPr>
        <w:fldChar w:fldCharType="end"/>
      </w:r>
      <w:r>
        <w:rPr>
          <w:rFonts w:hint="default" w:ascii="Times New Roman" w:hAnsi="Times New Roman" w:cs="Times New Roman" w:eastAsiaTheme="minorEastAsia"/>
          <w:b w:val="0"/>
          <w:bCs w:val="0"/>
          <w:i w:val="0"/>
          <w:iCs w:val="0"/>
          <w:color w:val="auto"/>
          <w:sz w:val="24"/>
          <w:szCs w:val="24"/>
          <w:highlight w:val="none"/>
        </w:rPr>
        <w:fldChar w:fldCharType="end"/>
      </w:r>
    </w:p>
    <w:p>
      <w:pPr>
        <w:pStyle w:val="32"/>
        <w:keepNext w:val="0"/>
        <w:keepLines w:val="0"/>
        <w:pageBreakBefore w:val="0"/>
        <w:widowControl w:val="0"/>
        <w:tabs>
          <w:tab w:val="right" w:leader="dot" w:pos="9070"/>
          <w:tab w:val="clear" w:pos="600"/>
          <w:tab w:val="clear" w:pos="9060"/>
        </w:tabs>
        <w:kinsoku/>
        <w:wordWrap/>
        <w:overflowPunct/>
        <w:topLinePunct w:val="0"/>
        <w:autoSpaceDE/>
        <w:autoSpaceDN/>
        <w:bidi w:val="0"/>
        <w:snapToGrid w:val="0"/>
        <w:spacing w:before="0" w:line="400" w:lineRule="exact"/>
        <w:textAlignment w:val="auto"/>
        <w:rPr>
          <w:rFonts w:hint="default" w:ascii="Times New Roman" w:hAnsi="Times New Roman" w:cs="Times New Roman" w:eastAsiaTheme="minorEastAsia"/>
          <w:b w:val="0"/>
          <w:bCs w:val="0"/>
          <w:i w:val="0"/>
          <w:iCs w:val="0"/>
          <w:color w:val="auto"/>
          <w:sz w:val="24"/>
          <w:szCs w:val="24"/>
          <w:highlight w:val="none"/>
        </w:rPr>
      </w:pPr>
      <w:r>
        <w:rPr>
          <w:rFonts w:hint="default" w:ascii="Times New Roman" w:hAnsi="Times New Roman" w:cs="Times New Roman" w:eastAsiaTheme="minorEastAsia"/>
          <w:b w:val="0"/>
          <w:bCs w:val="0"/>
          <w:i w:val="0"/>
          <w:iCs w:val="0"/>
          <w:color w:val="auto"/>
          <w:sz w:val="24"/>
          <w:szCs w:val="24"/>
          <w:highlight w:val="none"/>
        </w:rPr>
        <w:fldChar w:fldCharType="begin"/>
      </w:r>
      <w:r>
        <w:rPr>
          <w:rFonts w:hint="default" w:ascii="Times New Roman" w:hAnsi="Times New Roman" w:cs="Times New Roman" w:eastAsiaTheme="minorEastAsia"/>
          <w:b w:val="0"/>
          <w:bCs w:val="0"/>
          <w:i w:val="0"/>
          <w:iCs w:val="0"/>
          <w:color w:val="auto"/>
          <w:sz w:val="24"/>
          <w:szCs w:val="24"/>
          <w:highlight w:val="none"/>
        </w:rPr>
        <w:instrText xml:space="preserve"> HYPERLINK \l _Toc22976 </w:instrText>
      </w:r>
      <w:r>
        <w:rPr>
          <w:rFonts w:hint="default" w:ascii="Times New Roman" w:hAnsi="Times New Roman" w:cs="Times New Roman" w:eastAsiaTheme="minorEastAsia"/>
          <w:b w:val="0"/>
          <w:bCs w:val="0"/>
          <w:i w:val="0"/>
          <w:iCs w:val="0"/>
          <w:color w:val="auto"/>
          <w:sz w:val="24"/>
          <w:szCs w:val="24"/>
          <w:highlight w:val="none"/>
        </w:rPr>
        <w:fldChar w:fldCharType="separate"/>
      </w:r>
      <w:r>
        <w:rPr>
          <w:rFonts w:hint="default" w:ascii="Times New Roman" w:hAnsi="Times New Roman" w:cs="Times New Roman" w:eastAsiaTheme="minorEastAsia"/>
          <w:b w:val="0"/>
          <w:bCs w:val="0"/>
          <w:i w:val="0"/>
          <w:iCs w:val="0"/>
          <w:color w:val="auto"/>
          <w:sz w:val="24"/>
          <w:szCs w:val="24"/>
          <w:highlight w:val="none"/>
        </w:rPr>
        <w:t>4.</w:t>
      </w:r>
      <w:r>
        <w:rPr>
          <w:rFonts w:hint="default" w:ascii="Times New Roman" w:hAnsi="Times New Roman" w:cs="Times New Roman" w:eastAsiaTheme="minorEastAsia"/>
          <w:b w:val="0"/>
          <w:bCs w:val="0"/>
          <w:i w:val="0"/>
          <w:iCs w:val="0"/>
          <w:color w:val="auto"/>
          <w:sz w:val="24"/>
          <w:szCs w:val="24"/>
          <w:highlight w:val="none"/>
          <w:lang w:val="en-US" w:eastAsia="zh-CN"/>
        </w:rPr>
        <w:t>7</w:t>
      </w:r>
      <w:r>
        <w:rPr>
          <w:rFonts w:hint="default" w:ascii="Times New Roman" w:hAnsi="Times New Roman" w:cs="Times New Roman" w:eastAsiaTheme="minorEastAsia"/>
          <w:b w:val="0"/>
          <w:bCs w:val="0"/>
          <w:i w:val="0"/>
          <w:iCs w:val="0"/>
          <w:color w:val="auto"/>
          <w:sz w:val="24"/>
          <w:szCs w:val="24"/>
          <w:highlight w:val="none"/>
        </w:rPr>
        <w:t xml:space="preserve"> 排污口规范化设置</w:t>
      </w:r>
      <w:r>
        <w:rPr>
          <w:rFonts w:hint="default" w:ascii="Times New Roman" w:hAnsi="Times New Roman" w:cs="Times New Roman" w:eastAsiaTheme="minorEastAsia"/>
          <w:b w:val="0"/>
          <w:bCs w:val="0"/>
          <w:i w:val="0"/>
          <w:iCs w:val="0"/>
          <w:color w:val="auto"/>
          <w:sz w:val="24"/>
          <w:szCs w:val="24"/>
          <w:highlight w:val="none"/>
        </w:rPr>
        <w:tab/>
      </w:r>
      <w:r>
        <w:rPr>
          <w:rFonts w:hint="default" w:ascii="Times New Roman" w:hAnsi="Times New Roman" w:cs="Times New Roman" w:eastAsiaTheme="minorEastAsia"/>
          <w:b w:val="0"/>
          <w:bCs w:val="0"/>
          <w:i w:val="0"/>
          <w:iCs w:val="0"/>
          <w:color w:val="auto"/>
          <w:sz w:val="24"/>
          <w:szCs w:val="24"/>
          <w:highlight w:val="none"/>
        </w:rPr>
        <w:fldChar w:fldCharType="begin"/>
      </w:r>
      <w:r>
        <w:rPr>
          <w:rFonts w:hint="default" w:ascii="Times New Roman" w:hAnsi="Times New Roman" w:cs="Times New Roman" w:eastAsiaTheme="minorEastAsia"/>
          <w:b w:val="0"/>
          <w:bCs w:val="0"/>
          <w:i w:val="0"/>
          <w:iCs w:val="0"/>
          <w:color w:val="auto"/>
          <w:sz w:val="24"/>
          <w:szCs w:val="24"/>
          <w:highlight w:val="none"/>
        </w:rPr>
        <w:instrText xml:space="preserve"> PAGEREF _Toc22976 </w:instrText>
      </w:r>
      <w:r>
        <w:rPr>
          <w:rFonts w:hint="default" w:ascii="Times New Roman" w:hAnsi="Times New Roman" w:cs="Times New Roman" w:eastAsiaTheme="minorEastAsia"/>
          <w:b w:val="0"/>
          <w:bCs w:val="0"/>
          <w:i w:val="0"/>
          <w:iCs w:val="0"/>
          <w:color w:val="auto"/>
          <w:sz w:val="24"/>
          <w:szCs w:val="24"/>
          <w:highlight w:val="none"/>
        </w:rPr>
        <w:fldChar w:fldCharType="separate"/>
      </w:r>
      <w:r>
        <w:rPr>
          <w:rFonts w:hint="default" w:ascii="Times New Roman" w:hAnsi="Times New Roman" w:cs="Times New Roman" w:eastAsiaTheme="minorEastAsia"/>
          <w:b w:val="0"/>
          <w:bCs w:val="0"/>
          <w:i w:val="0"/>
          <w:iCs w:val="0"/>
          <w:color w:val="auto"/>
          <w:sz w:val="24"/>
          <w:szCs w:val="24"/>
          <w:highlight w:val="none"/>
        </w:rPr>
        <w:t>100</w:t>
      </w:r>
      <w:r>
        <w:rPr>
          <w:rFonts w:hint="default" w:ascii="Times New Roman" w:hAnsi="Times New Roman" w:cs="Times New Roman" w:eastAsiaTheme="minorEastAsia"/>
          <w:b w:val="0"/>
          <w:bCs w:val="0"/>
          <w:i w:val="0"/>
          <w:iCs w:val="0"/>
          <w:color w:val="auto"/>
          <w:sz w:val="24"/>
          <w:szCs w:val="24"/>
          <w:highlight w:val="none"/>
        </w:rPr>
        <w:fldChar w:fldCharType="end"/>
      </w:r>
      <w:r>
        <w:rPr>
          <w:rFonts w:hint="default" w:ascii="Times New Roman" w:hAnsi="Times New Roman" w:cs="Times New Roman" w:eastAsiaTheme="minorEastAsia"/>
          <w:b w:val="0"/>
          <w:bCs w:val="0"/>
          <w:i w:val="0"/>
          <w:iCs w:val="0"/>
          <w:color w:val="auto"/>
          <w:sz w:val="24"/>
          <w:szCs w:val="24"/>
          <w:highlight w:val="none"/>
        </w:rPr>
        <w:fldChar w:fldCharType="end"/>
      </w:r>
    </w:p>
    <w:p>
      <w:pPr>
        <w:pStyle w:val="32"/>
        <w:keepNext w:val="0"/>
        <w:keepLines w:val="0"/>
        <w:pageBreakBefore w:val="0"/>
        <w:widowControl w:val="0"/>
        <w:tabs>
          <w:tab w:val="right" w:leader="dot" w:pos="9070"/>
          <w:tab w:val="clear" w:pos="600"/>
          <w:tab w:val="clear" w:pos="9060"/>
        </w:tabs>
        <w:kinsoku/>
        <w:wordWrap/>
        <w:overflowPunct/>
        <w:topLinePunct w:val="0"/>
        <w:autoSpaceDE/>
        <w:autoSpaceDN/>
        <w:bidi w:val="0"/>
        <w:snapToGrid w:val="0"/>
        <w:spacing w:before="0" w:line="400" w:lineRule="exact"/>
        <w:textAlignment w:val="auto"/>
        <w:rPr>
          <w:rFonts w:hint="default" w:ascii="Times New Roman" w:hAnsi="Times New Roman" w:cs="Times New Roman" w:eastAsiaTheme="minorEastAsia"/>
          <w:b w:val="0"/>
          <w:bCs w:val="0"/>
          <w:i w:val="0"/>
          <w:iCs w:val="0"/>
          <w:color w:val="auto"/>
          <w:sz w:val="24"/>
          <w:szCs w:val="24"/>
          <w:highlight w:val="none"/>
        </w:rPr>
      </w:pPr>
      <w:r>
        <w:rPr>
          <w:rFonts w:hint="default" w:ascii="Times New Roman" w:hAnsi="Times New Roman" w:cs="Times New Roman" w:eastAsiaTheme="minorEastAsia"/>
          <w:b w:val="0"/>
          <w:bCs w:val="0"/>
          <w:i w:val="0"/>
          <w:iCs w:val="0"/>
          <w:color w:val="auto"/>
          <w:sz w:val="24"/>
          <w:szCs w:val="24"/>
          <w:highlight w:val="none"/>
        </w:rPr>
        <w:fldChar w:fldCharType="begin"/>
      </w:r>
      <w:r>
        <w:rPr>
          <w:rFonts w:hint="default" w:ascii="Times New Roman" w:hAnsi="Times New Roman" w:cs="Times New Roman" w:eastAsiaTheme="minorEastAsia"/>
          <w:b w:val="0"/>
          <w:bCs w:val="0"/>
          <w:i w:val="0"/>
          <w:iCs w:val="0"/>
          <w:color w:val="auto"/>
          <w:sz w:val="24"/>
          <w:szCs w:val="24"/>
          <w:highlight w:val="none"/>
        </w:rPr>
        <w:instrText xml:space="preserve"> HYPERLINK \l _Toc9176 </w:instrText>
      </w:r>
      <w:r>
        <w:rPr>
          <w:rFonts w:hint="default" w:ascii="Times New Roman" w:hAnsi="Times New Roman" w:cs="Times New Roman" w:eastAsiaTheme="minorEastAsia"/>
          <w:b w:val="0"/>
          <w:bCs w:val="0"/>
          <w:i w:val="0"/>
          <w:iCs w:val="0"/>
          <w:color w:val="auto"/>
          <w:sz w:val="24"/>
          <w:szCs w:val="24"/>
          <w:highlight w:val="none"/>
        </w:rPr>
        <w:fldChar w:fldCharType="separate"/>
      </w:r>
      <w:r>
        <w:rPr>
          <w:rFonts w:hint="default" w:ascii="Times New Roman" w:hAnsi="Times New Roman" w:cs="Times New Roman" w:eastAsiaTheme="minorEastAsia"/>
          <w:b w:val="0"/>
          <w:bCs w:val="0"/>
          <w:i w:val="0"/>
          <w:iCs w:val="0"/>
          <w:color w:val="auto"/>
          <w:sz w:val="24"/>
          <w:szCs w:val="24"/>
          <w:highlight w:val="none"/>
          <w:lang w:val="en-US" w:eastAsia="zh-CN"/>
        </w:rPr>
        <w:t>4.8</w:t>
      </w:r>
      <w:r>
        <w:rPr>
          <w:rFonts w:hint="default" w:ascii="Times New Roman" w:hAnsi="Times New Roman" w:cs="Times New Roman" w:eastAsiaTheme="minorEastAsia"/>
          <w:b w:val="0"/>
          <w:bCs w:val="0"/>
          <w:i w:val="0"/>
          <w:iCs w:val="0"/>
          <w:color w:val="auto"/>
          <w:sz w:val="24"/>
          <w:szCs w:val="24"/>
          <w:highlight w:val="none"/>
        </w:rPr>
        <w:t>总量控制分析</w:t>
      </w:r>
      <w:r>
        <w:rPr>
          <w:rFonts w:hint="default" w:ascii="Times New Roman" w:hAnsi="Times New Roman" w:cs="Times New Roman" w:eastAsiaTheme="minorEastAsia"/>
          <w:b w:val="0"/>
          <w:bCs w:val="0"/>
          <w:i w:val="0"/>
          <w:iCs w:val="0"/>
          <w:color w:val="auto"/>
          <w:sz w:val="24"/>
          <w:szCs w:val="24"/>
          <w:highlight w:val="none"/>
        </w:rPr>
        <w:tab/>
      </w:r>
      <w:r>
        <w:rPr>
          <w:rFonts w:hint="default" w:ascii="Times New Roman" w:hAnsi="Times New Roman" w:cs="Times New Roman" w:eastAsiaTheme="minorEastAsia"/>
          <w:b w:val="0"/>
          <w:bCs w:val="0"/>
          <w:i w:val="0"/>
          <w:iCs w:val="0"/>
          <w:color w:val="auto"/>
          <w:sz w:val="24"/>
          <w:szCs w:val="24"/>
          <w:highlight w:val="none"/>
        </w:rPr>
        <w:fldChar w:fldCharType="begin"/>
      </w:r>
      <w:r>
        <w:rPr>
          <w:rFonts w:hint="default" w:ascii="Times New Roman" w:hAnsi="Times New Roman" w:cs="Times New Roman" w:eastAsiaTheme="minorEastAsia"/>
          <w:b w:val="0"/>
          <w:bCs w:val="0"/>
          <w:i w:val="0"/>
          <w:iCs w:val="0"/>
          <w:color w:val="auto"/>
          <w:sz w:val="24"/>
          <w:szCs w:val="24"/>
          <w:highlight w:val="none"/>
        </w:rPr>
        <w:instrText xml:space="preserve"> PAGEREF _Toc9176 </w:instrText>
      </w:r>
      <w:r>
        <w:rPr>
          <w:rFonts w:hint="default" w:ascii="Times New Roman" w:hAnsi="Times New Roman" w:cs="Times New Roman" w:eastAsiaTheme="minorEastAsia"/>
          <w:b w:val="0"/>
          <w:bCs w:val="0"/>
          <w:i w:val="0"/>
          <w:iCs w:val="0"/>
          <w:color w:val="auto"/>
          <w:sz w:val="24"/>
          <w:szCs w:val="24"/>
          <w:highlight w:val="none"/>
        </w:rPr>
        <w:fldChar w:fldCharType="separate"/>
      </w:r>
      <w:r>
        <w:rPr>
          <w:rFonts w:hint="default" w:ascii="Times New Roman" w:hAnsi="Times New Roman" w:cs="Times New Roman" w:eastAsiaTheme="minorEastAsia"/>
          <w:b w:val="0"/>
          <w:bCs w:val="0"/>
          <w:i w:val="0"/>
          <w:iCs w:val="0"/>
          <w:color w:val="auto"/>
          <w:sz w:val="24"/>
          <w:szCs w:val="24"/>
          <w:highlight w:val="none"/>
        </w:rPr>
        <w:t>100</w:t>
      </w:r>
      <w:r>
        <w:rPr>
          <w:rFonts w:hint="default" w:ascii="Times New Roman" w:hAnsi="Times New Roman" w:cs="Times New Roman" w:eastAsiaTheme="minorEastAsia"/>
          <w:b w:val="0"/>
          <w:bCs w:val="0"/>
          <w:i w:val="0"/>
          <w:iCs w:val="0"/>
          <w:color w:val="auto"/>
          <w:sz w:val="24"/>
          <w:szCs w:val="24"/>
          <w:highlight w:val="none"/>
        </w:rPr>
        <w:fldChar w:fldCharType="end"/>
      </w:r>
      <w:r>
        <w:rPr>
          <w:rFonts w:hint="default" w:ascii="Times New Roman" w:hAnsi="Times New Roman" w:cs="Times New Roman" w:eastAsiaTheme="minorEastAsia"/>
          <w:b w:val="0"/>
          <w:bCs w:val="0"/>
          <w:i w:val="0"/>
          <w:iCs w:val="0"/>
          <w:color w:val="auto"/>
          <w:sz w:val="24"/>
          <w:szCs w:val="24"/>
          <w:highlight w:val="none"/>
        </w:rPr>
        <w:fldChar w:fldCharType="end"/>
      </w:r>
    </w:p>
    <w:p>
      <w:pPr>
        <w:pStyle w:val="26"/>
        <w:keepNext w:val="0"/>
        <w:keepLines w:val="0"/>
        <w:pageBreakBefore w:val="0"/>
        <w:widowControl w:val="0"/>
        <w:tabs>
          <w:tab w:val="right" w:leader="dot" w:pos="9070"/>
        </w:tabs>
        <w:kinsoku/>
        <w:wordWrap/>
        <w:overflowPunct/>
        <w:topLinePunct w:val="0"/>
        <w:autoSpaceDE/>
        <w:autoSpaceDN/>
        <w:bidi w:val="0"/>
        <w:snapToGrid w:val="0"/>
        <w:spacing w:before="0" w:line="400" w:lineRule="exact"/>
        <w:textAlignment w:val="auto"/>
        <w:rPr>
          <w:rFonts w:hint="default" w:ascii="Times New Roman" w:hAnsi="Times New Roman" w:cs="Times New Roman" w:eastAsiaTheme="minorEastAsia"/>
          <w:b w:val="0"/>
          <w:bCs w:val="0"/>
          <w:i w:val="0"/>
          <w:iCs w:val="0"/>
          <w:color w:val="auto"/>
          <w:sz w:val="24"/>
          <w:szCs w:val="24"/>
          <w:highlight w:val="none"/>
        </w:rPr>
      </w:pPr>
      <w:r>
        <w:rPr>
          <w:rFonts w:hint="default" w:ascii="Times New Roman" w:hAnsi="Times New Roman" w:eastAsia="黑体" w:cs="Times New Roman"/>
          <w:b w:val="0"/>
          <w:bCs w:val="0"/>
          <w:i w:val="0"/>
          <w:iCs w:val="0"/>
          <w:color w:val="auto"/>
          <w:sz w:val="24"/>
          <w:szCs w:val="24"/>
          <w:highlight w:val="none"/>
        </w:rPr>
        <w:fldChar w:fldCharType="begin"/>
      </w:r>
      <w:r>
        <w:rPr>
          <w:rFonts w:hint="default" w:ascii="Times New Roman" w:hAnsi="Times New Roman" w:eastAsia="黑体" w:cs="Times New Roman"/>
          <w:b w:val="0"/>
          <w:bCs w:val="0"/>
          <w:i w:val="0"/>
          <w:iCs w:val="0"/>
          <w:color w:val="auto"/>
          <w:sz w:val="24"/>
          <w:szCs w:val="24"/>
          <w:highlight w:val="none"/>
        </w:rPr>
        <w:instrText xml:space="preserve"> HYPERLINK \l _Toc12664 </w:instrText>
      </w:r>
      <w:r>
        <w:rPr>
          <w:rFonts w:hint="default" w:ascii="Times New Roman" w:hAnsi="Times New Roman" w:eastAsia="黑体" w:cs="Times New Roman"/>
          <w:b w:val="0"/>
          <w:bCs w:val="0"/>
          <w:i w:val="0"/>
          <w:iCs w:val="0"/>
          <w:color w:val="auto"/>
          <w:sz w:val="24"/>
          <w:szCs w:val="24"/>
          <w:highlight w:val="none"/>
        </w:rPr>
        <w:fldChar w:fldCharType="separate"/>
      </w:r>
      <w:r>
        <w:rPr>
          <w:rFonts w:hint="default" w:ascii="Times New Roman" w:hAnsi="Times New Roman" w:eastAsia="黑体" w:cs="Times New Roman"/>
          <w:b w:val="0"/>
          <w:bCs w:val="0"/>
          <w:i w:val="0"/>
          <w:iCs w:val="0"/>
          <w:color w:val="auto"/>
          <w:sz w:val="24"/>
          <w:szCs w:val="24"/>
          <w:highlight w:val="none"/>
        </w:rPr>
        <w:t>5 环境影响预测验证</w:t>
      </w:r>
      <w:r>
        <w:rPr>
          <w:rFonts w:hint="default" w:ascii="Times New Roman" w:hAnsi="Times New Roman" w:eastAsia="黑体" w:cs="Times New Roman"/>
          <w:b w:val="0"/>
          <w:bCs w:val="0"/>
          <w:i w:val="0"/>
          <w:iCs w:val="0"/>
          <w:color w:val="auto"/>
          <w:sz w:val="24"/>
          <w:szCs w:val="24"/>
          <w:highlight w:val="none"/>
        </w:rPr>
        <w:tab/>
      </w:r>
      <w:r>
        <w:rPr>
          <w:rFonts w:hint="default" w:ascii="Times New Roman" w:hAnsi="Times New Roman" w:eastAsia="黑体" w:cs="Times New Roman"/>
          <w:b w:val="0"/>
          <w:bCs w:val="0"/>
          <w:i w:val="0"/>
          <w:iCs w:val="0"/>
          <w:color w:val="auto"/>
          <w:sz w:val="24"/>
          <w:szCs w:val="24"/>
          <w:highlight w:val="none"/>
        </w:rPr>
        <w:fldChar w:fldCharType="begin"/>
      </w:r>
      <w:r>
        <w:rPr>
          <w:rFonts w:hint="default" w:ascii="Times New Roman" w:hAnsi="Times New Roman" w:eastAsia="黑体" w:cs="Times New Roman"/>
          <w:b w:val="0"/>
          <w:bCs w:val="0"/>
          <w:i w:val="0"/>
          <w:iCs w:val="0"/>
          <w:color w:val="auto"/>
          <w:sz w:val="24"/>
          <w:szCs w:val="24"/>
          <w:highlight w:val="none"/>
        </w:rPr>
        <w:instrText xml:space="preserve"> PAGEREF _Toc12664 </w:instrText>
      </w:r>
      <w:r>
        <w:rPr>
          <w:rFonts w:hint="default" w:ascii="Times New Roman" w:hAnsi="Times New Roman" w:eastAsia="黑体" w:cs="Times New Roman"/>
          <w:b w:val="0"/>
          <w:bCs w:val="0"/>
          <w:i w:val="0"/>
          <w:iCs w:val="0"/>
          <w:color w:val="auto"/>
          <w:sz w:val="24"/>
          <w:szCs w:val="24"/>
          <w:highlight w:val="none"/>
        </w:rPr>
        <w:fldChar w:fldCharType="separate"/>
      </w:r>
      <w:r>
        <w:rPr>
          <w:rFonts w:hint="default" w:ascii="Times New Roman" w:hAnsi="Times New Roman" w:eastAsia="黑体" w:cs="Times New Roman"/>
          <w:b w:val="0"/>
          <w:bCs w:val="0"/>
          <w:i w:val="0"/>
          <w:iCs w:val="0"/>
          <w:color w:val="auto"/>
          <w:sz w:val="24"/>
          <w:szCs w:val="24"/>
          <w:highlight w:val="none"/>
        </w:rPr>
        <w:t>102</w:t>
      </w:r>
      <w:r>
        <w:rPr>
          <w:rFonts w:hint="default" w:ascii="Times New Roman" w:hAnsi="Times New Roman" w:eastAsia="黑体" w:cs="Times New Roman"/>
          <w:b w:val="0"/>
          <w:bCs w:val="0"/>
          <w:i w:val="0"/>
          <w:iCs w:val="0"/>
          <w:color w:val="auto"/>
          <w:sz w:val="24"/>
          <w:szCs w:val="24"/>
          <w:highlight w:val="none"/>
        </w:rPr>
        <w:fldChar w:fldCharType="end"/>
      </w:r>
      <w:r>
        <w:rPr>
          <w:rFonts w:hint="default" w:ascii="Times New Roman" w:hAnsi="Times New Roman" w:eastAsia="黑体" w:cs="Times New Roman"/>
          <w:b w:val="0"/>
          <w:bCs w:val="0"/>
          <w:i w:val="0"/>
          <w:iCs w:val="0"/>
          <w:color w:val="auto"/>
          <w:sz w:val="24"/>
          <w:szCs w:val="24"/>
          <w:highlight w:val="none"/>
        </w:rPr>
        <w:fldChar w:fldCharType="end"/>
      </w:r>
    </w:p>
    <w:p>
      <w:pPr>
        <w:pStyle w:val="32"/>
        <w:keepNext w:val="0"/>
        <w:keepLines w:val="0"/>
        <w:pageBreakBefore w:val="0"/>
        <w:widowControl w:val="0"/>
        <w:tabs>
          <w:tab w:val="right" w:leader="dot" w:pos="9070"/>
          <w:tab w:val="clear" w:pos="600"/>
          <w:tab w:val="clear" w:pos="9060"/>
        </w:tabs>
        <w:kinsoku/>
        <w:wordWrap/>
        <w:overflowPunct/>
        <w:topLinePunct w:val="0"/>
        <w:autoSpaceDE/>
        <w:autoSpaceDN/>
        <w:bidi w:val="0"/>
        <w:snapToGrid w:val="0"/>
        <w:spacing w:before="0" w:line="400" w:lineRule="exact"/>
        <w:textAlignment w:val="auto"/>
        <w:rPr>
          <w:rFonts w:hint="default" w:ascii="Times New Roman" w:hAnsi="Times New Roman" w:cs="Times New Roman" w:eastAsiaTheme="minorEastAsia"/>
          <w:b w:val="0"/>
          <w:bCs w:val="0"/>
          <w:i w:val="0"/>
          <w:iCs w:val="0"/>
          <w:color w:val="auto"/>
          <w:sz w:val="24"/>
          <w:szCs w:val="24"/>
          <w:highlight w:val="none"/>
        </w:rPr>
      </w:pPr>
      <w:r>
        <w:rPr>
          <w:rFonts w:hint="default" w:ascii="Times New Roman" w:hAnsi="Times New Roman" w:cs="Times New Roman" w:eastAsiaTheme="minorEastAsia"/>
          <w:b w:val="0"/>
          <w:bCs w:val="0"/>
          <w:i w:val="0"/>
          <w:iCs w:val="0"/>
          <w:color w:val="auto"/>
          <w:sz w:val="24"/>
          <w:szCs w:val="24"/>
          <w:highlight w:val="none"/>
        </w:rPr>
        <w:fldChar w:fldCharType="begin"/>
      </w:r>
      <w:r>
        <w:rPr>
          <w:rFonts w:hint="default" w:ascii="Times New Roman" w:hAnsi="Times New Roman" w:cs="Times New Roman" w:eastAsiaTheme="minorEastAsia"/>
          <w:b w:val="0"/>
          <w:bCs w:val="0"/>
          <w:i w:val="0"/>
          <w:iCs w:val="0"/>
          <w:color w:val="auto"/>
          <w:sz w:val="24"/>
          <w:szCs w:val="24"/>
          <w:highlight w:val="none"/>
        </w:rPr>
        <w:instrText xml:space="preserve"> HYPERLINK \l _Toc27153 </w:instrText>
      </w:r>
      <w:r>
        <w:rPr>
          <w:rFonts w:hint="default" w:ascii="Times New Roman" w:hAnsi="Times New Roman" w:cs="Times New Roman" w:eastAsiaTheme="minorEastAsia"/>
          <w:b w:val="0"/>
          <w:bCs w:val="0"/>
          <w:i w:val="0"/>
          <w:iCs w:val="0"/>
          <w:color w:val="auto"/>
          <w:sz w:val="24"/>
          <w:szCs w:val="24"/>
          <w:highlight w:val="none"/>
        </w:rPr>
        <w:fldChar w:fldCharType="separate"/>
      </w:r>
      <w:r>
        <w:rPr>
          <w:rFonts w:hint="default" w:ascii="Times New Roman" w:hAnsi="Times New Roman" w:cs="Times New Roman" w:eastAsiaTheme="minorEastAsia"/>
          <w:b w:val="0"/>
          <w:bCs w:val="0"/>
          <w:i w:val="0"/>
          <w:iCs w:val="0"/>
          <w:color w:val="auto"/>
          <w:sz w:val="24"/>
          <w:szCs w:val="24"/>
          <w:highlight w:val="none"/>
        </w:rPr>
        <w:t xml:space="preserve">5.1 </w:t>
      </w:r>
      <w:r>
        <w:rPr>
          <w:rFonts w:hint="default" w:ascii="Times New Roman" w:hAnsi="Times New Roman" w:cs="Times New Roman" w:eastAsiaTheme="minorEastAsia"/>
          <w:b w:val="0"/>
          <w:bCs w:val="0"/>
          <w:i w:val="0"/>
          <w:iCs w:val="0"/>
          <w:color w:val="auto"/>
          <w:sz w:val="24"/>
          <w:szCs w:val="24"/>
          <w:highlight w:val="none"/>
          <w:lang w:val="en-US" w:eastAsia="zh-CN"/>
        </w:rPr>
        <w:t>大气</w:t>
      </w:r>
      <w:r>
        <w:rPr>
          <w:rFonts w:hint="default" w:ascii="Times New Roman" w:hAnsi="Times New Roman" w:cs="Times New Roman" w:eastAsiaTheme="minorEastAsia"/>
          <w:b w:val="0"/>
          <w:bCs w:val="0"/>
          <w:i w:val="0"/>
          <w:iCs w:val="0"/>
          <w:color w:val="auto"/>
          <w:sz w:val="24"/>
          <w:szCs w:val="24"/>
          <w:highlight w:val="none"/>
        </w:rPr>
        <w:t>环境影响预测验证</w:t>
      </w:r>
      <w:r>
        <w:rPr>
          <w:rFonts w:hint="default" w:ascii="Times New Roman" w:hAnsi="Times New Roman" w:cs="Times New Roman" w:eastAsiaTheme="minorEastAsia"/>
          <w:b w:val="0"/>
          <w:bCs w:val="0"/>
          <w:i w:val="0"/>
          <w:iCs w:val="0"/>
          <w:color w:val="auto"/>
          <w:sz w:val="24"/>
          <w:szCs w:val="24"/>
          <w:highlight w:val="none"/>
        </w:rPr>
        <w:tab/>
      </w:r>
      <w:r>
        <w:rPr>
          <w:rFonts w:hint="default" w:ascii="Times New Roman" w:hAnsi="Times New Roman" w:cs="Times New Roman" w:eastAsiaTheme="minorEastAsia"/>
          <w:b w:val="0"/>
          <w:bCs w:val="0"/>
          <w:i w:val="0"/>
          <w:iCs w:val="0"/>
          <w:color w:val="auto"/>
          <w:sz w:val="24"/>
          <w:szCs w:val="24"/>
          <w:highlight w:val="none"/>
        </w:rPr>
        <w:fldChar w:fldCharType="begin"/>
      </w:r>
      <w:r>
        <w:rPr>
          <w:rFonts w:hint="default" w:ascii="Times New Roman" w:hAnsi="Times New Roman" w:cs="Times New Roman" w:eastAsiaTheme="minorEastAsia"/>
          <w:b w:val="0"/>
          <w:bCs w:val="0"/>
          <w:i w:val="0"/>
          <w:iCs w:val="0"/>
          <w:color w:val="auto"/>
          <w:sz w:val="24"/>
          <w:szCs w:val="24"/>
          <w:highlight w:val="none"/>
        </w:rPr>
        <w:instrText xml:space="preserve"> PAGEREF _Toc27153 </w:instrText>
      </w:r>
      <w:r>
        <w:rPr>
          <w:rFonts w:hint="default" w:ascii="Times New Roman" w:hAnsi="Times New Roman" w:cs="Times New Roman" w:eastAsiaTheme="minorEastAsia"/>
          <w:b w:val="0"/>
          <w:bCs w:val="0"/>
          <w:i w:val="0"/>
          <w:iCs w:val="0"/>
          <w:color w:val="auto"/>
          <w:sz w:val="24"/>
          <w:szCs w:val="24"/>
          <w:highlight w:val="none"/>
        </w:rPr>
        <w:fldChar w:fldCharType="separate"/>
      </w:r>
      <w:r>
        <w:rPr>
          <w:rFonts w:hint="default" w:ascii="Times New Roman" w:hAnsi="Times New Roman" w:cs="Times New Roman" w:eastAsiaTheme="minorEastAsia"/>
          <w:b w:val="0"/>
          <w:bCs w:val="0"/>
          <w:i w:val="0"/>
          <w:iCs w:val="0"/>
          <w:color w:val="auto"/>
          <w:sz w:val="24"/>
          <w:szCs w:val="24"/>
          <w:highlight w:val="none"/>
        </w:rPr>
        <w:t>102</w:t>
      </w:r>
      <w:r>
        <w:rPr>
          <w:rFonts w:hint="default" w:ascii="Times New Roman" w:hAnsi="Times New Roman" w:cs="Times New Roman" w:eastAsiaTheme="minorEastAsia"/>
          <w:b w:val="0"/>
          <w:bCs w:val="0"/>
          <w:i w:val="0"/>
          <w:iCs w:val="0"/>
          <w:color w:val="auto"/>
          <w:sz w:val="24"/>
          <w:szCs w:val="24"/>
          <w:highlight w:val="none"/>
        </w:rPr>
        <w:fldChar w:fldCharType="end"/>
      </w:r>
      <w:r>
        <w:rPr>
          <w:rFonts w:hint="default" w:ascii="Times New Roman" w:hAnsi="Times New Roman" w:cs="Times New Roman" w:eastAsiaTheme="minorEastAsia"/>
          <w:b w:val="0"/>
          <w:bCs w:val="0"/>
          <w:i w:val="0"/>
          <w:iCs w:val="0"/>
          <w:color w:val="auto"/>
          <w:sz w:val="24"/>
          <w:szCs w:val="24"/>
          <w:highlight w:val="none"/>
        </w:rPr>
        <w:fldChar w:fldCharType="end"/>
      </w:r>
    </w:p>
    <w:p>
      <w:pPr>
        <w:pStyle w:val="32"/>
        <w:keepNext w:val="0"/>
        <w:keepLines w:val="0"/>
        <w:pageBreakBefore w:val="0"/>
        <w:widowControl w:val="0"/>
        <w:tabs>
          <w:tab w:val="right" w:leader="dot" w:pos="9070"/>
          <w:tab w:val="clear" w:pos="600"/>
          <w:tab w:val="clear" w:pos="9060"/>
        </w:tabs>
        <w:kinsoku/>
        <w:wordWrap/>
        <w:overflowPunct/>
        <w:topLinePunct w:val="0"/>
        <w:autoSpaceDE/>
        <w:autoSpaceDN/>
        <w:bidi w:val="0"/>
        <w:snapToGrid w:val="0"/>
        <w:spacing w:before="0" w:line="400" w:lineRule="exact"/>
        <w:textAlignment w:val="auto"/>
        <w:rPr>
          <w:rFonts w:hint="default" w:ascii="Times New Roman" w:hAnsi="Times New Roman" w:cs="Times New Roman" w:eastAsiaTheme="minorEastAsia"/>
          <w:b w:val="0"/>
          <w:bCs w:val="0"/>
          <w:i w:val="0"/>
          <w:iCs w:val="0"/>
          <w:color w:val="auto"/>
          <w:sz w:val="24"/>
          <w:szCs w:val="24"/>
          <w:highlight w:val="none"/>
        </w:rPr>
      </w:pPr>
      <w:r>
        <w:rPr>
          <w:rFonts w:hint="default" w:ascii="Times New Roman" w:hAnsi="Times New Roman" w:cs="Times New Roman" w:eastAsiaTheme="minorEastAsia"/>
          <w:b w:val="0"/>
          <w:bCs w:val="0"/>
          <w:i w:val="0"/>
          <w:iCs w:val="0"/>
          <w:color w:val="auto"/>
          <w:sz w:val="24"/>
          <w:szCs w:val="24"/>
          <w:highlight w:val="none"/>
        </w:rPr>
        <w:fldChar w:fldCharType="begin"/>
      </w:r>
      <w:r>
        <w:rPr>
          <w:rFonts w:hint="default" w:ascii="Times New Roman" w:hAnsi="Times New Roman" w:cs="Times New Roman" w:eastAsiaTheme="minorEastAsia"/>
          <w:b w:val="0"/>
          <w:bCs w:val="0"/>
          <w:i w:val="0"/>
          <w:iCs w:val="0"/>
          <w:color w:val="auto"/>
          <w:sz w:val="24"/>
          <w:szCs w:val="24"/>
          <w:highlight w:val="none"/>
        </w:rPr>
        <w:instrText xml:space="preserve"> HYPERLINK \l _Toc27721 </w:instrText>
      </w:r>
      <w:r>
        <w:rPr>
          <w:rFonts w:hint="default" w:ascii="Times New Roman" w:hAnsi="Times New Roman" w:cs="Times New Roman" w:eastAsiaTheme="minorEastAsia"/>
          <w:b w:val="0"/>
          <w:bCs w:val="0"/>
          <w:i w:val="0"/>
          <w:iCs w:val="0"/>
          <w:color w:val="auto"/>
          <w:sz w:val="24"/>
          <w:szCs w:val="24"/>
          <w:highlight w:val="none"/>
        </w:rPr>
        <w:fldChar w:fldCharType="separate"/>
      </w:r>
      <w:r>
        <w:rPr>
          <w:rFonts w:hint="default" w:ascii="Times New Roman" w:hAnsi="Times New Roman" w:cs="Times New Roman" w:eastAsiaTheme="minorEastAsia"/>
          <w:b w:val="0"/>
          <w:bCs w:val="0"/>
          <w:i w:val="0"/>
          <w:iCs w:val="0"/>
          <w:color w:val="auto"/>
          <w:sz w:val="24"/>
          <w:szCs w:val="24"/>
          <w:highlight w:val="none"/>
          <w:lang w:val="en-US" w:eastAsia="zh-CN"/>
        </w:rPr>
        <w:t xml:space="preserve">5.2 </w:t>
      </w:r>
      <w:r>
        <w:rPr>
          <w:rFonts w:hint="default" w:ascii="Times New Roman" w:hAnsi="Times New Roman" w:cs="Times New Roman" w:eastAsiaTheme="minorEastAsia"/>
          <w:b w:val="0"/>
          <w:bCs w:val="0"/>
          <w:i w:val="0"/>
          <w:iCs w:val="0"/>
          <w:color w:val="auto"/>
          <w:sz w:val="24"/>
          <w:szCs w:val="24"/>
          <w:highlight w:val="none"/>
        </w:rPr>
        <w:t>水环境影响预测验证</w:t>
      </w:r>
      <w:r>
        <w:rPr>
          <w:rFonts w:hint="default" w:ascii="Times New Roman" w:hAnsi="Times New Roman" w:cs="Times New Roman" w:eastAsiaTheme="minorEastAsia"/>
          <w:b w:val="0"/>
          <w:bCs w:val="0"/>
          <w:i w:val="0"/>
          <w:iCs w:val="0"/>
          <w:color w:val="auto"/>
          <w:sz w:val="24"/>
          <w:szCs w:val="24"/>
          <w:highlight w:val="none"/>
        </w:rPr>
        <w:tab/>
      </w:r>
      <w:r>
        <w:rPr>
          <w:rFonts w:hint="default" w:ascii="Times New Roman" w:hAnsi="Times New Roman" w:cs="Times New Roman" w:eastAsiaTheme="minorEastAsia"/>
          <w:b w:val="0"/>
          <w:bCs w:val="0"/>
          <w:i w:val="0"/>
          <w:iCs w:val="0"/>
          <w:color w:val="auto"/>
          <w:sz w:val="24"/>
          <w:szCs w:val="24"/>
          <w:highlight w:val="none"/>
        </w:rPr>
        <w:fldChar w:fldCharType="begin"/>
      </w:r>
      <w:r>
        <w:rPr>
          <w:rFonts w:hint="default" w:ascii="Times New Roman" w:hAnsi="Times New Roman" w:cs="Times New Roman" w:eastAsiaTheme="minorEastAsia"/>
          <w:b w:val="0"/>
          <w:bCs w:val="0"/>
          <w:i w:val="0"/>
          <w:iCs w:val="0"/>
          <w:color w:val="auto"/>
          <w:sz w:val="24"/>
          <w:szCs w:val="24"/>
          <w:highlight w:val="none"/>
        </w:rPr>
        <w:instrText xml:space="preserve"> PAGEREF _Toc27721 </w:instrText>
      </w:r>
      <w:r>
        <w:rPr>
          <w:rFonts w:hint="default" w:ascii="Times New Roman" w:hAnsi="Times New Roman" w:cs="Times New Roman" w:eastAsiaTheme="minorEastAsia"/>
          <w:b w:val="0"/>
          <w:bCs w:val="0"/>
          <w:i w:val="0"/>
          <w:iCs w:val="0"/>
          <w:color w:val="auto"/>
          <w:sz w:val="24"/>
          <w:szCs w:val="24"/>
          <w:highlight w:val="none"/>
        </w:rPr>
        <w:fldChar w:fldCharType="separate"/>
      </w:r>
      <w:r>
        <w:rPr>
          <w:rFonts w:hint="default" w:ascii="Times New Roman" w:hAnsi="Times New Roman" w:cs="Times New Roman" w:eastAsiaTheme="minorEastAsia"/>
          <w:b w:val="0"/>
          <w:bCs w:val="0"/>
          <w:i w:val="0"/>
          <w:iCs w:val="0"/>
          <w:color w:val="auto"/>
          <w:sz w:val="24"/>
          <w:szCs w:val="24"/>
          <w:highlight w:val="none"/>
        </w:rPr>
        <w:t>102</w:t>
      </w:r>
      <w:r>
        <w:rPr>
          <w:rFonts w:hint="default" w:ascii="Times New Roman" w:hAnsi="Times New Roman" w:cs="Times New Roman" w:eastAsiaTheme="minorEastAsia"/>
          <w:b w:val="0"/>
          <w:bCs w:val="0"/>
          <w:i w:val="0"/>
          <w:iCs w:val="0"/>
          <w:color w:val="auto"/>
          <w:sz w:val="24"/>
          <w:szCs w:val="24"/>
          <w:highlight w:val="none"/>
        </w:rPr>
        <w:fldChar w:fldCharType="end"/>
      </w:r>
      <w:r>
        <w:rPr>
          <w:rFonts w:hint="default" w:ascii="Times New Roman" w:hAnsi="Times New Roman" w:cs="Times New Roman" w:eastAsiaTheme="minorEastAsia"/>
          <w:b w:val="0"/>
          <w:bCs w:val="0"/>
          <w:i w:val="0"/>
          <w:iCs w:val="0"/>
          <w:color w:val="auto"/>
          <w:sz w:val="24"/>
          <w:szCs w:val="24"/>
          <w:highlight w:val="none"/>
        </w:rPr>
        <w:fldChar w:fldCharType="end"/>
      </w:r>
    </w:p>
    <w:p>
      <w:pPr>
        <w:pStyle w:val="32"/>
        <w:keepNext w:val="0"/>
        <w:keepLines w:val="0"/>
        <w:pageBreakBefore w:val="0"/>
        <w:widowControl w:val="0"/>
        <w:tabs>
          <w:tab w:val="right" w:leader="dot" w:pos="9070"/>
          <w:tab w:val="clear" w:pos="600"/>
          <w:tab w:val="clear" w:pos="9060"/>
        </w:tabs>
        <w:kinsoku/>
        <w:wordWrap/>
        <w:overflowPunct/>
        <w:topLinePunct w:val="0"/>
        <w:autoSpaceDE/>
        <w:autoSpaceDN/>
        <w:bidi w:val="0"/>
        <w:snapToGrid w:val="0"/>
        <w:spacing w:before="0" w:line="400" w:lineRule="exact"/>
        <w:textAlignment w:val="auto"/>
        <w:rPr>
          <w:rFonts w:hint="default" w:ascii="Times New Roman" w:hAnsi="Times New Roman" w:cs="Times New Roman" w:eastAsiaTheme="minorEastAsia"/>
          <w:b w:val="0"/>
          <w:bCs w:val="0"/>
          <w:i w:val="0"/>
          <w:iCs w:val="0"/>
          <w:color w:val="auto"/>
          <w:sz w:val="24"/>
          <w:szCs w:val="24"/>
          <w:highlight w:val="none"/>
        </w:rPr>
      </w:pPr>
      <w:r>
        <w:rPr>
          <w:rFonts w:hint="default" w:ascii="Times New Roman" w:hAnsi="Times New Roman" w:cs="Times New Roman" w:eastAsiaTheme="minorEastAsia"/>
          <w:b w:val="0"/>
          <w:bCs w:val="0"/>
          <w:i w:val="0"/>
          <w:iCs w:val="0"/>
          <w:color w:val="auto"/>
          <w:sz w:val="24"/>
          <w:szCs w:val="24"/>
          <w:highlight w:val="none"/>
        </w:rPr>
        <w:fldChar w:fldCharType="begin"/>
      </w:r>
      <w:r>
        <w:rPr>
          <w:rFonts w:hint="default" w:ascii="Times New Roman" w:hAnsi="Times New Roman" w:cs="Times New Roman" w:eastAsiaTheme="minorEastAsia"/>
          <w:b w:val="0"/>
          <w:bCs w:val="0"/>
          <w:i w:val="0"/>
          <w:iCs w:val="0"/>
          <w:color w:val="auto"/>
          <w:sz w:val="24"/>
          <w:szCs w:val="24"/>
          <w:highlight w:val="none"/>
        </w:rPr>
        <w:instrText xml:space="preserve"> HYPERLINK \l _Toc12359 </w:instrText>
      </w:r>
      <w:r>
        <w:rPr>
          <w:rFonts w:hint="default" w:ascii="Times New Roman" w:hAnsi="Times New Roman" w:cs="Times New Roman" w:eastAsiaTheme="minorEastAsia"/>
          <w:b w:val="0"/>
          <w:bCs w:val="0"/>
          <w:i w:val="0"/>
          <w:iCs w:val="0"/>
          <w:color w:val="auto"/>
          <w:sz w:val="24"/>
          <w:szCs w:val="24"/>
          <w:highlight w:val="none"/>
        </w:rPr>
        <w:fldChar w:fldCharType="separate"/>
      </w:r>
      <w:r>
        <w:rPr>
          <w:rFonts w:hint="default" w:ascii="Times New Roman" w:hAnsi="Times New Roman" w:cs="Times New Roman" w:eastAsiaTheme="minorEastAsia"/>
          <w:b w:val="0"/>
          <w:bCs w:val="0"/>
          <w:i w:val="0"/>
          <w:iCs w:val="0"/>
          <w:color w:val="auto"/>
          <w:sz w:val="24"/>
          <w:szCs w:val="24"/>
          <w:highlight w:val="none"/>
          <w:lang w:val="en-US" w:eastAsia="zh-CN"/>
        </w:rPr>
        <w:t>5</w:t>
      </w:r>
      <w:r>
        <w:rPr>
          <w:rFonts w:hint="default" w:ascii="Times New Roman" w:hAnsi="Times New Roman" w:cs="Times New Roman" w:eastAsiaTheme="minorEastAsia"/>
          <w:b w:val="0"/>
          <w:bCs w:val="0"/>
          <w:i w:val="0"/>
          <w:iCs w:val="0"/>
          <w:color w:val="auto"/>
          <w:sz w:val="24"/>
          <w:szCs w:val="24"/>
          <w:highlight w:val="none"/>
        </w:rPr>
        <w:t>.3.地下水影响预测验证</w:t>
      </w:r>
      <w:r>
        <w:rPr>
          <w:rFonts w:hint="default" w:ascii="Times New Roman" w:hAnsi="Times New Roman" w:cs="Times New Roman" w:eastAsiaTheme="minorEastAsia"/>
          <w:b w:val="0"/>
          <w:bCs w:val="0"/>
          <w:i w:val="0"/>
          <w:iCs w:val="0"/>
          <w:color w:val="auto"/>
          <w:sz w:val="24"/>
          <w:szCs w:val="24"/>
          <w:highlight w:val="none"/>
        </w:rPr>
        <w:tab/>
      </w:r>
      <w:r>
        <w:rPr>
          <w:rFonts w:hint="default" w:ascii="Times New Roman" w:hAnsi="Times New Roman" w:cs="Times New Roman" w:eastAsiaTheme="minorEastAsia"/>
          <w:b w:val="0"/>
          <w:bCs w:val="0"/>
          <w:i w:val="0"/>
          <w:iCs w:val="0"/>
          <w:color w:val="auto"/>
          <w:sz w:val="24"/>
          <w:szCs w:val="24"/>
          <w:highlight w:val="none"/>
        </w:rPr>
        <w:fldChar w:fldCharType="begin"/>
      </w:r>
      <w:r>
        <w:rPr>
          <w:rFonts w:hint="default" w:ascii="Times New Roman" w:hAnsi="Times New Roman" w:cs="Times New Roman" w:eastAsiaTheme="minorEastAsia"/>
          <w:b w:val="0"/>
          <w:bCs w:val="0"/>
          <w:i w:val="0"/>
          <w:iCs w:val="0"/>
          <w:color w:val="auto"/>
          <w:sz w:val="24"/>
          <w:szCs w:val="24"/>
          <w:highlight w:val="none"/>
        </w:rPr>
        <w:instrText xml:space="preserve"> PAGEREF _Toc12359 </w:instrText>
      </w:r>
      <w:r>
        <w:rPr>
          <w:rFonts w:hint="default" w:ascii="Times New Roman" w:hAnsi="Times New Roman" w:cs="Times New Roman" w:eastAsiaTheme="minorEastAsia"/>
          <w:b w:val="0"/>
          <w:bCs w:val="0"/>
          <w:i w:val="0"/>
          <w:iCs w:val="0"/>
          <w:color w:val="auto"/>
          <w:sz w:val="24"/>
          <w:szCs w:val="24"/>
          <w:highlight w:val="none"/>
        </w:rPr>
        <w:fldChar w:fldCharType="separate"/>
      </w:r>
      <w:r>
        <w:rPr>
          <w:rFonts w:hint="default" w:ascii="Times New Roman" w:hAnsi="Times New Roman" w:cs="Times New Roman" w:eastAsiaTheme="minorEastAsia"/>
          <w:b w:val="0"/>
          <w:bCs w:val="0"/>
          <w:i w:val="0"/>
          <w:iCs w:val="0"/>
          <w:color w:val="auto"/>
          <w:sz w:val="24"/>
          <w:szCs w:val="24"/>
          <w:highlight w:val="none"/>
        </w:rPr>
        <w:t>103</w:t>
      </w:r>
      <w:r>
        <w:rPr>
          <w:rFonts w:hint="default" w:ascii="Times New Roman" w:hAnsi="Times New Roman" w:cs="Times New Roman" w:eastAsiaTheme="minorEastAsia"/>
          <w:b w:val="0"/>
          <w:bCs w:val="0"/>
          <w:i w:val="0"/>
          <w:iCs w:val="0"/>
          <w:color w:val="auto"/>
          <w:sz w:val="24"/>
          <w:szCs w:val="24"/>
          <w:highlight w:val="none"/>
        </w:rPr>
        <w:fldChar w:fldCharType="end"/>
      </w:r>
      <w:r>
        <w:rPr>
          <w:rFonts w:hint="default" w:ascii="Times New Roman" w:hAnsi="Times New Roman" w:cs="Times New Roman" w:eastAsiaTheme="minorEastAsia"/>
          <w:b w:val="0"/>
          <w:bCs w:val="0"/>
          <w:i w:val="0"/>
          <w:iCs w:val="0"/>
          <w:color w:val="auto"/>
          <w:sz w:val="24"/>
          <w:szCs w:val="24"/>
          <w:highlight w:val="none"/>
        </w:rPr>
        <w:fldChar w:fldCharType="end"/>
      </w:r>
    </w:p>
    <w:p>
      <w:pPr>
        <w:pStyle w:val="32"/>
        <w:keepNext w:val="0"/>
        <w:keepLines w:val="0"/>
        <w:pageBreakBefore w:val="0"/>
        <w:widowControl w:val="0"/>
        <w:tabs>
          <w:tab w:val="right" w:leader="dot" w:pos="9070"/>
          <w:tab w:val="clear" w:pos="600"/>
          <w:tab w:val="clear" w:pos="9060"/>
        </w:tabs>
        <w:kinsoku/>
        <w:wordWrap/>
        <w:overflowPunct/>
        <w:topLinePunct w:val="0"/>
        <w:autoSpaceDE/>
        <w:autoSpaceDN/>
        <w:bidi w:val="0"/>
        <w:snapToGrid w:val="0"/>
        <w:spacing w:before="0" w:line="400" w:lineRule="exact"/>
        <w:textAlignment w:val="auto"/>
        <w:rPr>
          <w:rFonts w:hint="default" w:ascii="Times New Roman" w:hAnsi="Times New Roman" w:cs="Times New Roman" w:eastAsiaTheme="minorEastAsia"/>
          <w:b w:val="0"/>
          <w:bCs w:val="0"/>
          <w:i w:val="0"/>
          <w:iCs w:val="0"/>
          <w:color w:val="auto"/>
          <w:sz w:val="24"/>
          <w:szCs w:val="24"/>
          <w:highlight w:val="none"/>
        </w:rPr>
      </w:pPr>
      <w:r>
        <w:rPr>
          <w:rFonts w:hint="default" w:ascii="Times New Roman" w:hAnsi="Times New Roman" w:cs="Times New Roman" w:eastAsiaTheme="minorEastAsia"/>
          <w:b w:val="0"/>
          <w:bCs w:val="0"/>
          <w:i w:val="0"/>
          <w:iCs w:val="0"/>
          <w:color w:val="auto"/>
          <w:sz w:val="24"/>
          <w:szCs w:val="24"/>
          <w:highlight w:val="none"/>
        </w:rPr>
        <w:fldChar w:fldCharType="begin"/>
      </w:r>
      <w:r>
        <w:rPr>
          <w:rFonts w:hint="default" w:ascii="Times New Roman" w:hAnsi="Times New Roman" w:cs="Times New Roman" w:eastAsiaTheme="minorEastAsia"/>
          <w:b w:val="0"/>
          <w:bCs w:val="0"/>
          <w:i w:val="0"/>
          <w:iCs w:val="0"/>
          <w:color w:val="auto"/>
          <w:sz w:val="24"/>
          <w:szCs w:val="24"/>
          <w:highlight w:val="none"/>
        </w:rPr>
        <w:instrText xml:space="preserve"> HYPERLINK \l _Toc22609 </w:instrText>
      </w:r>
      <w:r>
        <w:rPr>
          <w:rFonts w:hint="default" w:ascii="Times New Roman" w:hAnsi="Times New Roman" w:cs="Times New Roman" w:eastAsiaTheme="minorEastAsia"/>
          <w:b w:val="0"/>
          <w:bCs w:val="0"/>
          <w:i w:val="0"/>
          <w:iCs w:val="0"/>
          <w:color w:val="auto"/>
          <w:sz w:val="24"/>
          <w:szCs w:val="24"/>
          <w:highlight w:val="none"/>
        </w:rPr>
        <w:fldChar w:fldCharType="separate"/>
      </w:r>
      <w:r>
        <w:rPr>
          <w:rFonts w:hint="default" w:ascii="Times New Roman" w:hAnsi="Times New Roman" w:cs="Times New Roman" w:eastAsiaTheme="minorEastAsia"/>
          <w:b w:val="0"/>
          <w:bCs w:val="0"/>
          <w:i w:val="0"/>
          <w:iCs w:val="0"/>
          <w:color w:val="auto"/>
          <w:sz w:val="24"/>
          <w:szCs w:val="24"/>
          <w:highlight w:val="none"/>
          <w:lang w:val="en-US" w:eastAsia="zh-CN"/>
        </w:rPr>
        <w:t xml:space="preserve">5.4 </w:t>
      </w:r>
      <w:r>
        <w:rPr>
          <w:rFonts w:hint="default" w:ascii="Times New Roman" w:hAnsi="Times New Roman" w:cs="Times New Roman" w:eastAsiaTheme="minorEastAsia"/>
          <w:b w:val="0"/>
          <w:bCs w:val="0"/>
          <w:i w:val="0"/>
          <w:iCs w:val="0"/>
          <w:color w:val="auto"/>
          <w:sz w:val="24"/>
          <w:szCs w:val="24"/>
          <w:highlight w:val="none"/>
        </w:rPr>
        <w:t>噪声影响预测验证</w:t>
      </w:r>
      <w:r>
        <w:rPr>
          <w:rFonts w:hint="default" w:ascii="Times New Roman" w:hAnsi="Times New Roman" w:cs="Times New Roman" w:eastAsiaTheme="minorEastAsia"/>
          <w:b w:val="0"/>
          <w:bCs w:val="0"/>
          <w:i w:val="0"/>
          <w:iCs w:val="0"/>
          <w:color w:val="auto"/>
          <w:sz w:val="24"/>
          <w:szCs w:val="24"/>
          <w:highlight w:val="none"/>
        </w:rPr>
        <w:tab/>
      </w:r>
      <w:r>
        <w:rPr>
          <w:rFonts w:hint="default" w:ascii="Times New Roman" w:hAnsi="Times New Roman" w:cs="Times New Roman" w:eastAsiaTheme="minorEastAsia"/>
          <w:b w:val="0"/>
          <w:bCs w:val="0"/>
          <w:i w:val="0"/>
          <w:iCs w:val="0"/>
          <w:color w:val="auto"/>
          <w:sz w:val="24"/>
          <w:szCs w:val="24"/>
          <w:highlight w:val="none"/>
        </w:rPr>
        <w:fldChar w:fldCharType="begin"/>
      </w:r>
      <w:r>
        <w:rPr>
          <w:rFonts w:hint="default" w:ascii="Times New Roman" w:hAnsi="Times New Roman" w:cs="Times New Roman" w:eastAsiaTheme="minorEastAsia"/>
          <w:b w:val="0"/>
          <w:bCs w:val="0"/>
          <w:i w:val="0"/>
          <w:iCs w:val="0"/>
          <w:color w:val="auto"/>
          <w:sz w:val="24"/>
          <w:szCs w:val="24"/>
          <w:highlight w:val="none"/>
        </w:rPr>
        <w:instrText xml:space="preserve"> PAGEREF _Toc22609 </w:instrText>
      </w:r>
      <w:r>
        <w:rPr>
          <w:rFonts w:hint="default" w:ascii="Times New Roman" w:hAnsi="Times New Roman" w:cs="Times New Roman" w:eastAsiaTheme="minorEastAsia"/>
          <w:b w:val="0"/>
          <w:bCs w:val="0"/>
          <w:i w:val="0"/>
          <w:iCs w:val="0"/>
          <w:color w:val="auto"/>
          <w:sz w:val="24"/>
          <w:szCs w:val="24"/>
          <w:highlight w:val="none"/>
        </w:rPr>
        <w:fldChar w:fldCharType="separate"/>
      </w:r>
      <w:r>
        <w:rPr>
          <w:rFonts w:hint="default" w:ascii="Times New Roman" w:hAnsi="Times New Roman" w:cs="Times New Roman" w:eastAsiaTheme="minorEastAsia"/>
          <w:b w:val="0"/>
          <w:bCs w:val="0"/>
          <w:i w:val="0"/>
          <w:iCs w:val="0"/>
          <w:color w:val="auto"/>
          <w:sz w:val="24"/>
          <w:szCs w:val="24"/>
          <w:highlight w:val="none"/>
        </w:rPr>
        <w:t>103</w:t>
      </w:r>
      <w:r>
        <w:rPr>
          <w:rFonts w:hint="default" w:ascii="Times New Roman" w:hAnsi="Times New Roman" w:cs="Times New Roman" w:eastAsiaTheme="minorEastAsia"/>
          <w:b w:val="0"/>
          <w:bCs w:val="0"/>
          <w:i w:val="0"/>
          <w:iCs w:val="0"/>
          <w:color w:val="auto"/>
          <w:sz w:val="24"/>
          <w:szCs w:val="24"/>
          <w:highlight w:val="none"/>
        </w:rPr>
        <w:fldChar w:fldCharType="end"/>
      </w:r>
      <w:r>
        <w:rPr>
          <w:rFonts w:hint="default" w:ascii="Times New Roman" w:hAnsi="Times New Roman" w:cs="Times New Roman" w:eastAsiaTheme="minorEastAsia"/>
          <w:b w:val="0"/>
          <w:bCs w:val="0"/>
          <w:i w:val="0"/>
          <w:iCs w:val="0"/>
          <w:color w:val="auto"/>
          <w:sz w:val="24"/>
          <w:szCs w:val="24"/>
          <w:highlight w:val="none"/>
        </w:rPr>
        <w:fldChar w:fldCharType="end"/>
      </w:r>
    </w:p>
    <w:p>
      <w:pPr>
        <w:pStyle w:val="32"/>
        <w:keepNext w:val="0"/>
        <w:keepLines w:val="0"/>
        <w:pageBreakBefore w:val="0"/>
        <w:widowControl w:val="0"/>
        <w:tabs>
          <w:tab w:val="right" w:leader="dot" w:pos="9070"/>
          <w:tab w:val="clear" w:pos="600"/>
          <w:tab w:val="clear" w:pos="9060"/>
        </w:tabs>
        <w:kinsoku/>
        <w:wordWrap/>
        <w:overflowPunct/>
        <w:topLinePunct w:val="0"/>
        <w:autoSpaceDE/>
        <w:autoSpaceDN/>
        <w:bidi w:val="0"/>
        <w:snapToGrid w:val="0"/>
        <w:spacing w:before="0" w:line="400" w:lineRule="exact"/>
        <w:textAlignment w:val="auto"/>
        <w:rPr>
          <w:rFonts w:hint="default" w:ascii="Times New Roman" w:hAnsi="Times New Roman" w:cs="Times New Roman" w:eastAsiaTheme="minorEastAsia"/>
          <w:b w:val="0"/>
          <w:bCs w:val="0"/>
          <w:i w:val="0"/>
          <w:iCs w:val="0"/>
          <w:color w:val="auto"/>
          <w:sz w:val="24"/>
          <w:szCs w:val="24"/>
          <w:highlight w:val="none"/>
        </w:rPr>
      </w:pPr>
      <w:r>
        <w:rPr>
          <w:rFonts w:hint="default" w:ascii="Times New Roman" w:hAnsi="Times New Roman" w:cs="Times New Roman" w:eastAsiaTheme="minorEastAsia"/>
          <w:b w:val="0"/>
          <w:bCs w:val="0"/>
          <w:i w:val="0"/>
          <w:iCs w:val="0"/>
          <w:color w:val="auto"/>
          <w:sz w:val="24"/>
          <w:szCs w:val="24"/>
          <w:highlight w:val="none"/>
        </w:rPr>
        <w:fldChar w:fldCharType="begin"/>
      </w:r>
      <w:r>
        <w:rPr>
          <w:rFonts w:hint="default" w:ascii="Times New Roman" w:hAnsi="Times New Roman" w:cs="Times New Roman" w:eastAsiaTheme="minorEastAsia"/>
          <w:b w:val="0"/>
          <w:bCs w:val="0"/>
          <w:i w:val="0"/>
          <w:iCs w:val="0"/>
          <w:color w:val="auto"/>
          <w:sz w:val="24"/>
          <w:szCs w:val="24"/>
          <w:highlight w:val="none"/>
        </w:rPr>
        <w:instrText xml:space="preserve"> HYPERLINK \l _Toc18520 </w:instrText>
      </w:r>
      <w:r>
        <w:rPr>
          <w:rFonts w:hint="default" w:ascii="Times New Roman" w:hAnsi="Times New Roman" w:cs="Times New Roman" w:eastAsiaTheme="minorEastAsia"/>
          <w:b w:val="0"/>
          <w:bCs w:val="0"/>
          <w:i w:val="0"/>
          <w:iCs w:val="0"/>
          <w:color w:val="auto"/>
          <w:sz w:val="24"/>
          <w:szCs w:val="24"/>
          <w:highlight w:val="none"/>
        </w:rPr>
        <w:fldChar w:fldCharType="separate"/>
      </w:r>
      <w:r>
        <w:rPr>
          <w:rFonts w:hint="default" w:ascii="Times New Roman" w:hAnsi="Times New Roman" w:cs="Times New Roman" w:eastAsiaTheme="minorEastAsia"/>
          <w:b w:val="0"/>
          <w:bCs w:val="0"/>
          <w:i w:val="0"/>
          <w:iCs w:val="0"/>
          <w:color w:val="auto"/>
          <w:sz w:val="24"/>
          <w:szCs w:val="24"/>
          <w:highlight w:val="none"/>
        </w:rPr>
        <w:t>5.</w:t>
      </w:r>
      <w:r>
        <w:rPr>
          <w:rFonts w:hint="default" w:ascii="Times New Roman" w:hAnsi="Times New Roman" w:cs="Times New Roman" w:eastAsiaTheme="minorEastAsia"/>
          <w:b w:val="0"/>
          <w:bCs w:val="0"/>
          <w:i w:val="0"/>
          <w:iCs w:val="0"/>
          <w:color w:val="auto"/>
          <w:sz w:val="24"/>
          <w:szCs w:val="24"/>
          <w:highlight w:val="none"/>
          <w:lang w:val="en-US" w:eastAsia="zh-CN"/>
        </w:rPr>
        <w:t>5</w:t>
      </w:r>
      <w:r>
        <w:rPr>
          <w:rFonts w:hint="default" w:ascii="Times New Roman" w:hAnsi="Times New Roman" w:cs="Times New Roman" w:eastAsiaTheme="minorEastAsia"/>
          <w:b w:val="0"/>
          <w:bCs w:val="0"/>
          <w:i w:val="0"/>
          <w:iCs w:val="0"/>
          <w:color w:val="auto"/>
          <w:sz w:val="24"/>
          <w:szCs w:val="24"/>
          <w:highlight w:val="none"/>
        </w:rPr>
        <w:t xml:space="preserve"> 固体废物影响预测验证</w:t>
      </w:r>
      <w:r>
        <w:rPr>
          <w:rFonts w:hint="default" w:ascii="Times New Roman" w:hAnsi="Times New Roman" w:cs="Times New Roman" w:eastAsiaTheme="minorEastAsia"/>
          <w:b w:val="0"/>
          <w:bCs w:val="0"/>
          <w:i w:val="0"/>
          <w:iCs w:val="0"/>
          <w:color w:val="auto"/>
          <w:sz w:val="24"/>
          <w:szCs w:val="24"/>
          <w:highlight w:val="none"/>
        </w:rPr>
        <w:tab/>
      </w:r>
      <w:r>
        <w:rPr>
          <w:rFonts w:hint="default" w:ascii="Times New Roman" w:hAnsi="Times New Roman" w:cs="Times New Roman" w:eastAsiaTheme="minorEastAsia"/>
          <w:b w:val="0"/>
          <w:bCs w:val="0"/>
          <w:i w:val="0"/>
          <w:iCs w:val="0"/>
          <w:color w:val="auto"/>
          <w:sz w:val="24"/>
          <w:szCs w:val="24"/>
          <w:highlight w:val="none"/>
        </w:rPr>
        <w:fldChar w:fldCharType="begin"/>
      </w:r>
      <w:r>
        <w:rPr>
          <w:rFonts w:hint="default" w:ascii="Times New Roman" w:hAnsi="Times New Roman" w:cs="Times New Roman" w:eastAsiaTheme="minorEastAsia"/>
          <w:b w:val="0"/>
          <w:bCs w:val="0"/>
          <w:i w:val="0"/>
          <w:iCs w:val="0"/>
          <w:color w:val="auto"/>
          <w:sz w:val="24"/>
          <w:szCs w:val="24"/>
          <w:highlight w:val="none"/>
        </w:rPr>
        <w:instrText xml:space="preserve"> PAGEREF _Toc18520 </w:instrText>
      </w:r>
      <w:r>
        <w:rPr>
          <w:rFonts w:hint="default" w:ascii="Times New Roman" w:hAnsi="Times New Roman" w:cs="Times New Roman" w:eastAsiaTheme="minorEastAsia"/>
          <w:b w:val="0"/>
          <w:bCs w:val="0"/>
          <w:i w:val="0"/>
          <w:iCs w:val="0"/>
          <w:color w:val="auto"/>
          <w:sz w:val="24"/>
          <w:szCs w:val="24"/>
          <w:highlight w:val="none"/>
        </w:rPr>
        <w:fldChar w:fldCharType="separate"/>
      </w:r>
      <w:r>
        <w:rPr>
          <w:rFonts w:hint="default" w:ascii="Times New Roman" w:hAnsi="Times New Roman" w:cs="Times New Roman" w:eastAsiaTheme="minorEastAsia"/>
          <w:b w:val="0"/>
          <w:bCs w:val="0"/>
          <w:i w:val="0"/>
          <w:iCs w:val="0"/>
          <w:color w:val="auto"/>
          <w:sz w:val="24"/>
          <w:szCs w:val="24"/>
          <w:highlight w:val="none"/>
        </w:rPr>
        <w:t>104</w:t>
      </w:r>
      <w:r>
        <w:rPr>
          <w:rFonts w:hint="default" w:ascii="Times New Roman" w:hAnsi="Times New Roman" w:cs="Times New Roman" w:eastAsiaTheme="minorEastAsia"/>
          <w:b w:val="0"/>
          <w:bCs w:val="0"/>
          <w:i w:val="0"/>
          <w:iCs w:val="0"/>
          <w:color w:val="auto"/>
          <w:sz w:val="24"/>
          <w:szCs w:val="24"/>
          <w:highlight w:val="none"/>
        </w:rPr>
        <w:fldChar w:fldCharType="end"/>
      </w:r>
      <w:r>
        <w:rPr>
          <w:rFonts w:hint="default" w:ascii="Times New Roman" w:hAnsi="Times New Roman" w:cs="Times New Roman" w:eastAsiaTheme="minorEastAsia"/>
          <w:b w:val="0"/>
          <w:bCs w:val="0"/>
          <w:i w:val="0"/>
          <w:iCs w:val="0"/>
          <w:color w:val="auto"/>
          <w:sz w:val="24"/>
          <w:szCs w:val="24"/>
          <w:highlight w:val="none"/>
        </w:rPr>
        <w:fldChar w:fldCharType="end"/>
      </w:r>
    </w:p>
    <w:p>
      <w:pPr>
        <w:pStyle w:val="32"/>
        <w:keepNext w:val="0"/>
        <w:keepLines w:val="0"/>
        <w:pageBreakBefore w:val="0"/>
        <w:widowControl w:val="0"/>
        <w:tabs>
          <w:tab w:val="right" w:leader="dot" w:pos="9070"/>
          <w:tab w:val="clear" w:pos="600"/>
          <w:tab w:val="clear" w:pos="9060"/>
        </w:tabs>
        <w:kinsoku/>
        <w:wordWrap/>
        <w:overflowPunct/>
        <w:topLinePunct w:val="0"/>
        <w:autoSpaceDE/>
        <w:autoSpaceDN/>
        <w:bidi w:val="0"/>
        <w:snapToGrid w:val="0"/>
        <w:spacing w:before="0" w:line="400" w:lineRule="exact"/>
        <w:textAlignment w:val="auto"/>
        <w:rPr>
          <w:rFonts w:hint="default" w:ascii="Times New Roman" w:hAnsi="Times New Roman" w:cs="Times New Roman" w:eastAsiaTheme="minorEastAsia"/>
          <w:b w:val="0"/>
          <w:bCs w:val="0"/>
          <w:i w:val="0"/>
          <w:iCs w:val="0"/>
          <w:color w:val="auto"/>
          <w:sz w:val="24"/>
          <w:szCs w:val="24"/>
          <w:highlight w:val="none"/>
        </w:rPr>
      </w:pPr>
      <w:r>
        <w:rPr>
          <w:rFonts w:hint="default" w:ascii="Times New Roman" w:hAnsi="Times New Roman" w:cs="Times New Roman" w:eastAsiaTheme="minorEastAsia"/>
          <w:b w:val="0"/>
          <w:bCs w:val="0"/>
          <w:i w:val="0"/>
          <w:iCs w:val="0"/>
          <w:color w:val="auto"/>
          <w:sz w:val="24"/>
          <w:szCs w:val="24"/>
          <w:highlight w:val="none"/>
        </w:rPr>
        <w:fldChar w:fldCharType="begin"/>
      </w:r>
      <w:r>
        <w:rPr>
          <w:rFonts w:hint="default" w:ascii="Times New Roman" w:hAnsi="Times New Roman" w:cs="Times New Roman" w:eastAsiaTheme="minorEastAsia"/>
          <w:b w:val="0"/>
          <w:bCs w:val="0"/>
          <w:i w:val="0"/>
          <w:iCs w:val="0"/>
          <w:color w:val="auto"/>
          <w:sz w:val="24"/>
          <w:szCs w:val="24"/>
          <w:highlight w:val="none"/>
        </w:rPr>
        <w:instrText xml:space="preserve"> HYPERLINK \l _Toc13120 </w:instrText>
      </w:r>
      <w:r>
        <w:rPr>
          <w:rFonts w:hint="default" w:ascii="Times New Roman" w:hAnsi="Times New Roman" w:cs="Times New Roman" w:eastAsiaTheme="minorEastAsia"/>
          <w:b w:val="0"/>
          <w:bCs w:val="0"/>
          <w:i w:val="0"/>
          <w:iCs w:val="0"/>
          <w:color w:val="auto"/>
          <w:sz w:val="24"/>
          <w:szCs w:val="24"/>
          <w:highlight w:val="none"/>
        </w:rPr>
        <w:fldChar w:fldCharType="separate"/>
      </w:r>
      <w:r>
        <w:rPr>
          <w:rFonts w:hint="default" w:ascii="Times New Roman" w:hAnsi="Times New Roman" w:cs="Times New Roman" w:eastAsiaTheme="minorEastAsia"/>
          <w:b w:val="0"/>
          <w:bCs w:val="0"/>
          <w:i w:val="0"/>
          <w:iCs w:val="0"/>
          <w:color w:val="auto"/>
          <w:sz w:val="24"/>
          <w:szCs w:val="24"/>
          <w:highlight w:val="none"/>
          <w:lang w:val="en-US" w:eastAsia="zh-CN"/>
        </w:rPr>
        <w:t>5.6.环境风险分析验证</w:t>
      </w:r>
      <w:r>
        <w:rPr>
          <w:rFonts w:hint="default" w:ascii="Times New Roman" w:hAnsi="Times New Roman" w:cs="Times New Roman" w:eastAsiaTheme="minorEastAsia"/>
          <w:b w:val="0"/>
          <w:bCs w:val="0"/>
          <w:i w:val="0"/>
          <w:iCs w:val="0"/>
          <w:color w:val="auto"/>
          <w:sz w:val="24"/>
          <w:szCs w:val="24"/>
          <w:highlight w:val="none"/>
        </w:rPr>
        <w:tab/>
      </w:r>
      <w:r>
        <w:rPr>
          <w:rFonts w:hint="default" w:ascii="Times New Roman" w:hAnsi="Times New Roman" w:cs="Times New Roman" w:eastAsiaTheme="minorEastAsia"/>
          <w:b w:val="0"/>
          <w:bCs w:val="0"/>
          <w:i w:val="0"/>
          <w:iCs w:val="0"/>
          <w:color w:val="auto"/>
          <w:sz w:val="24"/>
          <w:szCs w:val="24"/>
          <w:highlight w:val="none"/>
        </w:rPr>
        <w:fldChar w:fldCharType="begin"/>
      </w:r>
      <w:r>
        <w:rPr>
          <w:rFonts w:hint="default" w:ascii="Times New Roman" w:hAnsi="Times New Roman" w:cs="Times New Roman" w:eastAsiaTheme="minorEastAsia"/>
          <w:b w:val="0"/>
          <w:bCs w:val="0"/>
          <w:i w:val="0"/>
          <w:iCs w:val="0"/>
          <w:color w:val="auto"/>
          <w:sz w:val="24"/>
          <w:szCs w:val="24"/>
          <w:highlight w:val="none"/>
        </w:rPr>
        <w:instrText xml:space="preserve"> PAGEREF _Toc13120 </w:instrText>
      </w:r>
      <w:r>
        <w:rPr>
          <w:rFonts w:hint="default" w:ascii="Times New Roman" w:hAnsi="Times New Roman" w:cs="Times New Roman" w:eastAsiaTheme="minorEastAsia"/>
          <w:b w:val="0"/>
          <w:bCs w:val="0"/>
          <w:i w:val="0"/>
          <w:iCs w:val="0"/>
          <w:color w:val="auto"/>
          <w:sz w:val="24"/>
          <w:szCs w:val="24"/>
          <w:highlight w:val="none"/>
        </w:rPr>
        <w:fldChar w:fldCharType="separate"/>
      </w:r>
      <w:r>
        <w:rPr>
          <w:rFonts w:hint="default" w:ascii="Times New Roman" w:hAnsi="Times New Roman" w:cs="Times New Roman" w:eastAsiaTheme="minorEastAsia"/>
          <w:b w:val="0"/>
          <w:bCs w:val="0"/>
          <w:i w:val="0"/>
          <w:iCs w:val="0"/>
          <w:color w:val="auto"/>
          <w:sz w:val="24"/>
          <w:szCs w:val="24"/>
          <w:highlight w:val="none"/>
        </w:rPr>
        <w:t>104</w:t>
      </w:r>
      <w:r>
        <w:rPr>
          <w:rFonts w:hint="default" w:ascii="Times New Roman" w:hAnsi="Times New Roman" w:cs="Times New Roman" w:eastAsiaTheme="minorEastAsia"/>
          <w:b w:val="0"/>
          <w:bCs w:val="0"/>
          <w:i w:val="0"/>
          <w:iCs w:val="0"/>
          <w:color w:val="auto"/>
          <w:sz w:val="24"/>
          <w:szCs w:val="24"/>
          <w:highlight w:val="none"/>
        </w:rPr>
        <w:fldChar w:fldCharType="end"/>
      </w:r>
      <w:r>
        <w:rPr>
          <w:rFonts w:hint="default" w:ascii="Times New Roman" w:hAnsi="Times New Roman" w:cs="Times New Roman" w:eastAsiaTheme="minorEastAsia"/>
          <w:b w:val="0"/>
          <w:bCs w:val="0"/>
          <w:i w:val="0"/>
          <w:iCs w:val="0"/>
          <w:color w:val="auto"/>
          <w:sz w:val="24"/>
          <w:szCs w:val="24"/>
          <w:highlight w:val="none"/>
        </w:rPr>
        <w:fldChar w:fldCharType="end"/>
      </w:r>
    </w:p>
    <w:p>
      <w:pPr>
        <w:pStyle w:val="26"/>
        <w:keepNext w:val="0"/>
        <w:keepLines w:val="0"/>
        <w:pageBreakBefore w:val="0"/>
        <w:widowControl w:val="0"/>
        <w:tabs>
          <w:tab w:val="right" w:leader="dot" w:pos="9070"/>
        </w:tabs>
        <w:kinsoku/>
        <w:wordWrap/>
        <w:overflowPunct/>
        <w:topLinePunct w:val="0"/>
        <w:autoSpaceDE/>
        <w:autoSpaceDN/>
        <w:bidi w:val="0"/>
        <w:snapToGrid w:val="0"/>
        <w:spacing w:before="0" w:line="400" w:lineRule="exact"/>
        <w:textAlignment w:val="auto"/>
        <w:rPr>
          <w:rFonts w:hint="default" w:ascii="Times New Roman" w:hAnsi="Times New Roman" w:eastAsia="黑体" w:cs="Times New Roman"/>
          <w:b w:val="0"/>
          <w:bCs w:val="0"/>
          <w:i w:val="0"/>
          <w:iCs w:val="0"/>
          <w:color w:val="auto"/>
          <w:sz w:val="24"/>
          <w:szCs w:val="24"/>
          <w:highlight w:val="none"/>
        </w:rPr>
      </w:pPr>
      <w:r>
        <w:rPr>
          <w:rFonts w:hint="default" w:ascii="Times New Roman" w:hAnsi="Times New Roman" w:eastAsia="黑体" w:cs="Times New Roman"/>
          <w:b w:val="0"/>
          <w:bCs w:val="0"/>
          <w:i w:val="0"/>
          <w:iCs w:val="0"/>
          <w:color w:val="auto"/>
          <w:sz w:val="24"/>
          <w:szCs w:val="24"/>
          <w:highlight w:val="none"/>
        </w:rPr>
        <w:fldChar w:fldCharType="begin"/>
      </w:r>
      <w:r>
        <w:rPr>
          <w:rFonts w:hint="default" w:ascii="Times New Roman" w:hAnsi="Times New Roman" w:eastAsia="黑体" w:cs="Times New Roman"/>
          <w:b w:val="0"/>
          <w:bCs w:val="0"/>
          <w:i w:val="0"/>
          <w:iCs w:val="0"/>
          <w:color w:val="auto"/>
          <w:sz w:val="24"/>
          <w:szCs w:val="24"/>
          <w:highlight w:val="none"/>
        </w:rPr>
        <w:instrText xml:space="preserve"> HYPERLINK \l _Toc10048 </w:instrText>
      </w:r>
      <w:r>
        <w:rPr>
          <w:rFonts w:hint="default" w:ascii="Times New Roman" w:hAnsi="Times New Roman" w:eastAsia="黑体" w:cs="Times New Roman"/>
          <w:b w:val="0"/>
          <w:bCs w:val="0"/>
          <w:i w:val="0"/>
          <w:iCs w:val="0"/>
          <w:color w:val="auto"/>
          <w:sz w:val="24"/>
          <w:szCs w:val="24"/>
          <w:highlight w:val="none"/>
        </w:rPr>
        <w:fldChar w:fldCharType="separate"/>
      </w:r>
      <w:r>
        <w:rPr>
          <w:rFonts w:hint="default" w:ascii="Times New Roman" w:hAnsi="Times New Roman" w:eastAsia="黑体" w:cs="Times New Roman"/>
          <w:b w:val="0"/>
          <w:bCs w:val="0"/>
          <w:i w:val="0"/>
          <w:iCs w:val="0"/>
          <w:color w:val="auto"/>
          <w:sz w:val="24"/>
          <w:szCs w:val="24"/>
          <w:highlight w:val="none"/>
          <w:lang w:val="en-US" w:eastAsia="zh-CN"/>
        </w:rPr>
        <w:t>6</w:t>
      </w:r>
      <w:r>
        <w:rPr>
          <w:rFonts w:hint="default" w:ascii="Times New Roman" w:hAnsi="Times New Roman" w:eastAsia="黑体" w:cs="Times New Roman"/>
          <w:b w:val="0"/>
          <w:bCs w:val="0"/>
          <w:i w:val="0"/>
          <w:iCs w:val="0"/>
          <w:color w:val="auto"/>
          <w:sz w:val="24"/>
          <w:szCs w:val="24"/>
          <w:highlight w:val="none"/>
        </w:rPr>
        <w:t>环境保护补救方案和改进情况</w:t>
      </w:r>
      <w:r>
        <w:rPr>
          <w:rFonts w:hint="default" w:ascii="Times New Roman" w:hAnsi="Times New Roman" w:eastAsia="黑体" w:cs="Times New Roman"/>
          <w:b w:val="0"/>
          <w:bCs w:val="0"/>
          <w:i w:val="0"/>
          <w:iCs w:val="0"/>
          <w:color w:val="auto"/>
          <w:sz w:val="24"/>
          <w:szCs w:val="24"/>
          <w:highlight w:val="none"/>
        </w:rPr>
        <w:tab/>
      </w:r>
      <w:r>
        <w:rPr>
          <w:rFonts w:hint="default" w:ascii="Times New Roman" w:hAnsi="Times New Roman" w:eastAsia="黑体" w:cs="Times New Roman"/>
          <w:b w:val="0"/>
          <w:bCs w:val="0"/>
          <w:i w:val="0"/>
          <w:iCs w:val="0"/>
          <w:color w:val="auto"/>
          <w:sz w:val="24"/>
          <w:szCs w:val="24"/>
          <w:highlight w:val="none"/>
        </w:rPr>
        <w:fldChar w:fldCharType="begin"/>
      </w:r>
      <w:r>
        <w:rPr>
          <w:rFonts w:hint="default" w:ascii="Times New Roman" w:hAnsi="Times New Roman" w:eastAsia="黑体" w:cs="Times New Roman"/>
          <w:b w:val="0"/>
          <w:bCs w:val="0"/>
          <w:i w:val="0"/>
          <w:iCs w:val="0"/>
          <w:color w:val="auto"/>
          <w:sz w:val="24"/>
          <w:szCs w:val="24"/>
          <w:highlight w:val="none"/>
        </w:rPr>
        <w:instrText xml:space="preserve"> PAGEREF _Toc10048 </w:instrText>
      </w:r>
      <w:r>
        <w:rPr>
          <w:rFonts w:hint="default" w:ascii="Times New Roman" w:hAnsi="Times New Roman" w:eastAsia="黑体" w:cs="Times New Roman"/>
          <w:b w:val="0"/>
          <w:bCs w:val="0"/>
          <w:i w:val="0"/>
          <w:iCs w:val="0"/>
          <w:color w:val="auto"/>
          <w:sz w:val="24"/>
          <w:szCs w:val="24"/>
          <w:highlight w:val="none"/>
        </w:rPr>
        <w:fldChar w:fldCharType="separate"/>
      </w:r>
      <w:r>
        <w:rPr>
          <w:rFonts w:hint="default" w:ascii="Times New Roman" w:hAnsi="Times New Roman" w:eastAsia="黑体" w:cs="Times New Roman"/>
          <w:b w:val="0"/>
          <w:bCs w:val="0"/>
          <w:i w:val="0"/>
          <w:iCs w:val="0"/>
          <w:color w:val="auto"/>
          <w:sz w:val="24"/>
          <w:szCs w:val="24"/>
          <w:highlight w:val="none"/>
        </w:rPr>
        <w:t>105</w:t>
      </w:r>
      <w:r>
        <w:rPr>
          <w:rFonts w:hint="default" w:ascii="Times New Roman" w:hAnsi="Times New Roman" w:eastAsia="黑体" w:cs="Times New Roman"/>
          <w:b w:val="0"/>
          <w:bCs w:val="0"/>
          <w:i w:val="0"/>
          <w:iCs w:val="0"/>
          <w:color w:val="auto"/>
          <w:sz w:val="24"/>
          <w:szCs w:val="24"/>
          <w:highlight w:val="none"/>
        </w:rPr>
        <w:fldChar w:fldCharType="end"/>
      </w:r>
      <w:r>
        <w:rPr>
          <w:rFonts w:hint="default" w:ascii="Times New Roman" w:hAnsi="Times New Roman" w:eastAsia="黑体" w:cs="Times New Roman"/>
          <w:b w:val="0"/>
          <w:bCs w:val="0"/>
          <w:i w:val="0"/>
          <w:iCs w:val="0"/>
          <w:color w:val="auto"/>
          <w:sz w:val="24"/>
          <w:szCs w:val="24"/>
          <w:highlight w:val="none"/>
        </w:rPr>
        <w:fldChar w:fldCharType="end"/>
      </w:r>
    </w:p>
    <w:p>
      <w:pPr>
        <w:pStyle w:val="32"/>
        <w:keepNext w:val="0"/>
        <w:keepLines w:val="0"/>
        <w:pageBreakBefore w:val="0"/>
        <w:widowControl w:val="0"/>
        <w:tabs>
          <w:tab w:val="right" w:leader="dot" w:pos="9070"/>
          <w:tab w:val="clear" w:pos="600"/>
          <w:tab w:val="clear" w:pos="9060"/>
        </w:tabs>
        <w:kinsoku/>
        <w:wordWrap/>
        <w:overflowPunct/>
        <w:topLinePunct w:val="0"/>
        <w:autoSpaceDE/>
        <w:autoSpaceDN/>
        <w:bidi w:val="0"/>
        <w:snapToGrid w:val="0"/>
        <w:spacing w:before="0" w:line="400" w:lineRule="exact"/>
        <w:textAlignment w:val="auto"/>
        <w:rPr>
          <w:rFonts w:hint="default" w:ascii="Times New Roman" w:hAnsi="Times New Roman" w:cs="Times New Roman" w:eastAsiaTheme="minorEastAsia"/>
          <w:b w:val="0"/>
          <w:bCs w:val="0"/>
          <w:i w:val="0"/>
          <w:iCs w:val="0"/>
          <w:color w:val="auto"/>
          <w:sz w:val="24"/>
          <w:szCs w:val="24"/>
          <w:highlight w:val="none"/>
        </w:rPr>
      </w:pPr>
      <w:r>
        <w:rPr>
          <w:rFonts w:hint="default" w:ascii="Times New Roman" w:hAnsi="Times New Roman" w:cs="Times New Roman" w:eastAsiaTheme="minorEastAsia"/>
          <w:b w:val="0"/>
          <w:bCs w:val="0"/>
          <w:i w:val="0"/>
          <w:iCs w:val="0"/>
          <w:color w:val="auto"/>
          <w:sz w:val="24"/>
          <w:szCs w:val="24"/>
          <w:highlight w:val="none"/>
        </w:rPr>
        <w:fldChar w:fldCharType="begin"/>
      </w:r>
      <w:r>
        <w:rPr>
          <w:rFonts w:hint="default" w:ascii="Times New Roman" w:hAnsi="Times New Roman" w:cs="Times New Roman" w:eastAsiaTheme="minorEastAsia"/>
          <w:b w:val="0"/>
          <w:bCs w:val="0"/>
          <w:i w:val="0"/>
          <w:iCs w:val="0"/>
          <w:color w:val="auto"/>
          <w:sz w:val="24"/>
          <w:szCs w:val="24"/>
          <w:highlight w:val="none"/>
        </w:rPr>
        <w:instrText xml:space="preserve"> HYPERLINK \l _Toc15369 </w:instrText>
      </w:r>
      <w:r>
        <w:rPr>
          <w:rFonts w:hint="default" w:ascii="Times New Roman" w:hAnsi="Times New Roman" w:cs="Times New Roman" w:eastAsiaTheme="minorEastAsia"/>
          <w:b w:val="0"/>
          <w:bCs w:val="0"/>
          <w:i w:val="0"/>
          <w:iCs w:val="0"/>
          <w:color w:val="auto"/>
          <w:sz w:val="24"/>
          <w:szCs w:val="24"/>
          <w:highlight w:val="none"/>
        </w:rPr>
        <w:fldChar w:fldCharType="separate"/>
      </w:r>
      <w:r>
        <w:rPr>
          <w:rFonts w:hint="default" w:ascii="Times New Roman" w:hAnsi="Times New Roman" w:cs="Times New Roman" w:eastAsiaTheme="minorEastAsia"/>
          <w:b w:val="0"/>
          <w:bCs w:val="0"/>
          <w:i w:val="0"/>
          <w:iCs w:val="0"/>
          <w:color w:val="auto"/>
          <w:sz w:val="24"/>
          <w:szCs w:val="24"/>
          <w:highlight w:val="none"/>
        </w:rPr>
        <w:t>6.1 环境保护补救方案</w:t>
      </w:r>
      <w:r>
        <w:rPr>
          <w:rFonts w:hint="default" w:ascii="Times New Roman" w:hAnsi="Times New Roman" w:cs="Times New Roman" w:eastAsiaTheme="minorEastAsia"/>
          <w:b w:val="0"/>
          <w:bCs w:val="0"/>
          <w:i w:val="0"/>
          <w:iCs w:val="0"/>
          <w:color w:val="auto"/>
          <w:sz w:val="24"/>
          <w:szCs w:val="24"/>
          <w:highlight w:val="none"/>
        </w:rPr>
        <w:tab/>
      </w:r>
      <w:r>
        <w:rPr>
          <w:rFonts w:hint="default" w:ascii="Times New Roman" w:hAnsi="Times New Roman" w:cs="Times New Roman" w:eastAsiaTheme="minorEastAsia"/>
          <w:b w:val="0"/>
          <w:bCs w:val="0"/>
          <w:i w:val="0"/>
          <w:iCs w:val="0"/>
          <w:color w:val="auto"/>
          <w:sz w:val="24"/>
          <w:szCs w:val="24"/>
          <w:highlight w:val="none"/>
        </w:rPr>
        <w:fldChar w:fldCharType="begin"/>
      </w:r>
      <w:r>
        <w:rPr>
          <w:rFonts w:hint="default" w:ascii="Times New Roman" w:hAnsi="Times New Roman" w:cs="Times New Roman" w:eastAsiaTheme="minorEastAsia"/>
          <w:b w:val="0"/>
          <w:bCs w:val="0"/>
          <w:i w:val="0"/>
          <w:iCs w:val="0"/>
          <w:color w:val="auto"/>
          <w:sz w:val="24"/>
          <w:szCs w:val="24"/>
          <w:highlight w:val="none"/>
        </w:rPr>
        <w:instrText xml:space="preserve"> PAGEREF _Toc15369 </w:instrText>
      </w:r>
      <w:r>
        <w:rPr>
          <w:rFonts w:hint="default" w:ascii="Times New Roman" w:hAnsi="Times New Roman" w:cs="Times New Roman" w:eastAsiaTheme="minorEastAsia"/>
          <w:b w:val="0"/>
          <w:bCs w:val="0"/>
          <w:i w:val="0"/>
          <w:iCs w:val="0"/>
          <w:color w:val="auto"/>
          <w:sz w:val="24"/>
          <w:szCs w:val="24"/>
          <w:highlight w:val="none"/>
        </w:rPr>
        <w:fldChar w:fldCharType="separate"/>
      </w:r>
      <w:r>
        <w:rPr>
          <w:rFonts w:hint="default" w:ascii="Times New Roman" w:hAnsi="Times New Roman" w:cs="Times New Roman" w:eastAsiaTheme="minorEastAsia"/>
          <w:b w:val="0"/>
          <w:bCs w:val="0"/>
          <w:i w:val="0"/>
          <w:iCs w:val="0"/>
          <w:color w:val="auto"/>
          <w:sz w:val="24"/>
          <w:szCs w:val="24"/>
          <w:highlight w:val="none"/>
        </w:rPr>
        <w:t>105</w:t>
      </w:r>
      <w:r>
        <w:rPr>
          <w:rFonts w:hint="default" w:ascii="Times New Roman" w:hAnsi="Times New Roman" w:cs="Times New Roman" w:eastAsiaTheme="minorEastAsia"/>
          <w:b w:val="0"/>
          <w:bCs w:val="0"/>
          <w:i w:val="0"/>
          <w:iCs w:val="0"/>
          <w:color w:val="auto"/>
          <w:sz w:val="24"/>
          <w:szCs w:val="24"/>
          <w:highlight w:val="none"/>
        </w:rPr>
        <w:fldChar w:fldCharType="end"/>
      </w:r>
      <w:r>
        <w:rPr>
          <w:rFonts w:hint="default" w:ascii="Times New Roman" w:hAnsi="Times New Roman" w:cs="Times New Roman" w:eastAsiaTheme="minorEastAsia"/>
          <w:b w:val="0"/>
          <w:bCs w:val="0"/>
          <w:i w:val="0"/>
          <w:iCs w:val="0"/>
          <w:color w:val="auto"/>
          <w:sz w:val="24"/>
          <w:szCs w:val="24"/>
          <w:highlight w:val="none"/>
        </w:rPr>
        <w:fldChar w:fldCharType="end"/>
      </w:r>
    </w:p>
    <w:p>
      <w:pPr>
        <w:pStyle w:val="32"/>
        <w:keepNext w:val="0"/>
        <w:keepLines w:val="0"/>
        <w:pageBreakBefore w:val="0"/>
        <w:widowControl w:val="0"/>
        <w:tabs>
          <w:tab w:val="right" w:leader="dot" w:pos="9070"/>
          <w:tab w:val="clear" w:pos="600"/>
          <w:tab w:val="clear" w:pos="9060"/>
        </w:tabs>
        <w:kinsoku/>
        <w:wordWrap/>
        <w:overflowPunct/>
        <w:topLinePunct w:val="0"/>
        <w:autoSpaceDE/>
        <w:autoSpaceDN/>
        <w:bidi w:val="0"/>
        <w:snapToGrid w:val="0"/>
        <w:spacing w:before="0" w:line="400" w:lineRule="exact"/>
        <w:textAlignment w:val="auto"/>
        <w:rPr>
          <w:rFonts w:hint="default" w:ascii="Times New Roman" w:hAnsi="Times New Roman" w:cs="Times New Roman" w:eastAsiaTheme="minorEastAsia"/>
          <w:b w:val="0"/>
          <w:bCs w:val="0"/>
          <w:i w:val="0"/>
          <w:iCs w:val="0"/>
          <w:color w:val="auto"/>
          <w:sz w:val="24"/>
          <w:szCs w:val="24"/>
          <w:highlight w:val="none"/>
        </w:rPr>
      </w:pPr>
      <w:r>
        <w:rPr>
          <w:rFonts w:hint="default" w:ascii="Times New Roman" w:hAnsi="Times New Roman" w:cs="Times New Roman" w:eastAsiaTheme="minorEastAsia"/>
          <w:b w:val="0"/>
          <w:bCs w:val="0"/>
          <w:i w:val="0"/>
          <w:iCs w:val="0"/>
          <w:color w:val="auto"/>
          <w:sz w:val="24"/>
          <w:szCs w:val="24"/>
          <w:highlight w:val="none"/>
        </w:rPr>
        <w:fldChar w:fldCharType="begin"/>
      </w:r>
      <w:r>
        <w:rPr>
          <w:rFonts w:hint="default" w:ascii="Times New Roman" w:hAnsi="Times New Roman" w:cs="Times New Roman" w:eastAsiaTheme="minorEastAsia"/>
          <w:b w:val="0"/>
          <w:bCs w:val="0"/>
          <w:i w:val="0"/>
          <w:iCs w:val="0"/>
          <w:color w:val="auto"/>
          <w:sz w:val="24"/>
          <w:szCs w:val="24"/>
          <w:highlight w:val="none"/>
        </w:rPr>
        <w:instrText xml:space="preserve"> HYPERLINK \l _Toc15998 </w:instrText>
      </w:r>
      <w:r>
        <w:rPr>
          <w:rFonts w:hint="default" w:ascii="Times New Roman" w:hAnsi="Times New Roman" w:cs="Times New Roman" w:eastAsiaTheme="minorEastAsia"/>
          <w:b w:val="0"/>
          <w:bCs w:val="0"/>
          <w:i w:val="0"/>
          <w:iCs w:val="0"/>
          <w:color w:val="auto"/>
          <w:sz w:val="24"/>
          <w:szCs w:val="24"/>
          <w:highlight w:val="none"/>
        </w:rPr>
        <w:fldChar w:fldCharType="separate"/>
      </w:r>
      <w:r>
        <w:rPr>
          <w:rFonts w:hint="default" w:ascii="Times New Roman" w:hAnsi="Times New Roman" w:cs="Times New Roman" w:eastAsiaTheme="minorEastAsia"/>
          <w:b w:val="0"/>
          <w:bCs w:val="0"/>
          <w:i w:val="0"/>
          <w:iCs w:val="0"/>
          <w:color w:val="auto"/>
          <w:sz w:val="24"/>
          <w:szCs w:val="24"/>
          <w:highlight w:val="none"/>
        </w:rPr>
        <w:t>6.2</w:t>
      </w:r>
      <w:r>
        <w:rPr>
          <w:rFonts w:hint="default" w:ascii="Times New Roman" w:hAnsi="Times New Roman" w:cs="Times New Roman" w:eastAsiaTheme="minorEastAsia"/>
          <w:b w:val="0"/>
          <w:bCs w:val="0"/>
          <w:i w:val="0"/>
          <w:iCs w:val="0"/>
          <w:color w:val="auto"/>
          <w:sz w:val="24"/>
          <w:szCs w:val="24"/>
          <w:highlight w:val="none"/>
          <w:lang w:val="en-US" w:eastAsia="zh-CN"/>
        </w:rPr>
        <w:t xml:space="preserve"> </w:t>
      </w:r>
      <w:r>
        <w:rPr>
          <w:rFonts w:hint="default" w:ascii="Times New Roman" w:hAnsi="Times New Roman" w:cs="Times New Roman" w:eastAsiaTheme="minorEastAsia"/>
          <w:b w:val="0"/>
          <w:bCs w:val="0"/>
          <w:i w:val="0"/>
          <w:iCs w:val="0"/>
          <w:color w:val="auto"/>
          <w:sz w:val="24"/>
          <w:szCs w:val="24"/>
          <w:highlight w:val="none"/>
        </w:rPr>
        <w:t>环保改进措施</w:t>
      </w:r>
      <w:r>
        <w:rPr>
          <w:rFonts w:hint="default" w:ascii="Times New Roman" w:hAnsi="Times New Roman" w:cs="Times New Roman" w:eastAsiaTheme="minorEastAsia"/>
          <w:b w:val="0"/>
          <w:bCs w:val="0"/>
          <w:i w:val="0"/>
          <w:iCs w:val="0"/>
          <w:color w:val="auto"/>
          <w:sz w:val="24"/>
          <w:szCs w:val="24"/>
          <w:highlight w:val="none"/>
        </w:rPr>
        <w:tab/>
      </w:r>
      <w:r>
        <w:rPr>
          <w:rFonts w:hint="default" w:ascii="Times New Roman" w:hAnsi="Times New Roman" w:cs="Times New Roman" w:eastAsiaTheme="minorEastAsia"/>
          <w:b w:val="0"/>
          <w:bCs w:val="0"/>
          <w:i w:val="0"/>
          <w:iCs w:val="0"/>
          <w:color w:val="auto"/>
          <w:sz w:val="24"/>
          <w:szCs w:val="24"/>
          <w:highlight w:val="none"/>
        </w:rPr>
        <w:fldChar w:fldCharType="begin"/>
      </w:r>
      <w:r>
        <w:rPr>
          <w:rFonts w:hint="default" w:ascii="Times New Roman" w:hAnsi="Times New Roman" w:cs="Times New Roman" w:eastAsiaTheme="minorEastAsia"/>
          <w:b w:val="0"/>
          <w:bCs w:val="0"/>
          <w:i w:val="0"/>
          <w:iCs w:val="0"/>
          <w:color w:val="auto"/>
          <w:sz w:val="24"/>
          <w:szCs w:val="24"/>
          <w:highlight w:val="none"/>
        </w:rPr>
        <w:instrText xml:space="preserve"> PAGEREF _Toc15998 </w:instrText>
      </w:r>
      <w:r>
        <w:rPr>
          <w:rFonts w:hint="default" w:ascii="Times New Roman" w:hAnsi="Times New Roman" w:cs="Times New Roman" w:eastAsiaTheme="minorEastAsia"/>
          <w:b w:val="0"/>
          <w:bCs w:val="0"/>
          <w:i w:val="0"/>
          <w:iCs w:val="0"/>
          <w:color w:val="auto"/>
          <w:sz w:val="24"/>
          <w:szCs w:val="24"/>
          <w:highlight w:val="none"/>
        </w:rPr>
        <w:fldChar w:fldCharType="separate"/>
      </w:r>
      <w:r>
        <w:rPr>
          <w:rFonts w:hint="default" w:ascii="Times New Roman" w:hAnsi="Times New Roman" w:cs="Times New Roman" w:eastAsiaTheme="minorEastAsia"/>
          <w:b w:val="0"/>
          <w:bCs w:val="0"/>
          <w:i w:val="0"/>
          <w:iCs w:val="0"/>
          <w:color w:val="auto"/>
          <w:sz w:val="24"/>
          <w:szCs w:val="24"/>
          <w:highlight w:val="none"/>
        </w:rPr>
        <w:t>105</w:t>
      </w:r>
      <w:r>
        <w:rPr>
          <w:rFonts w:hint="default" w:ascii="Times New Roman" w:hAnsi="Times New Roman" w:cs="Times New Roman" w:eastAsiaTheme="minorEastAsia"/>
          <w:b w:val="0"/>
          <w:bCs w:val="0"/>
          <w:i w:val="0"/>
          <w:iCs w:val="0"/>
          <w:color w:val="auto"/>
          <w:sz w:val="24"/>
          <w:szCs w:val="24"/>
          <w:highlight w:val="none"/>
        </w:rPr>
        <w:fldChar w:fldCharType="end"/>
      </w:r>
      <w:r>
        <w:rPr>
          <w:rFonts w:hint="default" w:ascii="Times New Roman" w:hAnsi="Times New Roman" w:cs="Times New Roman" w:eastAsiaTheme="minorEastAsia"/>
          <w:b w:val="0"/>
          <w:bCs w:val="0"/>
          <w:i w:val="0"/>
          <w:iCs w:val="0"/>
          <w:color w:val="auto"/>
          <w:sz w:val="24"/>
          <w:szCs w:val="24"/>
          <w:highlight w:val="none"/>
        </w:rPr>
        <w:fldChar w:fldCharType="end"/>
      </w:r>
    </w:p>
    <w:p>
      <w:pPr>
        <w:pStyle w:val="26"/>
        <w:keepNext w:val="0"/>
        <w:keepLines w:val="0"/>
        <w:pageBreakBefore w:val="0"/>
        <w:widowControl w:val="0"/>
        <w:tabs>
          <w:tab w:val="right" w:leader="dot" w:pos="9070"/>
        </w:tabs>
        <w:kinsoku/>
        <w:wordWrap/>
        <w:overflowPunct/>
        <w:topLinePunct w:val="0"/>
        <w:autoSpaceDE/>
        <w:autoSpaceDN/>
        <w:bidi w:val="0"/>
        <w:snapToGrid w:val="0"/>
        <w:spacing w:before="0" w:line="400" w:lineRule="exact"/>
        <w:textAlignment w:val="auto"/>
        <w:rPr>
          <w:rFonts w:hint="default" w:ascii="Times New Roman" w:hAnsi="Times New Roman" w:eastAsia="黑体" w:cs="Times New Roman"/>
          <w:b w:val="0"/>
          <w:bCs w:val="0"/>
          <w:i w:val="0"/>
          <w:iCs w:val="0"/>
          <w:color w:val="auto"/>
          <w:sz w:val="24"/>
          <w:szCs w:val="24"/>
          <w:highlight w:val="none"/>
        </w:rPr>
      </w:pPr>
      <w:r>
        <w:rPr>
          <w:rFonts w:hint="default" w:ascii="Times New Roman" w:hAnsi="Times New Roman" w:eastAsia="黑体" w:cs="Times New Roman"/>
          <w:b w:val="0"/>
          <w:bCs w:val="0"/>
          <w:i w:val="0"/>
          <w:iCs w:val="0"/>
          <w:color w:val="auto"/>
          <w:sz w:val="24"/>
          <w:szCs w:val="24"/>
          <w:highlight w:val="none"/>
        </w:rPr>
        <w:fldChar w:fldCharType="begin"/>
      </w:r>
      <w:r>
        <w:rPr>
          <w:rFonts w:hint="default" w:ascii="Times New Roman" w:hAnsi="Times New Roman" w:eastAsia="黑体" w:cs="Times New Roman"/>
          <w:b w:val="0"/>
          <w:bCs w:val="0"/>
          <w:i w:val="0"/>
          <w:iCs w:val="0"/>
          <w:color w:val="auto"/>
          <w:sz w:val="24"/>
          <w:szCs w:val="24"/>
          <w:highlight w:val="none"/>
        </w:rPr>
        <w:instrText xml:space="preserve"> HYPERLINK \l _Toc31524 </w:instrText>
      </w:r>
      <w:r>
        <w:rPr>
          <w:rFonts w:hint="default" w:ascii="Times New Roman" w:hAnsi="Times New Roman" w:eastAsia="黑体" w:cs="Times New Roman"/>
          <w:b w:val="0"/>
          <w:bCs w:val="0"/>
          <w:i w:val="0"/>
          <w:iCs w:val="0"/>
          <w:color w:val="auto"/>
          <w:sz w:val="24"/>
          <w:szCs w:val="24"/>
          <w:highlight w:val="none"/>
        </w:rPr>
        <w:fldChar w:fldCharType="separate"/>
      </w:r>
      <w:r>
        <w:rPr>
          <w:rFonts w:hint="default" w:ascii="Times New Roman" w:hAnsi="Times New Roman" w:eastAsia="黑体" w:cs="Times New Roman"/>
          <w:b w:val="0"/>
          <w:bCs w:val="0"/>
          <w:i w:val="0"/>
          <w:iCs w:val="0"/>
          <w:color w:val="auto"/>
          <w:sz w:val="24"/>
          <w:szCs w:val="24"/>
          <w:highlight w:val="none"/>
        </w:rPr>
        <w:t>7环境影响后评价结论</w:t>
      </w:r>
      <w:r>
        <w:rPr>
          <w:rFonts w:hint="default" w:ascii="Times New Roman" w:hAnsi="Times New Roman" w:eastAsia="黑体" w:cs="Times New Roman"/>
          <w:b w:val="0"/>
          <w:bCs w:val="0"/>
          <w:i w:val="0"/>
          <w:iCs w:val="0"/>
          <w:color w:val="auto"/>
          <w:sz w:val="24"/>
          <w:szCs w:val="24"/>
          <w:highlight w:val="none"/>
        </w:rPr>
        <w:tab/>
      </w:r>
      <w:r>
        <w:rPr>
          <w:rFonts w:hint="default" w:ascii="Times New Roman" w:hAnsi="Times New Roman" w:eastAsia="黑体" w:cs="Times New Roman"/>
          <w:b w:val="0"/>
          <w:bCs w:val="0"/>
          <w:i w:val="0"/>
          <w:iCs w:val="0"/>
          <w:color w:val="auto"/>
          <w:sz w:val="24"/>
          <w:szCs w:val="24"/>
          <w:highlight w:val="none"/>
        </w:rPr>
        <w:fldChar w:fldCharType="begin"/>
      </w:r>
      <w:r>
        <w:rPr>
          <w:rFonts w:hint="default" w:ascii="Times New Roman" w:hAnsi="Times New Roman" w:eastAsia="黑体" w:cs="Times New Roman"/>
          <w:b w:val="0"/>
          <w:bCs w:val="0"/>
          <w:i w:val="0"/>
          <w:iCs w:val="0"/>
          <w:color w:val="auto"/>
          <w:sz w:val="24"/>
          <w:szCs w:val="24"/>
          <w:highlight w:val="none"/>
        </w:rPr>
        <w:instrText xml:space="preserve"> PAGEREF _Toc31524 </w:instrText>
      </w:r>
      <w:r>
        <w:rPr>
          <w:rFonts w:hint="default" w:ascii="Times New Roman" w:hAnsi="Times New Roman" w:eastAsia="黑体" w:cs="Times New Roman"/>
          <w:b w:val="0"/>
          <w:bCs w:val="0"/>
          <w:i w:val="0"/>
          <w:iCs w:val="0"/>
          <w:color w:val="auto"/>
          <w:sz w:val="24"/>
          <w:szCs w:val="24"/>
          <w:highlight w:val="none"/>
        </w:rPr>
        <w:fldChar w:fldCharType="separate"/>
      </w:r>
      <w:r>
        <w:rPr>
          <w:rFonts w:hint="default" w:ascii="Times New Roman" w:hAnsi="Times New Roman" w:eastAsia="黑体" w:cs="Times New Roman"/>
          <w:b w:val="0"/>
          <w:bCs w:val="0"/>
          <w:i w:val="0"/>
          <w:iCs w:val="0"/>
          <w:color w:val="auto"/>
          <w:sz w:val="24"/>
          <w:szCs w:val="24"/>
          <w:highlight w:val="none"/>
        </w:rPr>
        <w:t>106</w:t>
      </w:r>
      <w:r>
        <w:rPr>
          <w:rFonts w:hint="default" w:ascii="Times New Roman" w:hAnsi="Times New Roman" w:eastAsia="黑体" w:cs="Times New Roman"/>
          <w:b w:val="0"/>
          <w:bCs w:val="0"/>
          <w:i w:val="0"/>
          <w:iCs w:val="0"/>
          <w:color w:val="auto"/>
          <w:sz w:val="24"/>
          <w:szCs w:val="24"/>
          <w:highlight w:val="none"/>
        </w:rPr>
        <w:fldChar w:fldCharType="end"/>
      </w:r>
      <w:r>
        <w:rPr>
          <w:rFonts w:hint="default" w:ascii="Times New Roman" w:hAnsi="Times New Roman" w:eastAsia="黑体" w:cs="Times New Roman"/>
          <w:b w:val="0"/>
          <w:bCs w:val="0"/>
          <w:i w:val="0"/>
          <w:iCs w:val="0"/>
          <w:color w:val="auto"/>
          <w:sz w:val="24"/>
          <w:szCs w:val="24"/>
          <w:highlight w:val="none"/>
        </w:rPr>
        <w:fldChar w:fldCharType="end"/>
      </w:r>
    </w:p>
    <w:p>
      <w:pPr>
        <w:pStyle w:val="32"/>
        <w:keepNext w:val="0"/>
        <w:keepLines w:val="0"/>
        <w:pageBreakBefore w:val="0"/>
        <w:widowControl w:val="0"/>
        <w:tabs>
          <w:tab w:val="right" w:leader="dot" w:pos="9070"/>
          <w:tab w:val="clear" w:pos="600"/>
          <w:tab w:val="clear" w:pos="9060"/>
        </w:tabs>
        <w:kinsoku/>
        <w:wordWrap/>
        <w:overflowPunct/>
        <w:topLinePunct w:val="0"/>
        <w:autoSpaceDE/>
        <w:autoSpaceDN/>
        <w:bidi w:val="0"/>
        <w:snapToGrid w:val="0"/>
        <w:spacing w:before="0" w:line="400" w:lineRule="exact"/>
        <w:textAlignment w:val="auto"/>
        <w:rPr>
          <w:rFonts w:hint="default" w:ascii="Times New Roman" w:hAnsi="Times New Roman" w:cs="Times New Roman" w:eastAsiaTheme="minorEastAsia"/>
          <w:b w:val="0"/>
          <w:bCs w:val="0"/>
          <w:i w:val="0"/>
          <w:iCs w:val="0"/>
          <w:color w:val="auto"/>
          <w:sz w:val="24"/>
          <w:szCs w:val="24"/>
          <w:highlight w:val="none"/>
        </w:rPr>
      </w:pPr>
      <w:r>
        <w:rPr>
          <w:rFonts w:hint="default" w:ascii="Times New Roman" w:hAnsi="Times New Roman" w:cs="Times New Roman" w:eastAsiaTheme="minorEastAsia"/>
          <w:b w:val="0"/>
          <w:bCs w:val="0"/>
          <w:i w:val="0"/>
          <w:iCs w:val="0"/>
          <w:color w:val="auto"/>
          <w:sz w:val="24"/>
          <w:szCs w:val="24"/>
          <w:highlight w:val="none"/>
        </w:rPr>
        <w:fldChar w:fldCharType="begin"/>
      </w:r>
      <w:r>
        <w:rPr>
          <w:rFonts w:hint="default" w:ascii="Times New Roman" w:hAnsi="Times New Roman" w:cs="Times New Roman" w:eastAsiaTheme="minorEastAsia"/>
          <w:b w:val="0"/>
          <w:bCs w:val="0"/>
          <w:i w:val="0"/>
          <w:iCs w:val="0"/>
          <w:color w:val="auto"/>
          <w:sz w:val="24"/>
          <w:szCs w:val="24"/>
          <w:highlight w:val="none"/>
        </w:rPr>
        <w:instrText xml:space="preserve"> HYPERLINK \l _Toc9687 </w:instrText>
      </w:r>
      <w:r>
        <w:rPr>
          <w:rFonts w:hint="default" w:ascii="Times New Roman" w:hAnsi="Times New Roman" w:cs="Times New Roman" w:eastAsiaTheme="minorEastAsia"/>
          <w:b w:val="0"/>
          <w:bCs w:val="0"/>
          <w:i w:val="0"/>
          <w:iCs w:val="0"/>
          <w:color w:val="auto"/>
          <w:sz w:val="24"/>
          <w:szCs w:val="24"/>
          <w:highlight w:val="none"/>
        </w:rPr>
        <w:fldChar w:fldCharType="separate"/>
      </w:r>
      <w:r>
        <w:rPr>
          <w:rFonts w:hint="default" w:ascii="Times New Roman" w:hAnsi="Times New Roman" w:cs="Times New Roman" w:eastAsiaTheme="minorEastAsia"/>
          <w:b w:val="0"/>
          <w:bCs w:val="0"/>
          <w:i w:val="0"/>
          <w:iCs w:val="0"/>
          <w:color w:val="auto"/>
          <w:sz w:val="24"/>
          <w:szCs w:val="24"/>
          <w:highlight w:val="none"/>
          <w:lang w:val="en-US" w:eastAsia="zh-CN"/>
        </w:rPr>
        <w:t xml:space="preserve">7.1 </w:t>
      </w:r>
      <w:r>
        <w:rPr>
          <w:rFonts w:hint="default" w:ascii="Times New Roman" w:hAnsi="Times New Roman" w:cs="Times New Roman" w:eastAsiaTheme="minorEastAsia"/>
          <w:b w:val="0"/>
          <w:bCs w:val="0"/>
          <w:i w:val="0"/>
          <w:iCs w:val="0"/>
          <w:color w:val="auto"/>
          <w:sz w:val="24"/>
          <w:szCs w:val="24"/>
          <w:highlight w:val="none"/>
        </w:rPr>
        <w:t>项目概况</w:t>
      </w:r>
      <w:r>
        <w:rPr>
          <w:rFonts w:hint="default" w:ascii="Times New Roman" w:hAnsi="Times New Roman" w:cs="Times New Roman" w:eastAsiaTheme="minorEastAsia"/>
          <w:b w:val="0"/>
          <w:bCs w:val="0"/>
          <w:i w:val="0"/>
          <w:iCs w:val="0"/>
          <w:color w:val="auto"/>
          <w:sz w:val="24"/>
          <w:szCs w:val="24"/>
          <w:highlight w:val="none"/>
        </w:rPr>
        <w:tab/>
      </w:r>
      <w:r>
        <w:rPr>
          <w:rFonts w:hint="default" w:ascii="Times New Roman" w:hAnsi="Times New Roman" w:cs="Times New Roman" w:eastAsiaTheme="minorEastAsia"/>
          <w:b w:val="0"/>
          <w:bCs w:val="0"/>
          <w:i w:val="0"/>
          <w:iCs w:val="0"/>
          <w:color w:val="auto"/>
          <w:sz w:val="24"/>
          <w:szCs w:val="24"/>
          <w:highlight w:val="none"/>
        </w:rPr>
        <w:fldChar w:fldCharType="begin"/>
      </w:r>
      <w:r>
        <w:rPr>
          <w:rFonts w:hint="default" w:ascii="Times New Roman" w:hAnsi="Times New Roman" w:cs="Times New Roman" w:eastAsiaTheme="minorEastAsia"/>
          <w:b w:val="0"/>
          <w:bCs w:val="0"/>
          <w:i w:val="0"/>
          <w:iCs w:val="0"/>
          <w:color w:val="auto"/>
          <w:sz w:val="24"/>
          <w:szCs w:val="24"/>
          <w:highlight w:val="none"/>
        </w:rPr>
        <w:instrText xml:space="preserve"> PAGEREF _Toc9687 </w:instrText>
      </w:r>
      <w:r>
        <w:rPr>
          <w:rFonts w:hint="default" w:ascii="Times New Roman" w:hAnsi="Times New Roman" w:cs="Times New Roman" w:eastAsiaTheme="minorEastAsia"/>
          <w:b w:val="0"/>
          <w:bCs w:val="0"/>
          <w:i w:val="0"/>
          <w:iCs w:val="0"/>
          <w:color w:val="auto"/>
          <w:sz w:val="24"/>
          <w:szCs w:val="24"/>
          <w:highlight w:val="none"/>
        </w:rPr>
        <w:fldChar w:fldCharType="separate"/>
      </w:r>
      <w:r>
        <w:rPr>
          <w:rFonts w:hint="default" w:ascii="Times New Roman" w:hAnsi="Times New Roman" w:cs="Times New Roman" w:eastAsiaTheme="minorEastAsia"/>
          <w:b w:val="0"/>
          <w:bCs w:val="0"/>
          <w:i w:val="0"/>
          <w:iCs w:val="0"/>
          <w:color w:val="auto"/>
          <w:sz w:val="24"/>
          <w:szCs w:val="24"/>
          <w:highlight w:val="none"/>
        </w:rPr>
        <w:t>106</w:t>
      </w:r>
      <w:r>
        <w:rPr>
          <w:rFonts w:hint="default" w:ascii="Times New Roman" w:hAnsi="Times New Roman" w:cs="Times New Roman" w:eastAsiaTheme="minorEastAsia"/>
          <w:b w:val="0"/>
          <w:bCs w:val="0"/>
          <w:i w:val="0"/>
          <w:iCs w:val="0"/>
          <w:color w:val="auto"/>
          <w:sz w:val="24"/>
          <w:szCs w:val="24"/>
          <w:highlight w:val="none"/>
        </w:rPr>
        <w:fldChar w:fldCharType="end"/>
      </w:r>
      <w:r>
        <w:rPr>
          <w:rFonts w:hint="default" w:ascii="Times New Roman" w:hAnsi="Times New Roman" w:cs="Times New Roman" w:eastAsiaTheme="minorEastAsia"/>
          <w:b w:val="0"/>
          <w:bCs w:val="0"/>
          <w:i w:val="0"/>
          <w:iCs w:val="0"/>
          <w:color w:val="auto"/>
          <w:sz w:val="24"/>
          <w:szCs w:val="24"/>
          <w:highlight w:val="none"/>
        </w:rPr>
        <w:fldChar w:fldCharType="end"/>
      </w:r>
    </w:p>
    <w:p>
      <w:pPr>
        <w:pStyle w:val="32"/>
        <w:keepNext w:val="0"/>
        <w:keepLines w:val="0"/>
        <w:pageBreakBefore w:val="0"/>
        <w:widowControl w:val="0"/>
        <w:tabs>
          <w:tab w:val="right" w:leader="dot" w:pos="9070"/>
          <w:tab w:val="clear" w:pos="600"/>
          <w:tab w:val="clear" w:pos="9060"/>
        </w:tabs>
        <w:kinsoku/>
        <w:wordWrap/>
        <w:overflowPunct/>
        <w:topLinePunct w:val="0"/>
        <w:autoSpaceDE/>
        <w:autoSpaceDN/>
        <w:bidi w:val="0"/>
        <w:snapToGrid w:val="0"/>
        <w:spacing w:before="0" w:line="400" w:lineRule="exact"/>
        <w:textAlignment w:val="auto"/>
        <w:rPr>
          <w:rFonts w:hint="default" w:ascii="Times New Roman" w:hAnsi="Times New Roman" w:cs="Times New Roman" w:eastAsiaTheme="minorEastAsia"/>
          <w:b w:val="0"/>
          <w:bCs w:val="0"/>
          <w:i w:val="0"/>
          <w:iCs w:val="0"/>
          <w:color w:val="auto"/>
          <w:sz w:val="24"/>
          <w:szCs w:val="24"/>
          <w:highlight w:val="none"/>
        </w:rPr>
      </w:pPr>
      <w:r>
        <w:rPr>
          <w:rFonts w:hint="default" w:ascii="Times New Roman" w:hAnsi="Times New Roman" w:cs="Times New Roman" w:eastAsiaTheme="minorEastAsia"/>
          <w:b w:val="0"/>
          <w:bCs w:val="0"/>
          <w:i w:val="0"/>
          <w:iCs w:val="0"/>
          <w:color w:val="auto"/>
          <w:sz w:val="24"/>
          <w:szCs w:val="24"/>
          <w:highlight w:val="none"/>
        </w:rPr>
        <w:fldChar w:fldCharType="begin"/>
      </w:r>
      <w:r>
        <w:rPr>
          <w:rFonts w:hint="default" w:ascii="Times New Roman" w:hAnsi="Times New Roman" w:cs="Times New Roman" w:eastAsiaTheme="minorEastAsia"/>
          <w:b w:val="0"/>
          <w:bCs w:val="0"/>
          <w:i w:val="0"/>
          <w:iCs w:val="0"/>
          <w:color w:val="auto"/>
          <w:sz w:val="24"/>
          <w:szCs w:val="24"/>
          <w:highlight w:val="none"/>
        </w:rPr>
        <w:instrText xml:space="preserve"> HYPERLINK \l _Toc15804 </w:instrText>
      </w:r>
      <w:r>
        <w:rPr>
          <w:rFonts w:hint="default" w:ascii="Times New Roman" w:hAnsi="Times New Roman" w:cs="Times New Roman" w:eastAsiaTheme="minorEastAsia"/>
          <w:b w:val="0"/>
          <w:bCs w:val="0"/>
          <w:i w:val="0"/>
          <w:iCs w:val="0"/>
          <w:color w:val="auto"/>
          <w:sz w:val="24"/>
          <w:szCs w:val="24"/>
          <w:highlight w:val="none"/>
        </w:rPr>
        <w:fldChar w:fldCharType="separate"/>
      </w:r>
      <w:r>
        <w:rPr>
          <w:rFonts w:hint="default" w:ascii="Times New Roman" w:hAnsi="Times New Roman" w:cs="Times New Roman" w:eastAsiaTheme="minorEastAsia"/>
          <w:b w:val="0"/>
          <w:bCs w:val="0"/>
          <w:i w:val="0"/>
          <w:iCs w:val="0"/>
          <w:color w:val="auto"/>
          <w:sz w:val="24"/>
          <w:szCs w:val="24"/>
          <w:highlight w:val="none"/>
          <w:lang w:val="en-US" w:eastAsia="zh-CN"/>
        </w:rPr>
        <w:t xml:space="preserve">7.2 </w:t>
      </w:r>
      <w:r>
        <w:rPr>
          <w:rFonts w:hint="default" w:ascii="Times New Roman" w:hAnsi="Times New Roman" w:cs="Times New Roman" w:eastAsiaTheme="minorEastAsia"/>
          <w:b w:val="0"/>
          <w:bCs w:val="0"/>
          <w:i w:val="0"/>
          <w:iCs w:val="0"/>
          <w:color w:val="auto"/>
          <w:sz w:val="24"/>
          <w:szCs w:val="24"/>
          <w:highlight w:val="none"/>
        </w:rPr>
        <w:t>项目工程评价</w:t>
      </w:r>
      <w:r>
        <w:rPr>
          <w:rFonts w:hint="default" w:ascii="Times New Roman" w:hAnsi="Times New Roman" w:cs="Times New Roman" w:eastAsiaTheme="minorEastAsia"/>
          <w:b w:val="0"/>
          <w:bCs w:val="0"/>
          <w:i w:val="0"/>
          <w:iCs w:val="0"/>
          <w:color w:val="auto"/>
          <w:sz w:val="24"/>
          <w:szCs w:val="24"/>
          <w:highlight w:val="none"/>
        </w:rPr>
        <w:tab/>
      </w:r>
      <w:r>
        <w:rPr>
          <w:rFonts w:hint="default" w:ascii="Times New Roman" w:hAnsi="Times New Roman" w:cs="Times New Roman" w:eastAsiaTheme="minorEastAsia"/>
          <w:b w:val="0"/>
          <w:bCs w:val="0"/>
          <w:i w:val="0"/>
          <w:iCs w:val="0"/>
          <w:color w:val="auto"/>
          <w:sz w:val="24"/>
          <w:szCs w:val="24"/>
          <w:highlight w:val="none"/>
        </w:rPr>
        <w:fldChar w:fldCharType="begin"/>
      </w:r>
      <w:r>
        <w:rPr>
          <w:rFonts w:hint="default" w:ascii="Times New Roman" w:hAnsi="Times New Roman" w:cs="Times New Roman" w:eastAsiaTheme="minorEastAsia"/>
          <w:b w:val="0"/>
          <w:bCs w:val="0"/>
          <w:i w:val="0"/>
          <w:iCs w:val="0"/>
          <w:color w:val="auto"/>
          <w:sz w:val="24"/>
          <w:szCs w:val="24"/>
          <w:highlight w:val="none"/>
        </w:rPr>
        <w:instrText xml:space="preserve"> PAGEREF _Toc15804 </w:instrText>
      </w:r>
      <w:r>
        <w:rPr>
          <w:rFonts w:hint="default" w:ascii="Times New Roman" w:hAnsi="Times New Roman" w:cs="Times New Roman" w:eastAsiaTheme="minorEastAsia"/>
          <w:b w:val="0"/>
          <w:bCs w:val="0"/>
          <w:i w:val="0"/>
          <w:iCs w:val="0"/>
          <w:color w:val="auto"/>
          <w:sz w:val="24"/>
          <w:szCs w:val="24"/>
          <w:highlight w:val="none"/>
        </w:rPr>
        <w:fldChar w:fldCharType="separate"/>
      </w:r>
      <w:r>
        <w:rPr>
          <w:rFonts w:hint="default" w:ascii="Times New Roman" w:hAnsi="Times New Roman" w:cs="Times New Roman" w:eastAsiaTheme="minorEastAsia"/>
          <w:b w:val="0"/>
          <w:bCs w:val="0"/>
          <w:i w:val="0"/>
          <w:iCs w:val="0"/>
          <w:color w:val="auto"/>
          <w:sz w:val="24"/>
          <w:szCs w:val="24"/>
          <w:highlight w:val="none"/>
        </w:rPr>
        <w:t>106</w:t>
      </w:r>
      <w:r>
        <w:rPr>
          <w:rFonts w:hint="default" w:ascii="Times New Roman" w:hAnsi="Times New Roman" w:cs="Times New Roman" w:eastAsiaTheme="minorEastAsia"/>
          <w:b w:val="0"/>
          <w:bCs w:val="0"/>
          <w:i w:val="0"/>
          <w:iCs w:val="0"/>
          <w:color w:val="auto"/>
          <w:sz w:val="24"/>
          <w:szCs w:val="24"/>
          <w:highlight w:val="none"/>
        </w:rPr>
        <w:fldChar w:fldCharType="end"/>
      </w:r>
      <w:r>
        <w:rPr>
          <w:rFonts w:hint="default" w:ascii="Times New Roman" w:hAnsi="Times New Roman" w:cs="Times New Roman" w:eastAsiaTheme="minorEastAsia"/>
          <w:b w:val="0"/>
          <w:bCs w:val="0"/>
          <w:i w:val="0"/>
          <w:iCs w:val="0"/>
          <w:color w:val="auto"/>
          <w:sz w:val="24"/>
          <w:szCs w:val="24"/>
          <w:highlight w:val="none"/>
        </w:rPr>
        <w:fldChar w:fldCharType="end"/>
      </w:r>
    </w:p>
    <w:p>
      <w:pPr>
        <w:pStyle w:val="32"/>
        <w:keepNext w:val="0"/>
        <w:keepLines w:val="0"/>
        <w:pageBreakBefore w:val="0"/>
        <w:widowControl w:val="0"/>
        <w:tabs>
          <w:tab w:val="right" w:leader="dot" w:pos="9070"/>
          <w:tab w:val="clear" w:pos="600"/>
          <w:tab w:val="clear" w:pos="9060"/>
        </w:tabs>
        <w:kinsoku/>
        <w:wordWrap/>
        <w:overflowPunct/>
        <w:topLinePunct w:val="0"/>
        <w:autoSpaceDE/>
        <w:autoSpaceDN/>
        <w:bidi w:val="0"/>
        <w:snapToGrid w:val="0"/>
        <w:spacing w:before="0" w:line="400" w:lineRule="exact"/>
        <w:textAlignment w:val="auto"/>
        <w:rPr>
          <w:rFonts w:hint="default" w:ascii="Times New Roman" w:hAnsi="Times New Roman" w:cs="Times New Roman" w:eastAsiaTheme="minorEastAsia"/>
          <w:b w:val="0"/>
          <w:bCs w:val="0"/>
          <w:i w:val="0"/>
          <w:iCs w:val="0"/>
          <w:color w:val="auto"/>
          <w:sz w:val="24"/>
          <w:szCs w:val="24"/>
          <w:highlight w:val="none"/>
        </w:rPr>
      </w:pPr>
      <w:r>
        <w:rPr>
          <w:rFonts w:hint="default" w:ascii="Times New Roman" w:hAnsi="Times New Roman" w:cs="Times New Roman" w:eastAsiaTheme="minorEastAsia"/>
          <w:b w:val="0"/>
          <w:bCs w:val="0"/>
          <w:i w:val="0"/>
          <w:iCs w:val="0"/>
          <w:color w:val="auto"/>
          <w:sz w:val="24"/>
          <w:szCs w:val="24"/>
          <w:highlight w:val="none"/>
        </w:rPr>
        <w:fldChar w:fldCharType="begin"/>
      </w:r>
      <w:r>
        <w:rPr>
          <w:rFonts w:hint="default" w:ascii="Times New Roman" w:hAnsi="Times New Roman" w:cs="Times New Roman" w:eastAsiaTheme="minorEastAsia"/>
          <w:b w:val="0"/>
          <w:bCs w:val="0"/>
          <w:i w:val="0"/>
          <w:iCs w:val="0"/>
          <w:color w:val="auto"/>
          <w:sz w:val="24"/>
          <w:szCs w:val="24"/>
          <w:highlight w:val="none"/>
        </w:rPr>
        <w:instrText xml:space="preserve"> HYPERLINK \l _Toc16450 </w:instrText>
      </w:r>
      <w:r>
        <w:rPr>
          <w:rFonts w:hint="default" w:ascii="Times New Roman" w:hAnsi="Times New Roman" w:cs="Times New Roman" w:eastAsiaTheme="minorEastAsia"/>
          <w:b w:val="0"/>
          <w:bCs w:val="0"/>
          <w:i w:val="0"/>
          <w:iCs w:val="0"/>
          <w:color w:val="auto"/>
          <w:sz w:val="24"/>
          <w:szCs w:val="24"/>
          <w:highlight w:val="none"/>
        </w:rPr>
        <w:fldChar w:fldCharType="separate"/>
      </w:r>
      <w:r>
        <w:rPr>
          <w:rFonts w:hint="default" w:ascii="Times New Roman" w:hAnsi="Times New Roman" w:cs="Times New Roman" w:eastAsiaTheme="minorEastAsia"/>
          <w:b w:val="0"/>
          <w:bCs w:val="0"/>
          <w:i w:val="0"/>
          <w:iCs w:val="0"/>
          <w:color w:val="auto"/>
          <w:sz w:val="24"/>
          <w:szCs w:val="24"/>
          <w:highlight w:val="none"/>
          <w:lang w:val="en-US" w:eastAsia="zh-CN"/>
        </w:rPr>
        <w:t xml:space="preserve">7.3 </w:t>
      </w:r>
      <w:r>
        <w:rPr>
          <w:rFonts w:hint="default" w:ascii="Times New Roman" w:hAnsi="Times New Roman" w:cs="Times New Roman" w:eastAsiaTheme="minorEastAsia"/>
          <w:b w:val="0"/>
          <w:bCs w:val="0"/>
          <w:i w:val="0"/>
          <w:iCs w:val="0"/>
          <w:color w:val="auto"/>
          <w:sz w:val="24"/>
          <w:szCs w:val="24"/>
          <w:highlight w:val="none"/>
        </w:rPr>
        <w:t>区域环境变化</w:t>
      </w:r>
      <w:r>
        <w:rPr>
          <w:rFonts w:hint="default" w:ascii="Times New Roman" w:hAnsi="Times New Roman" w:cs="Times New Roman" w:eastAsiaTheme="minorEastAsia"/>
          <w:b w:val="0"/>
          <w:bCs w:val="0"/>
          <w:i w:val="0"/>
          <w:iCs w:val="0"/>
          <w:color w:val="auto"/>
          <w:sz w:val="24"/>
          <w:szCs w:val="24"/>
          <w:highlight w:val="none"/>
        </w:rPr>
        <w:tab/>
      </w:r>
      <w:r>
        <w:rPr>
          <w:rFonts w:hint="default" w:ascii="Times New Roman" w:hAnsi="Times New Roman" w:cs="Times New Roman" w:eastAsiaTheme="minorEastAsia"/>
          <w:b w:val="0"/>
          <w:bCs w:val="0"/>
          <w:i w:val="0"/>
          <w:iCs w:val="0"/>
          <w:color w:val="auto"/>
          <w:sz w:val="24"/>
          <w:szCs w:val="24"/>
          <w:highlight w:val="none"/>
        </w:rPr>
        <w:fldChar w:fldCharType="begin"/>
      </w:r>
      <w:r>
        <w:rPr>
          <w:rFonts w:hint="default" w:ascii="Times New Roman" w:hAnsi="Times New Roman" w:cs="Times New Roman" w:eastAsiaTheme="minorEastAsia"/>
          <w:b w:val="0"/>
          <w:bCs w:val="0"/>
          <w:i w:val="0"/>
          <w:iCs w:val="0"/>
          <w:color w:val="auto"/>
          <w:sz w:val="24"/>
          <w:szCs w:val="24"/>
          <w:highlight w:val="none"/>
        </w:rPr>
        <w:instrText xml:space="preserve"> PAGEREF _Toc16450 </w:instrText>
      </w:r>
      <w:r>
        <w:rPr>
          <w:rFonts w:hint="default" w:ascii="Times New Roman" w:hAnsi="Times New Roman" w:cs="Times New Roman" w:eastAsiaTheme="minorEastAsia"/>
          <w:b w:val="0"/>
          <w:bCs w:val="0"/>
          <w:i w:val="0"/>
          <w:iCs w:val="0"/>
          <w:color w:val="auto"/>
          <w:sz w:val="24"/>
          <w:szCs w:val="24"/>
          <w:highlight w:val="none"/>
        </w:rPr>
        <w:fldChar w:fldCharType="separate"/>
      </w:r>
      <w:r>
        <w:rPr>
          <w:rFonts w:hint="default" w:ascii="Times New Roman" w:hAnsi="Times New Roman" w:cs="Times New Roman" w:eastAsiaTheme="minorEastAsia"/>
          <w:b w:val="0"/>
          <w:bCs w:val="0"/>
          <w:i w:val="0"/>
          <w:iCs w:val="0"/>
          <w:color w:val="auto"/>
          <w:sz w:val="24"/>
          <w:szCs w:val="24"/>
          <w:highlight w:val="none"/>
        </w:rPr>
        <w:t>108</w:t>
      </w:r>
      <w:r>
        <w:rPr>
          <w:rFonts w:hint="default" w:ascii="Times New Roman" w:hAnsi="Times New Roman" w:cs="Times New Roman" w:eastAsiaTheme="minorEastAsia"/>
          <w:b w:val="0"/>
          <w:bCs w:val="0"/>
          <w:i w:val="0"/>
          <w:iCs w:val="0"/>
          <w:color w:val="auto"/>
          <w:sz w:val="24"/>
          <w:szCs w:val="24"/>
          <w:highlight w:val="none"/>
        </w:rPr>
        <w:fldChar w:fldCharType="end"/>
      </w:r>
      <w:r>
        <w:rPr>
          <w:rFonts w:hint="default" w:ascii="Times New Roman" w:hAnsi="Times New Roman" w:cs="Times New Roman" w:eastAsiaTheme="minorEastAsia"/>
          <w:b w:val="0"/>
          <w:bCs w:val="0"/>
          <w:i w:val="0"/>
          <w:iCs w:val="0"/>
          <w:color w:val="auto"/>
          <w:sz w:val="24"/>
          <w:szCs w:val="24"/>
          <w:highlight w:val="none"/>
        </w:rPr>
        <w:fldChar w:fldCharType="end"/>
      </w:r>
    </w:p>
    <w:p>
      <w:pPr>
        <w:pStyle w:val="32"/>
        <w:keepNext w:val="0"/>
        <w:keepLines w:val="0"/>
        <w:pageBreakBefore w:val="0"/>
        <w:widowControl w:val="0"/>
        <w:tabs>
          <w:tab w:val="right" w:leader="dot" w:pos="9070"/>
          <w:tab w:val="clear" w:pos="600"/>
          <w:tab w:val="clear" w:pos="9060"/>
        </w:tabs>
        <w:kinsoku/>
        <w:wordWrap/>
        <w:overflowPunct/>
        <w:topLinePunct w:val="0"/>
        <w:autoSpaceDE/>
        <w:autoSpaceDN/>
        <w:bidi w:val="0"/>
        <w:snapToGrid w:val="0"/>
        <w:spacing w:before="0" w:line="400" w:lineRule="exact"/>
        <w:textAlignment w:val="auto"/>
        <w:rPr>
          <w:rFonts w:hint="default" w:ascii="Times New Roman" w:hAnsi="Times New Roman" w:cs="Times New Roman" w:eastAsiaTheme="minorEastAsia"/>
          <w:b w:val="0"/>
          <w:bCs w:val="0"/>
          <w:i w:val="0"/>
          <w:iCs w:val="0"/>
          <w:color w:val="auto"/>
          <w:sz w:val="24"/>
          <w:szCs w:val="24"/>
          <w:highlight w:val="none"/>
        </w:rPr>
      </w:pPr>
      <w:r>
        <w:rPr>
          <w:rFonts w:hint="default" w:ascii="Times New Roman" w:hAnsi="Times New Roman" w:cs="Times New Roman" w:eastAsiaTheme="minorEastAsia"/>
          <w:b w:val="0"/>
          <w:bCs w:val="0"/>
          <w:i w:val="0"/>
          <w:iCs w:val="0"/>
          <w:color w:val="auto"/>
          <w:sz w:val="24"/>
          <w:szCs w:val="24"/>
          <w:highlight w:val="none"/>
        </w:rPr>
        <w:fldChar w:fldCharType="begin"/>
      </w:r>
      <w:r>
        <w:rPr>
          <w:rFonts w:hint="default" w:ascii="Times New Roman" w:hAnsi="Times New Roman" w:cs="Times New Roman" w:eastAsiaTheme="minorEastAsia"/>
          <w:b w:val="0"/>
          <w:bCs w:val="0"/>
          <w:i w:val="0"/>
          <w:iCs w:val="0"/>
          <w:color w:val="auto"/>
          <w:sz w:val="24"/>
          <w:szCs w:val="24"/>
          <w:highlight w:val="none"/>
        </w:rPr>
        <w:instrText xml:space="preserve"> HYPERLINK \l _Toc25476 </w:instrText>
      </w:r>
      <w:r>
        <w:rPr>
          <w:rFonts w:hint="default" w:ascii="Times New Roman" w:hAnsi="Times New Roman" w:cs="Times New Roman" w:eastAsiaTheme="minorEastAsia"/>
          <w:b w:val="0"/>
          <w:bCs w:val="0"/>
          <w:i w:val="0"/>
          <w:iCs w:val="0"/>
          <w:color w:val="auto"/>
          <w:sz w:val="24"/>
          <w:szCs w:val="24"/>
          <w:highlight w:val="none"/>
        </w:rPr>
        <w:fldChar w:fldCharType="separate"/>
      </w:r>
      <w:r>
        <w:rPr>
          <w:rFonts w:hint="default" w:ascii="Times New Roman" w:hAnsi="Times New Roman" w:cs="Times New Roman" w:eastAsiaTheme="minorEastAsia"/>
          <w:b w:val="0"/>
          <w:bCs w:val="0"/>
          <w:i w:val="0"/>
          <w:iCs w:val="0"/>
          <w:color w:val="auto"/>
          <w:sz w:val="24"/>
          <w:szCs w:val="24"/>
          <w:highlight w:val="none"/>
          <w:lang w:val="en-US" w:eastAsia="zh-CN"/>
        </w:rPr>
        <w:t xml:space="preserve">7.4 </w:t>
      </w:r>
      <w:r>
        <w:rPr>
          <w:rFonts w:hint="default" w:ascii="Times New Roman" w:hAnsi="Times New Roman" w:cs="Times New Roman" w:eastAsiaTheme="minorEastAsia"/>
          <w:b w:val="0"/>
          <w:bCs w:val="0"/>
          <w:i w:val="0"/>
          <w:iCs w:val="0"/>
          <w:color w:val="auto"/>
          <w:sz w:val="24"/>
          <w:szCs w:val="24"/>
          <w:highlight w:val="none"/>
        </w:rPr>
        <w:t>环境保护措施有效性</w:t>
      </w:r>
      <w:r>
        <w:rPr>
          <w:rFonts w:hint="default" w:ascii="Times New Roman" w:hAnsi="Times New Roman" w:cs="Times New Roman" w:eastAsiaTheme="minorEastAsia"/>
          <w:b w:val="0"/>
          <w:bCs w:val="0"/>
          <w:i w:val="0"/>
          <w:iCs w:val="0"/>
          <w:color w:val="auto"/>
          <w:sz w:val="24"/>
          <w:szCs w:val="24"/>
          <w:highlight w:val="none"/>
        </w:rPr>
        <w:tab/>
      </w:r>
      <w:r>
        <w:rPr>
          <w:rFonts w:hint="default" w:ascii="Times New Roman" w:hAnsi="Times New Roman" w:cs="Times New Roman" w:eastAsiaTheme="minorEastAsia"/>
          <w:b w:val="0"/>
          <w:bCs w:val="0"/>
          <w:i w:val="0"/>
          <w:iCs w:val="0"/>
          <w:color w:val="auto"/>
          <w:sz w:val="24"/>
          <w:szCs w:val="24"/>
          <w:highlight w:val="none"/>
        </w:rPr>
        <w:fldChar w:fldCharType="begin"/>
      </w:r>
      <w:r>
        <w:rPr>
          <w:rFonts w:hint="default" w:ascii="Times New Roman" w:hAnsi="Times New Roman" w:cs="Times New Roman" w:eastAsiaTheme="minorEastAsia"/>
          <w:b w:val="0"/>
          <w:bCs w:val="0"/>
          <w:i w:val="0"/>
          <w:iCs w:val="0"/>
          <w:color w:val="auto"/>
          <w:sz w:val="24"/>
          <w:szCs w:val="24"/>
          <w:highlight w:val="none"/>
        </w:rPr>
        <w:instrText xml:space="preserve"> PAGEREF _Toc25476 </w:instrText>
      </w:r>
      <w:r>
        <w:rPr>
          <w:rFonts w:hint="default" w:ascii="Times New Roman" w:hAnsi="Times New Roman" w:cs="Times New Roman" w:eastAsiaTheme="minorEastAsia"/>
          <w:b w:val="0"/>
          <w:bCs w:val="0"/>
          <w:i w:val="0"/>
          <w:iCs w:val="0"/>
          <w:color w:val="auto"/>
          <w:sz w:val="24"/>
          <w:szCs w:val="24"/>
          <w:highlight w:val="none"/>
        </w:rPr>
        <w:fldChar w:fldCharType="separate"/>
      </w:r>
      <w:r>
        <w:rPr>
          <w:rFonts w:hint="default" w:ascii="Times New Roman" w:hAnsi="Times New Roman" w:cs="Times New Roman" w:eastAsiaTheme="minorEastAsia"/>
          <w:b w:val="0"/>
          <w:bCs w:val="0"/>
          <w:i w:val="0"/>
          <w:iCs w:val="0"/>
          <w:color w:val="auto"/>
          <w:sz w:val="24"/>
          <w:szCs w:val="24"/>
          <w:highlight w:val="none"/>
        </w:rPr>
        <w:t>109</w:t>
      </w:r>
      <w:r>
        <w:rPr>
          <w:rFonts w:hint="default" w:ascii="Times New Roman" w:hAnsi="Times New Roman" w:cs="Times New Roman" w:eastAsiaTheme="minorEastAsia"/>
          <w:b w:val="0"/>
          <w:bCs w:val="0"/>
          <w:i w:val="0"/>
          <w:iCs w:val="0"/>
          <w:color w:val="auto"/>
          <w:sz w:val="24"/>
          <w:szCs w:val="24"/>
          <w:highlight w:val="none"/>
        </w:rPr>
        <w:fldChar w:fldCharType="end"/>
      </w:r>
      <w:r>
        <w:rPr>
          <w:rFonts w:hint="default" w:ascii="Times New Roman" w:hAnsi="Times New Roman" w:cs="Times New Roman" w:eastAsiaTheme="minorEastAsia"/>
          <w:b w:val="0"/>
          <w:bCs w:val="0"/>
          <w:i w:val="0"/>
          <w:iCs w:val="0"/>
          <w:color w:val="auto"/>
          <w:sz w:val="24"/>
          <w:szCs w:val="24"/>
          <w:highlight w:val="none"/>
        </w:rPr>
        <w:fldChar w:fldCharType="end"/>
      </w:r>
    </w:p>
    <w:p>
      <w:pPr>
        <w:pStyle w:val="32"/>
        <w:keepNext w:val="0"/>
        <w:keepLines w:val="0"/>
        <w:pageBreakBefore w:val="0"/>
        <w:widowControl w:val="0"/>
        <w:tabs>
          <w:tab w:val="right" w:leader="dot" w:pos="9070"/>
          <w:tab w:val="clear" w:pos="600"/>
          <w:tab w:val="clear" w:pos="9060"/>
        </w:tabs>
        <w:kinsoku/>
        <w:wordWrap/>
        <w:overflowPunct/>
        <w:topLinePunct w:val="0"/>
        <w:autoSpaceDE/>
        <w:autoSpaceDN/>
        <w:bidi w:val="0"/>
        <w:snapToGrid w:val="0"/>
        <w:spacing w:before="0" w:line="400" w:lineRule="exact"/>
        <w:textAlignment w:val="auto"/>
        <w:rPr>
          <w:rFonts w:hint="default" w:ascii="Times New Roman" w:hAnsi="Times New Roman" w:cs="Times New Roman" w:eastAsiaTheme="minorEastAsia"/>
          <w:b w:val="0"/>
          <w:bCs w:val="0"/>
          <w:i w:val="0"/>
          <w:iCs w:val="0"/>
          <w:color w:val="auto"/>
          <w:sz w:val="24"/>
          <w:szCs w:val="24"/>
          <w:highlight w:val="none"/>
        </w:rPr>
      </w:pPr>
      <w:r>
        <w:rPr>
          <w:rFonts w:hint="default" w:ascii="Times New Roman" w:hAnsi="Times New Roman" w:cs="Times New Roman" w:eastAsiaTheme="minorEastAsia"/>
          <w:b w:val="0"/>
          <w:bCs w:val="0"/>
          <w:i w:val="0"/>
          <w:iCs w:val="0"/>
          <w:color w:val="auto"/>
          <w:sz w:val="24"/>
          <w:szCs w:val="24"/>
          <w:highlight w:val="none"/>
        </w:rPr>
        <w:fldChar w:fldCharType="begin"/>
      </w:r>
      <w:r>
        <w:rPr>
          <w:rFonts w:hint="default" w:ascii="Times New Roman" w:hAnsi="Times New Roman" w:cs="Times New Roman" w:eastAsiaTheme="minorEastAsia"/>
          <w:b w:val="0"/>
          <w:bCs w:val="0"/>
          <w:i w:val="0"/>
          <w:iCs w:val="0"/>
          <w:color w:val="auto"/>
          <w:sz w:val="24"/>
          <w:szCs w:val="24"/>
          <w:highlight w:val="none"/>
        </w:rPr>
        <w:instrText xml:space="preserve"> HYPERLINK \l _Toc7407 </w:instrText>
      </w:r>
      <w:r>
        <w:rPr>
          <w:rFonts w:hint="default" w:ascii="Times New Roman" w:hAnsi="Times New Roman" w:cs="Times New Roman" w:eastAsiaTheme="minorEastAsia"/>
          <w:b w:val="0"/>
          <w:bCs w:val="0"/>
          <w:i w:val="0"/>
          <w:iCs w:val="0"/>
          <w:color w:val="auto"/>
          <w:sz w:val="24"/>
          <w:szCs w:val="24"/>
          <w:highlight w:val="none"/>
        </w:rPr>
        <w:fldChar w:fldCharType="separate"/>
      </w:r>
      <w:r>
        <w:rPr>
          <w:rFonts w:hint="default" w:ascii="Times New Roman" w:hAnsi="Times New Roman" w:cs="Times New Roman" w:eastAsiaTheme="minorEastAsia"/>
          <w:b w:val="0"/>
          <w:bCs w:val="0"/>
          <w:i w:val="0"/>
          <w:iCs w:val="0"/>
          <w:color w:val="auto"/>
          <w:sz w:val="24"/>
          <w:szCs w:val="24"/>
          <w:highlight w:val="none"/>
          <w:lang w:val="en-US" w:eastAsia="zh-CN"/>
        </w:rPr>
        <w:t xml:space="preserve">7.5 </w:t>
      </w:r>
      <w:r>
        <w:rPr>
          <w:rFonts w:hint="default" w:ascii="Times New Roman" w:hAnsi="Times New Roman" w:cs="Times New Roman" w:eastAsiaTheme="minorEastAsia"/>
          <w:b w:val="0"/>
          <w:bCs w:val="0"/>
          <w:i w:val="0"/>
          <w:iCs w:val="0"/>
          <w:color w:val="auto"/>
          <w:sz w:val="24"/>
          <w:szCs w:val="24"/>
          <w:highlight w:val="none"/>
        </w:rPr>
        <w:t>环保补救方案和改进措施</w:t>
      </w:r>
      <w:r>
        <w:rPr>
          <w:rFonts w:hint="default" w:ascii="Times New Roman" w:hAnsi="Times New Roman" w:cs="Times New Roman" w:eastAsiaTheme="minorEastAsia"/>
          <w:b w:val="0"/>
          <w:bCs w:val="0"/>
          <w:i w:val="0"/>
          <w:iCs w:val="0"/>
          <w:color w:val="auto"/>
          <w:sz w:val="24"/>
          <w:szCs w:val="24"/>
          <w:highlight w:val="none"/>
        </w:rPr>
        <w:tab/>
      </w:r>
      <w:r>
        <w:rPr>
          <w:rFonts w:hint="default" w:ascii="Times New Roman" w:hAnsi="Times New Roman" w:cs="Times New Roman" w:eastAsiaTheme="minorEastAsia"/>
          <w:b w:val="0"/>
          <w:bCs w:val="0"/>
          <w:i w:val="0"/>
          <w:iCs w:val="0"/>
          <w:color w:val="auto"/>
          <w:sz w:val="24"/>
          <w:szCs w:val="24"/>
          <w:highlight w:val="none"/>
        </w:rPr>
        <w:fldChar w:fldCharType="begin"/>
      </w:r>
      <w:r>
        <w:rPr>
          <w:rFonts w:hint="default" w:ascii="Times New Roman" w:hAnsi="Times New Roman" w:cs="Times New Roman" w:eastAsiaTheme="minorEastAsia"/>
          <w:b w:val="0"/>
          <w:bCs w:val="0"/>
          <w:i w:val="0"/>
          <w:iCs w:val="0"/>
          <w:color w:val="auto"/>
          <w:sz w:val="24"/>
          <w:szCs w:val="24"/>
          <w:highlight w:val="none"/>
        </w:rPr>
        <w:instrText xml:space="preserve"> PAGEREF _Toc7407 </w:instrText>
      </w:r>
      <w:r>
        <w:rPr>
          <w:rFonts w:hint="default" w:ascii="Times New Roman" w:hAnsi="Times New Roman" w:cs="Times New Roman" w:eastAsiaTheme="minorEastAsia"/>
          <w:b w:val="0"/>
          <w:bCs w:val="0"/>
          <w:i w:val="0"/>
          <w:iCs w:val="0"/>
          <w:color w:val="auto"/>
          <w:sz w:val="24"/>
          <w:szCs w:val="24"/>
          <w:highlight w:val="none"/>
        </w:rPr>
        <w:fldChar w:fldCharType="separate"/>
      </w:r>
      <w:r>
        <w:rPr>
          <w:rFonts w:hint="default" w:ascii="Times New Roman" w:hAnsi="Times New Roman" w:cs="Times New Roman" w:eastAsiaTheme="minorEastAsia"/>
          <w:b w:val="0"/>
          <w:bCs w:val="0"/>
          <w:i w:val="0"/>
          <w:iCs w:val="0"/>
          <w:color w:val="auto"/>
          <w:sz w:val="24"/>
          <w:szCs w:val="24"/>
          <w:highlight w:val="none"/>
        </w:rPr>
        <w:t>109</w:t>
      </w:r>
      <w:r>
        <w:rPr>
          <w:rFonts w:hint="default" w:ascii="Times New Roman" w:hAnsi="Times New Roman" w:cs="Times New Roman" w:eastAsiaTheme="minorEastAsia"/>
          <w:b w:val="0"/>
          <w:bCs w:val="0"/>
          <w:i w:val="0"/>
          <w:iCs w:val="0"/>
          <w:color w:val="auto"/>
          <w:sz w:val="24"/>
          <w:szCs w:val="24"/>
          <w:highlight w:val="none"/>
        </w:rPr>
        <w:fldChar w:fldCharType="end"/>
      </w:r>
      <w:r>
        <w:rPr>
          <w:rFonts w:hint="default" w:ascii="Times New Roman" w:hAnsi="Times New Roman" w:cs="Times New Roman" w:eastAsiaTheme="minorEastAsia"/>
          <w:b w:val="0"/>
          <w:bCs w:val="0"/>
          <w:i w:val="0"/>
          <w:iCs w:val="0"/>
          <w:color w:val="auto"/>
          <w:sz w:val="24"/>
          <w:szCs w:val="24"/>
          <w:highlight w:val="none"/>
        </w:rPr>
        <w:fldChar w:fldCharType="end"/>
      </w:r>
    </w:p>
    <w:p>
      <w:pPr>
        <w:pStyle w:val="32"/>
        <w:keepNext w:val="0"/>
        <w:keepLines w:val="0"/>
        <w:pageBreakBefore w:val="0"/>
        <w:widowControl w:val="0"/>
        <w:tabs>
          <w:tab w:val="right" w:leader="dot" w:pos="9070"/>
          <w:tab w:val="clear" w:pos="600"/>
          <w:tab w:val="clear" w:pos="9060"/>
        </w:tabs>
        <w:kinsoku/>
        <w:wordWrap/>
        <w:overflowPunct/>
        <w:topLinePunct w:val="0"/>
        <w:autoSpaceDE/>
        <w:autoSpaceDN/>
        <w:bidi w:val="0"/>
        <w:snapToGrid w:val="0"/>
        <w:spacing w:before="0" w:line="400" w:lineRule="exact"/>
        <w:textAlignment w:val="auto"/>
        <w:rPr>
          <w:rFonts w:hint="default" w:ascii="Times New Roman" w:hAnsi="Times New Roman" w:cs="Times New Roman" w:eastAsiaTheme="minorEastAsia"/>
          <w:b w:val="0"/>
          <w:bCs w:val="0"/>
          <w:i w:val="0"/>
          <w:iCs w:val="0"/>
          <w:color w:val="auto"/>
          <w:sz w:val="24"/>
          <w:szCs w:val="24"/>
          <w:highlight w:val="none"/>
        </w:rPr>
      </w:pPr>
      <w:r>
        <w:rPr>
          <w:rFonts w:hint="default" w:ascii="Times New Roman" w:hAnsi="Times New Roman" w:cs="Times New Roman" w:eastAsiaTheme="minorEastAsia"/>
          <w:b w:val="0"/>
          <w:bCs w:val="0"/>
          <w:i w:val="0"/>
          <w:iCs w:val="0"/>
          <w:color w:val="auto"/>
          <w:sz w:val="24"/>
          <w:szCs w:val="24"/>
          <w:highlight w:val="none"/>
        </w:rPr>
        <w:fldChar w:fldCharType="begin"/>
      </w:r>
      <w:r>
        <w:rPr>
          <w:rFonts w:hint="default" w:ascii="Times New Roman" w:hAnsi="Times New Roman" w:cs="Times New Roman" w:eastAsiaTheme="minorEastAsia"/>
          <w:b w:val="0"/>
          <w:bCs w:val="0"/>
          <w:i w:val="0"/>
          <w:iCs w:val="0"/>
          <w:color w:val="auto"/>
          <w:sz w:val="24"/>
          <w:szCs w:val="24"/>
          <w:highlight w:val="none"/>
        </w:rPr>
        <w:instrText xml:space="preserve"> HYPERLINK \l _Toc23564 </w:instrText>
      </w:r>
      <w:r>
        <w:rPr>
          <w:rFonts w:hint="default" w:ascii="Times New Roman" w:hAnsi="Times New Roman" w:cs="Times New Roman" w:eastAsiaTheme="minorEastAsia"/>
          <w:b w:val="0"/>
          <w:bCs w:val="0"/>
          <w:i w:val="0"/>
          <w:iCs w:val="0"/>
          <w:color w:val="auto"/>
          <w:sz w:val="24"/>
          <w:szCs w:val="24"/>
          <w:highlight w:val="none"/>
        </w:rPr>
        <w:fldChar w:fldCharType="separate"/>
      </w:r>
      <w:r>
        <w:rPr>
          <w:rFonts w:hint="default" w:ascii="Times New Roman" w:hAnsi="Times New Roman" w:cs="Times New Roman" w:eastAsiaTheme="minorEastAsia"/>
          <w:b w:val="0"/>
          <w:bCs w:val="0"/>
          <w:i w:val="0"/>
          <w:iCs w:val="0"/>
          <w:color w:val="auto"/>
          <w:sz w:val="24"/>
          <w:szCs w:val="24"/>
          <w:highlight w:val="none"/>
          <w:lang w:val="en-US" w:eastAsia="zh-CN"/>
        </w:rPr>
        <w:t>7.6</w:t>
      </w:r>
      <w:r>
        <w:rPr>
          <w:rFonts w:hint="default" w:ascii="Times New Roman" w:hAnsi="Times New Roman" w:cs="Times New Roman" w:eastAsiaTheme="minorEastAsia"/>
          <w:b w:val="0"/>
          <w:bCs w:val="0"/>
          <w:i w:val="0"/>
          <w:iCs w:val="0"/>
          <w:color w:val="auto"/>
          <w:sz w:val="24"/>
          <w:szCs w:val="24"/>
          <w:highlight w:val="none"/>
        </w:rPr>
        <w:t xml:space="preserve"> 公众意见收集调查</w:t>
      </w:r>
      <w:r>
        <w:rPr>
          <w:rFonts w:hint="default" w:ascii="Times New Roman" w:hAnsi="Times New Roman" w:cs="Times New Roman" w:eastAsiaTheme="minorEastAsia"/>
          <w:b w:val="0"/>
          <w:bCs w:val="0"/>
          <w:i w:val="0"/>
          <w:iCs w:val="0"/>
          <w:color w:val="auto"/>
          <w:sz w:val="24"/>
          <w:szCs w:val="24"/>
          <w:highlight w:val="none"/>
        </w:rPr>
        <w:tab/>
      </w:r>
      <w:r>
        <w:rPr>
          <w:rFonts w:hint="default" w:ascii="Times New Roman" w:hAnsi="Times New Roman" w:cs="Times New Roman" w:eastAsiaTheme="minorEastAsia"/>
          <w:b w:val="0"/>
          <w:bCs w:val="0"/>
          <w:i w:val="0"/>
          <w:iCs w:val="0"/>
          <w:color w:val="auto"/>
          <w:sz w:val="24"/>
          <w:szCs w:val="24"/>
          <w:highlight w:val="none"/>
        </w:rPr>
        <w:fldChar w:fldCharType="begin"/>
      </w:r>
      <w:r>
        <w:rPr>
          <w:rFonts w:hint="default" w:ascii="Times New Roman" w:hAnsi="Times New Roman" w:cs="Times New Roman" w:eastAsiaTheme="minorEastAsia"/>
          <w:b w:val="0"/>
          <w:bCs w:val="0"/>
          <w:i w:val="0"/>
          <w:iCs w:val="0"/>
          <w:color w:val="auto"/>
          <w:sz w:val="24"/>
          <w:szCs w:val="24"/>
          <w:highlight w:val="none"/>
        </w:rPr>
        <w:instrText xml:space="preserve"> PAGEREF _Toc23564 </w:instrText>
      </w:r>
      <w:r>
        <w:rPr>
          <w:rFonts w:hint="default" w:ascii="Times New Roman" w:hAnsi="Times New Roman" w:cs="Times New Roman" w:eastAsiaTheme="minorEastAsia"/>
          <w:b w:val="0"/>
          <w:bCs w:val="0"/>
          <w:i w:val="0"/>
          <w:iCs w:val="0"/>
          <w:color w:val="auto"/>
          <w:sz w:val="24"/>
          <w:szCs w:val="24"/>
          <w:highlight w:val="none"/>
        </w:rPr>
        <w:fldChar w:fldCharType="separate"/>
      </w:r>
      <w:r>
        <w:rPr>
          <w:rFonts w:hint="default" w:ascii="Times New Roman" w:hAnsi="Times New Roman" w:cs="Times New Roman" w:eastAsiaTheme="minorEastAsia"/>
          <w:b w:val="0"/>
          <w:bCs w:val="0"/>
          <w:i w:val="0"/>
          <w:iCs w:val="0"/>
          <w:color w:val="auto"/>
          <w:sz w:val="24"/>
          <w:szCs w:val="24"/>
          <w:highlight w:val="none"/>
        </w:rPr>
        <w:t>110</w:t>
      </w:r>
      <w:r>
        <w:rPr>
          <w:rFonts w:hint="default" w:ascii="Times New Roman" w:hAnsi="Times New Roman" w:cs="Times New Roman" w:eastAsiaTheme="minorEastAsia"/>
          <w:b w:val="0"/>
          <w:bCs w:val="0"/>
          <w:i w:val="0"/>
          <w:iCs w:val="0"/>
          <w:color w:val="auto"/>
          <w:sz w:val="24"/>
          <w:szCs w:val="24"/>
          <w:highlight w:val="none"/>
        </w:rPr>
        <w:fldChar w:fldCharType="end"/>
      </w:r>
      <w:r>
        <w:rPr>
          <w:rFonts w:hint="default" w:ascii="Times New Roman" w:hAnsi="Times New Roman" w:cs="Times New Roman" w:eastAsiaTheme="minorEastAsia"/>
          <w:b w:val="0"/>
          <w:bCs w:val="0"/>
          <w:i w:val="0"/>
          <w:iCs w:val="0"/>
          <w:color w:val="auto"/>
          <w:sz w:val="24"/>
          <w:szCs w:val="24"/>
          <w:highlight w:val="none"/>
        </w:rPr>
        <w:fldChar w:fldCharType="end"/>
      </w:r>
    </w:p>
    <w:p>
      <w:pPr>
        <w:pStyle w:val="32"/>
        <w:keepNext w:val="0"/>
        <w:keepLines w:val="0"/>
        <w:pageBreakBefore w:val="0"/>
        <w:widowControl w:val="0"/>
        <w:tabs>
          <w:tab w:val="right" w:leader="dot" w:pos="9070"/>
          <w:tab w:val="clear" w:pos="600"/>
          <w:tab w:val="clear" w:pos="9060"/>
        </w:tabs>
        <w:kinsoku/>
        <w:wordWrap/>
        <w:overflowPunct/>
        <w:topLinePunct w:val="0"/>
        <w:autoSpaceDE/>
        <w:autoSpaceDN/>
        <w:bidi w:val="0"/>
        <w:snapToGrid w:val="0"/>
        <w:spacing w:before="0" w:line="400" w:lineRule="exact"/>
        <w:textAlignment w:val="auto"/>
        <w:rPr>
          <w:rFonts w:hint="default" w:ascii="Times New Roman" w:hAnsi="Times New Roman" w:cs="Times New Roman" w:eastAsiaTheme="minorEastAsia"/>
          <w:b w:val="0"/>
          <w:bCs w:val="0"/>
          <w:i w:val="0"/>
          <w:iCs w:val="0"/>
          <w:color w:val="auto"/>
          <w:sz w:val="24"/>
          <w:szCs w:val="24"/>
          <w:highlight w:val="none"/>
        </w:rPr>
      </w:pPr>
      <w:r>
        <w:rPr>
          <w:rFonts w:hint="default" w:ascii="Times New Roman" w:hAnsi="Times New Roman" w:cs="Times New Roman" w:eastAsiaTheme="minorEastAsia"/>
          <w:b w:val="0"/>
          <w:bCs w:val="0"/>
          <w:i w:val="0"/>
          <w:iCs w:val="0"/>
          <w:color w:val="auto"/>
          <w:sz w:val="24"/>
          <w:szCs w:val="24"/>
          <w:highlight w:val="none"/>
        </w:rPr>
        <w:fldChar w:fldCharType="begin"/>
      </w:r>
      <w:r>
        <w:rPr>
          <w:rFonts w:hint="default" w:ascii="Times New Roman" w:hAnsi="Times New Roman" w:cs="Times New Roman" w:eastAsiaTheme="minorEastAsia"/>
          <w:b w:val="0"/>
          <w:bCs w:val="0"/>
          <w:i w:val="0"/>
          <w:iCs w:val="0"/>
          <w:color w:val="auto"/>
          <w:sz w:val="24"/>
          <w:szCs w:val="24"/>
          <w:highlight w:val="none"/>
        </w:rPr>
        <w:instrText xml:space="preserve"> HYPERLINK \l _Toc7626 </w:instrText>
      </w:r>
      <w:r>
        <w:rPr>
          <w:rFonts w:hint="default" w:ascii="Times New Roman" w:hAnsi="Times New Roman" w:cs="Times New Roman" w:eastAsiaTheme="minorEastAsia"/>
          <w:b w:val="0"/>
          <w:bCs w:val="0"/>
          <w:i w:val="0"/>
          <w:iCs w:val="0"/>
          <w:color w:val="auto"/>
          <w:sz w:val="24"/>
          <w:szCs w:val="24"/>
          <w:highlight w:val="none"/>
        </w:rPr>
        <w:fldChar w:fldCharType="separate"/>
      </w:r>
      <w:r>
        <w:rPr>
          <w:rFonts w:hint="default" w:ascii="Times New Roman" w:hAnsi="Times New Roman" w:cs="Times New Roman" w:eastAsiaTheme="minorEastAsia"/>
          <w:b w:val="0"/>
          <w:bCs w:val="0"/>
          <w:i w:val="0"/>
          <w:iCs w:val="0"/>
          <w:color w:val="auto"/>
          <w:sz w:val="24"/>
          <w:szCs w:val="24"/>
          <w:highlight w:val="none"/>
          <w:lang w:val="en-US" w:eastAsia="zh-CN"/>
        </w:rPr>
        <w:t xml:space="preserve">7.7 </w:t>
      </w:r>
      <w:r>
        <w:rPr>
          <w:rFonts w:hint="default" w:ascii="Times New Roman" w:hAnsi="Times New Roman" w:cs="Times New Roman" w:eastAsiaTheme="minorEastAsia"/>
          <w:b w:val="0"/>
          <w:bCs w:val="0"/>
          <w:i w:val="0"/>
          <w:iCs w:val="0"/>
          <w:color w:val="auto"/>
          <w:sz w:val="24"/>
          <w:szCs w:val="24"/>
          <w:highlight w:val="none"/>
        </w:rPr>
        <w:t>结论</w:t>
      </w:r>
      <w:r>
        <w:rPr>
          <w:rFonts w:hint="default" w:ascii="Times New Roman" w:hAnsi="Times New Roman" w:cs="Times New Roman" w:eastAsiaTheme="minorEastAsia"/>
          <w:b w:val="0"/>
          <w:bCs w:val="0"/>
          <w:i w:val="0"/>
          <w:iCs w:val="0"/>
          <w:color w:val="auto"/>
          <w:sz w:val="24"/>
          <w:szCs w:val="24"/>
          <w:highlight w:val="none"/>
        </w:rPr>
        <w:tab/>
      </w:r>
      <w:r>
        <w:rPr>
          <w:rFonts w:hint="default" w:ascii="Times New Roman" w:hAnsi="Times New Roman" w:cs="Times New Roman" w:eastAsiaTheme="minorEastAsia"/>
          <w:b w:val="0"/>
          <w:bCs w:val="0"/>
          <w:i w:val="0"/>
          <w:iCs w:val="0"/>
          <w:color w:val="auto"/>
          <w:sz w:val="24"/>
          <w:szCs w:val="24"/>
          <w:highlight w:val="none"/>
        </w:rPr>
        <w:fldChar w:fldCharType="begin"/>
      </w:r>
      <w:r>
        <w:rPr>
          <w:rFonts w:hint="default" w:ascii="Times New Roman" w:hAnsi="Times New Roman" w:cs="Times New Roman" w:eastAsiaTheme="minorEastAsia"/>
          <w:b w:val="0"/>
          <w:bCs w:val="0"/>
          <w:i w:val="0"/>
          <w:iCs w:val="0"/>
          <w:color w:val="auto"/>
          <w:sz w:val="24"/>
          <w:szCs w:val="24"/>
          <w:highlight w:val="none"/>
        </w:rPr>
        <w:instrText xml:space="preserve"> PAGEREF _Toc7626 </w:instrText>
      </w:r>
      <w:r>
        <w:rPr>
          <w:rFonts w:hint="default" w:ascii="Times New Roman" w:hAnsi="Times New Roman" w:cs="Times New Roman" w:eastAsiaTheme="minorEastAsia"/>
          <w:b w:val="0"/>
          <w:bCs w:val="0"/>
          <w:i w:val="0"/>
          <w:iCs w:val="0"/>
          <w:color w:val="auto"/>
          <w:sz w:val="24"/>
          <w:szCs w:val="24"/>
          <w:highlight w:val="none"/>
        </w:rPr>
        <w:fldChar w:fldCharType="separate"/>
      </w:r>
      <w:r>
        <w:rPr>
          <w:rFonts w:hint="default" w:ascii="Times New Roman" w:hAnsi="Times New Roman" w:cs="Times New Roman" w:eastAsiaTheme="minorEastAsia"/>
          <w:b w:val="0"/>
          <w:bCs w:val="0"/>
          <w:i w:val="0"/>
          <w:iCs w:val="0"/>
          <w:color w:val="auto"/>
          <w:sz w:val="24"/>
          <w:szCs w:val="24"/>
          <w:highlight w:val="none"/>
        </w:rPr>
        <w:t>110</w:t>
      </w:r>
      <w:r>
        <w:rPr>
          <w:rFonts w:hint="default" w:ascii="Times New Roman" w:hAnsi="Times New Roman" w:cs="Times New Roman" w:eastAsiaTheme="minorEastAsia"/>
          <w:b w:val="0"/>
          <w:bCs w:val="0"/>
          <w:i w:val="0"/>
          <w:iCs w:val="0"/>
          <w:color w:val="auto"/>
          <w:sz w:val="24"/>
          <w:szCs w:val="24"/>
          <w:highlight w:val="none"/>
        </w:rPr>
        <w:fldChar w:fldCharType="end"/>
      </w:r>
      <w:r>
        <w:rPr>
          <w:rFonts w:hint="default" w:ascii="Times New Roman" w:hAnsi="Times New Roman" w:cs="Times New Roman" w:eastAsiaTheme="minorEastAsia"/>
          <w:b w:val="0"/>
          <w:bCs w:val="0"/>
          <w:i w:val="0"/>
          <w:iCs w:val="0"/>
          <w:color w:val="auto"/>
          <w:sz w:val="24"/>
          <w:szCs w:val="24"/>
          <w:highlight w:val="none"/>
        </w:rPr>
        <w:fldChar w:fldCharType="end"/>
      </w:r>
    </w:p>
    <w:p>
      <w:pPr>
        <w:pStyle w:val="26"/>
        <w:keepNext w:val="0"/>
        <w:keepLines w:val="0"/>
        <w:pageBreakBefore w:val="0"/>
        <w:widowControl w:val="0"/>
        <w:tabs>
          <w:tab w:val="right" w:leader="underscore" w:pos="9060"/>
        </w:tabs>
        <w:kinsoku/>
        <w:wordWrap/>
        <w:overflowPunct/>
        <w:topLinePunct w:val="0"/>
        <w:autoSpaceDE/>
        <w:autoSpaceDN/>
        <w:bidi w:val="0"/>
        <w:adjustRightInd w:val="0"/>
        <w:snapToGrid w:val="0"/>
        <w:spacing w:before="0" w:line="400" w:lineRule="exact"/>
        <w:ind w:left="0"/>
        <w:textAlignment w:val="auto"/>
        <w:outlineLvl w:val="9"/>
        <w:rPr>
          <w:rFonts w:eastAsiaTheme="minorEastAsia"/>
          <w:color w:val="auto"/>
          <w:sz w:val="24"/>
          <w:highlight w:val="none"/>
        </w:rPr>
      </w:pPr>
      <w:r>
        <w:rPr>
          <w:rFonts w:hint="default" w:ascii="Times New Roman" w:hAnsi="Times New Roman" w:cs="Times New Roman" w:eastAsiaTheme="minorEastAsia"/>
          <w:b w:val="0"/>
          <w:bCs w:val="0"/>
          <w:i w:val="0"/>
          <w:iCs w:val="0"/>
          <w:color w:val="auto"/>
          <w:sz w:val="24"/>
          <w:szCs w:val="24"/>
          <w:highlight w:val="none"/>
        </w:rPr>
        <w:fldChar w:fldCharType="end"/>
      </w:r>
    </w:p>
    <w:p>
      <w:pPr>
        <w:adjustRightInd w:val="0"/>
        <w:snapToGrid w:val="0"/>
        <w:spacing w:line="360" w:lineRule="auto"/>
        <w:rPr>
          <w:rFonts w:eastAsiaTheme="minorEastAsia"/>
          <w:b/>
          <w:bCs/>
          <w:color w:val="auto"/>
          <w:sz w:val="24"/>
          <w:highlight w:val="none"/>
        </w:rPr>
      </w:pPr>
      <w:r>
        <w:rPr>
          <w:rFonts w:hint="eastAsia" w:eastAsiaTheme="minorEastAsia"/>
          <w:b/>
          <w:bCs/>
          <w:color w:val="auto"/>
          <w:sz w:val="24"/>
          <w:highlight w:val="none"/>
        </w:rPr>
        <w:t>附件：</w:t>
      </w:r>
    </w:p>
    <w:p>
      <w:pPr>
        <w:pStyle w:val="55"/>
        <w:numPr>
          <w:ilvl w:val="0"/>
          <w:numId w:val="7"/>
        </w:numPr>
        <w:adjustRightInd w:val="0"/>
        <w:snapToGrid w:val="0"/>
        <w:spacing w:line="360" w:lineRule="auto"/>
        <w:ind w:left="900" w:leftChars="0" w:hanging="420" w:firstLineChars="0"/>
        <w:rPr>
          <w:rFonts w:eastAsiaTheme="minorEastAsia"/>
          <w:color w:val="auto"/>
          <w:sz w:val="24"/>
          <w:highlight w:val="none"/>
        </w:rPr>
      </w:pPr>
      <w:r>
        <w:rPr>
          <w:rFonts w:eastAsiaTheme="minorEastAsia"/>
          <w:color w:val="auto"/>
          <w:sz w:val="24"/>
          <w:highlight w:val="none"/>
        </w:rPr>
        <w:t>项目委托书</w:t>
      </w:r>
      <w:r>
        <w:rPr>
          <w:rFonts w:hint="eastAsia" w:eastAsiaTheme="minorEastAsia"/>
          <w:color w:val="auto"/>
          <w:sz w:val="24"/>
          <w:highlight w:val="none"/>
        </w:rPr>
        <w:t>；</w:t>
      </w:r>
    </w:p>
    <w:p>
      <w:pPr>
        <w:pStyle w:val="55"/>
        <w:numPr>
          <w:ilvl w:val="0"/>
          <w:numId w:val="7"/>
        </w:numPr>
        <w:adjustRightInd w:val="0"/>
        <w:snapToGrid w:val="0"/>
        <w:spacing w:line="360" w:lineRule="auto"/>
        <w:ind w:left="900" w:leftChars="0" w:hanging="420" w:firstLineChars="0"/>
        <w:rPr>
          <w:rFonts w:eastAsiaTheme="minorEastAsia"/>
          <w:color w:val="auto"/>
          <w:sz w:val="24"/>
          <w:highlight w:val="none"/>
        </w:rPr>
      </w:pPr>
      <w:r>
        <w:rPr>
          <w:rFonts w:hint="eastAsia" w:eastAsiaTheme="minorEastAsia"/>
          <w:color w:val="auto"/>
          <w:sz w:val="24"/>
          <w:highlight w:val="none"/>
        </w:rPr>
        <w:t>营业执照；</w:t>
      </w:r>
    </w:p>
    <w:p>
      <w:pPr>
        <w:pStyle w:val="55"/>
        <w:numPr>
          <w:ilvl w:val="0"/>
          <w:numId w:val="7"/>
        </w:numPr>
        <w:adjustRightInd w:val="0"/>
        <w:snapToGrid w:val="0"/>
        <w:spacing w:line="360" w:lineRule="auto"/>
        <w:ind w:left="900" w:leftChars="0" w:hanging="420" w:firstLineChars="0"/>
        <w:rPr>
          <w:rFonts w:eastAsiaTheme="minorEastAsia"/>
          <w:color w:val="auto"/>
          <w:sz w:val="24"/>
          <w:highlight w:val="none"/>
        </w:rPr>
      </w:pPr>
      <w:r>
        <w:rPr>
          <w:rFonts w:hint="eastAsia" w:eastAsiaTheme="minorEastAsia"/>
          <w:color w:val="auto"/>
          <w:sz w:val="24"/>
          <w:highlight w:val="none"/>
          <w:lang w:val="en-US" w:eastAsia="zh-CN"/>
        </w:rPr>
        <w:t>项目租赁协议；</w:t>
      </w:r>
    </w:p>
    <w:p>
      <w:pPr>
        <w:pStyle w:val="55"/>
        <w:numPr>
          <w:ilvl w:val="0"/>
          <w:numId w:val="7"/>
        </w:numPr>
        <w:adjustRightInd w:val="0"/>
        <w:snapToGrid w:val="0"/>
        <w:spacing w:line="360" w:lineRule="auto"/>
        <w:ind w:left="900" w:leftChars="0" w:hanging="420" w:firstLineChars="0"/>
        <w:rPr>
          <w:rFonts w:eastAsiaTheme="minorEastAsia"/>
          <w:color w:val="auto"/>
          <w:sz w:val="24"/>
          <w:highlight w:val="none"/>
        </w:rPr>
      </w:pPr>
      <w:r>
        <w:rPr>
          <w:rFonts w:hint="eastAsia" w:eastAsiaTheme="minorEastAsia"/>
          <w:color w:val="auto"/>
          <w:sz w:val="24"/>
          <w:highlight w:val="none"/>
        </w:rPr>
        <w:t>青岛经济技术开发区电镀工业园1#楼房地</w:t>
      </w:r>
      <w:r>
        <w:rPr>
          <w:rFonts w:hint="eastAsia" w:eastAsiaTheme="minorEastAsia"/>
          <w:color w:val="auto"/>
          <w:sz w:val="24"/>
          <w:highlight w:val="none"/>
          <w:lang w:eastAsia="zh-CN"/>
        </w:rPr>
        <w:t>产</w:t>
      </w:r>
      <w:r>
        <w:rPr>
          <w:rFonts w:hint="eastAsia" w:eastAsiaTheme="minorEastAsia"/>
          <w:color w:val="auto"/>
          <w:sz w:val="24"/>
          <w:highlight w:val="none"/>
        </w:rPr>
        <w:t>权证</w:t>
      </w:r>
      <w:r>
        <w:rPr>
          <w:rFonts w:hint="eastAsia" w:eastAsiaTheme="minorEastAsia"/>
          <w:color w:val="auto"/>
          <w:sz w:val="24"/>
          <w:highlight w:val="none"/>
          <w:lang w:eastAsia="zh-CN"/>
        </w:rPr>
        <w:t>；</w:t>
      </w:r>
    </w:p>
    <w:p>
      <w:pPr>
        <w:pStyle w:val="55"/>
        <w:numPr>
          <w:ilvl w:val="0"/>
          <w:numId w:val="7"/>
        </w:numPr>
        <w:adjustRightInd w:val="0"/>
        <w:snapToGrid w:val="0"/>
        <w:spacing w:line="360" w:lineRule="auto"/>
        <w:ind w:left="900" w:leftChars="0" w:hanging="420" w:firstLineChars="0"/>
        <w:rPr>
          <w:rFonts w:eastAsiaTheme="minorEastAsia"/>
          <w:color w:val="auto"/>
          <w:sz w:val="24"/>
          <w:highlight w:val="none"/>
        </w:rPr>
      </w:pPr>
      <w:r>
        <w:rPr>
          <w:rFonts w:hint="eastAsia" w:eastAsiaTheme="minorEastAsia"/>
          <w:color w:val="auto"/>
          <w:sz w:val="24"/>
          <w:highlight w:val="none"/>
          <w:lang w:val="en-US" w:eastAsia="zh-CN"/>
        </w:rPr>
        <w:t>青岛经济技术开发区电镀工业园3</w:t>
      </w:r>
      <w:r>
        <w:rPr>
          <w:rFonts w:hint="eastAsia" w:eastAsiaTheme="minorEastAsia"/>
          <w:color w:val="auto"/>
          <w:sz w:val="24"/>
          <w:highlight w:val="none"/>
        </w:rPr>
        <w:t>#楼房地</w:t>
      </w:r>
      <w:r>
        <w:rPr>
          <w:rFonts w:hint="eastAsia" w:eastAsiaTheme="minorEastAsia"/>
          <w:color w:val="auto"/>
          <w:sz w:val="24"/>
          <w:highlight w:val="none"/>
          <w:lang w:eastAsia="zh-CN"/>
        </w:rPr>
        <w:t>产</w:t>
      </w:r>
      <w:r>
        <w:rPr>
          <w:rFonts w:hint="eastAsia" w:eastAsiaTheme="minorEastAsia"/>
          <w:color w:val="auto"/>
          <w:sz w:val="24"/>
          <w:highlight w:val="none"/>
        </w:rPr>
        <w:t>权证</w:t>
      </w:r>
      <w:r>
        <w:rPr>
          <w:rFonts w:hint="eastAsia" w:eastAsiaTheme="minorEastAsia"/>
          <w:color w:val="auto"/>
          <w:sz w:val="24"/>
          <w:highlight w:val="none"/>
          <w:lang w:eastAsia="zh-CN"/>
        </w:rPr>
        <w:t>；</w:t>
      </w:r>
    </w:p>
    <w:p>
      <w:pPr>
        <w:pStyle w:val="55"/>
        <w:numPr>
          <w:ilvl w:val="0"/>
          <w:numId w:val="7"/>
        </w:numPr>
        <w:adjustRightInd w:val="0"/>
        <w:snapToGrid w:val="0"/>
        <w:spacing w:line="360" w:lineRule="auto"/>
        <w:ind w:left="900" w:leftChars="0" w:hanging="420" w:firstLineChars="0"/>
        <w:rPr>
          <w:rFonts w:eastAsiaTheme="minorEastAsia"/>
          <w:color w:val="auto"/>
          <w:sz w:val="24"/>
          <w:highlight w:val="none"/>
        </w:rPr>
      </w:pPr>
      <w:r>
        <w:rPr>
          <w:rFonts w:hint="eastAsia" w:eastAsiaTheme="minorEastAsia"/>
          <w:color w:val="auto"/>
          <w:sz w:val="24"/>
          <w:highlight w:val="none"/>
          <w:lang w:val="en-US" w:eastAsia="zh-CN"/>
        </w:rPr>
        <w:t>青岛经济技术开发区电镀工业园4</w:t>
      </w:r>
      <w:r>
        <w:rPr>
          <w:rFonts w:hint="eastAsia" w:eastAsiaTheme="minorEastAsia"/>
          <w:color w:val="auto"/>
          <w:sz w:val="24"/>
          <w:highlight w:val="none"/>
        </w:rPr>
        <w:t>#楼房地</w:t>
      </w:r>
      <w:r>
        <w:rPr>
          <w:rFonts w:hint="eastAsia" w:eastAsiaTheme="minorEastAsia"/>
          <w:color w:val="auto"/>
          <w:sz w:val="24"/>
          <w:highlight w:val="none"/>
          <w:lang w:eastAsia="zh-CN"/>
        </w:rPr>
        <w:t>产</w:t>
      </w:r>
      <w:r>
        <w:rPr>
          <w:rFonts w:hint="eastAsia" w:eastAsiaTheme="minorEastAsia"/>
          <w:color w:val="auto"/>
          <w:sz w:val="24"/>
          <w:highlight w:val="none"/>
        </w:rPr>
        <w:t>权证</w:t>
      </w:r>
      <w:r>
        <w:rPr>
          <w:rFonts w:hint="eastAsia" w:eastAsiaTheme="minorEastAsia"/>
          <w:color w:val="auto"/>
          <w:sz w:val="24"/>
          <w:highlight w:val="none"/>
          <w:lang w:eastAsia="zh-CN"/>
        </w:rPr>
        <w:t>；</w:t>
      </w:r>
    </w:p>
    <w:p>
      <w:pPr>
        <w:pStyle w:val="55"/>
        <w:numPr>
          <w:ilvl w:val="0"/>
          <w:numId w:val="7"/>
        </w:numPr>
        <w:adjustRightInd w:val="0"/>
        <w:snapToGrid w:val="0"/>
        <w:spacing w:line="360" w:lineRule="auto"/>
        <w:ind w:left="900" w:leftChars="0" w:hanging="420" w:firstLineChars="0"/>
        <w:rPr>
          <w:rFonts w:eastAsiaTheme="minorEastAsia"/>
          <w:color w:val="auto"/>
          <w:sz w:val="24"/>
          <w:highlight w:val="none"/>
        </w:rPr>
      </w:pPr>
      <w:r>
        <w:rPr>
          <w:rFonts w:hint="eastAsia"/>
          <w:color w:val="auto"/>
          <w:sz w:val="24"/>
          <w:highlight w:val="none"/>
        </w:rPr>
        <w:t>建设项目环境影响登记表；</w:t>
      </w:r>
    </w:p>
    <w:p>
      <w:pPr>
        <w:pStyle w:val="55"/>
        <w:numPr>
          <w:ilvl w:val="0"/>
          <w:numId w:val="7"/>
        </w:numPr>
        <w:adjustRightInd w:val="0"/>
        <w:snapToGrid w:val="0"/>
        <w:spacing w:line="360" w:lineRule="auto"/>
        <w:ind w:left="900" w:leftChars="0" w:hanging="420" w:firstLineChars="0"/>
        <w:rPr>
          <w:rFonts w:eastAsiaTheme="minorEastAsia"/>
          <w:color w:val="auto"/>
          <w:sz w:val="24"/>
          <w:highlight w:val="none"/>
        </w:rPr>
      </w:pPr>
      <w:r>
        <w:rPr>
          <w:rFonts w:hint="eastAsia"/>
          <w:color w:val="auto"/>
          <w:sz w:val="24"/>
          <w:highlight w:val="none"/>
        </w:rPr>
        <w:t>建设项目</w:t>
      </w:r>
      <w:r>
        <w:rPr>
          <w:rFonts w:hint="eastAsia"/>
          <w:color w:val="auto"/>
          <w:sz w:val="24"/>
          <w:highlight w:val="none"/>
          <w:lang w:eastAsia="zh-CN"/>
        </w:rPr>
        <w:t>竣工环境保护</w:t>
      </w:r>
      <w:r>
        <w:rPr>
          <w:rFonts w:hint="eastAsia"/>
          <w:color w:val="auto"/>
          <w:sz w:val="24"/>
          <w:highlight w:val="none"/>
        </w:rPr>
        <w:t>验收</w:t>
      </w:r>
      <w:r>
        <w:rPr>
          <w:rFonts w:hint="eastAsia"/>
          <w:color w:val="auto"/>
          <w:sz w:val="24"/>
          <w:highlight w:val="none"/>
          <w:lang w:eastAsia="zh-CN"/>
        </w:rPr>
        <w:t>报告</w:t>
      </w:r>
      <w:r>
        <w:rPr>
          <w:rFonts w:hint="eastAsia"/>
          <w:color w:val="auto"/>
          <w:sz w:val="24"/>
          <w:highlight w:val="none"/>
        </w:rPr>
        <w:t>；</w:t>
      </w:r>
    </w:p>
    <w:p>
      <w:pPr>
        <w:pStyle w:val="55"/>
        <w:numPr>
          <w:ilvl w:val="0"/>
          <w:numId w:val="7"/>
        </w:numPr>
        <w:adjustRightInd w:val="0"/>
        <w:snapToGrid w:val="0"/>
        <w:spacing w:line="360" w:lineRule="auto"/>
        <w:ind w:left="900" w:leftChars="0" w:hanging="420" w:firstLineChars="0"/>
        <w:rPr>
          <w:rFonts w:eastAsiaTheme="minorEastAsia"/>
          <w:color w:val="auto"/>
          <w:sz w:val="24"/>
          <w:highlight w:val="none"/>
        </w:rPr>
      </w:pPr>
      <w:r>
        <w:rPr>
          <w:rFonts w:hint="eastAsia"/>
          <w:color w:val="auto"/>
          <w:sz w:val="24"/>
          <w:highlight w:val="none"/>
        </w:rPr>
        <w:t>废水委托处理协议；</w:t>
      </w:r>
    </w:p>
    <w:p>
      <w:pPr>
        <w:pStyle w:val="55"/>
        <w:numPr>
          <w:ilvl w:val="0"/>
          <w:numId w:val="7"/>
        </w:numPr>
        <w:adjustRightInd w:val="0"/>
        <w:snapToGrid w:val="0"/>
        <w:spacing w:line="360" w:lineRule="auto"/>
        <w:ind w:left="900" w:leftChars="0" w:hanging="420" w:firstLineChars="0"/>
        <w:rPr>
          <w:rFonts w:eastAsiaTheme="minorEastAsia"/>
          <w:color w:val="auto"/>
          <w:sz w:val="24"/>
          <w:highlight w:val="none"/>
        </w:rPr>
      </w:pPr>
      <w:r>
        <w:rPr>
          <w:rFonts w:hint="eastAsia"/>
          <w:color w:val="auto"/>
          <w:sz w:val="24"/>
          <w:highlight w:val="none"/>
        </w:rPr>
        <w:t>危废委托处理协议；</w:t>
      </w:r>
    </w:p>
    <w:p>
      <w:pPr>
        <w:pStyle w:val="55"/>
        <w:numPr>
          <w:ilvl w:val="0"/>
          <w:numId w:val="7"/>
        </w:numPr>
        <w:snapToGrid w:val="0"/>
        <w:spacing w:line="360" w:lineRule="auto"/>
        <w:ind w:left="900" w:leftChars="0" w:hanging="420" w:firstLineChars="0"/>
        <w:rPr>
          <w:color w:val="auto"/>
          <w:sz w:val="24"/>
          <w:highlight w:val="none"/>
        </w:rPr>
      </w:pPr>
      <w:r>
        <w:rPr>
          <w:rFonts w:hint="eastAsia"/>
          <w:color w:val="auto"/>
          <w:sz w:val="24"/>
          <w:highlight w:val="none"/>
        </w:rPr>
        <w:t>监测报告；</w:t>
      </w:r>
    </w:p>
    <w:p>
      <w:pPr>
        <w:pStyle w:val="55"/>
        <w:numPr>
          <w:ilvl w:val="0"/>
          <w:numId w:val="7"/>
        </w:numPr>
        <w:snapToGrid w:val="0"/>
        <w:spacing w:line="360" w:lineRule="auto"/>
        <w:ind w:left="900" w:leftChars="0" w:hanging="420" w:firstLineChars="0"/>
        <w:rPr>
          <w:color w:val="auto"/>
          <w:sz w:val="24"/>
          <w:highlight w:val="none"/>
        </w:rPr>
      </w:pPr>
      <w:r>
        <w:rPr>
          <w:rFonts w:hint="eastAsia" w:eastAsiaTheme="minorEastAsia"/>
          <w:color w:val="auto"/>
          <w:sz w:val="24"/>
          <w:highlight w:val="none"/>
        </w:rPr>
        <w:t>青岛经济技术开发区电镀工业园</w:t>
      </w:r>
      <w:r>
        <w:rPr>
          <w:rFonts w:hint="eastAsia" w:eastAsiaTheme="minorEastAsia"/>
          <w:color w:val="auto"/>
          <w:sz w:val="24"/>
          <w:highlight w:val="none"/>
          <w:lang w:val="en-US" w:eastAsia="zh-CN"/>
        </w:rPr>
        <w:t>一期环评批复；</w:t>
      </w:r>
    </w:p>
    <w:p>
      <w:pPr>
        <w:pStyle w:val="55"/>
        <w:numPr>
          <w:ilvl w:val="0"/>
          <w:numId w:val="7"/>
        </w:numPr>
        <w:snapToGrid w:val="0"/>
        <w:spacing w:line="360" w:lineRule="auto"/>
        <w:ind w:left="900" w:leftChars="0" w:hanging="420" w:firstLineChars="0"/>
        <w:rPr>
          <w:color w:val="auto"/>
          <w:sz w:val="24"/>
          <w:highlight w:val="none"/>
        </w:rPr>
      </w:pPr>
      <w:r>
        <w:rPr>
          <w:rFonts w:hint="eastAsia" w:eastAsiaTheme="minorEastAsia"/>
          <w:color w:val="auto"/>
          <w:sz w:val="24"/>
          <w:highlight w:val="none"/>
        </w:rPr>
        <w:t>青岛经济技术开发区电镀工业园</w:t>
      </w:r>
      <w:r>
        <w:rPr>
          <w:rFonts w:hint="eastAsia" w:eastAsiaTheme="minorEastAsia"/>
          <w:color w:val="auto"/>
          <w:sz w:val="24"/>
          <w:highlight w:val="none"/>
          <w:lang w:val="en-US" w:eastAsia="zh-CN"/>
        </w:rPr>
        <w:t>一期环评验收；</w:t>
      </w:r>
    </w:p>
    <w:p>
      <w:pPr>
        <w:pStyle w:val="55"/>
        <w:numPr>
          <w:ilvl w:val="0"/>
          <w:numId w:val="7"/>
        </w:numPr>
        <w:snapToGrid w:val="0"/>
        <w:spacing w:line="360" w:lineRule="auto"/>
        <w:ind w:left="900" w:leftChars="0" w:hanging="420" w:firstLineChars="0"/>
        <w:rPr>
          <w:color w:val="auto"/>
          <w:sz w:val="24"/>
          <w:highlight w:val="none"/>
        </w:rPr>
      </w:pPr>
      <w:r>
        <w:rPr>
          <w:rFonts w:hint="eastAsia" w:eastAsiaTheme="minorEastAsia"/>
          <w:color w:val="auto"/>
          <w:sz w:val="24"/>
          <w:highlight w:val="none"/>
        </w:rPr>
        <w:t>青岛经济技术开发区电镀工业园</w:t>
      </w:r>
      <w:r>
        <w:rPr>
          <w:rFonts w:hint="eastAsia" w:eastAsiaTheme="minorEastAsia"/>
          <w:color w:val="auto"/>
          <w:sz w:val="24"/>
          <w:highlight w:val="none"/>
          <w:lang w:val="en-US" w:eastAsia="zh-CN"/>
        </w:rPr>
        <w:t>二期环评批复；</w:t>
      </w:r>
    </w:p>
    <w:p>
      <w:pPr>
        <w:pStyle w:val="55"/>
        <w:numPr>
          <w:ilvl w:val="0"/>
          <w:numId w:val="7"/>
        </w:numPr>
        <w:snapToGrid w:val="0"/>
        <w:spacing w:line="360" w:lineRule="auto"/>
        <w:ind w:left="900" w:leftChars="0" w:hanging="420" w:firstLineChars="0"/>
        <w:rPr>
          <w:color w:val="auto"/>
          <w:sz w:val="24"/>
          <w:highlight w:val="none"/>
        </w:rPr>
      </w:pPr>
      <w:r>
        <w:rPr>
          <w:rFonts w:hint="eastAsia" w:eastAsiaTheme="minorEastAsia"/>
          <w:color w:val="auto"/>
          <w:sz w:val="24"/>
          <w:highlight w:val="none"/>
        </w:rPr>
        <w:t>青岛经济技术开发区电镀工业园</w:t>
      </w:r>
      <w:r>
        <w:rPr>
          <w:rFonts w:hint="eastAsia"/>
          <w:color w:val="auto"/>
          <w:sz w:val="24"/>
          <w:highlight w:val="none"/>
          <w:lang w:val="en-US" w:eastAsia="zh-CN"/>
        </w:rPr>
        <w:t>排污许可证；</w:t>
      </w:r>
    </w:p>
    <w:p>
      <w:pPr>
        <w:pStyle w:val="55"/>
        <w:numPr>
          <w:ilvl w:val="0"/>
          <w:numId w:val="7"/>
        </w:numPr>
        <w:snapToGrid w:val="0"/>
        <w:spacing w:line="360" w:lineRule="auto"/>
        <w:ind w:left="900" w:leftChars="0" w:hanging="420" w:firstLineChars="0"/>
        <w:rPr>
          <w:color w:val="auto"/>
          <w:sz w:val="24"/>
          <w:highlight w:val="none"/>
        </w:rPr>
      </w:pPr>
      <w:r>
        <w:rPr>
          <w:rFonts w:hint="eastAsia" w:eastAsiaTheme="minorEastAsia"/>
          <w:color w:val="auto"/>
          <w:sz w:val="24"/>
          <w:highlight w:val="none"/>
        </w:rPr>
        <w:t>青岛经济技术开发区电镀工业园</w:t>
      </w:r>
      <w:r>
        <w:rPr>
          <w:rFonts w:hint="eastAsia" w:eastAsiaTheme="minorEastAsia"/>
          <w:color w:val="auto"/>
          <w:sz w:val="24"/>
          <w:highlight w:val="none"/>
          <w:lang w:val="en-US" w:eastAsia="zh-CN"/>
        </w:rPr>
        <w:t>应急预案备案；</w:t>
      </w:r>
    </w:p>
    <w:p>
      <w:pPr>
        <w:pStyle w:val="55"/>
        <w:numPr>
          <w:ilvl w:val="0"/>
          <w:numId w:val="7"/>
        </w:numPr>
        <w:snapToGrid w:val="0"/>
        <w:spacing w:line="360" w:lineRule="auto"/>
        <w:ind w:left="900" w:leftChars="0" w:hanging="420" w:firstLineChars="0"/>
        <w:rPr>
          <w:color w:val="auto"/>
          <w:sz w:val="24"/>
          <w:highlight w:val="none"/>
        </w:rPr>
      </w:pPr>
      <w:r>
        <w:rPr>
          <w:rFonts w:hint="eastAsia" w:ascii="Times New Roman" w:hAnsi="Times New Roman"/>
          <w:color w:val="auto"/>
          <w:sz w:val="24"/>
          <w:highlight w:val="none"/>
          <w:lang w:val="en-US" w:eastAsia="zh-CN"/>
        </w:rPr>
        <w:t>关于青岛开发区电镀工业园重金属总量现状的情况说明</w:t>
      </w:r>
      <w:r>
        <w:rPr>
          <w:rFonts w:hint="eastAsia"/>
          <w:color w:val="auto"/>
          <w:sz w:val="24"/>
          <w:highlight w:val="none"/>
          <w:lang w:val="en-US" w:eastAsia="zh-CN"/>
        </w:rPr>
        <w:t>；</w:t>
      </w:r>
    </w:p>
    <w:p>
      <w:pPr>
        <w:pStyle w:val="55"/>
        <w:numPr>
          <w:ilvl w:val="0"/>
          <w:numId w:val="7"/>
        </w:numPr>
        <w:snapToGrid w:val="0"/>
        <w:spacing w:line="360" w:lineRule="auto"/>
        <w:ind w:left="900" w:leftChars="0" w:hanging="420" w:firstLineChars="0"/>
        <w:rPr>
          <w:color w:val="auto"/>
          <w:sz w:val="24"/>
          <w:highlight w:val="none"/>
        </w:rPr>
      </w:pPr>
      <w:r>
        <w:rPr>
          <w:rFonts w:hint="eastAsia"/>
          <w:color w:val="auto"/>
          <w:sz w:val="24"/>
          <w:highlight w:val="none"/>
        </w:rPr>
        <w:t>专家评审意见；</w:t>
      </w:r>
    </w:p>
    <w:p>
      <w:pPr>
        <w:pStyle w:val="55"/>
        <w:numPr>
          <w:ilvl w:val="0"/>
          <w:numId w:val="7"/>
        </w:numPr>
        <w:snapToGrid w:val="0"/>
        <w:spacing w:line="360" w:lineRule="auto"/>
        <w:ind w:left="900" w:leftChars="0" w:hanging="420" w:firstLineChars="0"/>
        <w:rPr>
          <w:color w:val="auto"/>
          <w:sz w:val="24"/>
          <w:highlight w:val="none"/>
        </w:rPr>
      </w:pPr>
      <w:r>
        <w:rPr>
          <w:rFonts w:hint="eastAsia"/>
          <w:color w:val="auto"/>
          <w:sz w:val="24"/>
          <w:highlight w:val="none"/>
        </w:rPr>
        <w:t>修改说明。</w:t>
      </w:r>
    </w:p>
    <w:p>
      <w:pPr>
        <w:adjustRightInd w:val="0"/>
        <w:snapToGrid w:val="0"/>
        <w:spacing w:line="360" w:lineRule="auto"/>
        <w:ind w:firstLine="420" w:firstLineChars="200"/>
        <w:rPr>
          <w:color w:val="auto"/>
          <w:highlight w:val="none"/>
        </w:rPr>
      </w:pPr>
    </w:p>
    <w:p>
      <w:pPr>
        <w:rPr>
          <w:color w:val="auto"/>
          <w:highlight w:val="none"/>
        </w:rPr>
        <w:sectPr>
          <w:headerReference r:id="rId5" w:type="default"/>
          <w:footerReference r:id="rId6" w:type="default"/>
          <w:pgSz w:w="11906" w:h="16838"/>
          <w:pgMar w:top="1440" w:right="1418" w:bottom="1440" w:left="1418"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p>
    <w:p>
      <w:pPr>
        <w:pStyle w:val="5"/>
        <w:tabs>
          <w:tab w:val="left" w:pos="360"/>
          <w:tab w:val="clear" w:pos="432"/>
        </w:tabs>
        <w:adjustRightInd w:val="0"/>
        <w:snapToGrid w:val="0"/>
        <w:spacing w:before="0" w:after="0" w:line="360" w:lineRule="auto"/>
        <w:ind w:left="0" w:firstLine="0"/>
        <w:rPr>
          <w:rFonts w:eastAsia="黑体"/>
          <w:b w:val="0"/>
          <w:bCs w:val="0"/>
          <w:color w:val="auto"/>
          <w:sz w:val="28"/>
          <w:szCs w:val="28"/>
          <w:highlight w:val="none"/>
        </w:rPr>
      </w:pPr>
      <w:bookmarkStart w:id="3" w:name="_Toc519063288"/>
      <w:bookmarkStart w:id="4" w:name="_Toc530655588"/>
      <w:bookmarkStart w:id="5" w:name="_Toc16445"/>
      <w:r>
        <w:rPr>
          <w:rFonts w:eastAsia="黑体"/>
          <w:b w:val="0"/>
          <w:bCs w:val="0"/>
          <w:color w:val="auto"/>
          <w:sz w:val="28"/>
          <w:szCs w:val="28"/>
          <w:highlight w:val="none"/>
        </w:rPr>
        <w:t>1 总论</w:t>
      </w:r>
      <w:bookmarkEnd w:id="0"/>
      <w:bookmarkEnd w:id="1"/>
      <w:bookmarkEnd w:id="2"/>
      <w:bookmarkEnd w:id="3"/>
      <w:bookmarkEnd w:id="4"/>
      <w:bookmarkEnd w:id="5"/>
    </w:p>
    <w:p>
      <w:pPr>
        <w:pStyle w:val="6"/>
        <w:numPr>
          <w:ilvl w:val="0"/>
          <w:numId w:val="0"/>
        </w:numPr>
        <w:tabs>
          <w:tab w:val="left" w:pos="540"/>
          <w:tab w:val="left" w:pos="720"/>
        </w:tabs>
        <w:adjustRightInd w:val="0"/>
        <w:snapToGrid w:val="0"/>
        <w:spacing w:before="0" w:after="0" w:line="360" w:lineRule="auto"/>
        <w:rPr>
          <w:rFonts w:ascii="Times New Roman" w:hAnsi="Times New Roman"/>
          <w:b w:val="0"/>
          <w:bCs w:val="0"/>
          <w:color w:val="auto"/>
          <w:sz w:val="24"/>
          <w:highlight w:val="none"/>
          <w:lang w:val="zh-CN"/>
        </w:rPr>
      </w:pPr>
      <w:bookmarkStart w:id="6" w:name="_Toc519063289"/>
      <w:bookmarkStart w:id="7" w:name="_Toc13131"/>
      <w:bookmarkStart w:id="8" w:name="_Toc257792321"/>
      <w:bookmarkStart w:id="9" w:name="_Toc530655589"/>
      <w:bookmarkStart w:id="10" w:name="_Toc360778948"/>
      <w:bookmarkStart w:id="11" w:name="_Toc396207003"/>
      <w:r>
        <w:rPr>
          <w:rFonts w:ascii="Times New Roman" w:hAnsi="Times New Roman"/>
          <w:b w:val="0"/>
          <w:bCs w:val="0"/>
          <w:color w:val="auto"/>
          <w:sz w:val="24"/>
          <w:highlight w:val="none"/>
          <w:lang w:val="zh-CN"/>
        </w:rPr>
        <w:t>1.1项目由来</w:t>
      </w:r>
      <w:bookmarkEnd w:id="6"/>
      <w:bookmarkEnd w:id="7"/>
      <w:bookmarkEnd w:id="8"/>
      <w:bookmarkEnd w:id="9"/>
      <w:bookmarkEnd w:id="10"/>
      <w:bookmarkEnd w:id="11"/>
    </w:p>
    <w:p>
      <w:pPr>
        <w:adjustRightInd w:val="0"/>
        <w:snapToGrid w:val="0"/>
        <w:spacing w:line="360" w:lineRule="auto"/>
        <w:ind w:firstLine="480" w:firstLineChars="200"/>
        <w:rPr>
          <w:rFonts w:hint="eastAsia" w:eastAsiaTheme="minorEastAsia"/>
          <w:color w:val="auto"/>
          <w:sz w:val="24"/>
          <w:highlight w:val="none"/>
          <w:lang w:eastAsia="zh-CN"/>
        </w:rPr>
      </w:pPr>
      <w:r>
        <w:rPr>
          <w:rFonts w:hint="eastAsia" w:eastAsiaTheme="minorEastAsia"/>
          <w:color w:val="auto"/>
          <w:sz w:val="24"/>
          <w:highlight w:val="none"/>
        </w:rPr>
        <w:t>青岛源润宏防腐精饰科技有限公司</w:t>
      </w:r>
      <w:r>
        <w:rPr>
          <w:rFonts w:hint="eastAsia" w:eastAsiaTheme="minorEastAsia"/>
          <w:color w:val="auto"/>
          <w:sz w:val="24"/>
          <w:highlight w:val="none"/>
          <w:lang w:eastAsia="zh-CN"/>
        </w:rPr>
        <w:t>，</w:t>
      </w:r>
      <w:r>
        <w:rPr>
          <w:rFonts w:hint="eastAsia" w:eastAsiaTheme="minorEastAsia"/>
          <w:color w:val="auto"/>
          <w:sz w:val="24"/>
          <w:highlight w:val="none"/>
          <w:lang w:val="en-US" w:eastAsia="zh-CN"/>
        </w:rPr>
        <w:t>其</w:t>
      </w:r>
      <w:r>
        <w:rPr>
          <w:rFonts w:hint="eastAsia" w:eastAsiaTheme="minorEastAsia"/>
          <w:color w:val="auto"/>
          <w:sz w:val="24"/>
          <w:highlight w:val="none"/>
          <w:lang w:eastAsia="zh-CN"/>
        </w:rPr>
        <w:t>前身为青岛古田防腐精饰科技有限公司，于</w:t>
      </w:r>
      <w:r>
        <w:rPr>
          <w:rFonts w:hint="eastAsia" w:eastAsiaTheme="minorEastAsia"/>
          <w:color w:val="auto"/>
          <w:sz w:val="24"/>
          <w:highlight w:val="none"/>
          <w:lang w:val="en-US" w:eastAsia="zh-CN"/>
        </w:rPr>
        <w:t>2018年8月变更为</w:t>
      </w:r>
      <w:r>
        <w:rPr>
          <w:rFonts w:hint="eastAsia" w:eastAsiaTheme="minorEastAsia"/>
          <w:color w:val="auto"/>
          <w:sz w:val="24"/>
          <w:highlight w:val="none"/>
        </w:rPr>
        <w:t>青岛源润宏防腐精饰科技有限公司</w:t>
      </w:r>
      <w:r>
        <w:rPr>
          <w:rFonts w:hint="eastAsia" w:eastAsiaTheme="minorEastAsia"/>
          <w:color w:val="auto"/>
          <w:sz w:val="24"/>
          <w:highlight w:val="none"/>
          <w:lang w:val="en-US" w:eastAsia="zh-CN"/>
        </w:rPr>
        <w:t>(</w:t>
      </w:r>
      <w:r>
        <w:rPr>
          <w:rFonts w:hint="eastAsia" w:eastAsiaTheme="minorEastAsia"/>
          <w:color w:val="auto"/>
          <w:sz w:val="24"/>
          <w:highlight w:val="none"/>
          <w:lang w:val="en-US" w:eastAsia="zh-CN"/>
        </w:rPr>
        <w:t>根据国家环境保护总局关于企业工商变更登记环境影响评价制度适用问题的复函(环函[2004]95号</w:t>
      </w:r>
      <w:r>
        <w:rPr>
          <w:rFonts w:hint="eastAsia" w:eastAsiaTheme="minorEastAsia"/>
          <w:color w:val="auto"/>
          <w:sz w:val="24"/>
          <w:highlight w:val="none"/>
          <w:lang w:val="en-US" w:eastAsia="zh-CN"/>
        </w:rPr>
        <w:t>)：只是变更法人代表、企业名称，项目的性质、规模、地点或者采用的生产工艺未发生重大变动的，无须报批或者重新报批建设项目环境影响评价文件。</w:t>
      </w:r>
      <w:r>
        <w:rPr>
          <w:rFonts w:hint="eastAsia" w:eastAsiaTheme="minorEastAsia"/>
          <w:color w:val="auto"/>
          <w:sz w:val="24"/>
          <w:highlight w:val="none"/>
          <w:lang w:eastAsia="zh-CN"/>
        </w:rPr>
        <w:t>)</w:t>
      </w:r>
      <w:r>
        <w:rPr>
          <w:rFonts w:hint="eastAsia" w:eastAsiaTheme="minorEastAsia"/>
          <w:color w:val="auto"/>
          <w:sz w:val="24"/>
          <w:highlight w:val="none"/>
          <w:lang w:val="en-US" w:eastAsia="zh-CN"/>
        </w:rPr>
        <w:t>。该公司</w:t>
      </w:r>
      <w:r>
        <w:rPr>
          <w:rFonts w:hint="eastAsia" w:eastAsiaTheme="minorEastAsia"/>
          <w:color w:val="auto"/>
          <w:sz w:val="24"/>
          <w:highlight w:val="none"/>
        </w:rPr>
        <w:t>是一家专业从事</w:t>
      </w:r>
      <w:r>
        <w:rPr>
          <w:rFonts w:hint="eastAsia" w:eastAsiaTheme="minorEastAsia"/>
          <w:color w:val="auto"/>
          <w:sz w:val="24"/>
          <w:highlight w:val="none"/>
          <w:lang w:eastAsia="zh-CN"/>
        </w:rPr>
        <w:t>金属、</w:t>
      </w:r>
      <w:r>
        <w:rPr>
          <w:rFonts w:hint="eastAsia" w:eastAsiaTheme="minorEastAsia"/>
          <w:color w:val="auto"/>
          <w:sz w:val="24"/>
          <w:highlight w:val="none"/>
          <w:lang w:val="en-US" w:eastAsia="zh-CN"/>
        </w:rPr>
        <w:t>塑料</w:t>
      </w:r>
      <w:r>
        <w:rPr>
          <w:rFonts w:hint="eastAsia" w:eastAsiaTheme="minorEastAsia"/>
          <w:color w:val="auto"/>
          <w:sz w:val="24"/>
          <w:highlight w:val="none"/>
          <w:lang w:eastAsia="zh-CN"/>
        </w:rPr>
        <w:t>制品表面处理</w:t>
      </w:r>
      <w:r>
        <w:rPr>
          <w:rFonts w:hint="eastAsia" w:eastAsiaTheme="minorEastAsia"/>
          <w:color w:val="auto"/>
          <w:sz w:val="24"/>
          <w:highlight w:val="none"/>
        </w:rPr>
        <w:t>生产的企业，厂址位于</w:t>
      </w:r>
      <w:r>
        <w:rPr>
          <w:rFonts w:hint="eastAsia" w:eastAsiaTheme="minorEastAsia"/>
          <w:color w:val="auto"/>
          <w:sz w:val="24"/>
          <w:highlight w:val="none"/>
          <w:lang w:eastAsia="zh-CN"/>
        </w:rPr>
        <w:t>青岛西海岸新区</w:t>
      </w:r>
      <w:r>
        <w:rPr>
          <w:rFonts w:hint="eastAsia" w:eastAsiaTheme="minorEastAsia"/>
          <w:color w:val="auto"/>
          <w:sz w:val="24"/>
          <w:highlight w:val="none"/>
        </w:rPr>
        <w:t>黄河东路139号青岛经济技术开发区电镀工业园内，租赁青岛经济技术开发区电镀工业园</w:t>
      </w:r>
      <w:r>
        <w:rPr>
          <w:rFonts w:hint="eastAsia" w:eastAsiaTheme="minorEastAsia"/>
          <w:color w:val="auto"/>
          <w:sz w:val="24"/>
          <w:highlight w:val="none"/>
          <w:lang w:val="en-US" w:eastAsia="zh-CN"/>
        </w:rPr>
        <w:t>1</w:t>
      </w:r>
      <w:r>
        <w:rPr>
          <w:rFonts w:hint="eastAsia" w:eastAsiaTheme="minorEastAsia"/>
          <w:color w:val="auto"/>
          <w:sz w:val="24"/>
          <w:highlight w:val="none"/>
        </w:rPr>
        <w:t>#</w:t>
      </w:r>
      <w:r>
        <w:rPr>
          <w:rFonts w:hint="eastAsia" w:eastAsiaTheme="minorEastAsia"/>
          <w:color w:val="auto"/>
          <w:sz w:val="24"/>
          <w:highlight w:val="none"/>
          <w:lang w:eastAsia="zh-CN"/>
        </w:rPr>
        <w:t>楼</w:t>
      </w:r>
      <w:r>
        <w:rPr>
          <w:rFonts w:hint="eastAsia" w:eastAsiaTheme="minorEastAsia"/>
          <w:color w:val="auto"/>
          <w:sz w:val="24"/>
          <w:highlight w:val="none"/>
          <w:lang w:val="en-US" w:eastAsia="zh-CN"/>
        </w:rPr>
        <w:t>3处车间、3#楼2处车间</w:t>
      </w:r>
      <w:r>
        <w:rPr>
          <w:rFonts w:hint="eastAsia" w:eastAsiaTheme="minorEastAsia"/>
          <w:color w:val="auto"/>
          <w:sz w:val="24"/>
          <w:highlight w:val="none"/>
        </w:rPr>
        <w:t>和4#</w:t>
      </w:r>
      <w:r>
        <w:rPr>
          <w:rFonts w:hint="eastAsia" w:eastAsiaTheme="minorEastAsia"/>
          <w:color w:val="auto"/>
          <w:sz w:val="24"/>
          <w:highlight w:val="none"/>
          <w:lang w:eastAsia="zh-CN"/>
        </w:rPr>
        <w:t>楼</w:t>
      </w:r>
      <w:r>
        <w:rPr>
          <w:rFonts w:hint="eastAsia" w:eastAsiaTheme="minorEastAsia"/>
          <w:color w:val="auto"/>
          <w:sz w:val="24"/>
          <w:highlight w:val="none"/>
          <w:lang w:val="en-US" w:eastAsia="zh-CN"/>
        </w:rPr>
        <w:t>1处车间共</w:t>
      </w:r>
      <w:r>
        <w:rPr>
          <w:rFonts w:hint="eastAsia" w:eastAsiaTheme="minorEastAsia"/>
          <w:color w:val="auto"/>
          <w:sz w:val="24"/>
          <w:highlight w:val="none"/>
          <w:lang w:eastAsia="zh-CN"/>
        </w:rPr>
        <w:t>六</w:t>
      </w:r>
      <w:r>
        <w:rPr>
          <w:rFonts w:hint="eastAsia" w:eastAsiaTheme="minorEastAsia"/>
          <w:color w:val="auto"/>
          <w:sz w:val="24"/>
          <w:highlight w:val="none"/>
        </w:rPr>
        <w:t>个车间进行生产。公</w:t>
      </w:r>
      <w:r>
        <w:rPr>
          <w:rFonts w:hint="eastAsia" w:eastAsiaTheme="minorEastAsia"/>
          <w:color w:val="auto"/>
          <w:sz w:val="24"/>
          <w:highlight w:val="none"/>
        </w:rPr>
        <w:t>司主要产品为镀锌</w:t>
      </w:r>
      <w:r>
        <w:rPr>
          <w:rFonts w:hint="eastAsia" w:eastAsiaTheme="minorEastAsia"/>
          <w:color w:val="auto"/>
          <w:sz w:val="24"/>
          <w:highlight w:val="none"/>
          <w:lang w:eastAsia="zh-CN"/>
        </w:rPr>
        <w:t>、镀铜、镀铬、镀镍、镀锡、镀银</w:t>
      </w:r>
      <w:r>
        <w:rPr>
          <w:rFonts w:hint="eastAsia" w:eastAsiaTheme="minorEastAsia"/>
          <w:color w:val="auto"/>
          <w:sz w:val="24"/>
          <w:highlight w:val="none"/>
          <w:lang w:val="en-US" w:eastAsia="zh-CN"/>
        </w:rPr>
        <w:t>表面处理</w:t>
      </w:r>
      <w:r>
        <w:rPr>
          <w:rFonts w:hint="eastAsia" w:eastAsiaTheme="minorEastAsia"/>
          <w:color w:val="auto"/>
          <w:sz w:val="24"/>
          <w:highlight w:val="none"/>
        </w:rPr>
        <w:t>件</w:t>
      </w:r>
      <w:r>
        <w:rPr>
          <w:rFonts w:hint="eastAsia" w:eastAsiaTheme="minorEastAsia"/>
          <w:color w:val="auto"/>
          <w:sz w:val="24"/>
          <w:highlight w:val="none"/>
          <w:lang w:eastAsia="zh-CN"/>
        </w:rPr>
        <w:t>，</w:t>
      </w:r>
      <w:r>
        <w:rPr>
          <w:rFonts w:hint="eastAsia" w:eastAsiaTheme="minorEastAsia"/>
          <w:color w:val="auto"/>
          <w:sz w:val="24"/>
          <w:highlight w:val="none"/>
        </w:rPr>
        <w:t>生产规模为</w:t>
      </w:r>
      <w:r>
        <w:rPr>
          <w:rFonts w:hint="eastAsia" w:eastAsiaTheme="minorEastAsia"/>
          <w:color w:val="auto"/>
          <w:sz w:val="24"/>
          <w:highlight w:val="none"/>
          <w:lang w:eastAsia="zh-CN"/>
        </w:rPr>
        <w:t>镀锌</w:t>
      </w:r>
      <w:r>
        <w:rPr>
          <w:rFonts w:hint="eastAsia" w:eastAsiaTheme="minorEastAsia"/>
          <w:color w:val="auto"/>
          <w:sz w:val="24"/>
          <w:highlight w:val="none"/>
          <w:lang w:val="en-US" w:eastAsia="zh-CN"/>
        </w:rPr>
        <w:t>1000t/a、镀铜、镍、铬6</w:t>
      </w:r>
      <w:r>
        <w:rPr>
          <w:rFonts w:hint="eastAsia" w:eastAsiaTheme="minorEastAsia"/>
          <w:color w:val="auto"/>
          <w:sz w:val="24"/>
          <w:highlight w:val="none"/>
        </w:rPr>
        <w:t>万m</w:t>
      </w:r>
      <w:r>
        <w:rPr>
          <w:rFonts w:hint="eastAsia" w:eastAsiaTheme="minorEastAsia"/>
          <w:color w:val="auto"/>
          <w:sz w:val="24"/>
          <w:highlight w:val="none"/>
          <w:vertAlign w:val="superscript"/>
        </w:rPr>
        <w:t>2</w:t>
      </w:r>
      <w:r>
        <w:rPr>
          <w:rFonts w:hint="eastAsia" w:eastAsiaTheme="minorEastAsia"/>
          <w:color w:val="auto"/>
          <w:sz w:val="24"/>
          <w:highlight w:val="none"/>
        </w:rPr>
        <w:t>/a</w:t>
      </w:r>
      <w:r>
        <w:rPr>
          <w:rFonts w:hint="eastAsia" w:eastAsiaTheme="minorEastAsia"/>
          <w:color w:val="auto"/>
          <w:sz w:val="24"/>
          <w:highlight w:val="none"/>
          <w:lang w:eastAsia="zh-CN"/>
        </w:rPr>
        <w:t>、特殊材料电镀</w:t>
      </w:r>
      <w:r>
        <w:rPr>
          <w:rFonts w:hint="eastAsia" w:eastAsiaTheme="minorEastAsia"/>
          <w:color w:val="auto"/>
          <w:sz w:val="24"/>
          <w:highlight w:val="none"/>
          <w:lang w:val="en-US" w:eastAsia="zh-CN"/>
        </w:rPr>
        <w:t>1</w:t>
      </w:r>
      <w:r>
        <w:rPr>
          <w:rFonts w:hint="eastAsia" w:eastAsiaTheme="minorEastAsia"/>
          <w:color w:val="auto"/>
          <w:sz w:val="24"/>
          <w:highlight w:val="none"/>
        </w:rPr>
        <w:t>万m</w:t>
      </w:r>
      <w:r>
        <w:rPr>
          <w:rFonts w:hint="eastAsia" w:eastAsiaTheme="minorEastAsia"/>
          <w:color w:val="auto"/>
          <w:sz w:val="24"/>
          <w:highlight w:val="none"/>
          <w:vertAlign w:val="superscript"/>
        </w:rPr>
        <w:t>2</w:t>
      </w:r>
      <w:r>
        <w:rPr>
          <w:rFonts w:hint="eastAsia" w:eastAsiaTheme="minorEastAsia"/>
          <w:color w:val="auto"/>
          <w:sz w:val="24"/>
          <w:highlight w:val="none"/>
        </w:rPr>
        <w:t>/a</w:t>
      </w:r>
      <w:r>
        <w:rPr>
          <w:rFonts w:hint="eastAsia" w:eastAsiaTheme="minorEastAsia"/>
          <w:color w:val="auto"/>
          <w:sz w:val="24"/>
          <w:highlight w:val="none"/>
          <w:lang w:eastAsia="zh-CN"/>
        </w:rPr>
        <w:t>(镀银、锡)。</w:t>
      </w:r>
    </w:p>
    <w:p>
      <w:pPr>
        <w:adjustRightInd w:val="0"/>
        <w:snapToGrid w:val="0"/>
        <w:spacing w:line="360" w:lineRule="auto"/>
        <w:ind w:firstLine="480" w:firstLineChars="200"/>
        <w:rPr>
          <w:rFonts w:eastAsiaTheme="minorEastAsia"/>
          <w:color w:val="auto"/>
          <w:sz w:val="24"/>
          <w:highlight w:val="none"/>
        </w:rPr>
      </w:pPr>
      <w:r>
        <w:rPr>
          <w:rFonts w:hint="eastAsia" w:eastAsiaTheme="minorEastAsia"/>
          <w:color w:val="auto"/>
          <w:sz w:val="24"/>
          <w:highlight w:val="none"/>
          <w:lang w:val="en-US" w:eastAsia="zh-CN"/>
        </w:rPr>
        <w:t>2002年9月25日，</w:t>
      </w:r>
      <w:r>
        <w:rPr>
          <w:rFonts w:hint="eastAsia" w:eastAsiaTheme="minorEastAsia"/>
          <w:color w:val="auto"/>
          <w:sz w:val="24"/>
          <w:highlight w:val="none"/>
        </w:rPr>
        <w:t>青岛源润宏防腐精饰科技有限公司</w:t>
      </w:r>
      <w:r>
        <w:rPr>
          <w:rFonts w:hint="eastAsia" w:eastAsiaTheme="minorEastAsia"/>
          <w:color w:val="auto"/>
          <w:sz w:val="24"/>
          <w:highlight w:val="none"/>
          <w:lang w:val="en-US" w:eastAsia="zh-CN"/>
        </w:rPr>
        <w:t>电镀项目</w:t>
      </w:r>
      <w:r>
        <w:rPr>
          <w:rFonts w:hint="eastAsia" w:eastAsiaTheme="minorEastAsia"/>
          <w:color w:val="auto"/>
          <w:sz w:val="24"/>
          <w:highlight w:val="none"/>
        </w:rPr>
        <w:t>取得青岛市环境保护局</w:t>
      </w:r>
      <w:r>
        <w:rPr>
          <w:rFonts w:hint="eastAsia" w:eastAsiaTheme="minorEastAsia"/>
          <w:color w:val="auto"/>
          <w:sz w:val="24"/>
          <w:highlight w:val="none"/>
          <w:lang w:eastAsia="zh-CN"/>
        </w:rPr>
        <w:t>黄岛分局</w:t>
      </w:r>
      <w:r>
        <w:rPr>
          <w:rFonts w:hint="eastAsia" w:eastAsiaTheme="minorEastAsia"/>
          <w:color w:val="auto"/>
          <w:sz w:val="24"/>
          <w:highlight w:val="none"/>
        </w:rPr>
        <w:t>关于</w:t>
      </w:r>
      <w:r>
        <w:rPr>
          <w:rFonts w:hint="eastAsia" w:eastAsiaTheme="minorEastAsia"/>
          <w:color w:val="auto"/>
          <w:sz w:val="24"/>
          <w:highlight w:val="none"/>
          <w:lang w:eastAsia="zh-CN"/>
        </w:rPr>
        <w:t>该</w:t>
      </w:r>
      <w:r>
        <w:rPr>
          <w:rFonts w:hint="eastAsia" w:eastAsiaTheme="minorEastAsia"/>
          <w:color w:val="auto"/>
          <w:sz w:val="24"/>
          <w:highlight w:val="none"/>
        </w:rPr>
        <w:t>建设项目环境影响</w:t>
      </w:r>
      <w:r>
        <w:rPr>
          <w:rFonts w:hint="eastAsia" w:eastAsiaTheme="minorEastAsia"/>
          <w:color w:val="auto"/>
          <w:sz w:val="24"/>
          <w:highlight w:val="none"/>
          <w:lang w:eastAsia="zh-CN"/>
        </w:rPr>
        <w:t>登记表</w:t>
      </w:r>
      <w:r>
        <w:rPr>
          <w:rFonts w:hint="eastAsia" w:eastAsiaTheme="minorEastAsia"/>
          <w:color w:val="auto"/>
          <w:sz w:val="24"/>
          <w:highlight w:val="none"/>
        </w:rPr>
        <w:t>的</w:t>
      </w:r>
      <w:r>
        <w:rPr>
          <w:rFonts w:hint="eastAsia" w:eastAsiaTheme="minorEastAsia"/>
          <w:color w:val="auto"/>
          <w:sz w:val="24"/>
          <w:highlight w:val="none"/>
          <w:lang w:eastAsia="zh-CN"/>
        </w:rPr>
        <w:t>审查意见</w:t>
      </w:r>
      <w:r>
        <w:rPr>
          <w:rFonts w:hint="eastAsia" w:eastAsiaTheme="minorEastAsia"/>
          <w:color w:val="auto"/>
          <w:sz w:val="24"/>
          <w:highlight w:val="none"/>
        </w:rPr>
        <w:t>(</w:t>
      </w:r>
      <w:r>
        <w:rPr>
          <w:rFonts w:hint="eastAsia" w:eastAsiaTheme="minorEastAsia"/>
          <w:color w:val="auto"/>
          <w:sz w:val="24"/>
          <w:highlight w:val="none"/>
          <w:lang w:eastAsia="zh-CN"/>
        </w:rPr>
        <w:t>见附件</w:t>
      </w:r>
      <w:r>
        <w:rPr>
          <w:rFonts w:hint="eastAsia" w:eastAsiaTheme="minorEastAsia"/>
          <w:color w:val="auto"/>
          <w:sz w:val="24"/>
          <w:highlight w:val="none"/>
          <w:lang w:val="en-US" w:eastAsia="zh-CN"/>
        </w:rPr>
        <w:t>7</w:t>
      </w:r>
      <w:r>
        <w:rPr>
          <w:rFonts w:hint="eastAsia" w:eastAsiaTheme="minorEastAsia"/>
          <w:color w:val="auto"/>
          <w:sz w:val="24"/>
          <w:highlight w:val="none"/>
        </w:rPr>
        <w:t>)，并于200</w:t>
      </w:r>
      <w:r>
        <w:rPr>
          <w:rFonts w:hint="eastAsia" w:eastAsiaTheme="minorEastAsia"/>
          <w:color w:val="auto"/>
          <w:sz w:val="24"/>
          <w:highlight w:val="none"/>
          <w:lang w:val="en-US" w:eastAsia="zh-CN"/>
        </w:rPr>
        <w:t>8</w:t>
      </w:r>
      <w:r>
        <w:rPr>
          <w:rFonts w:hint="eastAsia" w:eastAsiaTheme="minorEastAsia"/>
          <w:color w:val="auto"/>
          <w:sz w:val="24"/>
          <w:highlight w:val="none"/>
        </w:rPr>
        <w:t>年</w:t>
      </w:r>
      <w:r>
        <w:rPr>
          <w:rFonts w:hint="eastAsia" w:eastAsiaTheme="minorEastAsia"/>
          <w:color w:val="auto"/>
          <w:sz w:val="24"/>
          <w:highlight w:val="none"/>
          <w:lang w:val="en-US" w:eastAsia="zh-CN"/>
        </w:rPr>
        <w:t>5</w:t>
      </w:r>
      <w:r>
        <w:rPr>
          <w:rFonts w:hint="eastAsia" w:eastAsiaTheme="minorEastAsia"/>
          <w:color w:val="auto"/>
          <w:sz w:val="24"/>
          <w:highlight w:val="none"/>
        </w:rPr>
        <w:t>月</w:t>
      </w:r>
      <w:r>
        <w:rPr>
          <w:rFonts w:hint="eastAsia" w:eastAsiaTheme="minorEastAsia"/>
          <w:color w:val="auto"/>
          <w:sz w:val="24"/>
          <w:highlight w:val="none"/>
          <w:lang w:eastAsia="zh-CN"/>
        </w:rPr>
        <w:t>取得</w:t>
      </w:r>
      <w:r>
        <w:rPr>
          <w:rFonts w:hint="eastAsia" w:eastAsiaTheme="minorEastAsia"/>
          <w:color w:val="auto"/>
          <w:sz w:val="24"/>
          <w:highlight w:val="none"/>
        </w:rPr>
        <w:t>由青岛市环境保护局</w:t>
      </w:r>
      <w:r>
        <w:rPr>
          <w:rFonts w:hint="eastAsia" w:eastAsiaTheme="minorEastAsia"/>
          <w:color w:val="auto"/>
          <w:sz w:val="24"/>
          <w:highlight w:val="none"/>
          <w:lang w:eastAsia="zh-CN"/>
        </w:rPr>
        <w:t>黄岛分局</w:t>
      </w:r>
      <w:r>
        <w:rPr>
          <w:rFonts w:hint="eastAsia" w:eastAsiaTheme="minorEastAsia"/>
          <w:color w:val="auto"/>
          <w:sz w:val="24"/>
          <w:highlight w:val="none"/>
        </w:rPr>
        <w:t>进行</w:t>
      </w:r>
      <w:r>
        <w:rPr>
          <w:rFonts w:hint="eastAsia" w:eastAsiaTheme="minorEastAsia"/>
          <w:color w:val="auto"/>
          <w:sz w:val="24"/>
          <w:highlight w:val="none"/>
          <w:lang w:eastAsia="zh-CN"/>
        </w:rPr>
        <w:t>的建设项目竣工环境保护</w:t>
      </w:r>
      <w:r>
        <w:rPr>
          <w:rFonts w:hint="eastAsia" w:eastAsiaTheme="minorEastAsia"/>
          <w:color w:val="auto"/>
          <w:sz w:val="24"/>
          <w:highlight w:val="none"/>
        </w:rPr>
        <w:t>验收</w:t>
      </w:r>
      <w:r>
        <w:rPr>
          <w:rFonts w:hint="eastAsia" w:eastAsiaTheme="minorEastAsia"/>
          <w:color w:val="auto"/>
          <w:sz w:val="24"/>
          <w:highlight w:val="none"/>
          <w:lang w:eastAsia="zh-CN"/>
        </w:rPr>
        <w:t>报告</w:t>
      </w:r>
      <w:r>
        <w:rPr>
          <w:rFonts w:hint="eastAsia" w:eastAsiaTheme="minorEastAsia"/>
          <w:color w:val="auto"/>
          <w:sz w:val="24"/>
          <w:highlight w:val="none"/>
        </w:rPr>
        <w:t>(青环验200</w:t>
      </w:r>
      <w:r>
        <w:rPr>
          <w:rFonts w:hint="eastAsia" w:eastAsiaTheme="minorEastAsia"/>
          <w:color w:val="auto"/>
          <w:sz w:val="24"/>
          <w:highlight w:val="none"/>
          <w:lang w:val="en-US" w:eastAsia="zh-CN"/>
        </w:rPr>
        <w:t>8</w:t>
      </w:r>
      <w:r>
        <w:rPr>
          <w:rFonts w:hint="eastAsia" w:eastAsiaTheme="minorEastAsia"/>
          <w:color w:val="auto"/>
          <w:sz w:val="24"/>
          <w:highlight w:val="none"/>
        </w:rPr>
        <w:t>-</w:t>
      </w:r>
      <w:r>
        <w:rPr>
          <w:rFonts w:hint="eastAsia" w:eastAsiaTheme="minorEastAsia"/>
          <w:color w:val="auto"/>
          <w:sz w:val="24"/>
          <w:highlight w:val="none"/>
          <w:lang w:val="en-US" w:eastAsia="zh-CN"/>
        </w:rPr>
        <w:t>108，</w:t>
      </w:r>
      <w:r>
        <w:rPr>
          <w:rFonts w:hint="eastAsia" w:eastAsiaTheme="minorEastAsia"/>
          <w:color w:val="auto"/>
          <w:sz w:val="24"/>
          <w:highlight w:val="none"/>
          <w:lang w:eastAsia="zh-CN"/>
        </w:rPr>
        <w:t>见附件</w:t>
      </w:r>
      <w:r>
        <w:rPr>
          <w:rFonts w:hint="eastAsia" w:eastAsiaTheme="minorEastAsia"/>
          <w:color w:val="auto"/>
          <w:sz w:val="24"/>
          <w:highlight w:val="none"/>
          <w:lang w:val="en-US" w:eastAsia="zh-CN"/>
        </w:rPr>
        <w:t>8</w:t>
      </w:r>
      <w:r>
        <w:rPr>
          <w:rFonts w:hint="eastAsia" w:eastAsiaTheme="minorEastAsia"/>
          <w:color w:val="auto"/>
          <w:sz w:val="24"/>
          <w:highlight w:val="none"/>
        </w:rPr>
        <w:t>)。</w:t>
      </w:r>
    </w:p>
    <w:p>
      <w:pPr>
        <w:adjustRightInd w:val="0"/>
        <w:snapToGrid w:val="0"/>
        <w:spacing w:line="360" w:lineRule="auto"/>
        <w:ind w:firstLine="480" w:firstLineChars="200"/>
        <w:rPr>
          <w:rStyle w:val="51"/>
          <w:rFonts w:ascii="Times New Roman" w:hAnsi="Times New Roman" w:eastAsiaTheme="minorEastAsia"/>
          <w:color w:val="auto"/>
          <w:sz w:val="24"/>
          <w:szCs w:val="24"/>
          <w:highlight w:val="none"/>
        </w:rPr>
      </w:pPr>
      <w:r>
        <w:rPr>
          <w:rFonts w:hint="eastAsia" w:eastAsiaTheme="minorEastAsia"/>
          <w:color w:val="auto"/>
          <w:sz w:val="24"/>
          <w:highlight w:val="none"/>
        </w:rPr>
        <w:t>青岛经济技术开发区电镀工业园</w:t>
      </w:r>
      <w:r>
        <w:rPr>
          <w:rStyle w:val="51"/>
          <w:rFonts w:ascii="Times New Roman" w:hAnsi="Times New Roman" w:eastAsiaTheme="minorEastAsia"/>
          <w:color w:val="auto"/>
          <w:sz w:val="24"/>
          <w:szCs w:val="24"/>
          <w:highlight w:val="none"/>
        </w:rPr>
        <w:t>位于</w:t>
      </w:r>
      <w:r>
        <w:rPr>
          <w:rFonts w:hint="eastAsia" w:eastAsiaTheme="minorEastAsia"/>
          <w:color w:val="auto"/>
          <w:sz w:val="24"/>
          <w:highlight w:val="none"/>
        </w:rPr>
        <w:t>青岛经济技术开发区黄河东路139号</w:t>
      </w:r>
      <w:r>
        <w:rPr>
          <w:rStyle w:val="51"/>
          <w:rFonts w:ascii="Times New Roman" w:hAnsi="Times New Roman" w:eastAsiaTheme="minorEastAsia"/>
          <w:color w:val="auto"/>
          <w:sz w:val="24"/>
          <w:szCs w:val="24"/>
          <w:highlight w:val="none"/>
        </w:rPr>
        <w:t>，占地面积</w:t>
      </w:r>
      <w:r>
        <w:rPr>
          <w:rStyle w:val="51"/>
          <w:rFonts w:hint="eastAsia" w:ascii="Times New Roman" w:hAnsi="Times New Roman" w:eastAsiaTheme="minorEastAsia"/>
          <w:color w:val="auto"/>
          <w:sz w:val="24"/>
          <w:szCs w:val="24"/>
          <w:highlight w:val="none"/>
        </w:rPr>
        <w:t>17443</w:t>
      </w:r>
      <w:r>
        <w:rPr>
          <w:rStyle w:val="51"/>
          <w:rFonts w:hint="eastAsia" w:ascii="Times New Roman" w:hAnsi="Times New Roman" w:eastAsiaTheme="minorEastAsia"/>
          <w:color w:val="auto"/>
          <w:sz w:val="24"/>
          <w:szCs w:val="24"/>
          <w:highlight w:val="none"/>
        </w:rPr>
        <w:t>.3</w:t>
      </w:r>
      <w:r>
        <w:rPr>
          <w:rFonts w:eastAsiaTheme="minorEastAsia"/>
          <w:color w:val="auto"/>
          <w:sz w:val="24"/>
          <w:highlight w:val="none"/>
        </w:rPr>
        <w:t>m</w:t>
      </w:r>
      <w:r>
        <w:rPr>
          <w:rFonts w:eastAsiaTheme="minorEastAsia"/>
          <w:color w:val="auto"/>
          <w:sz w:val="24"/>
          <w:highlight w:val="none"/>
          <w:vertAlign w:val="superscript"/>
        </w:rPr>
        <w:t>2</w:t>
      </w:r>
      <w:r>
        <w:rPr>
          <w:rFonts w:eastAsiaTheme="minorEastAsia"/>
          <w:color w:val="auto"/>
          <w:sz w:val="24"/>
          <w:highlight w:val="none"/>
        </w:rPr>
        <w:t>，</w:t>
      </w:r>
      <w:r>
        <w:rPr>
          <w:rStyle w:val="51"/>
          <w:rFonts w:hint="eastAsia" w:ascii="Times New Roman" w:hAnsi="Times New Roman" w:eastAsiaTheme="minorEastAsia"/>
          <w:color w:val="auto"/>
          <w:sz w:val="24"/>
          <w:szCs w:val="24"/>
          <w:highlight w:val="none"/>
        </w:rPr>
        <w:t>工</w:t>
      </w:r>
      <w:r>
        <w:rPr>
          <w:rStyle w:val="51"/>
          <w:rFonts w:hint="eastAsia" w:ascii="Times New Roman" w:hAnsi="Times New Roman" w:eastAsiaTheme="minorEastAsia"/>
          <w:color w:val="auto"/>
          <w:sz w:val="24"/>
          <w:szCs w:val="24"/>
          <w:highlight w:val="none"/>
        </w:rPr>
        <w:t>业园园区东侧为瑞源广场</w:t>
      </w:r>
      <w:r>
        <w:rPr>
          <w:rStyle w:val="51"/>
          <w:rFonts w:hint="eastAsia" w:eastAsiaTheme="minorEastAsia"/>
          <w:color w:val="auto"/>
          <w:sz w:val="24"/>
          <w:szCs w:val="24"/>
          <w:highlight w:val="none"/>
          <w:lang w:eastAsia="zh-CN"/>
        </w:rPr>
        <w:t>、青岛益群漆业集团有限公司、青岛文达通科技发展有限公司</w:t>
      </w:r>
      <w:r>
        <w:rPr>
          <w:rStyle w:val="51"/>
          <w:rFonts w:hint="eastAsia" w:ascii="Times New Roman" w:hAnsi="Times New Roman" w:eastAsiaTheme="minorEastAsia"/>
          <w:color w:val="auto"/>
          <w:sz w:val="24"/>
          <w:szCs w:val="24"/>
          <w:highlight w:val="none"/>
        </w:rPr>
        <w:t>，南侧为黄河东路，隔路为</w:t>
      </w:r>
      <w:r>
        <w:rPr>
          <w:rStyle w:val="51"/>
          <w:rFonts w:hint="eastAsia" w:eastAsiaTheme="minorEastAsia"/>
          <w:color w:val="auto"/>
          <w:sz w:val="24"/>
          <w:szCs w:val="24"/>
          <w:highlight w:val="none"/>
          <w:lang w:eastAsia="zh-CN"/>
        </w:rPr>
        <w:t>港航</w:t>
      </w:r>
      <w:r>
        <w:rPr>
          <w:rStyle w:val="51"/>
          <w:rFonts w:hint="eastAsia" w:ascii="Times New Roman" w:hAnsi="Times New Roman" w:eastAsiaTheme="minorEastAsia"/>
          <w:color w:val="auto"/>
          <w:sz w:val="24"/>
          <w:szCs w:val="24"/>
          <w:highlight w:val="none"/>
        </w:rPr>
        <w:t>大厦；西侧为</w:t>
      </w:r>
      <w:r>
        <w:rPr>
          <w:rStyle w:val="51"/>
          <w:rFonts w:hint="eastAsia" w:eastAsiaTheme="minorEastAsia"/>
          <w:color w:val="auto"/>
          <w:sz w:val="24"/>
          <w:szCs w:val="24"/>
          <w:highlight w:val="none"/>
          <w:lang w:eastAsia="zh-CN"/>
        </w:rPr>
        <w:t>港航中心</w:t>
      </w:r>
      <w:r>
        <w:rPr>
          <w:rStyle w:val="51"/>
          <w:rFonts w:hint="eastAsia" w:ascii="Times New Roman" w:hAnsi="Times New Roman" w:eastAsiaTheme="minorEastAsia"/>
          <w:color w:val="auto"/>
          <w:sz w:val="24"/>
          <w:szCs w:val="24"/>
          <w:highlight w:val="none"/>
        </w:rPr>
        <w:t>和远洋大亚集装箱堆放地；北侧为青岛远洋大亚物流有限公司</w:t>
      </w:r>
      <w:r>
        <w:rPr>
          <w:rStyle w:val="51"/>
          <w:rFonts w:ascii="Times New Roman" w:hAnsi="Times New Roman" w:eastAsiaTheme="minorEastAsia"/>
          <w:color w:val="auto"/>
          <w:sz w:val="24"/>
          <w:szCs w:val="24"/>
          <w:highlight w:val="none"/>
        </w:rPr>
        <w:t>。</w:t>
      </w:r>
      <w:r>
        <w:rPr>
          <w:rStyle w:val="51"/>
          <w:rFonts w:hint="eastAsia" w:eastAsiaTheme="minorEastAsia"/>
          <w:color w:val="auto"/>
          <w:sz w:val="24"/>
          <w:szCs w:val="24"/>
          <w:highlight w:val="none"/>
          <w:lang w:eastAsia="zh-CN"/>
        </w:rPr>
        <w:t>园区</w:t>
      </w:r>
      <w:r>
        <w:rPr>
          <w:rStyle w:val="51"/>
          <w:rFonts w:ascii="Times New Roman" w:hAnsi="Times New Roman" w:eastAsiaTheme="minorEastAsia"/>
          <w:color w:val="auto"/>
          <w:sz w:val="24"/>
          <w:szCs w:val="24"/>
          <w:highlight w:val="none"/>
        </w:rPr>
        <w:t>内各企业自主经营，并负责企业内的生产管理，产生的污染物需符合</w:t>
      </w:r>
      <w:r>
        <w:rPr>
          <w:rStyle w:val="51"/>
          <w:rFonts w:hint="eastAsia" w:eastAsiaTheme="minorEastAsia"/>
          <w:color w:val="auto"/>
          <w:sz w:val="24"/>
          <w:szCs w:val="24"/>
          <w:highlight w:val="none"/>
          <w:lang w:eastAsia="zh-CN"/>
        </w:rPr>
        <w:t>园区</w:t>
      </w:r>
      <w:r>
        <w:rPr>
          <w:rStyle w:val="51"/>
          <w:rFonts w:ascii="Times New Roman" w:hAnsi="Times New Roman" w:eastAsiaTheme="minorEastAsia"/>
          <w:color w:val="auto"/>
          <w:sz w:val="24"/>
          <w:szCs w:val="24"/>
          <w:highlight w:val="none"/>
        </w:rPr>
        <w:t>制定的相关指标和要求。入园企业危险废物存储及处置、污水处理等由</w:t>
      </w:r>
      <w:r>
        <w:rPr>
          <w:rStyle w:val="51"/>
          <w:rFonts w:hint="eastAsia" w:eastAsiaTheme="minorEastAsia"/>
          <w:color w:val="auto"/>
          <w:sz w:val="24"/>
          <w:szCs w:val="24"/>
          <w:highlight w:val="none"/>
          <w:lang w:eastAsia="zh-CN"/>
        </w:rPr>
        <w:t>园区</w:t>
      </w:r>
      <w:r>
        <w:rPr>
          <w:rStyle w:val="51"/>
          <w:rFonts w:ascii="Times New Roman" w:hAnsi="Times New Roman" w:eastAsiaTheme="minorEastAsia"/>
          <w:color w:val="auto"/>
          <w:sz w:val="24"/>
          <w:szCs w:val="24"/>
          <w:highlight w:val="none"/>
        </w:rPr>
        <w:t>统一建设管理。</w:t>
      </w:r>
    </w:p>
    <w:p>
      <w:pPr>
        <w:adjustRightInd w:val="0"/>
        <w:snapToGrid w:val="0"/>
        <w:spacing w:line="360" w:lineRule="auto"/>
        <w:ind w:firstLine="480" w:firstLineChars="200"/>
        <w:rPr>
          <w:color w:val="auto"/>
          <w:sz w:val="24"/>
          <w:highlight w:val="none"/>
        </w:rPr>
      </w:pPr>
      <w:r>
        <w:rPr>
          <w:rFonts w:hint="eastAsia"/>
          <w:color w:val="auto"/>
          <w:sz w:val="24"/>
          <w:highlight w:val="none"/>
        </w:rPr>
        <w:t>青岛源润宏防腐精饰科技有限公司于20</w:t>
      </w:r>
      <w:r>
        <w:rPr>
          <w:rFonts w:hint="eastAsia"/>
          <w:color w:val="auto"/>
          <w:sz w:val="24"/>
          <w:highlight w:val="none"/>
          <w:lang w:val="en-US" w:eastAsia="zh-CN"/>
        </w:rPr>
        <w:t>02</w:t>
      </w:r>
      <w:r>
        <w:rPr>
          <w:rFonts w:hint="eastAsia"/>
          <w:color w:val="auto"/>
          <w:sz w:val="24"/>
          <w:highlight w:val="none"/>
        </w:rPr>
        <w:t>年注册</w:t>
      </w:r>
      <w:r>
        <w:rPr>
          <w:rFonts w:hint="eastAsia"/>
          <w:color w:val="auto"/>
          <w:sz w:val="24"/>
          <w:highlight w:val="none"/>
          <w:lang w:eastAsia="zh-CN"/>
        </w:rPr>
        <w:t>(</w:t>
      </w:r>
      <w:r>
        <w:rPr>
          <w:rFonts w:hint="eastAsia"/>
          <w:color w:val="auto"/>
          <w:sz w:val="24"/>
          <w:highlight w:val="none"/>
        </w:rPr>
        <w:t>见附件2</w:t>
      </w:r>
      <w:r>
        <w:rPr>
          <w:rFonts w:hint="eastAsia"/>
          <w:color w:val="auto"/>
          <w:sz w:val="24"/>
          <w:highlight w:val="none"/>
          <w:lang w:eastAsia="zh-CN"/>
        </w:rPr>
        <w:t>)，原有的项目环评登记表编制时，原辅材料、生产设备、产品叙述不清楚，污染源强核算和防治措施</w:t>
      </w:r>
      <w:r>
        <w:rPr>
          <w:rFonts w:hint="eastAsia"/>
          <w:color w:val="auto"/>
          <w:sz w:val="24"/>
          <w:highlight w:val="none"/>
          <w:lang w:val="en-US" w:eastAsia="zh-CN"/>
        </w:rPr>
        <w:t>未</w:t>
      </w:r>
      <w:r>
        <w:rPr>
          <w:rFonts w:hint="eastAsia"/>
          <w:color w:val="auto"/>
          <w:sz w:val="24"/>
          <w:highlight w:val="none"/>
          <w:lang w:eastAsia="zh-CN"/>
        </w:rPr>
        <w:t>编制</w:t>
      </w:r>
      <w:r>
        <w:rPr>
          <w:rFonts w:hint="eastAsia"/>
          <w:color w:val="auto"/>
          <w:sz w:val="24"/>
          <w:highlight w:val="none"/>
        </w:rPr>
        <w:t>。</w:t>
      </w:r>
      <w:r>
        <w:rPr>
          <w:rFonts w:hint="eastAsia"/>
          <w:color w:val="auto"/>
          <w:sz w:val="24"/>
          <w:highlight w:val="none"/>
          <w:lang w:eastAsia="zh-CN"/>
        </w:rPr>
        <w:t>为配合环保主管部门管理，方便企业执行排污许可制度，</w:t>
      </w:r>
      <w:r>
        <w:rPr>
          <w:rFonts w:hint="eastAsia" w:hAnsi="宋体"/>
          <w:color w:val="auto"/>
          <w:sz w:val="24"/>
          <w:highlight w:val="none"/>
        </w:rPr>
        <w:t>根据《建设项目环境影响后评价管理办法(试行)》(环境保护部令部令第37号)“第三条：(二)冶金、石化和化工行业中有重大环境风险，建设地点敏感，且持续排放重金属或者持久性有机污染物的建设项目”</w:t>
      </w:r>
      <w:r>
        <w:rPr>
          <w:rFonts w:hint="eastAsia" w:hAnsi="宋体"/>
          <w:color w:val="auto"/>
          <w:sz w:val="24"/>
          <w:highlight w:val="none"/>
          <w:lang w:val="en-US" w:eastAsia="zh-CN"/>
        </w:rPr>
        <w:t>及</w:t>
      </w:r>
      <w:r>
        <w:rPr>
          <w:rFonts w:hint="eastAsia"/>
          <w:color w:val="auto"/>
          <w:sz w:val="24"/>
          <w:highlight w:val="none"/>
        </w:rPr>
        <w:t>青岛市环境保护局黄岛分局</w:t>
      </w:r>
      <w:r>
        <w:rPr>
          <w:rFonts w:hint="eastAsia" w:hAnsi="宋体"/>
          <w:color w:val="auto"/>
          <w:sz w:val="24"/>
          <w:highlight w:val="none"/>
        </w:rPr>
        <w:t>的有关要求</w:t>
      </w:r>
      <w:r>
        <w:rPr>
          <w:rFonts w:hint="eastAsia" w:hAnsi="宋体"/>
          <w:color w:val="auto"/>
          <w:sz w:val="24"/>
          <w:highlight w:val="none"/>
          <w:lang w:eastAsia="zh-CN"/>
        </w:rPr>
        <w:t>，</w:t>
      </w:r>
      <w:r>
        <w:rPr>
          <w:rFonts w:hint="eastAsia" w:hAnsi="宋体"/>
          <w:color w:val="auto"/>
          <w:sz w:val="24"/>
          <w:highlight w:val="none"/>
          <w:lang w:val="en-US" w:eastAsia="zh-CN"/>
        </w:rPr>
        <w:t>该项目</w:t>
      </w:r>
      <w:r>
        <w:rPr>
          <w:rFonts w:hint="eastAsia" w:hAnsi="宋体"/>
          <w:color w:val="auto"/>
          <w:sz w:val="24"/>
          <w:highlight w:val="none"/>
        </w:rPr>
        <w:t>应当开展环境影响后评价</w:t>
      </w:r>
      <w:r>
        <w:rPr>
          <w:rFonts w:hint="eastAsia" w:hAnsi="宋体"/>
          <w:color w:val="auto"/>
          <w:sz w:val="24"/>
          <w:highlight w:val="none"/>
          <w:lang w:eastAsia="zh-CN"/>
        </w:rPr>
        <w:t>。</w:t>
      </w:r>
      <w:r>
        <w:rPr>
          <w:rFonts w:hint="eastAsia" w:hAnsi="宋体"/>
          <w:color w:val="auto"/>
          <w:sz w:val="24"/>
          <w:highlight w:val="none"/>
        </w:rPr>
        <w:t>后评价是建设项目在通过环境保护设施竣工验收且稳定运行一定时期后，对其实际产生的环境影响以及污染防治、生态保护和风险防范措施的有效性进行跟踪监测和验证评价</w:t>
      </w:r>
      <w:r>
        <w:rPr>
          <w:rFonts w:hint="eastAsia" w:hAnsi="宋体"/>
          <w:color w:val="auto"/>
          <w:sz w:val="24"/>
          <w:highlight w:val="none"/>
          <w:lang w:eastAsia="zh-CN"/>
        </w:rPr>
        <w:t>。</w:t>
      </w:r>
      <w:r>
        <w:rPr>
          <w:rFonts w:hint="eastAsia" w:hAnsi="宋体"/>
          <w:color w:val="auto"/>
          <w:sz w:val="24"/>
          <w:highlight w:val="none"/>
          <w:lang w:val="en-US" w:eastAsia="zh-CN"/>
        </w:rPr>
        <w:t>因此</w:t>
      </w:r>
      <w:r>
        <w:rPr>
          <w:rFonts w:hint="eastAsia" w:hAnsi="宋体"/>
          <w:color w:val="auto"/>
          <w:sz w:val="24"/>
          <w:highlight w:val="none"/>
        </w:rPr>
        <w:t>青岛源润宏防腐精饰科技有限公司应开展环境影响后评价，建设单位委托我单位</w:t>
      </w:r>
      <w:r>
        <w:rPr>
          <w:rFonts w:hint="eastAsia"/>
          <w:color w:val="auto"/>
          <w:sz w:val="24"/>
          <w:highlight w:val="none"/>
        </w:rPr>
        <w:t>承担该项目的环境影响后评价工作。我单位在接受委托之后，立即组织有关技术人员对项目厂址及其周围环境进行了详尽的实地勘查和相关资料的收集、核实与分析工作，在此基础上，</w:t>
      </w:r>
      <w:r>
        <w:rPr>
          <w:rFonts w:hint="eastAsia" w:hAnsi="宋体"/>
          <w:color w:val="auto"/>
          <w:sz w:val="24"/>
          <w:highlight w:val="none"/>
        </w:rPr>
        <w:t>开展了现场监测工作，按照《建设项目环境影响后评价管理办法(试行)》(</w:t>
      </w:r>
      <w:r>
        <w:rPr>
          <w:rFonts w:hAnsi="宋体"/>
          <w:color w:val="auto"/>
          <w:sz w:val="24"/>
          <w:highlight w:val="none"/>
        </w:rPr>
        <w:t>环境保护部令部令第37号</w:t>
      </w:r>
      <w:r>
        <w:rPr>
          <w:rFonts w:hint="eastAsia" w:hAnsi="宋体"/>
          <w:color w:val="auto"/>
          <w:sz w:val="24"/>
          <w:highlight w:val="none"/>
        </w:rPr>
        <w:t>)及相关文件要</w:t>
      </w:r>
      <w:r>
        <w:rPr>
          <w:rFonts w:hAnsi="宋体"/>
          <w:color w:val="auto"/>
          <w:sz w:val="24"/>
          <w:highlight w:val="none"/>
        </w:rPr>
        <w:t>求编制了该项目的环境影响后评价报告书。</w:t>
      </w:r>
    </w:p>
    <w:p>
      <w:pPr>
        <w:adjustRightInd w:val="0"/>
        <w:snapToGrid w:val="0"/>
        <w:spacing w:line="360" w:lineRule="auto"/>
        <w:outlineLvl w:val="1"/>
        <w:rPr>
          <w:rFonts w:ascii="黑体" w:hAnsi="黑体" w:eastAsia="黑体"/>
          <w:color w:val="auto"/>
          <w:sz w:val="24"/>
          <w:highlight w:val="none"/>
        </w:rPr>
      </w:pPr>
      <w:bookmarkStart w:id="12" w:name="_Toc519063290"/>
      <w:bookmarkStart w:id="13" w:name="_Toc530655590"/>
      <w:bookmarkStart w:id="14" w:name="_Toc11782"/>
      <w:r>
        <w:rPr>
          <w:rFonts w:ascii="黑体" w:hAnsi="黑体" w:eastAsia="黑体"/>
          <w:color w:val="auto"/>
          <w:sz w:val="24"/>
          <w:highlight w:val="none"/>
        </w:rPr>
        <w:t>1.2 编制依据</w:t>
      </w:r>
      <w:bookmarkEnd w:id="12"/>
      <w:bookmarkEnd w:id="13"/>
      <w:bookmarkEnd w:id="14"/>
    </w:p>
    <w:p>
      <w:pPr>
        <w:adjustRightInd w:val="0"/>
        <w:snapToGrid w:val="0"/>
        <w:spacing w:line="360" w:lineRule="auto"/>
        <w:outlineLvl w:val="2"/>
        <w:rPr>
          <w:rFonts w:eastAsia="黑体"/>
          <w:color w:val="auto"/>
          <w:sz w:val="24"/>
          <w:highlight w:val="none"/>
        </w:rPr>
      </w:pPr>
      <w:r>
        <w:rPr>
          <w:rFonts w:eastAsia="黑体"/>
          <w:color w:val="auto"/>
          <w:sz w:val="24"/>
          <w:highlight w:val="none"/>
        </w:rPr>
        <w:t xml:space="preserve">1.2.1 </w:t>
      </w:r>
      <w:r>
        <w:rPr>
          <w:rFonts w:hint="eastAsia" w:eastAsia="黑体"/>
          <w:color w:val="auto"/>
          <w:sz w:val="24"/>
          <w:highlight w:val="none"/>
          <w:lang w:eastAsia="zh-CN"/>
        </w:rPr>
        <w:t>国家</w:t>
      </w:r>
      <w:r>
        <w:rPr>
          <w:rFonts w:eastAsia="黑体"/>
          <w:color w:val="auto"/>
          <w:sz w:val="24"/>
          <w:highlight w:val="none"/>
        </w:rPr>
        <w:t>法律法规及规定依据</w:t>
      </w:r>
    </w:p>
    <w:p>
      <w:pPr>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left="0" w:leftChars="0" w:firstLine="466" w:firstLineChars="0"/>
        <w:textAlignment w:val="auto"/>
        <w:rPr>
          <w:color w:val="auto"/>
          <w:sz w:val="24"/>
          <w:highlight w:val="none"/>
        </w:rPr>
      </w:pPr>
      <w:r>
        <w:rPr>
          <w:rFonts w:hint="default" w:ascii="Times New Roman" w:hAnsi="Times New Roman" w:cs="Times New Roman"/>
          <w:color w:val="auto"/>
          <w:sz w:val="24"/>
          <w:highlight w:val="none"/>
        </w:rPr>
        <w:t>《中华人民共和国环境保护法》(2015年1月1日实施)</w:t>
      </w:r>
      <w:r>
        <w:rPr>
          <w:color w:val="auto"/>
          <w:sz w:val="24"/>
          <w:highlight w:val="none"/>
        </w:rPr>
        <w:t>；</w:t>
      </w:r>
    </w:p>
    <w:p>
      <w:pPr>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left="0" w:leftChars="0" w:firstLine="466" w:firstLineChars="0"/>
        <w:textAlignment w:val="auto"/>
        <w:rPr>
          <w:color w:val="auto"/>
          <w:sz w:val="24"/>
          <w:highlight w:val="none"/>
        </w:rPr>
      </w:pPr>
      <w:r>
        <w:rPr>
          <w:color w:val="auto"/>
          <w:sz w:val="24"/>
          <w:highlight w:val="none"/>
        </w:rPr>
        <w:t>《中华人民共和国环境影响评价法》(</w:t>
      </w:r>
      <w:r>
        <w:rPr>
          <w:rFonts w:hint="default" w:ascii="Times New Roman" w:hAnsi="Times New Roman" w:cs="Times New Roman"/>
          <w:color w:val="auto"/>
          <w:sz w:val="24"/>
          <w:szCs w:val="32"/>
          <w:highlight w:val="none"/>
        </w:rPr>
        <w:t>2018年12月29日修订</w:t>
      </w:r>
      <w:r>
        <w:rPr>
          <w:color w:val="auto"/>
          <w:sz w:val="24"/>
          <w:highlight w:val="none"/>
        </w:rPr>
        <w:t>)；</w:t>
      </w:r>
    </w:p>
    <w:p>
      <w:pPr>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left="0" w:leftChars="0" w:firstLine="466" w:firstLineChars="0"/>
        <w:textAlignment w:val="auto"/>
        <w:rPr>
          <w:color w:val="auto"/>
          <w:sz w:val="24"/>
          <w:highlight w:val="none"/>
        </w:rPr>
      </w:pPr>
      <w:r>
        <w:rPr>
          <w:color w:val="auto"/>
          <w:sz w:val="24"/>
          <w:highlight w:val="none"/>
        </w:rPr>
        <w:t>《中华人民共和国大气污染防治法》</w:t>
      </w:r>
      <w:r>
        <w:rPr>
          <w:rFonts w:hint="eastAsia"/>
          <w:color w:val="auto"/>
          <w:sz w:val="24"/>
          <w:highlight w:val="none"/>
        </w:rPr>
        <w:t>(</w:t>
      </w:r>
      <w:r>
        <w:rPr>
          <w:color w:val="auto"/>
          <w:sz w:val="24"/>
          <w:highlight w:val="none"/>
        </w:rPr>
        <w:t>2016年1月1日</w:t>
      </w:r>
      <w:r>
        <w:rPr>
          <w:rFonts w:hint="eastAsia" w:ascii="宋体" w:hAnsi="宋体"/>
          <w:color w:val="auto"/>
          <w:sz w:val="24"/>
          <w:highlight w:val="none"/>
        </w:rPr>
        <w:t>实施</w:t>
      </w:r>
      <w:r>
        <w:rPr>
          <w:rFonts w:hint="eastAsia"/>
          <w:color w:val="auto"/>
          <w:sz w:val="24"/>
          <w:highlight w:val="none"/>
        </w:rPr>
        <w:t>)</w:t>
      </w:r>
      <w:r>
        <w:rPr>
          <w:color w:val="auto"/>
          <w:sz w:val="24"/>
          <w:highlight w:val="none"/>
        </w:rPr>
        <w:t>；</w:t>
      </w:r>
    </w:p>
    <w:p>
      <w:pPr>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left="0" w:leftChars="0" w:firstLine="466" w:firstLineChars="0"/>
        <w:textAlignment w:val="auto"/>
        <w:rPr>
          <w:color w:val="auto"/>
          <w:sz w:val="24"/>
          <w:highlight w:val="none"/>
        </w:rPr>
      </w:pPr>
      <w:r>
        <w:rPr>
          <w:color w:val="auto"/>
          <w:sz w:val="24"/>
          <w:highlight w:val="none"/>
        </w:rPr>
        <w:t>《中华人民共和国水污染防治法》</w:t>
      </w:r>
      <w:r>
        <w:rPr>
          <w:rFonts w:hint="eastAsia"/>
          <w:color w:val="auto"/>
          <w:sz w:val="24"/>
          <w:highlight w:val="none"/>
        </w:rPr>
        <w:t>(</w:t>
      </w:r>
      <w:r>
        <w:rPr>
          <w:color w:val="auto"/>
          <w:sz w:val="24"/>
          <w:highlight w:val="none"/>
        </w:rPr>
        <w:t>20</w:t>
      </w:r>
      <w:r>
        <w:rPr>
          <w:rFonts w:hint="eastAsia"/>
          <w:color w:val="auto"/>
          <w:sz w:val="24"/>
          <w:highlight w:val="none"/>
        </w:rPr>
        <w:t>1</w:t>
      </w:r>
      <w:r>
        <w:rPr>
          <w:color w:val="auto"/>
          <w:sz w:val="24"/>
          <w:highlight w:val="none"/>
        </w:rPr>
        <w:t>8年</w:t>
      </w:r>
      <w:r>
        <w:rPr>
          <w:rFonts w:hint="eastAsia"/>
          <w:color w:val="auto"/>
          <w:sz w:val="24"/>
          <w:highlight w:val="none"/>
        </w:rPr>
        <w:t>1</w:t>
      </w:r>
      <w:r>
        <w:rPr>
          <w:color w:val="auto"/>
          <w:sz w:val="24"/>
          <w:highlight w:val="none"/>
        </w:rPr>
        <w:t>月1日起施行</w:t>
      </w:r>
      <w:r>
        <w:rPr>
          <w:rFonts w:hint="eastAsia"/>
          <w:color w:val="auto"/>
          <w:sz w:val="24"/>
          <w:highlight w:val="none"/>
        </w:rPr>
        <w:t>)</w:t>
      </w:r>
      <w:r>
        <w:rPr>
          <w:color w:val="auto"/>
          <w:sz w:val="24"/>
          <w:highlight w:val="none"/>
        </w:rPr>
        <w:t>；</w:t>
      </w:r>
    </w:p>
    <w:p>
      <w:pPr>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left="0" w:leftChars="0" w:firstLine="466" w:firstLineChars="0"/>
        <w:textAlignment w:val="auto"/>
        <w:rPr>
          <w:color w:val="auto"/>
          <w:sz w:val="24"/>
          <w:highlight w:val="none"/>
        </w:rPr>
      </w:pPr>
      <w:r>
        <w:rPr>
          <w:color w:val="auto"/>
          <w:sz w:val="24"/>
          <w:highlight w:val="none"/>
        </w:rPr>
        <w:t>《中华人民共和国噪声污染防治法》，</w:t>
      </w:r>
      <w:r>
        <w:rPr>
          <w:rFonts w:hint="eastAsia" w:cs="Times New Roman"/>
          <w:color w:val="auto"/>
          <w:sz w:val="24"/>
          <w:szCs w:val="32"/>
          <w:highlight w:val="none"/>
          <w:lang w:eastAsia="zh-CN"/>
        </w:rPr>
        <w:t>(</w:t>
      </w:r>
      <w:r>
        <w:rPr>
          <w:rFonts w:hint="default" w:ascii="Times New Roman" w:hAnsi="Times New Roman" w:cs="Times New Roman"/>
          <w:color w:val="auto"/>
          <w:sz w:val="24"/>
          <w:szCs w:val="32"/>
          <w:highlight w:val="none"/>
        </w:rPr>
        <w:t>2018年12月29日修订</w:t>
      </w:r>
      <w:r>
        <w:rPr>
          <w:rFonts w:hint="eastAsia" w:cs="Times New Roman"/>
          <w:color w:val="auto"/>
          <w:sz w:val="24"/>
          <w:szCs w:val="32"/>
          <w:highlight w:val="none"/>
          <w:lang w:eastAsia="zh-CN"/>
        </w:rPr>
        <w:t>)</w:t>
      </w:r>
      <w:r>
        <w:rPr>
          <w:color w:val="auto"/>
          <w:sz w:val="24"/>
          <w:highlight w:val="none"/>
        </w:rPr>
        <w:t>；</w:t>
      </w:r>
    </w:p>
    <w:p>
      <w:pPr>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left="0" w:leftChars="0" w:firstLine="466" w:firstLineChars="0"/>
        <w:textAlignment w:val="auto"/>
        <w:rPr>
          <w:color w:val="auto"/>
          <w:sz w:val="24"/>
          <w:highlight w:val="none"/>
        </w:rPr>
      </w:pPr>
      <w:r>
        <w:rPr>
          <w:color w:val="auto"/>
          <w:sz w:val="24"/>
          <w:highlight w:val="none"/>
        </w:rPr>
        <w:t>《中华人民共和国固体废物污染环境防治法》</w:t>
      </w:r>
      <w:r>
        <w:rPr>
          <w:rFonts w:hint="eastAsia"/>
          <w:color w:val="auto"/>
          <w:sz w:val="24"/>
          <w:highlight w:val="none"/>
        </w:rPr>
        <w:t>(</w:t>
      </w:r>
      <w:r>
        <w:rPr>
          <w:color w:val="auto"/>
          <w:sz w:val="24"/>
          <w:highlight w:val="none"/>
        </w:rPr>
        <w:t>2016年11月7日修正版</w:t>
      </w:r>
      <w:r>
        <w:rPr>
          <w:rFonts w:hint="eastAsia"/>
          <w:color w:val="auto"/>
          <w:sz w:val="24"/>
          <w:highlight w:val="none"/>
        </w:rPr>
        <w:t>)</w:t>
      </w:r>
      <w:r>
        <w:rPr>
          <w:color w:val="auto"/>
          <w:sz w:val="24"/>
          <w:highlight w:val="none"/>
        </w:rPr>
        <w:t>；</w:t>
      </w:r>
    </w:p>
    <w:p>
      <w:pPr>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left="0" w:leftChars="0" w:firstLine="466" w:firstLineChars="0"/>
        <w:textAlignment w:val="auto"/>
        <w:rPr>
          <w:color w:val="auto"/>
          <w:sz w:val="24"/>
          <w:highlight w:val="none"/>
        </w:rPr>
      </w:pPr>
      <w:r>
        <w:rPr>
          <w:color w:val="auto"/>
          <w:sz w:val="24"/>
          <w:highlight w:val="none"/>
        </w:rPr>
        <w:t>《中华人民共和国节约能源法》</w:t>
      </w:r>
      <w:r>
        <w:rPr>
          <w:rFonts w:hint="eastAsia"/>
          <w:color w:val="auto"/>
          <w:sz w:val="24"/>
          <w:highlight w:val="none"/>
        </w:rPr>
        <w:t>(</w:t>
      </w:r>
      <w:r>
        <w:rPr>
          <w:color w:val="auto"/>
          <w:sz w:val="24"/>
          <w:highlight w:val="none"/>
        </w:rPr>
        <w:t>2016年7月修订</w:t>
      </w:r>
      <w:r>
        <w:rPr>
          <w:rFonts w:hint="eastAsia"/>
          <w:color w:val="auto"/>
          <w:sz w:val="24"/>
          <w:highlight w:val="none"/>
        </w:rPr>
        <w:t>)</w:t>
      </w:r>
      <w:r>
        <w:rPr>
          <w:color w:val="auto"/>
          <w:sz w:val="24"/>
          <w:highlight w:val="none"/>
        </w:rPr>
        <w:t>；</w:t>
      </w:r>
    </w:p>
    <w:p>
      <w:pPr>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left="0" w:leftChars="0" w:firstLine="466" w:firstLineChars="0"/>
        <w:textAlignment w:val="auto"/>
        <w:rPr>
          <w:color w:val="auto"/>
          <w:sz w:val="24"/>
          <w:highlight w:val="none"/>
        </w:rPr>
      </w:pPr>
      <w:r>
        <w:rPr>
          <w:rFonts w:hint="eastAsia"/>
          <w:color w:val="auto"/>
          <w:sz w:val="24"/>
          <w:highlight w:val="none"/>
        </w:rPr>
        <w:t>《</w:t>
      </w:r>
      <w:r>
        <w:rPr>
          <w:color w:val="auto"/>
          <w:sz w:val="24"/>
          <w:highlight w:val="none"/>
        </w:rPr>
        <w:t>中华人民共和国清洁生产促进法》</w:t>
      </w:r>
      <w:r>
        <w:rPr>
          <w:rFonts w:hint="eastAsia"/>
          <w:color w:val="auto"/>
          <w:sz w:val="24"/>
          <w:highlight w:val="none"/>
        </w:rPr>
        <w:t>(</w:t>
      </w:r>
      <w:r>
        <w:rPr>
          <w:color w:val="auto"/>
          <w:sz w:val="24"/>
          <w:highlight w:val="none"/>
        </w:rPr>
        <w:t>20</w:t>
      </w:r>
      <w:r>
        <w:rPr>
          <w:rFonts w:hint="eastAsia"/>
          <w:color w:val="auto"/>
          <w:sz w:val="24"/>
          <w:highlight w:val="none"/>
        </w:rPr>
        <w:t>12</w:t>
      </w:r>
      <w:r>
        <w:rPr>
          <w:color w:val="auto"/>
          <w:sz w:val="24"/>
          <w:highlight w:val="none"/>
        </w:rPr>
        <w:t>年</w:t>
      </w:r>
      <w:r>
        <w:rPr>
          <w:rFonts w:hint="eastAsia"/>
          <w:color w:val="auto"/>
          <w:sz w:val="24"/>
          <w:highlight w:val="none"/>
        </w:rPr>
        <w:t>7</w:t>
      </w:r>
      <w:r>
        <w:rPr>
          <w:color w:val="auto"/>
          <w:sz w:val="24"/>
          <w:highlight w:val="none"/>
        </w:rPr>
        <w:t>月1日</w:t>
      </w:r>
      <w:r>
        <w:rPr>
          <w:rFonts w:hint="eastAsia"/>
          <w:color w:val="auto"/>
          <w:sz w:val="24"/>
          <w:highlight w:val="none"/>
        </w:rPr>
        <w:t>施行)</w:t>
      </w:r>
      <w:r>
        <w:rPr>
          <w:color w:val="auto"/>
          <w:sz w:val="24"/>
          <w:highlight w:val="none"/>
        </w:rPr>
        <w:t>；</w:t>
      </w:r>
    </w:p>
    <w:p>
      <w:pPr>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left="0" w:leftChars="0" w:firstLine="466" w:firstLineChars="0"/>
        <w:textAlignment w:val="auto"/>
        <w:rPr>
          <w:color w:val="auto"/>
          <w:sz w:val="24"/>
          <w:highlight w:val="none"/>
        </w:rPr>
      </w:pPr>
      <w:r>
        <w:rPr>
          <w:rFonts w:hint="default" w:ascii="Times New Roman" w:hAnsi="Times New Roman" w:cs="Times New Roman"/>
          <w:color w:val="auto"/>
          <w:sz w:val="24"/>
          <w:szCs w:val="32"/>
          <w:highlight w:val="none"/>
        </w:rPr>
        <w:t>《环境影响评价公众参与办法》</w:t>
      </w:r>
      <w:r>
        <w:rPr>
          <w:rFonts w:hint="eastAsia" w:cs="Times New Roman"/>
          <w:color w:val="auto"/>
          <w:sz w:val="24"/>
          <w:szCs w:val="32"/>
          <w:highlight w:val="none"/>
          <w:lang w:eastAsia="zh-CN"/>
        </w:rPr>
        <w:t>(</w:t>
      </w:r>
      <w:r>
        <w:rPr>
          <w:rFonts w:hint="default" w:ascii="Times New Roman" w:hAnsi="Times New Roman" w:cs="Times New Roman"/>
          <w:color w:val="auto"/>
          <w:sz w:val="24"/>
          <w:szCs w:val="32"/>
          <w:highlight w:val="none"/>
        </w:rPr>
        <w:t>生态环境部令第4号</w:t>
      </w:r>
      <w:r>
        <w:rPr>
          <w:rFonts w:hint="eastAsia" w:cs="Times New Roman"/>
          <w:color w:val="auto"/>
          <w:sz w:val="24"/>
          <w:szCs w:val="32"/>
          <w:highlight w:val="none"/>
          <w:lang w:eastAsia="zh-CN"/>
        </w:rPr>
        <w:t>)</w:t>
      </w:r>
      <w:r>
        <w:rPr>
          <w:color w:val="auto"/>
          <w:sz w:val="24"/>
          <w:highlight w:val="none"/>
        </w:rPr>
        <w:t>；</w:t>
      </w:r>
    </w:p>
    <w:p>
      <w:pPr>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left="0" w:leftChars="0" w:firstLine="466" w:firstLineChars="0"/>
        <w:textAlignment w:val="auto"/>
        <w:rPr>
          <w:rFonts w:hint="eastAsia" w:ascii="Times New Roman" w:hAnsi="Times New Roman" w:cs="Times New Roman"/>
          <w:color w:val="auto"/>
          <w:sz w:val="24"/>
          <w:szCs w:val="32"/>
          <w:highlight w:val="none"/>
        </w:rPr>
      </w:pPr>
      <w:r>
        <w:rPr>
          <w:rFonts w:hint="eastAsia"/>
          <w:color w:val="auto"/>
          <w:sz w:val="24"/>
          <w:highlight w:val="none"/>
        </w:rPr>
        <w:t>《危险化学品安全管理条例》(国务院</w:t>
      </w:r>
      <w:r>
        <w:rPr>
          <w:color w:val="auto"/>
          <w:sz w:val="24"/>
          <w:highlight w:val="none"/>
        </w:rPr>
        <w:t>[2011]</w:t>
      </w:r>
      <w:r>
        <w:rPr>
          <w:rFonts w:hint="eastAsia"/>
          <w:color w:val="auto"/>
          <w:sz w:val="24"/>
          <w:highlight w:val="none"/>
        </w:rPr>
        <w:t>第</w:t>
      </w:r>
      <w:r>
        <w:rPr>
          <w:color w:val="auto"/>
          <w:sz w:val="24"/>
          <w:highlight w:val="none"/>
        </w:rPr>
        <w:t>591</w:t>
      </w:r>
      <w:r>
        <w:rPr>
          <w:rFonts w:hint="eastAsia"/>
          <w:color w:val="auto"/>
          <w:sz w:val="24"/>
          <w:highlight w:val="none"/>
        </w:rPr>
        <w:t>号)；</w:t>
      </w:r>
    </w:p>
    <w:p>
      <w:pPr>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left="0" w:leftChars="0" w:firstLine="466" w:firstLineChars="0"/>
        <w:textAlignment w:val="auto"/>
        <w:rPr>
          <w:rFonts w:hint="default" w:ascii="Times New Roman" w:hAnsi="Times New Roman" w:cs="Times New Roman"/>
          <w:color w:val="auto"/>
          <w:sz w:val="24"/>
          <w:szCs w:val="32"/>
          <w:highlight w:val="none"/>
        </w:rPr>
      </w:pPr>
      <w:r>
        <w:rPr>
          <w:rFonts w:hint="default" w:ascii="Times New Roman" w:hAnsi="Times New Roman" w:cs="Times New Roman"/>
          <w:color w:val="auto"/>
          <w:sz w:val="24"/>
          <w:szCs w:val="32"/>
          <w:highlight w:val="none"/>
        </w:rPr>
        <w:t>《国务院关于落实科学发展观加强环境保护的决定》</w:t>
      </w:r>
      <w:r>
        <w:rPr>
          <w:rFonts w:hint="eastAsia" w:ascii="Times New Roman" w:hAnsi="Times New Roman" w:cs="Times New Roman"/>
          <w:color w:val="auto"/>
          <w:sz w:val="24"/>
          <w:szCs w:val="32"/>
          <w:highlight w:val="none"/>
        </w:rPr>
        <w:t>(</w:t>
      </w:r>
      <w:r>
        <w:rPr>
          <w:rFonts w:hint="default" w:ascii="Times New Roman" w:hAnsi="Times New Roman" w:cs="Times New Roman"/>
          <w:color w:val="auto"/>
          <w:sz w:val="24"/>
          <w:szCs w:val="32"/>
          <w:highlight w:val="none"/>
        </w:rPr>
        <w:t>国发[2005]39号</w:t>
      </w:r>
      <w:r>
        <w:rPr>
          <w:rFonts w:hint="eastAsia" w:ascii="Times New Roman" w:hAnsi="Times New Roman" w:cs="Times New Roman"/>
          <w:color w:val="auto"/>
          <w:sz w:val="24"/>
          <w:szCs w:val="32"/>
          <w:highlight w:val="none"/>
        </w:rPr>
        <w:t>)；</w:t>
      </w:r>
    </w:p>
    <w:p>
      <w:pPr>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left="0" w:leftChars="0" w:firstLine="466" w:firstLineChars="0"/>
        <w:textAlignment w:val="auto"/>
        <w:rPr>
          <w:color w:val="auto"/>
          <w:sz w:val="24"/>
          <w:highlight w:val="none"/>
        </w:rPr>
      </w:pPr>
      <w:r>
        <w:rPr>
          <w:rFonts w:hint="default" w:ascii="Times New Roman" w:hAnsi="Times New Roman" w:cs="Times New Roman"/>
          <w:color w:val="auto"/>
          <w:sz w:val="24"/>
          <w:szCs w:val="32"/>
          <w:highlight w:val="none"/>
        </w:rPr>
        <w:t>《电镀行业清洁生产评价指标体系》</w:t>
      </w:r>
      <w:r>
        <w:rPr>
          <w:rFonts w:hint="eastAsia" w:cs="Times New Roman"/>
          <w:color w:val="auto"/>
          <w:sz w:val="24"/>
          <w:szCs w:val="32"/>
          <w:highlight w:val="none"/>
          <w:lang w:val="en-US" w:eastAsia="zh-CN"/>
        </w:rPr>
        <w:t>(</w:t>
      </w:r>
      <w:r>
        <w:rPr>
          <w:rFonts w:hint="default" w:ascii="Times New Roman" w:hAnsi="Times New Roman" w:cs="Times New Roman"/>
          <w:color w:val="auto"/>
          <w:sz w:val="24"/>
          <w:szCs w:val="32"/>
          <w:highlight w:val="none"/>
        </w:rPr>
        <w:t>国家发展和改革委员会、环境保护部、工业和信息化部发布[2015]25号</w:t>
      </w:r>
      <w:r>
        <w:rPr>
          <w:rFonts w:hint="eastAsia" w:cs="Times New Roman"/>
          <w:color w:val="auto"/>
          <w:sz w:val="24"/>
          <w:szCs w:val="32"/>
          <w:highlight w:val="none"/>
          <w:lang w:val="en-US" w:eastAsia="zh-CN"/>
        </w:rPr>
        <w:t>)</w:t>
      </w:r>
      <w:r>
        <w:rPr>
          <w:rFonts w:hint="eastAsia" w:cs="Times New Roman"/>
          <w:color w:val="auto"/>
          <w:sz w:val="24"/>
          <w:szCs w:val="32"/>
          <w:highlight w:val="none"/>
          <w:lang w:val="en-US" w:eastAsia="zh-CN"/>
        </w:rPr>
        <w:t>；</w:t>
      </w:r>
    </w:p>
    <w:p>
      <w:pPr>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left="0" w:leftChars="0" w:firstLine="466" w:firstLineChars="0"/>
        <w:textAlignment w:val="auto"/>
        <w:rPr>
          <w:rFonts w:eastAsiaTheme="minorEastAsia"/>
          <w:color w:val="auto"/>
          <w:sz w:val="24"/>
          <w:highlight w:val="none"/>
        </w:rPr>
      </w:pPr>
      <w:r>
        <w:rPr>
          <w:rFonts w:hint="default" w:ascii="Times New Roman" w:hAnsi="Times New Roman" w:cs="Times New Roman"/>
          <w:color w:val="auto"/>
          <w:sz w:val="24"/>
          <w:szCs w:val="32"/>
          <w:highlight w:val="none"/>
        </w:rPr>
        <w:t>《国家危险废物名录》</w:t>
      </w:r>
      <w:r>
        <w:rPr>
          <w:rFonts w:hint="eastAsia" w:cs="Times New Roman"/>
          <w:color w:val="auto"/>
          <w:sz w:val="24"/>
          <w:szCs w:val="32"/>
          <w:highlight w:val="none"/>
          <w:lang w:eastAsia="zh-CN"/>
        </w:rPr>
        <w:t>(</w:t>
      </w:r>
      <w:r>
        <w:rPr>
          <w:rFonts w:hint="default" w:ascii="Times New Roman" w:hAnsi="Times New Roman" w:cs="Times New Roman"/>
          <w:color w:val="auto"/>
          <w:sz w:val="24"/>
          <w:szCs w:val="32"/>
          <w:highlight w:val="none"/>
        </w:rPr>
        <w:t>环境保护部令第[2016]39号，2016年8月1日</w:t>
      </w:r>
      <w:r>
        <w:rPr>
          <w:rFonts w:hint="eastAsia" w:cs="Times New Roman"/>
          <w:color w:val="auto"/>
          <w:sz w:val="24"/>
          <w:szCs w:val="32"/>
          <w:highlight w:val="none"/>
          <w:lang w:eastAsia="zh-CN"/>
        </w:rPr>
        <w:t>)</w:t>
      </w:r>
      <w:r>
        <w:rPr>
          <w:color w:val="auto"/>
          <w:sz w:val="24"/>
          <w:highlight w:val="none"/>
        </w:rPr>
        <w:t>；</w:t>
      </w:r>
    </w:p>
    <w:p>
      <w:pPr>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left="0" w:leftChars="0" w:firstLine="466" w:firstLineChars="0"/>
        <w:textAlignment w:val="auto"/>
        <w:rPr>
          <w:bCs/>
          <w:color w:val="auto"/>
          <w:sz w:val="24"/>
          <w:highlight w:val="none"/>
        </w:rPr>
      </w:pPr>
      <w:r>
        <w:rPr>
          <w:rFonts w:hint="eastAsia"/>
          <w:color w:val="auto"/>
          <w:sz w:val="24"/>
          <w:highlight w:val="none"/>
        </w:rPr>
        <w:t>《</w:t>
      </w:r>
      <w:r>
        <w:rPr>
          <w:color w:val="auto"/>
          <w:sz w:val="24"/>
          <w:highlight w:val="none"/>
        </w:rPr>
        <w:t>建设项目环境保护管理条例》</w:t>
      </w:r>
      <w:r>
        <w:rPr>
          <w:rFonts w:hint="eastAsia"/>
          <w:color w:val="auto"/>
          <w:sz w:val="24"/>
          <w:highlight w:val="none"/>
        </w:rPr>
        <w:t>(</w:t>
      </w:r>
      <w:r>
        <w:rPr>
          <w:rFonts w:hint="default" w:ascii="Times New Roman" w:hAnsi="Times New Roman" w:cs="Times New Roman"/>
          <w:color w:val="auto"/>
          <w:sz w:val="24"/>
          <w:szCs w:val="32"/>
          <w:highlight w:val="none"/>
        </w:rPr>
        <w:t>国务院第682号令，2017年10月1日</w:t>
      </w:r>
      <w:r>
        <w:rPr>
          <w:rFonts w:eastAsiaTheme="minorEastAsia"/>
          <w:color w:val="auto"/>
          <w:sz w:val="24"/>
          <w:highlight w:val="none"/>
        </w:rPr>
        <w:t>)；</w:t>
      </w:r>
    </w:p>
    <w:p>
      <w:pPr>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left="0" w:leftChars="0" w:firstLine="466" w:firstLineChars="0"/>
        <w:textAlignment w:val="auto"/>
        <w:rPr>
          <w:color w:val="auto"/>
          <w:sz w:val="24"/>
          <w:highlight w:val="none"/>
        </w:rPr>
      </w:pPr>
      <w:r>
        <w:rPr>
          <w:color w:val="auto"/>
          <w:sz w:val="24"/>
          <w:highlight w:val="none"/>
        </w:rPr>
        <w:t>《建设项目环境影响评价分类管理名录》(</w:t>
      </w:r>
      <w:r>
        <w:rPr>
          <w:rFonts w:hint="default" w:ascii="Times New Roman" w:hAnsi="Times New Roman" w:cs="Times New Roman"/>
          <w:color w:val="auto"/>
          <w:sz w:val="24"/>
          <w:szCs w:val="32"/>
          <w:highlight w:val="none"/>
        </w:rPr>
        <w:t>环境保护部令第44号，生态保护部令第1号</w:t>
      </w:r>
      <w:r>
        <w:rPr>
          <w:color w:val="auto"/>
          <w:sz w:val="24"/>
          <w:highlight w:val="none"/>
        </w:rPr>
        <w:t>)</w:t>
      </w:r>
      <w:r>
        <w:rPr>
          <w:rFonts w:hint="eastAsia"/>
          <w:color w:val="auto"/>
          <w:sz w:val="24"/>
          <w:highlight w:val="none"/>
        </w:rPr>
        <w:t>；</w:t>
      </w:r>
    </w:p>
    <w:p>
      <w:pPr>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left="0" w:leftChars="0" w:firstLine="466" w:firstLineChars="0"/>
        <w:textAlignment w:val="auto"/>
        <w:rPr>
          <w:color w:val="auto"/>
          <w:sz w:val="24"/>
          <w:highlight w:val="none"/>
        </w:rPr>
      </w:pPr>
      <w:r>
        <w:rPr>
          <w:rFonts w:hint="eastAsia" w:hAnsi="宋体"/>
          <w:color w:val="auto"/>
          <w:sz w:val="24"/>
          <w:highlight w:val="none"/>
        </w:rPr>
        <w:t>《建设项目环境影响评价政府信息公开指南(试行)》</w:t>
      </w:r>
      <w:r>
        <w:rPr>
          <w:color w:val="auto"/>
          <w:sz w:val="24"/>
          <w:highlight w:val="none"/>
        </w:rPr>
        <w:t>(环办</w:t>
      </w:r>
      <w:r>
        <w:rPr>
          <w:rFonts w:hint="eastAsia"/>
          <w:color w:val="auto"/>
          <w:sz w:val="24"/>
          <w:highlight w:val="none"/>
        </w:rPr>
        <w:t>[</w:t>
      </w:r>
      <w:r>
        <w:rPr>
          <w:color w:val="auto"/>
          <w:sz w:val="24"/>
          <w:highlight w:val="none"/>
        </w:rPr>
        <w:t>201</w:t>
      </w:r>
      <w:r>
        <w:rPr>
          <w:rFonts w:hint="eastAsia"/>
          <w:color w:val="auto"/>
          <w:sz w:val="24"/>
          <w:highlight w:val="none"/>
        </w:rPr>
        <w:t>3]</w:t>
      </w:r>
      <w:r>
        <w:rPr>
          <w:color w:val="auto"/>
          <w:sz w:val="24"/>
          <w:highlight w:val="none"/>
        </w:rPr>
        <w:t>1</w:t>
      </w:r>
      <w:r>
        <w:rPr>
          <w:rFonts w:hint="eastAsia"/>
          <w:color w:val="auto"/>
          <w:sz w:val="24"/>
          <w:highlight w:val="none"/>
        </w:rPr>
        <w:t>0</w:t>
      </w:r>
      <w:r>
        <w:rPr>
          <w:color w:val="auto"/>
          <w:sz w:val="24"/>
          <w:highlight w:val="none"/>
        </w:rPr>
        <w:t>3号)，环境保护部，201</w:t>
      </w:r>
      <w:r>
        <w:rPr>
          <w:rFonts w:hint="eastAsia"/>
          <w:color w:val="auto"/>
          <w:sz w:val="24"/>
          <w:highlight w:val="none"/>
        </w:rPr>
        <w:t>3</w:t>
      </w:r>
      <w:r>
        <w:rPr>
          <w:color w:val="auto"/>
          <w:sz w:val="24"/>
          <w:highlight w:val="none"/>
        </w:rPr>
        <w:t>年</w:t>
      </w:r>
      <w:r>
        <w:rPr>
          <w:rFonts w:hint="eastAsia"/>
          <w:color w:val="auto"/>
          <w:sz w:val="24"/>
          <w:highlight w:val="none"/>
        </w:rPr>
        <w:t>11</w:t>
      </w:r>
      <w:r>
        <w:rPr>
          <w:color w:val="auto"/>
          <w:sz w:val="24"/>
          <w:highlight w:val="none"/>
        </w:rPr>
        <w:t>月</w:t>
      </w:r>
      <w:r>
        <w:rPr>
          <w:rFonts w:hint="eastAsia"/>
          <w:color w:val="auto"/>
          <w:sz w:val="24"/>
          <w:highlight w:val="none"/>
        </w:rPr>
        <w:t>14</w:t>
      </w:r>
      <w:r>
        <w:rPr>
          <w:color w:val="auto"/>
          <w:sz w:val="24"/>
          <w:highlight w:val="none"/>
        </w:rPr>
        <w:t>日</w:t>
      </w:r>
      <w:r>
        <w:rPr>
          <w:rFonts w:hint="eastAsia"/>
          <w:color w:val="auto"/>
          <w:sz w:val="24"/>
          <w:highlight w:val="none"/>
        </w:rPr>
        <w:t>；</w:t>
      </w:r>
    </w:p>
    <w:p>
      <w:pPr>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left="0" w:leftChars="0" w:firstLine="466" w:firstLineChars="0"/>
        <w:textAlignment w:val="auto"/>
        <w:rPr>
          <w:color w:val="auto"/>
          <w:sz w:val="24"/>
          <w:highlight w:val="none"/>
        </w:rPr>
      </w:pPr>
      <w:r>
        <w:rPr>
          <w:color w:val="auto"/>
          <w:sz w:val="24"/>
          <w:highlight w:val="none"/>
        </w:rPr>
        <w:t>《产业结构调整指导目录(201</w:t>
      </w:r>
      <w:r>
        <w:rPr>
          <w:rFonts w:hint="eastAsia"/>
          <w:color w:val="auto"/>
          <w:sz w:val="24"/>
          <w:highlight w:val="none"/>
          <w:lang w:val="en-US" w:eastAsia="zh-CN"/>
        </w:rPr>
        <w:t>9</w:t>
      </w:r>
      <w:r>
        <w:rPr>
          <w:color w:val="auto"/>
          <w:sz w:val="24"/>
          <w:highlight w:val="none"/>
        </w:rPr>
        <w:t>年本)》，</w:t>
      </w:r>
      <w:r>
        <w:rPr>
          <w:rFonts w:hint="eastAsia"/>
          <w:color w:val="auto"/>
          <w:sz w:val="24"/>
          <w:highlight w:val="none"/>
        </w:rPr>
        <w:t>中华人民共和国国家发展和改革委员会令第29号</w:t>
      </w:r>
      <w:r>
        <w:rPr>
          <w:color w:val="auto"/>
          <w:sz w:val="24"/>
          <w:highlight w:val="none"/>
        </w:rPr>
        <w:t>；</w:t>
      </w:r>
    </w:p>
    <w:p>
      <w:pPr>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left="0" w:leftChars="0" w:firstLine="466" w:firstLineChars="0"/>
        <w:textAlignment w:val="auto"/>
        <w:rPr>
          <w:rFonts w:ascii="Times New Roman" w:hAnsi="Times New Roman" w:eastAsia="宋体"/>
          <w:bCs/>
          <w:color w:val="auto"/>
          <w:kern w:val="2"/>
          <w:highlight w:val="none"/>
        </w:rPr>
      </w:pPr>
      <w:r>
        <w:rPr>
          <w:rFonts w:hint="eastAsia"/>
          <w:color w:val="auto"/>
          <w:sz w:val="24"/>
          <w:highlight w:val="none"/>
        </w:rPr>
        <w:t>《国务院关于印发“十三五”生态环境保护规划》(</w:t>
      </w:r>
      <w:r>
        <w:rPr>
          <w:color w:val="auto"/>
          <w:sz w:val="24"/>
          <w:highlight w:val="none"/>
        </w:rPr>
        <w:t>国发[2016]65号</w:t>
      </w:r>
      <w:r>
        <w:rPr>
          <w:rFonts w:hint="eastAsia"/>
          <w:color w:val="auto"/>
          <w:sz w:val="24"/>
          <w:highlight w:val="none"/>
        </w:rPr>
        <w:t>)；</w:t>
      </w:r>
    </w:p>
    <w:p>
      <w:pPr>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left="0" w:leftChars="0" w:firstLine="466" w:firstLineChars="0"/>
        <w:textAlignment w:val="auto"/>
        <w:rPr>
          <w:bCs/>
          <w:color w:val="auto"/>
          <w:sz w:val="24"/>
          <w:highlight w:val="none"/>
        </w:rPr>
      </w:pPr>
      <w:r>
        <w:rPr>
          <w:rFonts w:hint="eastAsia"/>
          <w:color w:val="auto"/>
          <w:sz w:val="24"/>
          <w:highlight w:val="none"/>
        </w:rPr>
        <w:t>《国务院关于印发“十三五”节能减排综合工作方案的通知》(国发[2016]74号)；</w:t>
      </w:r>
    </w:p>
    <w:p>
      <w:pPr>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left="0" w:leftChars="0" w:firstLine="466" w:firstLineChars="0"/>
        <w:textAlignment w:val="auto"/>
        <w:rPr>
          <w:color w:val="auto"/>
          <w:sz w:val="24"/>
          <w:highlight w:val="none"/>
        </w:rPr>
      </w:pPr>
      <w:r>
        <w:rPr>
          <w:color w:val="auto"/>
          <w:sz w:val="24"/>
          <w:highlight w:val="none"/>
        </w:rPr>
        <w:t>《国务院关于印发大气污染防治行动计划的通知》(国发[2013]37号)；</w:t>
      </w:r>
    </w:p>
    <w:p>
      <w:pPr>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left="0" w:leftChars="0" w:firstLine="466" w:firstLineChars="0"/>
        <w:textAlignment w:val="auto"/>
        <w:rPr>
          <w:rFonts w:hint="eastAsia" w:eastAsia="宋体"/>
          <w:color w:val="auto"/>
          <w:sz w:val="24"/>
          <w:highlight w:val="none"/>
          <w:lang w:eastAsia="zh-CN"/>
        </w:rPr>
      </w:pPr>
      <w:r>
        <w:rPr>
          <w:rFonts w:hint="eastAsia"/>
          <w:bCs/>
          <w:color w:val="auto"/>
          <w:sz w:val="24"/>
          <w:highlight w:val="none"/>
        </w:rPr>
        <w:t>《</w:t>
      </w:r>
      <w:r>
        <w:rPr>
          <w:bCs/>
          <w:color w:val="auto"/>
          <w:sz w:val="24"/>
          <w:highlight w:val="none"/>
        </w:rPr>
        <w:t>国务院关于印发水污染防治行动计划的通知</w:t>
      </w:r>
      <w:r>
        <w:rPr>
          <w:rFonts w:hint="eastAsia"/>
          <w:bCs/>
          <w:color w:val="auto"/>
          <w:sz w:val="24"/>
          <w:highlight w:val="none"/>
        </w:rPr>
        <w:t>》</w:t>
      </w:r>
      <w:r>
        <w:rPr>
          <w:bCs/>
          <w:color w:val="auto"/>
          <w:sz w:val="24"/>
          <w:highlight w:val="none"/>
        </w:rPr>
        <w:t>国发</w:t>
      </w:r>
      <w:r>
        <w:rPr>
          <w:rFonts w:hint="eastAsia"/>
          <w:bCs/>
          <w:color w:val="auto"/>
          <w:sz w:val="24"/>
          <w:highlight w:val="none"/>
        </w:rPr>
        <w:t>[</w:t>
      </w:r>
      <w:r>
        <w:rPr>
          <w:bCs/>
          <w:color w:val="auto"/>
          <w:sz w:val="24"/>
          <w:highlight w:val="none"/>
        </w:rPr>
        <w:t>2015</w:t>
      </w:r>
      <w:r>
        <w:rPr>
          <w:rFonts w:hint="eastAsia"/>
          <w:bCs/>
          <w:color w:val="auto"/>
          <w:sz w:val="24"/>
          <w:highlight w:val="none"/>
        </w:rPr>
        <w:t>]</w:t>
      </w:r>
      <w:r>
        <w:rPr>
          <w:bCs/>
          <w:color w:val="auto"/>
          <w:sz w:val="24"/>
          <w:highlight w:val="none"/>
        </w:rPr>
        <w:t>17号</w:t>
      </w:r>
      <w:r>
        <w:rPr>
          <w:rFonts w:hint="eastAsia"/>
          <w:bCs/>
          <w:color w:val="auto"/>
          <w:sz w:val="24"/>
          <w:highlight w:val="none"/>
        </w:rPr>
        <w:t>；</w:t>
      </w:r>
    </w:p>
    <w:p>
      <w:pPr>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left="0" w:leftChars="0" w:firstLine="466" w:firstLineChars="0"/>
        <w:textAlignment w:val="auto"/>
        <w:rPr>
          <w:rFonts w:hint="eastAsia" w:eastAsia="宋体"/>
          <w:bCs/>
          <w:color w:val="auto"/>
          <w:sz w:val="24"/>
          <w:highlight w:val="none"/>
          <w:lang w:eastAsia="zh-CN"/>
        </w:rPr>
      </w:pPr>
      <w:r>
        <w:rPr>
          <w:rFonts w:hint="default" w:ascii="Times New Roman" w:hAnsi="Times New Roman" w:cs="Times New Roman"/>
          <w:color w:val="auto"/>
          <w:sz w:val="24"/>
          <w:szCs w:val="32"/>
          <w:highlight w:val="none"/>
        </w:rPr>
        <w:t>关于发布《建设项目危险废物环境影响评价指南》的公告</w:t>
      </w:r>
      <w:r>
        <w:rPr>
          <w:rFonts w:hint="eastAsia" w:cs="Times New Roman"/>
          <w:color w:val="auto"/>
          <w:sz w:val="24"/>
          <w:szCs w:val="32"/>
          <w:highlight w:val="none"/>
          <w:lang w:eastAsia="zh-CN"/>
        </w:rPr>
        <w:t>(</w:t>
      </w:r>
      <w:r>
        <w:rPr>
          <w:rFonts w:hint="default" w:ascii="Times New Roman" w:hAnsi="Times New Roman" w:cs="Times New Roman"/>
          <w:color w:val="auto"/>
          <w:sz w:val="24"/>
          <w:szCs w:val="32"/>
          <w:highlight w:val="none"/>
        </w:rPr>
        <w:t>环境保护部公告，公告2017年 第43号</w:t>
      </w:r>
      <w:r>
        <w:rPr>
          <w:rFonts w:hint="eastAsia" w:cs="Times New Roman"/>
          <w:color w:val="auto"/>
          <w:sz w:val="24"/>
          <w:szCs w:val="32"/>
          <w:highlight w:val="none"/>
          <w:lang w:eastAsia="zh-CN"/>
        </w:rPr>
        <w:t>)</w:t>
      </w:r>
      <w:r>
        <w:rPr>
          <w:rFonts w:hint="eastAsia" w:ascii="Times New Roman" w:hAnsi="Times New Roman" w:cs="Times New Roman"/>
          <w:color w:val="auto"/>
          <w:sz w:val="24"/>
          <w:szCs w:val="32"/>
          <w:highlight w:val="none"/>
          <w:lang w:eastAsia="zh-CN"/>
        </w:rPr>
        <w:t>；</w:t>
      </w:r>
    </w:p>
    <w:p>
      <w:pPr>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left="0" w:leftChars="0" w:firstLine="466" w:firstLineChars="0"/>
        <w:textAlignment w:val="auto"/>
        <w:rPr>
          <w:rFonts w:hint="eastAsia"/>
          <w:bCs/>
          <w:color w:val="auto"/>
          <w:sz w:val="24"/>
          <w:highlight w:val="none"/>
          <w:lang w:eastAsia="zh-CN"/>
        </w:rPr>
      </w:pPr>
      <w:r>
        <w:rPr>
          <w:rFonts w:hint="eastAsia"/>
          <w:bCs/>
          <w:color w:val="auto"/>
          <w:sz w:val="24"/>
          <w:highlight w:val="none"/>
        </w:rPr>
        <w:t>《建设项目环境影响后评价管理办法(试行)》(</w:t>
      </w:r>
      <w:r>
        <w:rPr>
          <w:bCs/>
          <w:color w:val="auto"/>
          <w:sz w:val="24"/>
          <w:highlight w:val="none"/>
        </w:rPr>
        <w:t>环境保护部令部令第37号</w:t>
      </w:r>
      <w:r>
        <w:rPr>
          <w:rFonts w:hint="eastAsia"/>
          <w:bCs/>
          <w:color w:val="auto"/>
          <w:sz w:val="24"/>
          <w:highlight w:val="none"/>
        </w:rPr>
        <w:t>)</w:t>
      </w:r>
      <w:r>
        <w:rPr>
          <w:rFonts w:hint="eastAsia"/>
          <w:bCs/>
          <w:color w:val="auto"/>
          <w:sz w:val="24"/>
          <w:highlight w:val="none"/>
          <w:lang w:eastAsia="zh-CN"/>
        </w:rPr>
        <w:t>；</w:t>
      </w:r>
    </w:p>
    <w:p>
      <w:pPr>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left="0" w:leftChars="0" w:firstLine="466" w:firstLineChars="0"/>
        <w:textAlignment w:val="auto"/>
        <w:rPr>
          <w:rFonts w:hint="eastAsia"/>
          <w:bCs/>
          <w:color w:val="auto"/>
          <w:sz w:val="24"/>
          <w:highlight w:val="none"/>
          <w:lang w:eastAsia="zh-CN"/>
        </w:rPr>
      </w:pPr>
      <w:r>
        <w:rPr>
          <w:rFonts w:hint="eastAsia"/>
          <w:bCs/>
          <w:color w:val="auto"/>
          <w:sz w:val="24"/>
          <w:highlight w:val="none"/>
        </w:rPr>
        <w:t>《关于以改善环境质量为核心加强环境影响评价管理的通知》(环环评[2016] 150号)</w:t>
      </w:r>
      <w:r>
        <w:rPr>
          <w:rFonts w:hint="eastAsia"/>
          <w:bCs/>
          <w:color w:val="auto"/>
          <w:sz w:val="24"/>
          <w:highlight w:val="none"/>
          <w:lang w:eastAsia="zh-CN"/>
        </w:rPr>
        <w:t>；</w:t>
      </w:r>
    </w:p>
    <w:p>
      <w:pPr>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left="0" w:leftChars="0" w:firstLine="466" w:firstLineChars="0"/>
        <w:textAlignment w:val="auto"/>
        <w:rPr>
          <w:rFonts w:hint="eastAsia"/>
          <w:bCs/>
          <w:color w:val="auto"/>
          <w:sz w:val="24"/>
          <w:highlight w:val="none"/>
          <w:lang w:eastAsia="zh-CN"/>
        </w:rPr>
      </w:pPr>
      <w:r>
        <w:rPr>
          <w:rFonts w:hint="eastAsia"/>
          <w:bCs/>
          <w:color w:val="auto"/>
          <w:sz w:val="24"/>
          <w:highlight w:val="none"/>
          <w:lang w:eastAsia="zh-CN"/>
        </w:rPr>
        <w:t>《工矿用地土壤环境管理办法(试行)》(生态环境部令 第3号)</w:t>
      </w:r>
      <w:r>
        <w:rPr>
          <w:rFonts w:hint="eastAsia"/>
          <w:bCs/>
          <w:color w:val="auto"/>
          <w:sz w:val="24"/>
          <w:highlight w:val="none"/>
          <w:lang w:eastAsia="zh-CN"/>
        </w:rPr>
        <w:t>。</w:t>
      </w:r>
    </w:p>
    <w:p>
      <w:pPr>
        <w:tabs>
          <w:tab w:val="left" w:pos="930"/>
        </w:tabs>
        <w:adjustRightInd w:val="0"/>
        <w:snapToGrid w:val="0"/>
        <w:spacing w:line="360" w:lineRule="auto"/>
        <w:ind w:firstLine="200"/>
        <w:outlineLvl w:val="2"/>
        <w:rPr>
          <w:rFonts w:eastAsia="黑体"/>
          <w:color w:val="auto"/>
          <w:sz w:val="24"/>
          <w:highlight w:val="none"/>
        </w:rPr>
      </w:pPr>
      <w:r>
        <w:rPr>
          <w:rFonts w:eastAsia="黑体"/>
          <w:color w:val="auto"/>
          <w:sz w:val="24"/>
          <w:highlight w:val="none"/>
        </w:rPr>
        <w:t>1.2.2 地方法律法规及规定依据</w:t>
      </w:r>
    </w:p>
    <w:p>
      <w:pPr>
        <w:numPr>
          <w:ilvl w:val="0"/>
          <w:numId w:val="9"/>
        </w:numPr>
        <w:tabs>
          <w:tab w:val="left" w:pos="930"/>
          <w:tab w:val="clear" w:pos="0"/>
        </w:tabs>
        <w:adjustRightInd w:val="0"/>
        <w:snapToGrid w:val="0"/>
        <w:spacing w:line="360" w:lineRule="auto"/>
        <w:ind w:left="0" w:leftChars="0" w:firstLine="466" w:firstLineChars="0"/>
        <w:rPr>
          <w:color w:val="auto"/>
          <w:sz w:val="24"/>
          <w:highlight w:val="none"/>
        </w:rPr>
      </w:pPr>
      <w:r>
        <w:rPr>
          <w:rFonts w:hint="default" w:ascii="Times New Roman" w:hAnsi="Times New Roman" w:cs="Times New Roman"/>
          <w:color w:val="auto"/>
          <w:sz w:val="24"/>
          <w:szCs w:val="32"/>
          <w:highlight w:val="none"/>
        </w:rPr>
        <w:t>《山东省环境保护管理条例》</w:t>
      </w:r>
      <w:r>
        <w:rPr>
          <w:rFonts w:hint="eastAsia" w:cs="Times New Roman"/>
          <w:color w:val="auto"/>
          <w:sz w:val="24"/>
          <w:szCs w:val="32"/>
          <w:highlight w:val="none"/>
          <w:lang w:eastAsia="zh-CN"/>
        </w:rPr>
        <w:t>(</w:t>
      </w:r>
      <w:r>
        <w:rPr>
          <w:rFonts w:hint="default" w:ascii="Times New Roman" w:hAnsi="Times New Roman" w:cs="Times New Roman"/>
          <w:color w:val="auto"/>
          <w:sz w:val="24"/>
          <w:szCs w:val="32"/>
          <w:highlight w:val="none"/>
        </w:rPr>
        <w:t>2018年11月30日修订</w:t>
      </w:r>
      <w:r>
        <w:rPr>
          <w:rFonts w:hint="eastAsia" w:cs="Times New Roman"/>
          <w:color w:val="auto"/>
          <w:sz w:val="24"/>
          <w:szCs w:val="32"/>
          <w:highlight w:val="none"/>
          <w:lang w:eastAsia="zh-CN"/>
        </w:rPr>
        <w:t>)</w:t>
      </w:r>
      <w:r>
        <w:rPr>
          <w:color w:val="auto"/>
          <w:sz w:val="24"/>
          <w:highlight w:val="none"/>
        </w:rPr>
        <w:t>；</w:t>
      </w:r>
    </w:p>
    <w:p>
      <w:pPr>
        <w:numPr>
          <w:ilvl w:val="0"/>
          <w:numId w:val="9"/>
        </w:numPr>
        <w:tabs>
          <w:tab w:val="left" w:pos="930"/>
          <w:tab w:val="clear" w:pos="0"/>
        </w:tabs>
        <w:adjustRightInd w:val="0"/>
        <w:snapToGrid w:val="0"/>
        <w:spacing w:line="360" w:lineRule="auto"/>
        <w:ind w:left="0" w:leftChars="0" w:firstLine="466" w:firstLineChars="0"/>
        <w:rPr>
          <w:color w:val="auto"/>
          <w:sz w:val="24"/>
          <w:highlight w:val="none"/>
        </w:rPr>
      </w:pPr>
      <w:r>
        <w:rPr>
          <w:rFonts w:hint="default" w:ascii="Times New Roman" w:hAnsi="Times New Roman" w:cs="Times New Roman"/>
          <w:color w:val="auto"/>
          <w:sz w:val="24"/>
          <w:szCs w:val="32"/>
          <w:highlight w:val="none"/>
        </w:rPr>
        <w:t>《山东省实施&lt;中华人民共和国环境影响评价法&gt;办法》</w:t>
      </w:r>
      <w:r>
        <w:rPr>
          <w:rFonts w:hint="eastAsia" w:cs="Times New Roman"/>
          <w:color w:val="auto"/>
          <w:sz w:val="24"/>
          <w:szCs w:val="32"/>
          <w:highlight w:val="none"/>
          <w:lang w:eastAsia="zh-CN"/>
        </w:rPr>
        <w:t>(</w:t>
      </w:r>
      <w:r>
        <w:rPr>
          <w:rFonts w:hint="default" w:ascii="Times New Roman" w:hAnsi="Times New Roman" w:cs="Times New Roman"/>
          <w:color w:val="auto"/>
          <w:sz w:val="24"/>
          <w:szCs w:val="32"/>
          <w:highlight w:val="none"/>
        </w:rPr>
        <w:t>2018年1月23日修订</w:t>
      </w:r>
      <w:r>
        <w:rPr>
          <w:rFonts w:hint="eastAsia" w:cs="Times New Roman"/>
          <w:color w:val="auto"/>
          <w:sz w:val="24"/>
          <w:szCs w:val="32"/>
          <w:highlight w:val="none"/>
          <w:lang w:eastAsia="zh-CN"/>
        </w:rPr>
        <w:t>)</w:t>
      </w:r>
      <w:r>
        <w:rPr>
          <w:color w:val="auto"/>
          <w:sz w:val="24"/>
          <w:highlight w:val="none"/>
        </w:rPr>
        <w:t>；</w:t>
      </w:r>
    </w:p>
    <w:p>
      <w:pPr>
        <w:numPr>
          <w:ilvl w:val="0"/>
          <w:numId w:val="9"/>
        </w:numPr>
        <w:tabs>
          <w:tab w:val="left" w:pos="930"/>
          <w:tab w:val="clear" w:pos="0"/>
        </w:tabs>
        <w:adjustRightInd w:val="0"/>
        <w:snapToGrid w:val="0"/>
        <w:spacing w:line="360" w:lineRule="auto"/>
        <w:ind w:left="0" w:leftChars="0" w:firstLine="466" w:firstLineChars="0"/>
        <w:rPr>
          <w:color w:val="auto"/>
          <w:sz w:val="24"/>
          <w:highlight w:val="none"/>
        </w:rPr>
      </w:pPr>
      <w:r>
        <w:rPr>
          <w:color w:val="auto"/>
          <w:sz w:val="24"/>
          <w:highlight w:val="none"/>
        </w:rPr>
        <w:t>《山东省人民政府关于贯彻国[2005]39号文件进一步落实科学发展观加强环境保护的实施意见》(2006.6，鲁政发[2006]72号)；</w:t>
      </w:r>
    </w:p>
    <w:p>
      <w:pPr>
        <w:numPr>
          <w:ilvl w:val="0"/>
          <w:numId w:val="9"/>
        </w:numPr>
        <w:tabs>
          <w:tab w:val="left" w:pos="930"/>
          <w:tab w:val="clear" w:pos="0"/>
        </w:tabs>
        <w:adjustRightInd w:val="0"/>
        <w:snapToGrid w:val="0"/>
        <w:spacing w:line="360" w:lineRule="auto"/>
        <w:ind w:left="0" w:leftChars="0" w:firstLine="466" w:firstLineChars="0"/>
        <w:rPr>
          <w:color w:val="auto"/>
          <w:sz w:val="24"/>
          <w:highlight w:val="none"/>
        </w:rPr>
      </w:pPr>
      <w:r>
        <w:rPr>
          <w:rFonts w:hint="default" w:ascii="Times New Roman" w:hAnsi="Times New Roman" w:cs="Times New Roman"/>
          <w:color w:val="auto"/>
          <w:sz w:val="24"/>
          <w:szCs w:val="32"/>
          <w:highlight w:val="none"/>
        </w:rPr>
        <w:t>《山东省水污染防治条例》</w:t>
      </w:r>
      <w:r>
        <w:rPr>
          <w:rFonts w:hint="eastAsia" w:cs="Times New Roman"/>
          <w:color w:val="auto"/>
          <w:sz w:val="24"/>
          <w:szCs w:val="32"/>
          <w:highlight w:val="none"/>
          <w:lang w:eastAsia="zh-CN"/>
        </w:rPr>
        <w:t>(</w:t>
      </w:r>
      <w:r>
        <w:rPr>
          <w:rFonts w:hint="default" w:ascii="Times New Roman" w:hAnsi="Times New Roman" w:cs="Times New Roman"/>
          <w:color w:val="auto"/>
          <w:sz w:val="24"/>
          <w:szCs w:val="32"/>
          <w:highlight w:val="none"/>
        </w:rPr>
        <w:t>2018年9月21日</w:t>
      </w:r>
      <w:r>
        <w:rPr>
          <w:rFonts w:hint="eastAsia" w:cs="Times New Roman"/>
          <w:color w:val="auto"/>
          <w:sz w:val="24"/>
          <w:szCs w:val="32"/>
          <w:highlight w:val="none"/>
          <w:lang w:eastAsia="zh-CN"/>
        </w:rPr>
        <w:t>)</w:t>
      </w:r>
      <w:r>
        <w:rPr>
          <w:color w:val="auto"/>
          <w:sz w:val="24"/>
          <w:highlight w:val="none"/>
        </w:rPr>
        <w:t>；</w:t>
      </w:r>
    </w:p>
    <w:p>
      <w:pPr>
        <w:numPr>
          <w:ilvl w:val="0"/>
          <w:numId w:val="9"/>
        </w:numPr>
        <w:tabs>
          <w:tab w:val="left" w:pos="930"/>
          <w:tab w:val="clear" w:pos="0"/>
        </w:tabs>
        <w:adjustRightInd w:val="0"/>
        <w:snapToGrid w:val="0"/>
        <w:spacing w:line="360" w:lineRule="auto"/>
        <w:ind w:left="0" w:leftChars="0" w:firstLine="466" w:firstLineChars="0"/>
        <w:rPr>
          <w:color w:val="auto"/>
          <w:sz w:val="24"/>
          <w:highlight w:val="none"/>
        </w:rPr>
      </w:pPr>
      <w:r>
        <w:rPr>
          <w:rFonts w:hint="eastAsia"/>
          <w:color w:val="auto"/>
          <w:sz w:val="24"/>
          <w:highlight w:val="none"/>
        </w:rPr>
        <w:t>山东省人民政府关于印发山东省落实《水污染防治行动计划》实施方案的通知》(鲁政发[2015]31号)；</w:t>
      </w:r>
    </w:p>
    <w:p>
      <w:pPr>
        <w:numPr>
          <w:ilvl w:val="0"/>
          <w:numId w:val="9"/>
        </w:numPr>
        <w:tabs>
          <w:tab w:val="left" w:pos="930"/>
          <w:tab w:val="clear" w:pos="0"/>
        </w:tabs>
        <w:adjustRightInd w:val="0"/>
        <w:snapToGrid w:val="0"/>
        <w:spacing w:line="360" w:lineRule="auto"/>
        <w:ind w:left="0" w:leftChars="0" w:firstLine="466" w:firstLineChars="0"/>
        <w:rPr>
          <w:rFonts w:hint="eastAsia"/>
          <w:color w:val="auto"/>
          <w:sz w:val="24"/>
          <w:highlight w:val="none"/>
        </w:rPr>
      </w:pPr>
      <w:r>
        <w:rPr>
          <w:rFonts w:hint="eastAsia"/>
          <w:color w:val="auto"/>
          <w:sz w:val="24"/>
          <w:highlight w:val="none"/>
        </w:rPr>
        <w:t>《山东省环境保护厅办公室关于进一步加强建设项目固体废物环境管理的通知》</w:t>
      </w:r>
      <w:r>
        <w:rPr>
          <w:rFonts w:hint="eastAsia"/>
          <w:color w:val="auto"/>
          <w:sz w:val="24"/>
          <w:highlight w:val="none"/>
          <w:lang w:val="en-US" w:eastAsia="zh-CN"/>
        </w:rPr>
        <w:t>(</w:t>
      </w:r>
      <w:r>
        <w:rPr>
          <w:rFonts w:hint="eastAsia"/>
          <w:color w:val="auto"/>
          <w:sz w:val="24"/>
          <w:highlight w:val="none"/>
        </w:rPr>
        <w:t>鲁环办函[2016]141号</w:t>
      </w:r>
      <w:r>
        <w:rPr>
          <w:rFonts w:hint="eastAsia"/>
          <w:color w:val="auto"/>
          <w:sz w:val="24"/>
          <w:highlight w:val="none"/>
          <w:lang w:val="en-US" w:eastAsia="zh-CN"/>
        </w:rPr>
        <w:t>)</w:t>
      </w:r>
      <w:r>
        <w:rPr>
          <w:rFonts w:hint="eastAsia"/>
          <w:color w:val="auto"/>
          <w:sz w:val="24"/>
          <w:highlight w:val="none"/>
          <w:lang w:eastAsia="zh-CN"/>
        </w:rPr>
        <w:t>；</w:t>
      </w:r>
    </w:p>
    <w:p>
      <w:pPr>
        <w:numPr>
          <w:ilvl w:val="0"/>
          <w:numId w:val="9"/>
        </w:numPr>
        <w:tabs>
          <w:tab w:val="left" w:pos="930"/>
          <w:tab w:val="clear" w:pos="0"/>
        </w:tabs>
        <w:adjustRightInd w:val="0"/>
        <w:snapToGrid w:val="0"/>
        <w:spacing w:line="360" w:lineRule="auto"/>
        <w:ind w:left="0" w:leftChars="0" w:firstLine="466" w:firstLineChars="0"/>
        <w:rPr>
          <w:color w:val="auto"/>
          <w:sz w:val="24"/>
          <w:highlight w:val="none"/>
        </w:rPr>
      </w:pPr>
      <w:r>
        <w:rPr>
          <w:rFonts w:hint="default" w:ascii="Times New Roman" w:hAnsi="Times New Roman" w:cs="Times New Roman"/>
          <w:color w:val="auto"/>
          <w:sz w:val="24"/>
          <w:szCs w:val="32"/>
          <w:highlight w:val="none"/>
        </w:rPr>
        <w:t>《山东省环境保护厅关于印发《山东省环境保护厅建设项目环境影响评价审批监管办法》的通知》</w:t>
      </w:r>
      <w:r>
        <w:rPr>
          <w:rFonts w:hint="eastAsia" w:cs="Times New Roman"/>
          <w:color w:val="auto"/>
          <w:sz w:val="24"/>
          <w:szCs w:val="32"/>
          <w:highlight w:val="none"/>
          <w:lang w:eastAsia="zh-CN"/>
        </w:rPr>
        <w:t>(</w:t>
      </w:r>
      <w:r>
        <w:rPr>
          <w:rFonts w:hint="default" w:ascii="Times New Roman" w:hAnsi="Times New Roman" w:cs="Times New Roman"/>
          <w:color w:val="auto"/>
          <w:sz w:val="24"/>
          <w:szCs w:val="32"/>
          <w:highlight w:val="none"/>
        </w:rPr>
        <w:t>鲁环发〔2018〕190号</w:t>
      </w:r>
      <w:r>
        <w:rPr>
          <w:rFonts w:hint="eastAsia" w:cs="Times New Roman"/>
          <w:color w:val="auto"/>
          <w:sz w:val="24"/>
          <w:szCs w:val="32"/>
          <w:highlight w:val="none"/>
          <w:lang w:eastAsia="zh-CN"/>
        </w:rPr>
        <w:t>)</w:t>
      </w:r>
      <w:r>
        <w:rPr>
          <w:rFonts w:hint="eastAsia"/>
          <w:color w:val="auto"/>
          <w:sz w:val="24"/>
          <w:highlight w:val="none"/>
        </w:rPr>
        <w:t>；</w:t>
      </w:r>
    </w:p>
    <w:p>
      <w:pPr>
        <w:numPr>
          <w:ilvl w:val="0"/>
          <w:numId w:val="9"/>
        </w:numPr>
        <w:tabs>
          <w:tab w:val="left" w:pos="930"/>
          <w:tab w:val="clear" w:pos="0"/>
        </w:tabs>
        <w:adjustRightInd w:val="0"/>
        <w:snapToGrid w:val="0"/>
        <w:spacing w:line="360" w:lineRule="auto"/>
        <w:ind w:left="0" w:leftChars="0" w:firstLine="466" w:firstLineChars="0"/>
        <w:rPr>
          <w:color w:val="auto"/>
          <w:sz w:val="24"/>
          <w:highlight w:val="none"/>
        </w:rPr>
      </w:pPr>
      <w:r>
        <w:rPr>
          <w:rFonts w:hint="default" w:ascii="Times New Roman" w:hAnsi="Times New Roman" w:cs="Times New Roman"/>
          <w:color w:val="auto"/>
          <w:sz w:val="24"/>
          <w:szCs w:val="32"/>
          <w:highlight w:val="none"/>
        </w:rPr>
        <w:t>《山东省大气污染防治条例》</w:t>
      </w:r>
      <w:r>
        <w:rPr>
          <w:rFonts w:hint="eastAsia" w:cs="Times New Roman"/>
          <w:color w:val="auto"/>
          <w:sz w:val="24"/>
          <w:szCs w:val="32"/>
          <w:highlight w:val="none"/>
          <w:lang w:eastAsia="zh-CN"/>
        </w:rPr>
        <w:t>(</w:t>
      </w:r>
      <w:r>
        <w:rPr>
          <w:rFonts w:hint="default" w:ascii="Times New Roman" w:hAnsi="Times New Roman" w:cs="Times New Roman"/>
          <w:color w:val="auto"/>
          <w:sz w:val="24"/>
          <w:szCs w:val="32"/>
          <w:highlight w:val="none"/>
        </w:rPr>
        <w:t>2016年11月1日</w:t>
      </w:r>
      <w:r>
        <w:rPr>
          <w:rFonts w:hint="eastAsia" w:cs="Times New Roman"/>
          <w:color w:val="auto"/>
          <w:sz w:val="24"/>
          <w:szCs w:val="32"/>
          <w:highlight w:val="none"/>
          <w:lang w:eastAsia="zh-CN"/>
        </w:rPr>
        <w:t>)</w:t>
      </w:r>
      <w:r>
        <w:rPr>
          <w:rFonts w:hint="eastAsia"/>
          <w:color w:val="auto"/>
          <w:sz w:val="24"/>
          <w:highlight w:val="none"/>
        </w:rPr>
        <w:t>；</w:t>
      </w:r>
    </w:p>
    <w:p>
      <w:pPr>
        <w:numPr>
          <w:ilvl w:val="0"/>
          <w:numId w:val="9"/>
        </w:numPr>
        <w:tabs>
          <w:tab w:val="left" w:pos="930"/>
          <w:tab w:val="clear" w:pos="0"/>
        </w:tabs>
        <w:adjustRightInd w:val="0"/>
        <w:snapToGrid w:val="0"/>
        <w:spacing w:line="360" w:lineRule="auto"/>
        <w:ind w:left="0" w:leftChars="0" w:firstLine="466" w:firstLineChars="0"/>
        <w:rPr>
          <w:color w:val="auto"/>
          <w:sz w:val="24"/>
          <w:highlight w:val="none"/>
        </w:rPr>
      </w:pPr>
      <w:r>
        <w:rPr>
          <w:rFonts w:hint="default" w:ascii="Times New Roman" w:hAnsi="Times New Roman" w:cs="Times New Roman"/>
          <w:color w:val="auto"/>
          <w:sz w:val="24"/>
          <w:szCs w:val="32"/>
          <w:highlight w:val="none"/>
        </w:rPr>
        <w:t>《山东省环境噪声污染防治条例》</w:t>
      </w:r>
      <w:r>
        <w:rPr>
          <w:rFonts w:hint="eastAsia" w:cs="Times New Roman"/>
          <w:color w:val="auto"/>
          <w:sz w:val="24"/>
          <w:szCs w:val="32"/>
          <w:highlight w:val="none"/>
          <w:lang w:eastAsia="zh-CN"/>
        </w:rPr>
        <w:t>(</w:t>
      </w:r>
      <w:r>
        <w:rPr>
          <w:rFonts w:hint="default" w:ascii="Times New Roman" w:hAnsi="Times New Roman" w:cs="Times New Roman"/>
          <w:color w:val="auto"/>
          <w:sz w:val="24"/>
          <w:szCs w:val="32"/>
          <w:highlight w:val="none"/>
        </w:rPr>
        <w:t>2018年1月23日</w:t>
      </w:r>
      <w:r>
        <w:rPr>
          <w:rFonts w:hint="eastAsia" w:cs="Times New Roman"/>
          <w:color w:val="auto"/>
          <w:sz w:val="24"/>
          <w:szCs w:val="32"/>
          <w:highlight w:val="none"/>
          <w:lang w:eastAsia="zh-CN"/>
        </w:rPr>
        <w:t>)</w:t>
      </w:r>
      <w:r>
        <w:rPr>
          <w:color w:val="auto"/>
          <w:sz w:val="24"/>
          <w:highlight w:val="none"/>
        </w:rPr>
        <w:t>；</w:t>
      </w:r>
    </w:p>
    <w:p>
      <w:pPr>
        <w:numPr>
          <w:ilvl w:val="0"/>
          <w:numId w:val="9"/>
        </w:numPr>
        <w:tabs>
          <w:tab w:val="left" w:pos="930"/>
          <w:tab w:val="clear" w:pos="0"/>
        </w:tabs>
        <w:adjustRightInd w:val="0"/>
        <w:snapToGrid w:val="0"/>
        <w:spacing w:line="360" w:lineRule="auto"/>
        <w:ind w:left="0" w:leftChars="0" w:firstLine="466" w:firstLineChars="0"/>
        <w:rPr>
          <w:color w:val="auto"/>
          <w:sz w:val="24"/>
          <w:highlight w:val="none"/>
        </w:rPr>
      </w:pPr>
      <w:r>
        <w:rPr>
          <w:rFonts w:hint="default" w:ascii="Times New Roman" w:hAnsi="Times New Roman" w:cs="Times New Roman"/>
          <w:color w:val="auto"/>
          <w:sz w:val="24"/>
          <w:szCs w:val="32"/>
          <w:highlight w:val="none"/>
        </w:rPr>
        <w:t>《青岛市环境噪声管理规定》</w:t>
      </w:r>
      <w:r>
        <w:rPr>
          <w:rFonts w:hint="eastAsia" w:cs="Times New Roman"/>
          <w:color w:val="auto"/>
          <w:sz w:val="24"/>
          <w:szCs w:val="32"/>
          <w:highlight w:val="none"/>
          <w:lang w:eastAsia="zh-CN"/>
        </w:rPr>
        <w:t>(</w:t>
      </w:r>
      <w:r>
        <w:rPr>
          <w:rFonts w:hint="default" w:ascii="Times New Roman" w:hAnsi="Times New Roman" w:cs="Times New Roman"/>
          <w:color w:val="auto"/>
          <w:sz w:val="24"/>
          <w:szCs w:val="32"/>
          <w:highlight w:val="none"/>
        </w:rPr>
        <w:t>2018年9月7日修订</w:t>
      </w:r>
      <w:r>
        <w:rPr>
          <w:rFonts w:hint="eastAsia" w:cs="Times New Roman"/>
          <w:color w:val="auto"/>
          <w:sz w:val="24"/>
          <w:szCs w:val="32"/>
          <w:highlight w:val="none"/>
          <w:lang w:eastAsia="zh-CN"/>
        </w:rPr>
        <w:t>)</w:t>
      </w:r>
      <w:r>
        <w:rPr>
          <w:color w:val="auto"/>
          <w:sz w:val="24"/>
          <w:highlight w:val="none"/>
        </w:rPr>
        <w:t>；</w:t>
      </w:r>
      <w:bookmarkStart w:id="15" w:name="_Toc264724594"/>
    </w:p>
    <w:p>
      <w:pPr>
        <w:numPr>
          <w:ilvl w:val="0"/>
          <w:numId w:val="9"/>
        </w:numPr>
        <w:tabs>
          <w:tab w:val="left" w:pos="930"/>
          <w:tab w:val="clear" w:pos="0"/>
        </w:tabs>
        <w:adjustRightInd w:val="0"/>
        <w:snapToGrid w:val="0"/>
        <w:spacing w:line="360" w:lineRule="auto"/>
        <w:ind w:left="0" w:leftChars="0" w:firstLine="466" w:firstLineChars="0"/>
        <w:rPr>
          <w:color w:val="auto"/>
          <w:sz w:val="24"/>
          <w:highlight w:val="none"/>
        </w:rPr>
      </w:pPr>
      <w:r>
        <w:rPr>
          <w:rFonts w:hint="default" w:ascii="Times New Roman" w:hAnsi="Times New Roman" w:cs="Times New Roman"/>
          <w:color w:val="auto"/>
          <w:sz w:val="24"/>
          <w:szCs w:val="32"/>
          <w:highlight w:val="none"/>
        </w:rPr>
        <w:t>《青岛市大气污染物防治条例》</w:t>
      </w:r>
      <w:r>
        <w:rPr>
          <w:rFonts w:hint="eastAsia" w:cs="Times New Roman"/>
          <w:color w:val="auto"/>
          <w:sz w:val="24"/>
          <w:szCs w:val="32"/>
          <w:highlight w:val="none"/>
          <w:lang w:eastAsia="zh-CN"/>
        </w:rPr>
        <w:t>(</w:t>
      </w:r>
      <w:r>
        <w:rPr>
          <w:rFonts w:hint="default" w:ascii="Times New Roman" w:hAnsi="Times New Roman" w:cs="Times New Roman"/>
          <w:color w:val="auto"/>
          <w:sz w:val="24"/>
          <w:szCs w:val="32"/>
          <w:highlight w:val="none"/>
        </w:rPr>
        <w:t>2018年9月7日修订</w:t>
      </w:r>
      <w:r>
        <w:rPr>
          <w:rFonts w:hint="eastAsia" w:cs="Times New Roman"/>
          <w:color w:val="auto"/>
          <w:sz w:val="24"/>
          <w:szCs w:val="32"/>
          <w:highlight w:val="none"/>
          <w:lang w:eastAsia="zh-CN"/>
        </w:rPr>
        <w:t>)</w:t>
      </w:r>
      <w:r>
        <w:rPr>
          <w:color w:val="auto"/>
          <w:sz w:val="24"/>
          <w:highlight w:val="none"/>
        </w:rPr>
        <w:t>；</w:t>
      </w:r>
      <w:bookmarkEnd w:id="15"/>
    </w:p>
    <w:p>
      <w:pPr>
        <w:numPr>
          <w:ilvl w:val="0"/>
          <w:numId w:val="9"/>
        </w:numPr>
        <w:tabs>
          <w:tab w:val="left" w:pos="930"/>
          <w:tab w:val="clear" w:pos="0"/>
        </w:tabs>
        <w:adjustRightInd w:val="0"/>
        <w:snapToGrid w:val="0"/>
        <w:spacing w:line="360" w:lineRule="auto"/>
        <w:ind w:left="0" w:leftChars="0" w:firstLine="466" w:firstLineChars="0"/>
        <w:rPr>
          <w:color w:val="auto"/>
          <w:sz w:val="24"/>
          <w:highlight w:val="none"/>
        </w:rPr>
      </w:pPr>
      <w:r>
        <w:rPr>
          <w:rFonts w:hint="default" w:ascii="Times New Roman" w:hAnsi="Times New Roman" w:cs="Times New Roman"/>
          <w:color w:val="auto"/>
          <w:sz w:val="24"/>
          <w:szCs w:val="32"/>
          <w:highlight w:val="none"/>
        </w:rPr>
        <w:t>《青岛市人民政府办公厅关于调整青岛市水功能区划的通知》</w:t>
      </w:r>
      <w:r>
        <w:rPr>
          <w:rFonts w:hint="eastAsia"/>
          <w:color w:val="auto"/>
          <w:sz w:val="24"/>
          <w:highlight w:val="none"/>
        </w:rPr>
        <w:t>(青政办发[2017]8号)；</w:t>
      </w:r>
    </w:p>
    <w:p>
      <w:pPr>
        <w:numPr>
          <w:ilvl w:val="0"/>
          <w:numId w:val="9"/>
        </w:numPr>
        <w:tabs>
          <w:tab w:val="left" w:pos="930"/>
          <w:tab w:val="clear" w:pos="0"/>
        </w:tabs>
        <w:adjustRightInd w:val="0"/>
        <w:snapToGrid w:val="0"/>
        <w:spacing w:line="360" w:lineRule="auto"/>
        <w:ind w:left="0" w:leftChars="0" w:firstLine="466" w:firstLineChars="0"/>
        <w:rPr>
          <w:rFonts w:hint="eastAsia" w:eastAsia="宋体"/>
          <w:color w:val="auto"/>
          <w:sz w:val="24"/>
          <w:highlight w:val="none"/>
          <w:lang w:eastAsia="zh-CN"/>
        </w:rPr>
      </w:pPr>
      <w:r>
        <w:rPr>
          <w:rFonts w:hint="eastAsia"/>
          <w:color w:val="auto"/>
          <w:sz w:val="24"/>
          <w:highlight w:val="none"/>
        </w:rPr>
        <w:t>《关于印发青岛西海岸新区水功能区划的通知》(</w:t>
      </w:r>
      <w:r>
        <w:rPr>
          <w:color w:val="auto"/>
          <w:sz w:val="24"/>
          <w:highlight w:val="none"/>
        </w:rPr>
        <w:t>2018年4月1日起施行</w:t>
      </w:r>
      <w:r>
        <w:rPr>
          <w:rFonts w:hint="eastAsia"/>
          <w:color w:val="auto"/>
          <w:sz w:val="24"/>
          <w:highlight w:val="none"/>
        </w:rPr>
        <w:t>)；</w:t>
      </w:r>
    </w:p>
    <w:p>
      <w:pPr>
        <w:numPr>
          <w:ilvl w:val="0"/>
          <w:numId w:val="9"/>
        </w:numPr>
        <w:tabs>
          <w:tab w:val="left" w:pos="930"/>
          <w:tab w:val="clear" w:pos="0"/>
        </w:tabs>
        <w:adjustRightInd w:val="0"/>
        <w:snapToGrid w:val="0"/>
        <w:spacing w:line="360" w:lineRule="auto"/>
        <w:ind w:left="0" w:leftChars="0" w:firstLine="466" w:firstLineChars="0"/>
        <w:rPr>
          <w:color w:val="auto"/>
          <w:sz w:val="24"/>
          <w:highlight w:val="none"/>
        </w:rPr>
      </w:pPr>
      <w:r>
        <w:rPr>
          <w:rFonts w:hint="default" w:ascii="Times New Roman" w:hAnsi="Times New Roman" w:cs="Times New Roman"/>
          <w:color w:val="auto"/>
          <w:sz w:val="24"/>
          <w:szCs w:val="32"/>
          <w:highlight w:val="none"/>
        </w:rPr>
        <w:t>《青岛市环境保护局关于印发青岛市市区声环境质量标准适用区划的通知》</w:t>
      </w:r>
      <w:r>
        <w:rPr>
          <w:rFonts w:hint="eastAsia" w:cs="Times New Roman"/>
          <w:color w:val="auto"/>
          <w:sz w:val="24"/>
          <w:szCs w:val="32"/>
          <w:highlight w:val="none"/>
          <w:lang w:eastAsia="zh-CN"/>
        </w:rPr>
        <w:t>(</w:t>
      </w:r>
      <w:r>
        <w:rPr>
          <w:rFonts w:hint="default" w:ascii="Times New Roman" w:hAnsi="Times New Roman" w:cs="Times New Roman"/>
          <w:color w:val="auto"/>
          <w:sz w:val="24"/>
          <w:szCs w:val="32"/>
          <w:highlight w:val="none"/>
        </w:rPr>
        <w:t>青环发[2016]112号</w:t>
      </w:r>
      <w:r>
        <w:rPr>
          <w:rFonts w:hint="eastAsia" w:cs="Times New Roman"/>
          <w:color w:val="auto"/>
          <w:sz w:val="24"/>
          <w:szCs w:val="32"/>
          <w:highlight w:val="none"/>
          <w:lang w:eastAsia="zh-CN"/>
        </w:rPr>
        <w:t>)</w:t>
      </w:r>
      <w:r>
        <w:rPr>
          <w:rFonts w:hint="eastAsia" w:ascii="Times New Roman" w:hAnsi="Times New Roman" w:cs="Times New Roman"/>
          <w:color w:val="auto"/>
          <w:sz w:val="24"/>
          <w:szCs w:val="32"/>
          <w:highlight w:val="none"/>
          <w:lang w:eastAsia="zh-CN"/>
        </w:rPr>
        <w:t>；</w:t>
      </w:r>
    </w:p>
    <w:p>
      <w:pPr>
        <w:numPr>
          <w:ilvl w:val="0"/>
          <w:numId w:val="9"/>
        </w:numPr>
        <w:tabs>
          <w:tab w:val="left" w:pos="930"/>
          <w:tab w:val="clear" w:pos="0"/>
        </w:tabs>
        <w:adjustRightInd w:val="0"/>
        <w:snapToGrid w:val="0"/>
        <w:spacing w:line="360" w:lineRule="auto"/>
        <w:ind w:left="0" w:leftChars="0" w:firstLine="466" w:firstLineChars="0"/>
        <w:rPr>
          <w:color w:val="auto"/>
          <w:sz w:val="24"/>
          <w:highlight w:val="none"/>
        </w:rPr>
      </w:pPr>
      <w:r>
        <w:rPr>
          <w:color w:val="auto"/>
          <w:sz w:val="24"/>
          <w:highlight w:val="none"/>
        </w:rPr>
        <w:t>《青岛市环境空气质量功能区划分规定》，青政发[</w:t>
      </w:r>
      <w:r>
        <w:rPr>
          <w:rFonts w:hint="eastAsia"/>
          <w:color w:val="auto"/>
          <w:sz w:val="24"/>
          <w:highlight w:val="none"/>
        </w:rPr>
        <w:t>2014</w:t>
      </w:r>
      <w:r>
        <w:rPr>
          <w:color w:val="auto"/>
          <w:sz w:val="24"/>
          <w:highlight w:val="none"/>
        </w:rPr>
        <w:t>]1</w:t>
      </w:r>
      <w:r>
        <w:rPr>
          <w:rFonts w:hint="eastAsia"/>
          <w:color w:val="auto"/>
          <w:sz w:val="24"/>
          <w:highlight w:val="none"/>
        </w:rPr>
        <w:t>4</w:t>
      </w:r>
      <w:r>
        <w:rPr>
          <w:color w:val="auto"/>
          <w:sz w:val="24"/>
          <w:highlight w:val="none"/>
        </w:rPr>
        <w:t>号，</w:t>
      </w:r>
      <w:r>
        <w:rPr>
          <w:rFonts w:hint="eastAsia"/>
          <w:color w:val="auto"/>
          <w:sz w:val="24"/>
          <w:highlight w:val="none"/>
        </w:rPr>
        <w:t>2014</w:t>
      </w:r>
      <w:r>
        <w:rPr>
          <w:color w:val="auto"/>
          <w:sz w:val="24"/>
          <w:highlight w:val="none"/>
        </w:rPr>
        <w:t>年</w:t>
      </w:r>
      <w:r>
        <w:rPr>
          <w:rFonts w:hint="eastAsia"/>
          <w:color w:val="auto"/>
          <w:sz w:val="24"/>
          <w:highlight w:val="none"/>
        </w:rPr>
        <w:t>7</w:t>
      </w:r>
      <w:r>
        <w:rPr>
          <w:color w:val="auto"/>
          <w:sz w:val="24"/>
          <w:highlight w:val="none"/>
        </w:rPr>
        <w:t>月1日)；</w:t>
      </w:r>
    </w:p>
    <w:p>
      <w:pPr>
        <w:numPr>
          <w:ilvl w:val="0"/>
          <w:numId w:val="9"/>
        </w:numPr>
        <w:tabs>
          <w:tab w:val="left" w:pos="930"/>
          <w:tab w:val="clear" w:pos="0"/>
        </w:tabs>
        <w:adjustRightInd w:val="0"/>
        <w:snapToGrid w:val="0"/>
        <w:spacing w:line="360" w:lineRule="auto"/>
        <w:ind w:left="0" w:leftChars="0" w:firstLine="466" w:firstLineChars="0"/>
        <w:rPr>
          <w:rFonts w:hint="eastAsia"/>
          <w:color w:val="auto"/>
          <w:highlight w:val="none"/>
        </w:rPr>
      </w:pPr>
      <w:r>
        <w:rPr>
          <w:rFonts w:hint="eastAsia" w:hAnsi="宋体"/>
          <w:color w:val="auto"/>
          <w:sz w:val="24"/>
          <w:highlight w:val="none"/>
        </w:rPr>
        <w:t>《青岛市人民政府关于印发青岛市饮用水水源保护区划的通知》(青政发[2014]30号)</w:t>
      </w:r>
      <w:r>
        <w:rPr>
          <w:rFonts w:hint="eastAsia"/>
          <w:color w:val="auto"/>
          <w:sz w:val="24"/>
          <w:highlight w:val="none"/>
        </w:rPr>
        <w:t>；</w:t>
      </w:r>
    </w:p>
    <w:p>
      <w:pPr>
        <w:numPr>
          <w:ilvl w:val="0"/>
          <w:numId w:val="9"/>
        </w:numPr>
        <w:tabs>
          <w:tab w:val="left" w:pos="930"/>
          <w:tab w:val="clear" w:pos="0"/>
        </w:tabs>
        <w:adjustRightInd w:val="0"/>
        <w:snapToGrid w:val="0"/>
        <w:spacing w:line="360" w:lineRule="auto"/>
        <w:ind w:left="0" w:leftChars="0" w:firstLine="466" w:firstLineChars="0"/>
        <w:rPr>
          <w:rFonts w:hint="eastAsia" w:hAnsi="宋体"/>
          <w:color w:val="auto"/>
          <w:sz w:val="24"/>
          <w:highlight w:val="none"/>
        </w:rPr>
      </w:pPr>
      <w:r>
        <w:rPr>
          <w:rFonts w:hint="eastAsia" w:hAnsi="宋体"/>
          <w:color w:val="auto"/>
          <w:sz w:val="24"/>
          <w:highlight w:val="none"/>
        </w:rPr>
        <w:t>青岛市环境保护局关于印发《青岛市土壤环境保护和综合治理工作方案》的通知</w:t>
      </w:r>
      <w:r>
        <w:rPr>
          <w:rFonts w:hint="eastAsia" w:hAnsi="宋体"/>
          <w:color w:val="auto"/>
          <w:sz w:val="24"/>
          <w:highlight w:val="none"/>
          <w:lang w:val="en-US" w:eastAsia="zh-CN"/>
        </w:rPr>
        <w:t>(</w:t>
      </w:r>
      <w:r>
        <w:rPr>
          <w:rFonts w:hint="eastAsia" w:hAnsi="宋体"/>
          <w:color w:val="auto"/>
          <w:sz w:val="24"/>
          <w:highlight w:val="none"/>
        </w:rPr>
        <w:t>青环发[2015]58号</w:t>
      </w:r>
      <w:r>
        <w:rPr>
          <w:rFonts w:hint="eastAsia" w:hAnsi="宋体"/>
          <w:color w:val="auto"/>
          <w:sz w:val="24"/>
          <w:highlight w:val="none"/>
          <w:lang w:val="en-US" w:eastAsia="zh-CN"/>
        </w:rPr>
        <w:t>)</w:t>
      </w:r>
      <w:r>
        <w:rPr>
          <w:rFonts w:hint="eastAsia" w:hAnsi="宋体"/>
          <w:color w:val="auto"/>
          <w:sz w:val="24"/>
          <w:highlight w:val="none"/>
          <w:lang w:val="en-US" w:eastAsia="zh-CN"/>
        </w:rPr>
        <w:t>；</w:t>
      </w:r>
    </w:p>
    <w:p>
      <w:pPr>
        <w:numPr>
          <w:ilvl w:val="0"/>
          <w:numId w:val="9"/>
        </w:numPr>
        <w:tabs>
          <w:tab w:val="left" w:pos="930"/>
          <w:tab w:val="clear" w:pos="0"/>
        </w:tabs>
        <w:adjustRightInd w:val="0"/>
        <w:snapToGrid w:val="0"/>
        <w:spacing w:line="360" w:lineRule="auto"/>
        <w:ind w:left="0" w:leftChars="0" w:firstLine="466" w:firstLineChars="0"/>
        <w:rPr>
          <w:rFonts w:hint="eastAsia" w:hAnsi="宋体"/>
          <w:color w:val="auto"/>
          <w:sz w:val="24"/>
          <w:highlight w:val="none"/>
        </w:rPr>
      </w:pPr>
      <w:r>
        <w:rPr>
          <w:rFonts w:hint="eastAsia" w:hAnsi="宋体"/>
          <w:color w:val="auto"/>
          <w:sz w:val="24"/>
          <w:highlight w:val="none"/>
        </w:rPr>
        <w:t>《青岛市环保局关于加强电镀集中工业区环境监管的意见》</w:t>
      </w:r>
      <w:r>
        <w:rPr>
          <w:rFonts w:hint="eastAsia" w:hAnsi="宋体"/>
          <w:color w:val="auto"/>
          <w:sz w:val="24"/>
          <w:highlight w:val="none"/>
          <w:lang w:val="en-US" w:eastAsia="zh-CN"/>
        </w:rPr>
        <w:t>(</w:t>
      </w:r>
      <w:r>
        <w:rPr>
          <w:rFonts w:hint="eastAsia" w:hAnsi="宋体"/>
          <w:color w:val="auto"/>
          <w:sz w:val="24"/>
          <w:highlight w:val="none"/>
        </w:rPr>
        <w:t>青环发[2010]39号</w:t>
      </w:r>
      <w:r>
        <w:rPr>
          <w:rFonts w:hint="eastAsia" w:hAnsi="宋体"/>
          <w:color w:val="auto"/>
          <w:sz w:val="24"/>
          <w:highlight w:val="none"/>
          <w:lang w:val="en-US" w:eastAsia="zh-CN"/>
        </w:rPr>
        <w:t>)</w:t>
      </w:r>
      <w:r>
        <w:rPr>
          <w:rFonts w:hint="eastAsia" w:hAnsi="宋体"/>
          <w:color w:val="auto"/>
          <w:sz w:val="24"/>
          <w:highlight w:val="none"/>
          <w:lang w:eastAsia="zh-CN"/>
        </w:rPr>
        <w:t>；</w:t>
      </w:r>
    </w:p>
    <w:p>
      <w:pPr>
        <w:numPr>
          <w:ilvl w:val="0"/>
          <w:numId w:val="9"/>
        </w:numPr>
        <w:tabs>
          <w:tab w:val="left" w:pos="930"/>
          <w:tab w:val="clear" w:pos="0"/>
        </w:tabs>
        <w:adjustRightInd w:val="0"/>
        <w:snapToGrid w:val="0"/>
        <w:spacing w:line="360" w:lineRule="auto"/>
        <w:ind w:left="0" w:leftChars="0" w:firstLine="466" w:firstLineChars="0"/>
        <w:rPr>
          <w:rFonts w:hint="eastAsia" w:hAnsi="宋体"/>
          <w:color w:val="auto"/>
          <w:sz w:val="24"/>
          <w:highlight w:val="none"/>
        </w:rPr>
      </w:pPr>
      <w:r>
        <w:rPr>
          <w:rFonts w:hint="eastAsia" w:hAnsi="宋体"/>
          <w:color w:val="auto"/>
          <w:sz w:val="24"/>
          <w:highlight w:val="none"/>
        </w:rPr>
        <w:t>《青岛市环保局办公室关于进一步强化电镀行业环评管理的通知》</w:t>
      </w:r>
      <w:r>
        <w:rPr>
          <w:rFonts w:hint="eastAsia" w:hAnsi="宋体"/>
          <w:color w:val="auto"/>
          <w:sz w:val="24"/>
          <w:highlight w:val="none"/>
          <w:lang w:val="en-US" w:eastAsia="zh-CN"/>
        </w:rPr>
        <w:t>(</w:t>
      </w:r>
      <w:r>
        <w:rPr>
          <w:rFonts w:hint="eastAsia" w:hAnsi="宋体"/>
          <w:color w:val="auto"/>
          <w:sz w:val="24"/>
          <w:highlight w:val="none"/>
        </w:rPr>
        <w:t>青环办[2014]28号</w:t>
      </w:r>
      <w:r>
        <w:rPr>
          <w:rFonts w:hint="eastAsia" w:hAnsi="宋体"/>
          <w:color w:val="auto"/>
          <w:sz w:val="24"/>
          <w:highlight w:val="none"/>
          <w:lang w:val="en-US" w:eastAsia="zh-CN"/>
        </w:rPr>
        <w:t>)；</w:t>
      </w:r>
    </w:p>
    <w:p>
      <w:pPr>
        <w:numPr>
          <w:ilvl w:val="0"/>
          <w:numId w:val="9"/>
        </w:numPr>
        <w:tabs>
          <w:tab w:val="left" w:pos="930"/>
          <w:tab w:val="clear" w:pos="0"/>
        </w:tabs>
        <w:adjustRightInd w:val="0"/>
        <w:snapToGrid w:val="0"/>
        <w:spacing w:line="360" w:lineRule="auto"/>
        <w:ind w:left="0" w:leftChars="0" w:firstLine="466" w:firstLineChars="0"/>
        <w:rPr>
          <w:rFonts w:hint="eastAsia" w:hAnsi="宋体"/>
          <w:color w:val="auto"/>
          <w:sz w:val="24"/>
          <w:highlight w:val="none"/>
        </w:rPr>
      </w:pPr>
      <w:r>
        <w:rPr>
          <w:rFonts w:hint="eastAsia" w:hAnsi="宋体"/>
          <w:color w:val="auto"/>
          <w:sz w:val="24"/>
          <w:highlight w:val="none"/>
        </w:rPr>
        <w:t>《青岛市环境保护局办公室关于严格执行电镀污染物排放标准及适用范围的通知》</w:t>
      </w:r>
      <w:r>
        <w:rPr>
          <w:rFonts w:hint="eastAsia" w:hAnsi="宋体"/>
          <w:color w:val="auto"/>
          <w:sz w:val="24"/>
          <w:highlight w:val="none"/>
          <w:lang w:val="en-US" w:eastAsia="zh-CN"/>
        </w:rPr>
        <w:t>(</w:t>
      </w:r>
      <w:r>
        <w:rPr>
          <w:rFonts w:hint="eastAsia" w:hAnsi="宋体"/>
          <w:color w:val="auto"/>
          <w:sz w:val="24"/>
          <w:highlight w:val="none"/>
        </w:rPr>
        <w:t>青环办发[2017]8号</w:t>
      </w:r>
      <w:r>
        <w:rPr>
          <w:rFonts w:hint="eastAsia" w:hAnsi="宋体"/>
          <w:color w:val="auto"/>
          <w:sz w:val="24"/>
          <w:highlight w:val="none"/>
          <w:lang w:val="en-US" w:eastAsia="zh-CN"/>
        </w:rPr>
        <w:t>)</w:t>
      </w:r>
      <w:r>
        <w:rPr>
          <w:rFonts w:hint="eastAsia" w:hAnsi="宋体"/>
          <w:color w:val="auto"/>
          <w:sz w:val="24"/>
          <w:highlight w:val="none"/>
          <w:lang w:val="en-US" w:eastAsia="zh-CN"/>
        </w:rPr>
        <w:t>；</w:t>
      </w:r>
    </w:p>
    <w:p>
      <w:pPr>
        <w:numPr>
          <w:ilvl w:val="0"/>
          <w:numId w:val="9"/>
        </w:numPr>
        <w:tabs>
          <w:tab w:val="left" w:pos="930"/>
          <w:tab w:val="clear" w:pos="0"/>
        </w:tabs>
        <w:adjustRightInd w:val="0"/>
        <w:snapToGrid w:val="0"/>
        <w:spacing w:line="360" w:lineRule="auto"/>
        <w:ind w:left="0" w:leftChars="0" w:firstLine="466" w:firstLineChars="0"/>
        <w:rPr>
          <w:color w:val="auto"/>
          <w:sz w:val="24"/>
          <w:highlight w:val="none"/>
        </w:rPr>
      </w:pPr>
      <w:r>
        <w:rPr>
          <w:rFonts w:hint="eastAsia"/>
          <w:color w:val="auto"/>
          <w:sz w:val="24"/>
          <w:highlight w:val="none"/>
        </w:rPr>
        <w:t>青岛西海岸新区管委青岛市黄岛区人民政府《关于印发黄岛区饮用水水源保护区划的通知》(青西新管发[2016]3号)；</w:t>
      </w:r>
    </w:p>
    <w:p>
      <w:pPr>
        <w:numPr>
          <w:ilvl w:val="0"/>
          <w:numId w:val="9"/>
        </w:numPr>
        <w:tabs>
          <w:tab w:val="left" w:pos="930"/>
          <w:tab w:val="clear" w:pos="0"/>
        </w:tabs>
        <w:adjustRightInd w:val="0"/>
        <w:snapToGrid w:val="0"/>
        <w:spacing w:line="360" w:lineRule="auto"/>
        <w:ind w:left="0" w:leftChars="0" w:firstLine="466" w:firstLineChars="0"/>
        <w:rPr>
          <w:color w:val="auto"/>
          <w:sz w:val="24"/>
          <w:highlight w:val="none"/>
        </w:rPr>
      </w:pPr>
      <w:r>
        <w:rPr>
          <w:rFonts w:hint="default" w:ascii="Times New Roman" w:hAnsi="Times New Roman" w:cs="Times New Roman"/>
          <w:color w:val="auto"/>
          <w:sz w:val="24"/>
          <w:szCs w:val="32"/>
          <w:highlight w:val="none"/>
          <w:lang w:eastAsia="zh-CN"/>
        </w:rPr>
        <w:t>《关于印发青岛西海岸新区水功能区划的通知》</w:t>
      </w:r>
      <w:r>
        <w:rPr>
          <w:rFonts w:hint="eastAsia" w:cs="Times New Roman"/>
          <w:color w:val="auto"/>
          <w:sz w:val="24"/>
          <w:szCs w:val="32"/>
          <w:highlight w:val="none"/>
          <w:lang w:eastAsia="zh-CN"/>
        </w:rPr>
        <w:t>(</w:t>
      </w:r>
      <w:r>
        <w:rPr>
          <w:rFonts w:hint="default" w:ascii="Times New Roman" w:hAnsi="Times New Roman" w:cs="Times New Roman"/>
          <w:color w:val="auto"/>
          <w:sz w:val="24"/>
          <w:szCs w:val="32"/>
          <w:highlight w:val="none"/>
          <w:lang w:eastAsia="zh-CN"/>
        </w:rPr>
        <w:t>青西新管办发〔2018〕10号</w:t>
      </w:r>
      <w:r>
        <w:rPr>
          <w:rFonts w:hint="eastAsia" w:cs="Times New Roman"/>
          <w:color w:val="auto"/>
          <w:sz w:val="24"/>
          <w:szCs w:val="32"/>
          <w:highlight w:val="none"/>
          <w:lang w:eastAsia="zh-CN"/>
        </w:rPr>
        <w:t>)</w:t>
      </w:r>
      <w:r>
        <w:rPr>
          <w:rFonts w:hint="eastAsia"/>
          <w:color w:val="auto"/>
          <w:sz w:val="24"/>
          <w:highlight w:val="none"/>
        </w:rPr>
        <w:t>；</w:t>
      </w:r>
    </w:p>
    <w:p>
      <w:pPr>
        <w:numPr>
          <w:ilvl w:val="0"/>
          <w:numId w:val="9"/>
        </w:numPr>
        <w:tabs>
          <w:tab w:val="left" w:pos="930"/>
          <w:tab w:val="clear" w:pos="0"/>
        </w:tabs>
        <w:adjustRightInd w:val="0"/>
        <w:snapToGrid w:val="0"/>
        <w:spacing w:line="360" w:lineRule="auto"/>
        <w:ind w:left="0" w:leftChars="0" w:firstLine="466" w:firstLineChars="0"/>
        <w:rPr>
          <w:rFonts w:hint="eastAsia" w:eastAsia="宋体"/>
          <w:color w:val="auto"/>
          <w:sz w:val="24"/>
          <w:highlight w:val="none"/>
          <w:lang w:eastAsia="zh-CN"/>
        </w:rPr>
      </w:pPr>
      <w:r>
        <w:rPr>
          <w:color w:val="auto"/>
          <w:sz w:val="24"/>
          <w:highlight w:val="none"/>
        </w:rPr>
        <w:t>《青岛市落实水污染防治行动计划实施方案》(青政发[2016]27号)；</w:t>
      </w:r>
    </w:p>
    <w:p>
      <w:pPr>
        <w:numPr>
          <w:ilvl w:val="0"/>
          <w:numId w:val="9"/>
        </w:numPr>
        <w:tabs>
          <w:tab w:val="left" w:pos="930"/>
          <w:tab w:val="clear" w:pos="0"/>
        </w:tabs>
        <w:adjustRightInd w:val="0"/>
        <w:snapToGrid w:val="0"/>
        <w:spacing w:line="360" w:lineRule="auto"/>
        <w:ind w:left="0" w:leftChars="0" w:firstLine="466" w:firstLineChars="0"/>
        <w:rPr>
          <w:color w:val="auto"/>
          <w:sz w:val="24"/>
          <w:highlight w:val="none"/>
        </w:rPr>
      </w:pPr>
      <w:r>
        <w:rPr>
          <w:rFonts w:hint="eastAsia"/>
          <w:color w:val="auto"/>
          <w:sz w:val="24"/>
          <w:highlight w:val="none"/>
        </w:rPr>
        <w:t>《青岛市"十二五"重金属污染综合防治实施方案》(青环发[2013]12号)</w:t>
      </w:r>
      <w:r>
        <w:rPr>
          <w:rFonts w:hint="eastAsia"/>
          <w:color w:val="auto"/>
          <w:sz w:val="24"/>
          <w:highlight w:val="none"/>
          <w:lang w:eastAsia="zh-CN"/>
        </w:rPr>
        <w:t>；</w:t>
      </w:r>
    </w:p>
    <w:p>
      <w:pPr>
        <w:numPr>
          <w:ilvl w:val="0"/>
          <w:numId w:val="9"/>
        </w:numPr>
        <w:tabs>
          <w:tab w:val="left" w:pos="930"/>
          <w:tab w:val="clear" w:pos="0"/>
        </w:tabs>
        <w:adjustRightInd w:val="0"/>
        <w:snapToGrid w:val="0"/>
        <w:spacing w:line="360" w:lineRule="auto"/>
        <w:ind w:left="0" w:leftChars="0" w:firstLine="466" w:firstLineChars="0"/>
        <w:rPr>
          <w:rFonts w:ascii="Times New Roman" w:hAnsi="Times New Roman" w:cs="Times New Roman"/>
          <w:color w:val="auto"/>
          <w:sz w:val="24"/>
          <w:highlight w:val="none"/>
        </w:rPr>
      </w:pPr>
      <w:r>
        <w:rPr>
          <w:rFonts w:hint="eastAsia" w:ascii="Times New Roman" w:hAnsi="Times New Roman" w:cs="Times New Roman"/>
          <w:color w:val="auto"/>
          <w:sz w:val="24"/>
          <w:highlight w:val="none"/>
          <w:lang w:eastAsia="zh-CN"/>
        </w:rPr>
        <w:t>《</w:t>
      </w:r>
      <w:r>
        <w:rPr>
          <w:rFonts w:ascii="Times New Roman" w:hAnsi="Times New Roman" w:cs="Times New Roman"/>
          <w:color w:val="auto"/>
          <w:sz w:val="24"/>
          <w:highlight w:val="none"/>
        </w:rPr>
        <w:t>青岛市</w:t>
      </w:r>
      <w:r>
        <w:rPr>
          <w:rFonts w:hint="default" w:ascii="Times New Roman" w:hAnsi="Times New Roman" w:cs="Times New Roman"/>
          <w:color w:val="auto"/>
          <w:sz w:val="24"/>
          <w:highlight w:val="none"/>
        </w:rPr>
        <w:t>人民政府关于加强电镀行业管理的意见》</w:t>
      </w:r>
      <w:r>
        <w:rPr>
          <w:rFonts w:hint="eastAsia"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rPr>
        <w:t>青政发</w:t>
      </w:r>
      <w:r>
        <w:rPr>
          <w:rFonts w:hint="eastAsia"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rPr>
        <w:t>2004</w:t>
      </w:r>
      <w:r>
        <w:rPr>
          <w:rFonts w:hint="eastAsia"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rPr>
        <w:t>15号</w:t>
      </w:r>
      <w:r>
        <w:rPr>
          <w:rFonts w:hint="eastAsia" w:ascii="Times New Roman" w:hAnsi="Times New Roman" w:cs="Times New Roman"/>
          <w:color w:val="auto"/>
          <w:sz w:val="24"/>
          <w:highlight w:val="none"/>
          <w:lang w:val="en-US" w:eastAsia="zh-CN"/>
        </w:rPr>
        <w:t>)；</w:t>
      </w:r>
    </w:p>
    <w:p>
      <w:pPr>
        <w:numPr>
          <w:ilvl w:val="0"/>
          <w:numId w:val="9"/>
        </w:numPr>
        <w:tabs>
          <w:tab w:val="left" w:pos="930"/>
          <w:tab w:val="clear" w:pos="0"/>
        </w:tabs>
        <w:adjustRightInd w:val="0"/>
        <w:snapToGrid w:val="0"/>
        <w:spacing w:line="360" w:lineRule="auto"/>
        <w:ind w:left="0" w:leftChars="0" w:firstLine="466" w:firstLineChars="0"/>
        <w:rPr>
          <w:color w:val="auto"/>
          <w:sz w:val="24"/>
          <w:highlight w:val="none"/>
        </w:rPr>
      </w:pPr>
      <w:r>
        <w:rPr>
          <w:rFonts w:hint="eastAsia"/>
          <w:color w:val="auto"/>
          <w:sz w:val="24"/>
          <w:highlight w:val="none"/>
        </w:rPr>
        <w:t>企业其他资料。</w:t>
      </w:r>
    </w:p>
    <w:p>
      <w:pPr>
        <w:adjustRightInd w:val="0"/>
        <w:snapToGrid w:val="0"/>
        <w:spacing w:line="360" w:lineRule="auto"/>
        <w:outlineLvl w:val="2"/>
        <w:rPr>
          <w:rFonts w:eastAsia="黑体"/>
          <w:color w:val="auto"/>
          <w:sz w:val="24"/>
          <w:highlight w:val="none"/>
        </w:rPr>
      </w:pPr>
      <w:r>
        <w:rPr>
          <w:rFonts w:hint="eastAsia" w:eastAsia="黑体"/>
          <w:color w:val="auto"/>
          <w:sz w:val="24"/>
          <w:highlight w:val="none"/>
        </w:rPr>
        <w:t>1.2.3 评价导则与规范</w:t>
      </w:r>
    </w:p>
    <w:p>
      <w:pPr>
        <w:numPr>
          <w:ilvl w:val="0"/>
          <w:numId w:val="10"/>
        </w:numPr>
        <w:adjustRightInd w:val="0"/>
        <w:snapToGrid w:val="0"/>
        <w:spacing w:line="360" w:lineRule="auto"/>
        <w:ind w:left="0" w:leftChars="0" w:firstLine="466" w:firstLineChars="0"/>
        <w:rPr>
          <w:color w:val="auto"/>
          <w:sz w:val="24"/>
          <w:highlight w:val="none"/>
        </w:rPr>
      </w:pPr>
      <w:r>
        <w:rPr>
          <w:color w:val="auto"/>
          <w:sz w:val="24"/>
          <w:highlight w:val="none"/>
        </w:rPr>
        <w:t>《环境影响评价技术导则 总纲》(HJ2.1-201</w:t>
      </w:r>
      <w:r>
        <w:rPr>
          <w:rFonts w:hint="eastAsia"/>
          <w:color w:val="auto"/>
          <w:sz w:val="24"/>
          <w:highlight w:val="none"/>
        </w:rPr>
        <w:t>6</w:t>
      </w:r>
      <w:r>
        <w:rPr>
          <w:color w:val="auto"/>
          <w:sz w:val="24"/>
          <w:highlight w:val="none"/>
        </w:rPr>
        <w:t>)；</w:t>
      </w:r>
    </w:p>
    <w:p>
      <w:pPr>
        <w:numPr>
          <w:ilvl w:val="0"/>
          <w:numId w:val="10"/>
        </w:numPr>
        <w:adjustRightInd w:val="0"/>
        <w:snapToGrid w:val="0"/>
        <w:spacing w:line="360" w:lineRule="auto"/>
        <w:ind w:left="0" w:leftChars="0" w:firstLine="466" w:firstLineChars="0"/>
        <w:rPr>
          <w:color w:val="auto"/>
          <w:sz w:val="24"/>
          <w:highlight w:val="none"/>
        </w:rPr>
      </w:pPr>
      <w:r>
        <w:rPr>
          <w:color w:val="auto"/>
          <w:sz w:val="24"/>
          <w:highlight w:val="none"/>
        </w:rPr>
        <w:t>《环境影响评价技术导则 大气环境》(HJ2.2-20</w:t>
      </w:r>
      <w:r>
        <w:rPr>
          <w:rFonts w:hint="eastAsia"/>
          <w:color w:val="auto"/>
          <w:sz w:val="24"/>
          <w:highlight w:val="none"/>
          <w:lang w:val="en-US" w:eastAsia="zh-CN"/>
        </w:rPr>
        <w:t>1</w:t>
      </w:r>
      <w:r>
        <w:rPr>
          <w:color w:val="auto"/>
          <w:sz w:val="24"/>
          <w:highlight w:val="none"/>
        </w:rPr>
        <w:t>8)；</w:t>
      </w:r>
    </w:p>
    <w:p>
      <w:pPr>
        <w:numPr>
          <w:ilvl w:val="0"/>
          <w:numId w:val="10"/>
        </w:numPr>
        <w:adjustRightInd w:val="0"/>
        <w:snapToGrid w:val="0"/>
        <w:spacing w:line="360" w:lineRule="auto"/>
        <w:ind w:left="0" w:leftChars="0" w:firstLine="466" w:firstLineChars="0"/>
        <w:rPr>
          <w:color w:val="auto"/>
          <w:sz w:val="24"/>
          <w:highlight w:val="none"/>
        </w:rPr>
      </w:pPr>
      <w:r>
        <w:rPr>
          <w:color w:val="auto"/>
          <w:sz w:val="24"/>
          <w:highlight w:val="none"/>
        </w:rPr>
        <w:t>《环境影响评价技术导则 地</w:t>
      </w:r>
      <w:r>
        <w:rPr>
          <w:rFonts w:hint="default" w:ascii="Times New Roman" w:hAnsi="Times New Roman" w:cs="Times New Roman"/>
          <w:color w:val="auto"/>
          <w:sz w:val="24"/>
          <w:szCs w:val="32"/>
          <w:highlight w:val="none"/>
        </w:rPr>
        <w:t>表</w:t>
      </w:r>
      <w:r>
        <w:rPr>
          <w:color w:val="auto"/>
          <w:sz w:val="24"/>
          <w:highlight w:val="none"/>
        </w:rPr>
        <w:t>水环境》(HJ2.3-</w:t>
      </w:r>
      <w:r>
        <w:rPr>
          <w:rFonts w:hint="eastAsia"/>
          <w:color w:val="auto"/>
          <w:sz w:val="24"/>
          <w:highlight w:val="none"/>
          <w:lang w:val="en-US" w:eastAsia="zh-CN"/>
        </w:rPr>
        <w:t>2018</w:t>
      </w:r>
      <w:r>
        <w:rPr>
          <w:color w:val="auto"/>
          <w:sz w:val="24"/>
          <w:highlight w:val="none"/>
        </w:rPr>
        <w:t>)；</w:t>
      </w:r>
    </w:p>
    <w:p>
      <w:pPr>
        <w:numPr>
          <w:ilvl w:val="0"/>
          <w:numId w:val="10"/>
        </w:numPr>
        <w:adjustRightInd w:val="0"/>
        <w:snapToGrid w:val="0"/>
        <w:spacing w:line="360" w:lineRule="auto"/>
        <w:ind w:left="0" w:leftChars="0" w:firstLine="466" w:firstLineChars="0"/>
        <w:rPr>
          <w:color w:val="auto"/>
          <w:sz w:val="24"/>
          <w:highlight w:val="none"/>
        </w:rPr>
      </w:pPr>
      <w:r>
        <w:rPr>
          <w:color w:val="auto"/>
          <w:sz w:val="24"/>
          <w:highlight w:val="none"/>
        </w:rPr>
        <w:t>《环境影响评价技术导则 声环境》(HJ2.4-2009)；</w:t>
      </w:r>
    </w:p>
    <w:p>
      <w:pPr>
        <w:numPr>
          <w:ilvl w:val="0"/>
          <w:numId w:val="10"/>
        </w:numPr>
        <w:adjustRightInd w:val="0"/>
        <w:snapToGrid w:val="0"/>
        <w:spacing w:line="360" w:lineRule="auto"/>
        <w:ind w:left="0" w:leftChars="0" w:firstLine="466" w:firstLineChars="0"/>
        <w:rPr>
          <w:color w:val="auto"/>
          <w:kern w:val="0"/>
          <w:sz w:val="24"/>
          <w:highlight w:val="none"/>
        </w:rPr>
      </w:pPr>
      <w:r>
        <w:rPr>
          <w:color w:val="auto"/>
          <w:sz w:val="24"/>
          <w:highlight w:val="none"/>
        </w:rPr>
        <w:t>《建设项目环境风险评价技术导则》(HJ/T169-2004)；</w:t>
      </w:r>
    </w:p>
    <w:p>
      <w:pPr>
        <w:numPr>
          <w:ilvl w:val="0"/>
          <w:numId w:val="10"/>
        </w:numPr>
        <w:adjustRightInd w:val="0"/>
        <w:snapToGrid w:val="0"/>
        <w:spacing w:line="360" w:lineRule="auto"/>
        <w:ind w:left="0" w:leftChars="0" w:firstLine="466" w:firstLineChars="0"/>
        <w:rPr>
          <w:color w:val="auto"/>
          <w:sz w:val="24"/>
          <w:highlight w:val="none"/>
        </w:rPr>
      </w:pPr>
      <w:r>
        <w:rPr>
          <w:color w:val="auto"/>
          <w:kern w:val="0"/>
          <w:sz w:val="24"/>
          <w:highlight w:val="none"/>
        </w:rPr>
        <w:t>《环境影响评价技术导则 地下水环境》(HJ 610-2016)；</w:t>
      </w:r>
    </w:p>
    <w:p>
      <w:pPr>
        <w:numPr>
          <w:ilvl w:val="0"/>
          <w:numId w:val="10"/>
        </w:numPr>
        <w:adjustRightInd w:val="0"/>
        <w:snapToGrid w:val="0"/>
        <w:spacing w:line="360" w:lineRule="auto"/>
        <w:ind w:left="0" w:leftChars="0" w:firstLine="466" w:firstLineChars="0"/>
        <w:rPr>
          <w:color w:val="auto"/>
          <w:sz w:val="24"/>
          <w:highlight w:val="none"/>
        </w:rPr>
      </w:pPr>
      <w:r>
        <w:rPr>
          <w:color w:val="auto"/>
          <w:sz w:val="24"/>
          <w:highlight w:val="none"/>
        </w:rPr>
        <w:t>《环境影响评价技术导则 生态影响》(HJ19-2011)</w:t>
      </w:r>
      <w:r>
        <w:rPr>
          <w:rFonts w:hint="eastAsia"/>
          <w:color w:val="auto"/>
          <w:sz w:val="24"/>
          <w:highlight w:val="none"/>
        </w:rPr>
        <w:t>；</w:t>
      </w:r>
    </w:p>
    <w:p>
      <w:pPr>
        <w:numPr>
          <w:ilvl w:val="0"/>
          <w:numId w:val="10"/>
        </w:numPr>
        <w:adjustRightInd w:val="0"/>
        <w:snapToGrid w:val="0"/>
        <w:spacing w:line="360" w:lineRule="auto"/>
        <w:ind w:left="0" w:leftChars="0" w:firstLine="466" w:firstLineChars="0"/>
        <w:rPr>
          <w:color w:val="auto"/>
          <w:sz w:val="24"/>
          <w:highlight w:val="none"/>
        </w:rPr>
      </w:pPr>
      <w:r>
        <w:rPr>
          <w:rFonts w:hint="eastAsia"/>
          <w:color w:val="auto"/>
          <w:sz w:val="24"/>
          <w:highlight w:val="none"/>
        </w:rPr>
        <w:t>《大气污染治理工程技术导则》(HJ2000-2010)；</w:t>
      </w:r>
    </w:p>
    <w:p>
      <w:pPr>
        <w:numPr>
          <w:ilvl w:val="0"/>
          <w:numId w:val="10"/>
        </w:numPr>
        <w:adjustRightInd w:val="0"/>
        <w:snapToGrid w:val="0"/>
        <w:spacing w:line="360" w:lineRule="auto"/>
        <w:ind w:left="0" w:leftChars="0" w:firstLine="466" w:firstLineChars="0"/>
        <w:rPr>
          <w:color w:val="auto"/>
          <w:sz w:val="24"/>
          <w:highlight w:val="none"/>
        </w:rPr>
      </w:pPr>
      <w:r>
        <w:rPr>
          <w:rFonts w:hint="eastAsia"/>
          <w:color w:val="auto"/>
          <w:sz w:val="24"/>
          <w:highlight w:val="none"/>
        </w:rPr>
        <w:t>《水污染治理工程技术导则》(HJ2015-2012)；</w:t>
      </w:r>
    </w:p>
    <w:p>
      <w:pPr>
        <w:numPr>
          <w:ilvl w:val="0"/>
          <w:numId w:val="10"/>
        </w:numPr>
        <w:adjustRightInd w:val="0"/>
        <w:snapToGrid w:val="0"/>
        <w:spacing w:line="360" w:lineRule="auto"/>
        <w:ind w:left="0" w:leftChars="0" w:firstLine="466" w:firstLineChars="0"/>
        <w:rPr>
          <w:rFonts w:hint="eastAsia"/>
          <w:color w:val="auto"/>
          <w:kern w:val="0"/>
          <w:sz w:val="24"/>
          <w:highlight w:val="none"/>
          <w:lang w:eastAsia="zh-CN"/>
        </w:rPr>
      </w:pPr>
      <w:r>
        <w:rPr>
          <w:rFonts w:hint="eastAsia"/>
          <w:color w:val="auto"/>
          <w:sz w:val="24"/>
          <w:highlight w:val="none"/>
        </w:rPr>
        <w:t>《环境噪声与振动控制工程技术导则》(HJ2034-2013)；</w:t>
      </w:r>
    </w:p>
    <w:p>
      <w:pPr>
        <w:numPr>
          <w:ilvl w:val="0"/>
          <w:numId w:val="10"/>
        </w:numPr>
        <w:adjustRightInd w:val="0"/>
        <w:snapToGrid w:val="0"/>
        <w:spacing w:line="360" w:lineRule="auto"/>
        <w:ind w:left="0" w:leftChars="0" w:firstLine="466" w:firstLineChars="0"/>
        <w:rPr>
          <w:rFonts w:hint="default" w:ascii="Times New Roman" w:hAnsi="Times New Roman" w:cs="Times New Roman"/>
          <w:color w:val="auto"/>
          <w:sz w:val="24"/>
          <w:highlight w:val="none"/>
        </w:rPr>
      </w:pPr>
      <w:r>
        <w:rPr>
          <w:rFonts w:hint="eastAsia"/>
          <w:color w:val="auto"/>
          <w:kern w:val="0"/>
          <w:sz w:val="24"/>
          <w:highlight w:val="none"/>
        </w:rPr>
        <w:t>《固体废物处理处置工程技术导则》(HJ2035-2013)</w:t>
      </w:r>
      <w:r>
        <w:rPr>
          <w:rFonts w:hint="eastAsia"/>
          <w:color w:val="auto"/>
          <w:kern w:val="0"/>
          <w:sz w:val="24"/>
          <w:highlight w:val="none"/>
          <w:lang w:eastAsia="zh-CN"/>
        </w:rPr>
        <w:t>；</w:t>
      </w:r>
    </w:p>
    <w:p>
      <w:pPr>
        <w:numPr>
          <w:ilvl w:val="0"/>
          <w:numId w:val="10"/>
        </w:numPr>
        <w:adjustRightInd w:val="0"/>
        <w:snapToGrid w:val="0"/>
        <w:spacing w:line="360" w:lineRule="auto"/>
        <w:ind w:left="0" w:leftChars="0" w:firstLine="466" w:firstLineChars="0"/>
        <w:rPr>
          <w:rFonts w:hint="eastAsia" w:cs="Times New Roman"/>
          <w:color w:val="auto"/>
          <w:sz w:val="24"/>
          <w:highlight w:val="none"/>
          <w:lang w:eastAsia="zh-CN"/>
        </w:rPr>
      </w:pPr>
      <w:r>
        <w:rPr>
          <w:rFonts w:hint="default" w:ascii="Times New Roman" w:hAnsi="Times New Roman" w:cs="Times New Roman"/>
          <w:color w:val="auto"/>
          <w:sz w:val="24"/>
          <w:highlight w:val="none"/>
        </w:rPr>
        <w:t>《建设项目环境风险评价技术导则》</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HJ169-2018</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w:t>
      </w:r>
    </w:p>
    <w:p>
      <w:pPr>
        <w:numPr>
          <w:ilvl w:val="0"/>
          <w:numId w:val="10"/>
        </w:numPr>
        <w:adjustRightInd w:val="0"/>
        <w:snapToGrid w:val="0"/>
        <w:spacing w:line="360" w:lineRule="auto"/>
        <w:ind w:left="0" w:leftChars="0" w:firstLine="466" w:firstLineChars="0"/>
        <w:rPr>
          <w:rFonts w:hint="eastAsia" w:cs="Times New Roman"/>
          <w:color w:val="auto"/>
          <w:sz w:val="24"/>
          <w:highlight w:val="none"/>
          <w:lang w:eastAsia="zh-CN"/>
        </w:rPr>
      </w:pPr>
      <w:r>
        <w:rPr>
          <w:rFonts w:hint="default" w:ascii="Times New Roman" w:hAnsi="Times New Roman" w:cs="Times New Roman"/>
          <w:color w:val="auto"/>
          <w:sz w:val="24"/>
          <w:highlight w:val="none"/>
          <w:lang w:eastAsia="zh-CN"/>
        </w:rPr>
        <w:t>《排污单位自行监测技术指南 总则》</w:t>
      </w:r>
      <w:r>
        <w:rPr>
          <w:rFonts w:hint="eastAsia" w:cs="Times New Roman"/>
          <w:color w:val="auto"/>
          <w:sz w:val="24"/>
          <w:highlight w:val="none"/>
          <w:lang w:eastAsia="zh-CN"/>
        </w:rPr>
        <w:t>(</w:t>
      </w:r>
      <w:r>
        <w:rPr>
          <w:rFonts w:hint="default" w:ascii="Times New Roman" w:hAnsi="Times New Roman" w:cs="Times New Roman"/>
          <w:color w:val="auto"/>
          <w:sz w:val="24"/>
          <w:highlight w:val="none"/>
          <w:lang w:eastAsia="zh-CN"/>
        </w:rPr>
        <w:t>HJ 819-2017</w:t>
      </w:r>
      <w:r>
        <w:rPr>
          <w:rFonts w:hint="eastAsia" w:cs="Times New Roman"/>
          <w:color w:val="auto"/>
          <w:sz w:val="24"/>
          <w:highlight w:val="none"/>
          <w:lang w:eastAsia="zh-CN"/>
        </w:rPr>
        <w:t>)；</w:t>
      </w:r>
    </w:p>
    <w:p>
      <w:pPr>
        <w:numPr>
          <w:ilvl w:val="0"/>
          <w:numId w:val="10"/>
        </w:numPr>
        <w:adjustRightInd w:val="0"/>
        <w:snapToGrid w:val="0"/>
        <w:spacing w:line="360" w:lineRule="auto"/>
        <w:ind w:left="0" w:leftChars="0" w:firstLine="466" w:firstLineChars="0"/>
        <w:rPr>
          <w:rFonts w:hint="eastAsia" w:cs="Times New Roman"/>
          <w:color w:val="auto"/>
          <w:sz w:val="24"/>
          <w:highlight w:val="none"/>
          <w:lang w:eastAsia="zh-CN"/>
        </w:rPr>
      </w:pPr>
      <w:r>
        <w:rPr>
          <w:rFonts w:hint="eastAsia" w:cs="Times New Roman"/>
          <w:color w:val="auto"/>
          <w:sz w:val="24"/>
          <w:highlight w:val="none"/>
          <w:lang w:eastAsia="zh-CN"/>
        </w:rPr>
        <w:t>《电镀废水治理工程技术规范》(HJ2002-2010)；</w:t>
      </w:r>
    </w:p>
    <w:p>
      <w:pPr>
        <w:numPr>
          <w:ilvl w:val="0"/>
          <w:numId w:val="10"/>
        </w:numPr>
        <w:adjustRightInd w:val="0"/>
        <w:snapToGrid w:val="0"/>
        <w:spacing w:line="360" w:lineRule="auto"/>
        <w:ind w:left="0" w:leftChars="0" w:firstLine="466" w:firstLineChars="0"/>
        <w:rPr>
          <w:rFonts w:hint="eastAsia" w:cs="Times New Roman"/>
          <w:color w:val="auto"/>
          <w:sz w:val="24"/>
          <w:highlight w:val="none"/>
          <w:lang w:eastAsia="zh-CN"/>
        </w:rPr>
      </w:pPr>
      <w:r>
        <w:rPr>
          <w:rFonts w:hint="eastAsia" w:cs="Times New Roman"/>
          <w:color w:val="auto"/>
          <w:sz w:val="24"/>
          <w:highlight w:val="none"/>
          <w:lang w:eastAsia="zh-CN"/>
        </w:rPr>
        <w:t>《电镀污染防治最佳可行技术指南(试行)》(HJ-BAT-11)；</w:t>
      </w:r>
    </w:p>
    <w:p>
      <w:pPr>
        <w:numPr>
          <w:ilvl w:val="0"/>
          <w:numId w:val="10"/>
        </w:numPr>
        <w:adjustRightInd w:val="0"/>
        <w:snapToGrid w:val="0"/>
        <w:spacing w:line="360" w:lineRule="auto"/>
        <w:ind w:left="0" w:leftChars="0" w:firstLine="466" w:firstLineChars="0"/>
        <w:rPr>
          <w:rFonts w:hint="eastAsia" w:cs="Times New Roman"/>
          <w:color w:val="auto"/>
          <w:sz w:val="24"/>
          <w:highlight w:val="none"/>
          <w:lang w:eastAsia="zh-CN"/>
        </w:rPr>
      </w:pPr>
      <w:r>
        <w:rPr>
          <w:rFonts w:hint="eastAsia" w:cs="Times New Roman"/>
          <w:color w:val="auto"/>
          <w:sz w:val="24"/>
          <w:highlight w:val="none"/>
          <w:lang w:eastAsia="zh-CN"/>
        </w:rPr>
        <w:t>《电镀手册 第3版》(国防工业出版社，2007年)；</w:t>
      </w:r>
    </w:p>
    <w:p>
      <w:pPr>
        <w:numPr>
          <w:ilvl w:val="0"/>
          <w:numId w:val="10"/>
        </w:numPr>
        <w:adjustRightInd w:val="0"/>
        <w:snapToGrid w:val="0"/>
        <w:spacing w:line="360" w:lineRule="auto"/>
        <w:ind w:left="0" w:leftChars="0" w:firstLine="466" w:firstLineChars="0"/>
        <w:rPr>
          <w:rFonts w:hint="eastAsia" w:cs="Times New Roman"/>
          <w:color w:val="auto"/>
          <w:sz w:val="24"/>
          <w:highlight w:val="none"/>
          <w:lang w:eastAsia="zh-CN"/>
        </w:rPr>
      </w:pPr>
      <w:r>
        <w:rPr>
          <w:rFonts w:hint="eastAsia" w:cs="Times New Roman"/>
          <w:color w:val="auto"/>
          <w:sz w:val="24"/>
          <w:highlight w:val="none"/>
          <w:lang w:eastAsia="zh-CN"/>
        </w:rPr>
        <w:t>《环境统计手册》(方品贤 四川科学技术出版社，1985年；</w:t>
      </w:r>
    </w:p>
    <w:p>
      <w:pPr>
        <w:numPr>
          <w:ilvl w:val="0"/>
          <w:numId w:val="10"/>
        </w:numPr>
        <w:adjustRightInd w:val="0"/>
        <w:snapToGrid w:val="0"/>
        <w:spacing w:line="360" w:lineRule="auto"/>
        <w:ind w:left="0" w:leftChars="0" w:firstLine="466" w:firstLineChars="0"/>
        <w:rPr>
          <w:rFonts w:hint="eastAsia" w:cs="Times New Roman"/>
          <w:color w:val="auto"/>
          <w:sz w:val="24"/>
          <w:highlight w:val="none"/>
          <w:lang w:eastAsia="zh-CN"/>
        </w:rPr>
      </w:pPr>
      <w:r>
        <w:rPr>
          <w:rFonts w:hint="eastAsia" w:cs="Times New Roman"/>
          <w:color w:val="auto"/>
          <w:sz w:val="24"/>
          <w:highlight w:val="none"/>
          <w:lang w:eastAsia="zh-CN"/>
        </w:rPr>
        <w:t>《工业建筑防腐蚀设计规范》GB50046-2008；</w:t>
      </w:r>
    </w:p>
    <w:p>
      <w:pPr>
        <w:numPr>
          <w:ilvl w:val="0"/>
          <w:numId w:val="10"/>
        </w:numPr>
        <w:adjustRightInd w:val="0"/>
        <w:snapToGrid w:val="0"/>
        <w:spacing w:line="360" w:lineRule="auto"/>
        <w:ind w:left="0" w:leftChars="0" w:firstLine="466" w:firstLineChars="0"/>
        <w:rPr>
          <w:rFonts w:hint="eastAsia" w:cs="Times New Roman"/>
          <w:color w:val="auto"/>
          <w:sz w:val="24"/>
          <w:highlight w:val="none"/>
          <w:lang w:eastAsia="zh-CN"/>
        </w:rPr>
      </w:pPr>
      <w:r>
        <w:rPr>
          <w:rFonts w:hint="eastAsia" w:cs="Times New Roman"/>
          <w:color w:val="auto"/>
          <w:sz w:val="24"/>
          <w:highlight w:val="none"/>
          <w:lang w:eastAsia="zh-CN"/>
        </w:rPr>
        <w:t>《电镀化学品运输、储存、使用安全规程》AQ3019-2008；</w:t>
      </w:r>
    </w:p>
    <w:p>
      <w:pPr>
        <w:numPr>
          <w:ilvl w:val="0"/>
          <w:numId w:val="10"/>
        </w:numPr>
        <w:adjustRightInd w:val="0"/>
        <w:snapToGrid w:val="0"/>
        <w:spacing w:line="360" w:lineRule="auto"/>
        <w:ind w:left="0" w:leftChars="0" w:firstLine="466" w:firstLineChars="0"/>
        <w:rPr>
          <w:rFonts w:hint="eastAsia" w:cs="Times New Roman"/>
          <w:color w:val="auto"/>
          <w:sz w:val="24"/>
          <w:highlight w:val="none"/>
          <w:lang w:eastAsia="zh-CN"/>
        </w:rPr>
      </w:pPr>
      <w:r>
        <w:rPr>
          <w:rFonts w:hint="eastAsia" w:cs="Times New Roman"/>
          <w:color w:val="auto"/>
          <w:sz w:val="24"/>
          <w:highlight w:val="none"/>
          <w:lang w:eastAsia="zh-CN"/>
        </w:rPr>
        <w:t>《电镀生产安全技术要求》AQ5203-2008；</w:t>
      </w:r>
    </w:p>
    <w:p>
      <w:pPr>
        <w:numPr>
          <w:ilvl w:val="0"/>
          <w:numId w:val="10"/>
        </w:numPr>
        <w:adjustRightInd w:val="0"/>
        <w:snapToGrid w:val="0"/>
        <w:spacing w:line="360" w:lineRule="auto"/>
        <w:ind w:left="0" w:leftChars="0" w:firstLine="466" w:firstLineChars="0"/>
        <w:rPr>
          <w:rFonts w:hint="eastAsia" w:cs="Times New Roman"/>
          <w:color w:val="auto"/>
          <w:sz w:val="24"/>
          <w:highlight w:val="none"/>
          <w:lang w:eastAsia="zh-CN"/>
        </w:rPr>
      </w:pPr>
      <w:r>
        <w:rPr>
          <w:rFonts w:hint="eastAsia" w:cs="Times New Roman"/>
          <w:color w:val="auto"/>
          <w:sz w:val="24"/>
          <w:highlight w:val="none"/>
          <w:lang w:eastAsia="zh-CN"/>
        </w:rPr>
        <w:t>《电镀污染防治最佳可行技术指南》HJ-BAT-11；</w:t>
      </w:r>
    </w:p>
    <w:p>
      <w:pPr>
        <w:numPr>
          <w:ilvl w:val="0"/>
          <w:numId w:val="10"/>
        </w:numPr>
        <w:adjustRightInd w:val="0"/>
        <w:snapToGrid w:val="0"/>
        <w:spacing w:line="360" w:lineRule="auto"/>
        <w:ind w:left="0" w:leftChars="0" w:firstLine="466" w:firstLineChars="0"/>
        <w:rPr>
          <w:rFonts w:hint="eastAsia" w:cs="Times New Roman"/>
          <w:color w:val="auto"/>
          <w:sz w:val="24"/>
          <w:highlight w:val="none"/>
          <w:lang w:eastAsia="zh-CN"/>
        </w:rPr>
      </w:pPr>
      <w:r>
        <w:rPr>
          <w:rFonts w:hint="eastAsia" w:cs="Times New Roman"/>
          <w:color w:val="auto"/>
          <w:sz w:val="24"/>
          <w:highlight w:val="none"/>
          <w:lang w:eastAsia="zh-CN"/>
        </w:rPr>
        <w:t>《危险废物收集贮存运输技术规范》，HJ 2025-2012；</w:t>
      </w:r>
    </w:p>
    <w:p>
      <w:pPr>
        <w:numPr>
          <w:ilvl w:val="0"/>
          <w:numId w:val="10"/>
        </w:numPr>
        <w:adjustRightInd w:val="0"/>
        <w:snapToGrid w:val="0"/>
        <w:spacing w:line="360" w:lineRule="auto"/>
        <w:ind w:left="0" w:leftChars="0" w:firstLine="466" w:firstLineChars="0"/>
        <w:rPr>
          <w:rFonts w:hint="eastAsia" w:cs="Times New Roman"/>
          <w:color w:val="auto"/>
          <w:sz w:val="24"/>
          <w:highlight w:val="none"/>
          <w:lang w:eastAsia="zh-CN"/>
        </w:rPr>
      </w:pPr>
      <w:r>
        <w:rPr>
          <w:rFonts w:hint="eastAsia" w:cs="Times New Roman"/>
          <w:color w:val="auto"/>
          <w:sz w:val="24"/>
          <w:highlight w:val="none"/>
          <w:lang w:eastAsia="zh-CN"/>
        </w:rPr>
        <w:t>《排污许可证申请与核发技术规范 电镀工业》(HJ855-2017)；</w:t>
      </w:r>
    </w:p>
    <w:p>
      <w:pPr>
        <w:numPr>
          <w:ilvl w:val="0"/>
          <w:numId w:val="10"/>
        </w:numPr>
        <w:adjustRightInd w:val="0"/>
        <w:snapToGrid w:val="0"/>
        <w:spacing w:line="360" w:lineRule="auto"/>
        <w:ind w:left="0" w:leftChars="0" w:firstLine="466" w:firstLineChars="0"/>
        <w:rPr>
          <w:rFonts w:hint="eastAsia" w:cs="Times New Roman"/>
          <w:color w:val="auto"/>
          <w:sz w:val="24"/>
          <w:highlight w:val="none"/>
          <w:lang w:eastAsia="zh-CN"/>
        </w:rPr>
      </w:pPr>
      <w:r>
        <w:rPr>
          <w:rFonts w:hint="eastAsia" w:cs="Times New Roman"/>
          <w:color w:val="auto"/>
          <w:sz w:val="24"/>
          <w:highlight w:val="none"/>
          <w:lang w:eastAsia="zh-CN"/>
        </w:rPr>
        <w:t>《污染源源强核算技术指南 电镀》(HJ984-2018年)；</w:t>
      </w:r>
    </w:p>
    <w:p>
      <w:pPr>
        <w:numPr>
          <w:ilvl w:val="0"/>
          <w:numId w:val="10"/>
        </w:numPr>
        <w:adjustRightInd w:val="0"/>
        <w:snapToGrid w:val="0"/>
        <w:spacing w:line="360" w:lineRule="auto"/>
        <w:ind w:left="0" w:leftChars="0" w:firstLine="466" w:firstLineChars="0"/>
        <w:rPr>
          <w:rFonts w:hint="eastAsia" w:cs="Times New Roman"/>
          <w:color w:val="auto"/>
          <w:sz w:val="24"/>
          <w:highlight w:val="none"/>
          <w:lang w:eastAsia="zh-CN"/>
        </w:rPr>
      </w:pPr>
      <w:r>
        <w:rPr>
          <w:rFonts w:hint="eastAsia" w:cs="Times New Roman"/>
          <w:color w:val="auto"/>
          <w:sz w:val="24"/>
          <w:highlight w:val="none"/>
          <w:lang w:eastAsia="zh-CN"/>
        </w:rPr>
        <w:t>《排污单位自行监测技术指南 电镀工业》(HJ985-2018年)；</w:t>
      </w:r>
    </w:p>
    <w:p>
      <w:pPr>
        <w:numPr>
          <w:ilvl w:val="0"/>
          <w:numId w:val="10"/>
        </w:numPr>
        <w:adjustRightInd w:val="0"/>
        <w:snapToGrid w:val="0"/>
        <w:spacing w:line="360" w:lineRule="auto"/>
        <w:ind w:left="0" w:leftChars="0" w:firstLine="466" w:firstLineChars="0"/>
        <w:rPr>
          <w:rFonts w:hint="eastAsia" w:cs="Times New Roman"/>
          <w:color w:val="auto"/>
          <w:sz w:val="24"/>
          <w:highlight w:val="none"/>
          <w:lang w:eastAsia="zh-CN"/>
        </w:rPr>
      </w:pPr>
      <w:r>
        <w:rPr>
          <w:rFonts w:hint="eastAsia" w:cs="Times New Roman"/>
          <w:color w:val="auto"/>
          <w:sz w:val="24"/>
          <w:highlight w:val="none"/>
          <w:lang w:eastAsia="zh-CN"/>
        </w:rPr>
        <w:t>《固体废物鉴别标准通则》(GB34330-2017)。</w:t>
      </w:r>
    </w:p>
    <w:p>
      <w:pPr>
        <w:adjustRightInd w:val="0"/>
        <w:snapToGrid w:val="0"/>
        <w:spacing w:line="360" w:lineRule="auto"/>
        <w:outlineLvl w:val="2"/>
        <w:rPr>
          <w:rFonts w:ascii="黑体" w:hAnsi="黑体" w:eastAsia="黑体"/>
          <w:color w:val="auto"/>
          <w:sz w:val="24"/>
          <w:highlight w:val="none"/>
        </w:rPr>
      </w:pPr>
      <w:r>
        <w:rPr>
          <w:rFonts w:hint="eastAsia"/>
          <w:color w:val="auto"/>
          <w:sz w:val="24"/>
          <w:highlight w:val="none"/>
        </w:rPr>
        <w:t xml:space="preserve">1.2.4 </w:t>
      </w:r>
      <w:r>
        <w:rPr>
          <w:rFonts w:ascii="黑体" w:hAnsi="黑体" w:eastAsia="黑体"/>
          <w:color w:val="auto"/>
          <w:sz w:val="24"/>
          <w:highlight w:val="none"/>
        </w:rPr>
        <w:t>项目依据</w:t>
      </w:r>
      <w:bookmarkStart w:id="16" w:name="_Toc360778950"/>
      <w:bookmarkStart w:id="17" w:name="_Toc257792326"/>
      <w:bookmarkStart w:id="18" w:name="_Toc396207005"/>
    </w:p>
    <w:p>
      <w:pPr>
        <w:pStyle w:val="55"/>
        <w:numPr>
          <w:ilvl w:val="0"/>
          <w:numId w:val="11"/>
        </w:numPr>
        <w:adjustRightInd w:val="0"/>
        <w:snapToGrid w:val="0"/>
        <w:spacing w:line="360" w:lineRule="auto"/>
        <w:ind w:left="0" w:leftChars="0" w:firstLine="466" w:firstLineChars="0"/>
        <w:rPr>
          <w:rFonts w:eastAsiaTheme="minorEastAsia"/>
          <w:color w:val="auto"/>
          <w:sz w:val="24"/>
          <w:highlight w:val="none"/>
        </w:rPr>
      </w:pPr>
      <w:r>
        <w:rPr>
          <w:rFonts w:eastAsiaTheme="minorEastAsia"/>
          <w:color w:val="auto"/>
          <w:sz w:val="24"/>
          <w:highlight w:val="none"/>
        </w:rPr>
        <w:t>项目委托书</w:t>
      </w:r>
      <w:r>
        <w:rPr>
          <w:rFonts w:hint="eastAsia" w:eastAsiaTheme="minorEastAsia"/>
          <w:color w:val="auto"/>
          <w:sz w:val="24"/>
          <w:highlight w:val="none"/>
        </w:rPr>
        <w:t>；</w:t>
      </w:r>
    </w:p>
    <w:p>
      <w:pPr>
        <w:pStyle w:val="55"/>
        <w:numPr>
          <w:ilvl w:val="0"/>
          <w:numId w:val="11"/>
        </w:numPr>
        <w:adjustRightInd w:val="0"/>
        <w:snapToGrid w:val="0"/>
        <w:spacing w:line="360" w:lineRule="auto"/>
        <w:ind w:left="0" w:leftChars="0" w:firstLine="466" w:firstLineChars="0"/>
        <w:rPr>
          <w:rFonts w:eastAsiaTheme="minorEastAsia"/>
          <w:color w:val="auto"/>
          <w:sz w:val="24"/>
          <w:highlight w:val="none"/>
        </w:rPr>
      </w:pPr>
      <w:r>
        <w:rPr>
          <w:rFonts w:hint="eastAsia" w:eastAsiaTheme="minorEastAsia"/>
          <w:color w:val="auto"/>
          <w:sz w:val="24"/>
          <w:highlight w:val="none"/>
        </w:rPr>
        <w:t>营业执照；</w:t>
      </w:r>
    </w:p>
    <w:p>
      <w:pPr>
        <w:pStyle w:val="55"/>
        <w:numPr>
          <w:ilvl w:val="0"/>
          <w:numId w:val="11"/>
        </w:numPr>
        <w:adjustRightInd w:val="0"/>
        <w:snapToGrid w:val="0"/>
        <w:spacing w:line="360" w:lineRule="auto"/>
        <w:ind w:left="0" w:leftChars="0" w:firstLine="466" w:firstLineChars="0"/>
        <w:rPr>
          <w:rFonts w:eastAsiaTheme="minorEastAsia"/>
          <w:color w:val="auto"/>
          <w:sz w:val="24"/>
          <w:highlight w:val="none"/>
        </w:rPr>
      </w:pPr>
      <w:r>
        <w:rPr>
          <w:rFonts w:hint="eastAsia" w:eastAsiaTheme="minorEastAsia"/>
          <w:color w:val="auto"/>
          <w:sz w:val="24"/>
          <w:highlight w:val="none"/>
        </w:rPr>
        <w:t>建设单位与电镀工业</w:t>
      </w:r>
      <w:r>
        <w:rPr>
          <w:rFonts w:hint="eastAsia" w:eastAsiaTheme="minorEastAsia"/>
          <w:color w:val="auto"/>
          <w:sz w:val="24"/>
          <w:highlight w:val="none"/>
          <w:lang w:eastAsia="zh-CN"/>
        </w:rPr>
        <w:t>园</w:t>
      </w:r>
      <w:r>
        <w:rPr>
          <w:rFonts w:hint="eastAsia" w:eastAsiaTheme="minorEastAsia"/>
          <w:color w:val="auto"/>
          <w:sz w:val="24"/>
          <w:highlight w:val="none"/>
        </w:rPr>
        <w:t>签订的危险废物、工业废水处置协议；</w:t>
      </w:r>
    </w:p>
    <w:p>
      <w:pPr>
        <w:pStyle w:val="55"/>
        <w:numPr>
          <w:ilvl w:val="0"/>
          <w:numId w:val="11"/>
        </w:numPr>
        <w:adjustRightInd w:val="0"/>
        <w:snapToGrid w:val="0"/>
        <w:spacing w:line="360" w:lineRule="auto"/>
        <w:ind w:left="0" w:leftChars="0" w:firstLine="466" w:firstLineChars="0"/>
        <w:rPr>
          <w:rFonts w:eastAsiaTheme="minorEastAsia"/>
          <w:color w:val="auto"/>
          <w:sz w:val="24"/>
          <w:highlight w:val="none"/>
        </w:rPr>
      </w:pPr>
      <w:r>
        <w:rPr>
          <w:rFonts w:hint="eastAsia" w:eastAsiaTheme="minorEastAsia"/>
          <w:color w:val="auto"/>
          <w:sz w:val="24"/>
          <w:highlight w:val="none"/>
        </w:rPr>
        <w:t>项目环评</w:t>
      </w:r>
      <w:r>
        <w:rPr>
          <w:rFonts w:hint="eastAsia" w:eastAsiaTheme="minorEastAsia"/>
          <w:color w:val="auto"/>
          <w:sz w:val="24"/>
          <w:highlight w:val="none"/>
          <w:lang w:eastAsia="zh-CN"/>
        </w:rPr>
        <w:t>登记表</w:t>
      </w:r>
      <w:r>
        <w:rPr>
          <w:rFonts w:hint="eastAsia" w:eastAsiaTheme="minorEastAsia"/>
          <w:color w:val="auto"/>
          <w:sz w:val="24"/>
          <w:highlight w:val="none"/>
        </w:rPr>
        <w:t>及竣工环境保护验收申请报告；</w:t>
      </w:r>
    </w:p>
    <w:p>
      <w:pPr>
        <w:pStyle w:val="55"/>
        <w:numPr>
          <w:ilvl w:val="0"/>
          <w:numId w:val="11"/>
        </w:numPr>
        <w:adjustRightInd w:val="0"/>
        <w:snapToGrid w:val="0"/>
        <w:spacing w:line="360" w:lineRule="auto"/>
        <w:ind w:left="0" w:leftChars="0" w:firstLine="466" w:firstLineChars="0"/>
        <w:rPr>
          <w:rFonts w:eastAsiaTheme="minorEastAsia"/>
          <w:color w:val="auto"/>
          <w:sz w:val="24"/>
          <w:highlight w:val="none"/>
        </w:rPr>
      </w:pPr>
      <w:r>
        <w:rPr>
          <w:rFonts w:hint="eastAsia" w:eastAsiaTheme="minorEastAsia"/>
          <w:color w:val="auto"/>
          <w:sz w:val="24"/>
          <w:highlight w:val="none"/>
        </w:rPr>
        <w:t>监测报告；</w:t>
      </w:r>
    </w:p>
    <w:p>
      <w:pPr>
        <w:pStyle w:val="55"/>
        <w:numPr>
          <w:ilvl w:val="0"/>
          <w:numId w:val="11"/>
        </w:numPr>
        <w:adjustRightInd w:val="0"/>
        <w:snapToGrid w:val="0"/>
        <w:spacing w:line="360" w:lineRule="auto"/>
        <w:ind w:left="0" w:leftChars="0" w:firstLine="466" w:firstLineChars="0"/>
        <w:rPr>
          <w:rFonts w:eastAsiaTheme="minorEastAsia"/>
          <w:color w:val="auto"/>
          <w:sz w:val="24"/>
          <w:highlight w:val="none"/>
        </w:rPr>
      </w:pPr>
      <w:r>
        <w:rPr>
          <w:rFonts w:hint="eastAsia" w:eastAsiaTheme="minorEastAsia"/>
          <w:color w:val="auto"/>
          <w:sz w:val="24"/>
          <w:highlight w:val="none"/>
        </w:rPr>
        <w:t>建设单位提供的其它有关技术资料。</w:t>
      </w:r>
    </w:p>
    <w:p>
      <w:pPr>
        <w:adjustRightInd w:val="0"/>
        <w:snapToGrid w:val="0"/>
        <w:spacing w:line="360" w:lineRule="auto"/>
        <w:outlineLvl w:val="2"/>
        <w:rPr>
          <w:rFonts w:ascii="黑体" w:hAnsi="黑体" w:eastAsia="黑体"/>
          <w:color w:val="auto"/>
          <w:sz w:val="24"/>
          <w:highlight w:val="none"/>
        </w:rPr>
      </w:pPr>
      <w:r>
        <w:rPr>
          <w:rFonts w:ascii="黑体" w:hAnsi="黑体" w:eastAsia="黑体"/>
          <w:color w:val="auto"/>
          <w:sz w:val="24"/>
          <w:highlight w:val="none"/>
        </w:rPr>
        <w:t>1.2.5</w:t>
      </w:r>
      <w:r>
        <w:rPr>
          <w:rFonts w:hint="eastAsia" w:ascii="黑体" w:hAnsi="黑体" w:eastAsia="黑体"/>
          <w:color w:val="auto"/>
          <w:sz w:val="24"/>
          <w:highlight w:val="none"/>
        </w:rPr>
        <w:t xml:space="preserve"> </w:t>
      </w:r>
      <w:r>
        <w:rPr>
          <w:rFonts w:ascii="黑体" w:hAnsi="黑体" w:eastAsia="黑体"/>
          <w:color w:val="auto"/>
          <w:sz w:val="24"/>
          <w:highlight w:val="none"/>
        </w:rPr>
        <w:t>评价目的</w:t>
      </w:r>
      <w:bookmarkEnd w:id="16"/>
      <w:bookmarkEnd w:id="17"/>
      <w:bookmarkEnd w:id="18"/>
    </w:p>
    <w:p>
      <w:pPr>
        <w:adjustRightInd w:val="0"/>
        <w:snapToGrid w:val="0"/>
        <w:spacing w:line="360" w:lineRule="auto"/>
        <w:ind w:left="239" w:leftChars="114" w:firstLine="240" w:firstLineChars="100"/>
        <w:rPr>
          <w:color w:val="auto"/>
          <w:sz w:val="24"/>
          <w:highlight w:val="none"/>
        </w:rPr>
      </w:pPr>
      <w:r>
        <w:rPr>
          <w:rFonts w:ascii="宋体" w:hAnsi="宋体"/>
          <w:color w:val="auto"/>
          <w:sz w:val="24"/>
          <w:highlight w:val="none"/>
        </w:rPr>
        <w:t>本项目属于已建项目，通过本次后环评，拟达到以下目的：</w:t>
      </w:r>
    </w:p>
    <w:p>
      <w:pPr>
        <w:adjustRightInd w:val="0"/>
        <w:snapToGrid w:val="0"/>
        <w:spacing w:line="360" w:lineRule="auto"/>
        <w:ind w:firstLine="480" w:firstLineChars="200"/>
        <w:rPr>
          <w:color w:val="auto"/>
          <w:sz w:val="24"/>
          <w:highlight w:val="none"/>
        </w:rPr>
      </w:pPr>
      <w:r>
        <w:rPr>
          <w:rFonts w:hint="eastAsia"/>
          <w:color w:val="auto"/>
          <w:sz w:val="24"/>
          <w:highlight w:val="none"/>
        </w:rPr>
        <w:t>(1)</w:t>
      </w:r>
      <w:r>
        <w:rPr>
          <w:rFonts w:ascii="宋体" w:hAnsi="宋体"/>
          <w:color w:val="auto"/>
          <w:sz w:val="24"/>
          <w:highlight w:val="none"/>
        </w:rPr>
        <w:t>通过对整个项目历程的说明、项目实施内容现状核查，与项目批文内容、环评报告等相对照，得出项目实施情况是否和各文件相一致；</w:t>
      </w:r>
    </w:p>
    <w:p>
      <w:pPr>
        <w:adjustRightInd w:val="0"/>
        <w:snapToGrid w:val="0"/>
        <w:spacing w:line="360" w:lineRule="auto"/>
        <w:ind w:firstLine="480" w:firstLineChars="200"/>
        <w:rPr>
          <w:color w:val="auto"/>
          <w:sz w:val="24"/>
          <w:highlight w:val="none"/>
        </w:rPr>
      </w:pPr>
      <w:r>
        <w:rPr>
          <w:rFonts w:hint="eastAsia"/>
          <w:color w:val="auto"/>
          <w:sz w:val="24"/>
          <w:highlight w:val="none"/>
        </w:rPr>
        <w:t>(2)</w:t>
      </w:r>
      <w:r>
        <w:rPr>
          <w:rFonts w:ascii="宋体" w:hAnsi="宋体"/>
          <w:color w:val="auto"/>
          <w:sz w:val="24"/>
          <w:highlight w:val="none"/>
        </w:rPr>
        <w:t>实际调查所</w:t>
      </w:r>
      <w:r>
        <w:rPr>
          <w:rFonts w:hint="eastAsia" w:ascii="宋体" w:hAnsi="宋体"/>
          <w:color w:val="auto"/>
          <w:sz w:val="24"/>
          <w:highlight w:val="none"/>
          <w:lang w:val="en-US" w:eastAsia="zh-CN"/>
        </w:rPr>
        <w:t>有</w:t>
      </w:r>
      <w:r>
        <w:rPr>
          <w:rFonts w:ascii="宋体" w:hAnsi="宋体"/>
          <w:color w:val="auto"/>
          <w:sz w:val="24"/>
          <w:highlight w:val="none"/>
        </w:rPr>
        <w:t>的污染物排放情况数据、主要工艺过程进行物料平衡计算，对所得排污数据以及通过监测所得的排污数据进行汇总、对照，明确污染物排放量，并得出产品产量、对应原料的使用量和污染物的排放量的相符性；</w:t>
      </w:r>
    </w:p>
    <w:p>
      <w:pPr>
        <w:adjustRightInd w:val="0"/>
        <w:snapToGrid w:val="0"/>
        <w:spacing w:line="360" w:lineRule="auto"/>
        <w:ind w:firstLine="480" w:firstLineChars="200"/>
        <w:rPr>
          <w:color w:val="auto"/>
          <w:sz w:val="24"/>
          <w:highlight w:val="none"/>
        </w:rPr>
      </w:pPr>
      <w:r>
        <w:rPr>
          <w:rFonts w:hint="eastAsia"/>
          <w:color w:val="auto"/>
          <w:sz w:val="24"/>
          <w:highlight w:val="none"/>
        </w:rPr>
        <w:t>(3)</w:t>
      </w:r>
      <w:r>
        <w:rPr>
          <w:rFonts w:ascii="宋体" w:hAnsi="宋体"/>
          <w:color w:val="auto"/>
          <w:sz w:val="24"/>
          <w:highlight w:val="none"/>
        </w:rPr>
        <w:t>通过各相关污染物的监测，明确污染物排放的达标性、环境质量状况，并与原有环评监测报告的内容相对比，得出目前还存在的环境问题</w:t>
      </w:r>
      <w:r>
        <w:rPr>
          <w:rFonts w:hint="eastAsia" w:ascii="宋体" w:hAnsi="宋体"/>
          <w:color w:val="auto"/>
          <w:sz w:val="24"/>
          <w:highlight w:val="none"/>
        </w:rPr>
        <w:t>；</w:t>
      </w:r>
    </w:p>
    <w:p>
      <w:pPr>
        <w:adjustRightInd w:val="0"/>
        <w:snapToGrid w:val="0"/>
        <w:spacing w:line="360" w:lineRule="auto"/>
        <w:ind w:firstLine="480" w:firstLineChars="200"/>
        <w:rPr>
          <w:rFonts w:ascii="宋体" w:hAnsi="宋体"/>
          <w:color w:val="auto"/>
          <w:sz w:val="24"/>
          <w:highlight w:val="none"/>
        </w:rPr>
      </w:pPr>
      <w:r>
        <w:rPr>
          <w:rFonts w:hint="eastAsia"/>
          <w:color w:val="auto"/>
          <w:sz w:val="24"/>
          <w:highlight w:val="none"/>
        </w:rPr>
        <w:t>(4)</w:t>
      </w:r>
      <w:r>
        <w:rPr>
          <w:rFonts w:ascii="宋体" w:hAnsi="宋体"/>
          <w:color w:val="auto"/>
          <w:sz w:val="24"/>
          <w:highlight w:val="none"/>
        </w:rPr>
        <w:t>对照原有环境影响评价报告、有关环保设备竣工验收监测报告，对企业落实的各项治理措施作现状调查，明确各治理设备的处理效率、运行情况等；明确还存在哪些环境问题对厂区外环境产生影响，并作相关的事故性污染问题调查；</w:t>
      </w:r>
    </w:p>
    <w:p>
      <w:pPr>
        <w:adjustRightInd w:val="0"/>
        <w:snapToGrid w:val="0"/>
        <w:spacing w:line="360" w:lineRule="auto"/>
        <w:ind w:firstLine="480" w:firstLineChars="200"/>
        <w:rPr>
          <w:rFonts w:ascii="宋体" w:hAnsi="宋体"/>
          <w:color w:val="auto"/>
          <w:sz w:val="24"/>
          <w:highlight w:val="none"/>
        </w:rPr>
      </w:pPr>
      <w:r>
        <w:rPr>
          <w:rFonts w:hint="eastAsia"/>
          <w:color w:val="auto"/>
          <w:sz w:val="24"/>
          <w:highlight w:val="none"/>
        </w:rPr>
        <w:t>(5)</w:t>
      </w:r>
      <w:r>
        <w:rPr>
          <w:rFonts w:ascii="宋体" w:hAnsi="宋体"/>
          <w:color w:val="auto"/>
          <w:sz w:val="24"/>
          <w:highlight w:val="none"/>
        </w:rPr>
        <w:t>针对存在的环境污染问题，提出污染防治可行的整改建议和措施。</w:t>
      </w:r>
    </w:p>
    <w:p>
      <w:pPr>
        <w:adjustRightInd w:val="0"/>
        <w:snapToGrid w:val="0"/>
        <w:spacing w:line="360" w:lineRule="auto"/>
        <w:outlineLvl w:val="2"/>
        <w:rPr>
          <w:color w:val="auto"/>
          <w:sz w:val="24"/>
          <w:highlight w:val="none"/>
        </w:rPr>
      </w:pPr>
      <w:r>
        <w:rPr>
          <w:rFonts w:hint="eastAsia" w:eastAsia="黑体"/>
          <w:color w:val="auto"/>
          <w:sz w:val="24"/>
          <w:highlight w:val="none"/>
        </w:rPr>
        <w:t xml:space="preserve">1.2.6 </w:t>
      </w:r>
      <w:r>
        <w:rPr>
          <w:rFonts w:eastAsia="黑体"/>
          <w:color w:val="auto"/>
          <w:sz w:val="24"/>
          <w:highlight w:val="none"/>
        </w:rPr>
        <w:t>评价原则</w:t>
      </w:r>
    </w:p>
    <w:p>
      <w:pPr>
        <w:adjustRightInd w:val="0"/>
        <w:snapToGrid w:val="0"/>
        <w:spacing w:line="360" w:lineRule="auto"/>
        <w:ind w:firstLine="480" w:firstLineChars="200"/>
        <w:rPr>
          <w:color w:val="auto"/>
          <w:sz w:val="24"/>
          <w:highlight w:val="none"/>
        </w:rPr>
      </w:pPr>
      <w:r>
        <w:rPr>
          <w:rFonts w:hint="eastAsia"/>
          <w:color w:val="auto"/>
          <w:sz w:val="24"/>
          <w:highlight w:val="none"/>
        </w:rPr>
        <w:t>(1)</w:t>
      </w:r>
      <w:r>
        <w:rPr>
          <w:color w:val="auto"/>
          <w:sz w:val="24"/>
          <w:highlight w:val="none"/>
        </w:rPr>
        <w:t>根据建设项目环境保护管理的有关规定，结合本项目实际情况，坚持清洁生产</w:t>
      </w:r>
      <w:r>
        <w:rPr>
          <w:rFonts w:hint="eastAsia"/>
          <w:color w:val="auto"/>
          <w:sz w:val="24"/>
          <w:highlight w:val="none"/>
        </w:rPr>
        <w:t>、</w:t>
      </w:r>
      <w:r>
        <w:rPr>
          <w:color w:val="auto"/>
          <w:sz w:val="24"/>
          <w:highlight w:val="none"/>
        </w:rPr>
        <w:t>达标排放和污染物排放总量控制的原则。</w:t>
      </w:r>
    </w:p>
    <w:p>
      <w:pPr>
        <w:adjustRightInd w:val="0"/>
        <w:snapToGrid w:val="0"/>
        <w:spacing w:line="360" w:lineRule="auto"/>
        <w:ind w:firstLine="480" w:firstLineChars="200"/>
        <w:rPr>
          <w:color w:val="auto"/>
          <w:sz w:val="24"/>
          <w:highlight w:val="none"/>
        </w:rPr>
      </w:pPr>
      <w:r>
        <w:rPr>
          <w:rFonts w:hint="eastAsia"/>
          <w:color w:val="auto"/>
          <w:sz w:val="24"/>
          <w:highlight w:val="none"/>
        </w:rPr>
        <w:t>(2)</w:t>
      </w:r>
      <w:r>
        <w:rPr>
          <w:color w:val="auto"/>
          <w:sz w:val="24"/>
          <w:highlight w:val="none"/>
        </w:rPr>
        <w:t>做好污染源分析后评价，贯彻清洁生产原则，最大限度地减少污染物的排放量。通过对污染源和现状的实测，分析建设项目对环境的影响程度和范围。</w:t>
      </w:r>
    </w:p>
    <w:p>
      <w:pPr>
        <w:adjustRightInd w:val="0"/>
        <w:snapToGrid w:val="0"/>
        <w:spacing w:line="360" w:lineRule="auto"/>
        <w:ind w:firstLine="480" w:firstLineChars="200"/>
        <w:rPr>
          <w:color w:val="auto"/>
          <w:sz w:val="24"/>
          <w:highlight w:val="none"/>
        </w:rPr>
      </w:pPr>
      <w:r>
        <w:rPr>
          <w:rFonts w:hint="eastAsia"/>
          <w:color w:val="auto"/>
          <w:sz w:val="24"/>
          <w:highlight w:val="none"/>
        </w:rPr>
        <w:t>(3)</w:t>
      </w:r>
      <w:r>
        <w:rPr>
          <w:color w:val="auto"/>
          <w:sz w:val="24"/>
          <w:highlight w:val="none"/>
        </w:rPr>
        <w:t>充分利用近年来建设项目所在地区取得的环境监测、环境管理等方面的成果，进行该项目的环境影响后评价工作。</w:t>
      </w:r>
    </w:p>
    <w:p>
      <w:pPr>
        <w:adjustRightInd w:val="0"/>
        <w:snapToGrid w:val="0"/>
        <w:spacing w:line="360" w:lineRule="auto"/>
        <w:ind w:firstLine="480" w:firstLineChars="200"/>
        <w:rPr>
          <w:color w:val="auto"/>
          <w:sz w:val="24"/>
          <w:highlight w:val="none"/>
        </w:rPr>
      </w:pPr>
      <w:r>
        <w:rPr>
          <w:rFonts w:hint="eastAsia"/>
          <w:color w:val="auto"/>
          <w:sz w:val="24"/>
          <w:highlight w:val="none"/>
        </w:rPr>
        <w:t>(4)</w:t>
      </w:r>
      <w:r>
        <w:rPr>
          <w:color w:val="auto"/>
          <w:sz w:val="24"/>
          <w:highlight w:val="none"/>
        </w:rPr>
        <w:t>后评价工作做到客观、公正、真实、可靠，为项目环境管理提供科学依据。</w:t>
      </w:r>
    </w:p>
    <w:p>
      <w:pPr>
        <w:adjustRightInd w:val="0"/>
        <w:snapToGrid w:val="0"/>
        <w:spacing w:line="360" w:lineRule="auto"/>
        <w:outlineLvl w:val="1"/>
        <w:rPr>
          <w:rFonts w:eastAsia="黑体"/>
          <w:color w:val="auto"/>
          <w:sz w:val="24"/>
          <w:highlight w:val="none"/>
        </w:rPr>
      </w:pPr>
      <w:bookmarkStart w:id="19" w:name="_Toc530655591"/>
      <w:bookmarkStart w:id="20" w:name="_Toc6353"/>
      <w:bookmarkStart w:id="21" w:name="_Toc519063291"/>
      <w:r>
        <w:rPr>
          <w:rFonts w:eastAsia="黑体"/>
          <w:color w:val="auto"/>
          <w:sz w:val="24"/>
          <w:highlight w:val="none"/>
        </w:rPr>
        <w:t xml:space="preserve">1.3 </w:t>
      </w:r>
      <w:r>
        <w:rPr>
          <w:rFonts w:hint="eastAsia" w:eastAsia="黑体"/>
          <w:color w:val="auto"/>
          <w:sz w:val="24"/>
          <w:highlight w:val="none"/>
          <w:lang w:val="en-US" w:eastAsia="zh-CN"/>
        </w:rPr>
        <w:t>环境</w:t>
      </w:r>
      <w:r>
        <w:rPr>
          <w:rFonts w:ascii="黑体" w:hAnsi="黑体" w:eastAsia="黑体"/>
          <w:color w:val="auto"/>
          <w:sz w:val="24"/>
          <w:highlight w:val="none"/>
        </w:rPr>
        <w:t>功能区划</w:t>
      </w:r>
      <w:r>
        <w:rPr>
          <w:rFonts w:eastAsia="黑体"/>
          <w:color w:val="auto"/>
          <w:sz w:val="24"/>
          <w:highlight w:val="none"/>
        </w:rPr>
        <w:t>和环境影响因</w:t>
      </w:r>
      <w:r>
        <w:rPr>
          <w:rFonts w:hint="eastAsia" w:eastAsia="黑体"/>
          <w:color w:val="auto"/>
          <w:sz w:val="24"/>
          <w:highlight w:val="none"/>
          <w:lang w:eastAsia="zh-CN"/>
        </w:rPr>
        <w:t>子</w:t>
      </w:r>
      <w:r>
        <w:rPr>
          <w:rFonts w:eastAsia="黑体"/>
          <w:color w:val="auto"/>
          <w:sz w:val="24"/>
          <w:highlight w:val="none"/>
        </w:rPr>
        <w:t>识别</w:t>
      </w:r>
      <w:bookmarkEnd w:id="19"/>
      <w:bookmarkEnd w:id="20"/>
      <w:bookmarkEnd w:id="21"/>
    </w:p>
    <w:p>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ascii="黑体" w:hAnsi="黑体" w:eastAsia="黑体"/>
          <w:color w:val="auto"/>
          <w:sz w:val="24"/>
          <w:highlight w:val="none"/>
        </w:rPr>
      </w:pPr>
      <w:r>
        <w:rPr>
          <w:rFonts w:hint="eastAsia" w:ascii="黑体" w:hAnsi="黑体" w:eastAsia="黑体"/>
          <w:color w:val="auto"/>
          <w:sz w:val="24"/>
          <w:highlight w:val="none"/>
          <w:lang w:val="en-US" w:eastAsia="zh-CN"/>
        </w:rPr>
        <w:t>1.3.1</w:t>
      </w:r>
      <w:r>
        <w:rPr>
          <w:rFonts w:ascii="黑体" w:hAnsi="黑体" w:eastAsia="黑体"/>
          <w:color w:val="auto"/>
          <w:sz w:val="24"/>
          <w:highlight w:val="none"/>
        </w:rPr>
        <w:t>环境功能区划</w:t>
      </w:r>
    </w:p>
    <w:p>
      <w:pPr>
        <w:snapToGrid w:val="0"/>
        <w:spacing w:line="360" w:lineRule="auto"/>
        <w:ind w:firstLine="480" w:firstLineChars="200"/>
        <w:jc w:val="left"/>
        <w:rPr>
          <w:rFonts w:eastAsia="黑体"/>
          <w:bCs/>
          <w:color w:val="auto"/>
          <w:sz w:val="24"/>
          <w:highlight w:val="none"/>
          <w:lang w:val="zh-CN"/>
        </w:rPr>
      </w:pPr>
      <w:r>
        <w:rPr>
          <w:rFonts w:hint="eastAsia"/>
          <w:color w:val="auto"/>
          <w:kern w:val="0"/>
          <w:sz w:val="24"/>
          <w:highlight w:val="none"/>
          <w:lang w:val="en-US" w:eastAsia="zh-CN"/>
        </w:rPr>
        <w:t>项目</w:t>
      </w:r>
      <w:r>
        <w:rPr>
          <w:color w:val="auto"/>
          <w:sz w:val="24"/>
          <w:highlight w:val="none"/>
        </w:rPr>
        <w:t>所在地理位置详见</w:t>
      </w:r>
      <w:r>
        <w:rPr>
          <w:rFonts w:hint="eastAsia"/>
          <w:color w:val="auto"/>
          <w:sz w:val="24"/>
          <w:highlight w:val="none"/>
          <w:lang w:val="en-US" w:eastAsia="zh-CN"/>
        </w:rPr>
        <w:t>附</w:t>
      </w:r>
      <w:r>
        <w:rPr>
          <w:color w:val="auto"/>
          <w:sz w:val="24"/>
          <w:highlight w:val="none"/>
        </w:rPr>
        <w:t>图1。项目所在区域的环境功能属性见表1.</w:t>
      </w:r>
      <w:r>
        <w:rPr>
          <w:rFonts w:hint="eastAsia"/>
          <w:color w:val="auto"/>
          <w:sz w:val="24"/>
          <w:highlight w:val="none"/>
          <w:lang w:val="en-US" w:eastAsia="zh-CN"/>
        </w:rPr>
        <w:t>3</w:t>
      </w:r>
      <w:r>
        <w:rPr>
          <w:color w:val="auto"/>
          <w:sz w:val="24"/>
          <w:highlight w:val="none"/>
        </w:rPr>
        <w:t>-1。</w:t>
      </w:r>
    </w:p>
    <w:p>
      <w:pPr>
        <w:adjustRightInd w:val="0"/>
        <w:snapToGrid w:val="0"/>
        <w:ind w:left="425"/>
        <w:jc w:val="center"/>
        <w:rPr>
          <w:rFonts w:eastAsia="黑体"/>
          <w:bCs/>
          <w:color w:val="auto"/>
          <w:sz w:val="24"/>
          <w:highlight w:val="none"/>
        </w:rPr>
      </w:pPr>
      <w:r>
        <w:rPr>
          <w:rFonts w:eastAsia="黑体"/>
          <w:bCs/>
          <w:color w:val="auto"/>
          <w:sz w:val="24"/>
          <w:highlight w:val="none"/>
        </w:rPr>
        <w:t>表1.</w:t>
      </w:r>
      <w:r>
        <w:rPr>
          <w:rFonts w:hint="eastAsia" w:eastAsia="黑体"/>
          <w:bCs/>
          <w:color w:val="auto"/>
          <w:sz w:val="24"/>
          <w:highlight w:val="none"/>
          <w:lang w:val="en-US" w:eastAsia="zh-CN"/>
        </w:rPr>
        <w:t>3</w:t>
      </w:r>
      <w:r>
        <w:rPr>
          <w:rFonts w:eastAsia="黑体"/>
          <w:bCs/>
          <w:color w:val="auto"/>
          <w:sz w:val="24"/>
          <w:highlight w:val="none"/>
        </w:rPr>
        <w:t>-1  项目所在区域环境功能属性一览表</w:t>
      </w:r>
    </w:p>
    <w:tbl>
      <w:tblPr>
        <w:tblStyle w:val="36"/>
        <w:tblW w:w="9117" w:type="dxa"/>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662"/>
        <w:gridCol w:w="3202"/>
        <w:gridCol w:w="5253"/>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exact"/>
          <w:jc w:val="center"/>
        </w:trPr>
        <w:tc>
          <w:tcPr>
            <w:tcW w:w="662" w:type="dxa"/>
            <w:vAlign w:val="center"/>
          </w:tcPr>
          <w:p>
            <w:pPr>
              <w:spacing w:line="300" w:lineRule="exact"/>
              <w:jc w:val="left"/>
              <w:rPr>
                <w:b/>
                <w:color w:val="auto"/>
                <w:szCs w:val="21"/>
                <w:highlight w:val="none"/>
              </w:rPr>
            </w:pPr>
            <w:r>
              <w:rPr>
                <w:b/>
                <w:color w:val="auto"/>
                <w:szCs w:val="21"/>
                <w:highlight w:val="none"/>
              </w:rPr>
              <w:t>序号</w:t>
            </w:r>
          </w:p>
        </w:tc>
        <w:tc>
          <w:tcPr>
            <w:tcW w:w="3202" w:type="dxa"/>
            <w:vAlign w:val="center"/>
          </w:tcPr>
          <w:p>
            <w:pPr>
              <w:spacing w:line="300" w:lineRule="exact"/>
              <w:jc w:val="left"/>
              <w:rPr>
                <w:b/>
                <w:color w:val="auto"/>
                <w:szCs w:val="21"/>
                <w:highlight w:val="none"/>
              </w:rPr>
            </w:pPr>
            <w:r>
              <w:rPr>
                <w:b/>
                <w:color w:val="auto"/>
                <w:szCs w:val="21"/>
                <w:highlight w:val="none"/>
              </w:rPr>
              <w:t>功能区名称</w:t>
            </w:r>
          </w:p>
        </w:tc>
        <w:tc>
          <w:tcPr>
            <w:tcW w:w="5253" w:type="dxa"/>
            <w:vAlign w:val="center"/>
          </w:tcPr>
          <w:p>
            <w:pPr>
              <w:spacing w:line="300" w:lineRule="exact"/>
              <w:jc w:val="left"/>
              <w:rPr>
                <w:b/>
                <w:color w:val="auto"/>
                <w:szCs w:val="21"/>
                <w:highlight w:val="none"/>
              </w:rPr>
            </w:pPr>
            <w:r>
              <w:rPr>
                <w:b/>
                <w:color w:val="auto"/>
                <w:szCs w:val="21"/>
                <w:highlight w:val="none"/>
              </w:rPr>
              <w:t>评价区域所属的类别</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7" w:hRule="atLeast"/>
          <w:jc w:val="center"/>
        </w:trPr>
        <w:tc>
          <w:tcPr>
            <w:tcW w:w="662" w:type="dxa"/>
            <w:shd w:val="clear" w:color="auto" w:fill="auto"/>
            <w:vAlign w:val="center"/>
          </w:tcPr>
          <w:p>
            <w:pPr>
              <w:spacing w:line="300" w:lineRule="exact"/>
              <w:jc w:val="left"/>
              <w:rPr>
                <w:color w:val="auto"/>
                <w:szCs w:val="21"/>
                <w:highlight w:val="none"/>
              </w:rPr>
            </w:pPr>
            <w:r>
              <w:rPr>
                <w:color w:val="auto"/>
                <w:szCs w:val="21"/>
                <w:highlight w:val="none"/>
              </w:rPr>
              <w:t>1</w:t>
            </w:r>
          </w:p>
        </w:tc>
        <w:tc>
          <w:tcPr>
            <w:tcW w:w="3202" w:type="dxa"/>
            <w:vAlign w:val="center"/>
          </w:tcPr>
          <w:p>
            <w:pPr>
              <w:spacing w:line="300" w:lineRule="exact"/>
              <w:jc w:val="left"/>
              <w:rPr>
                <w:color w:val="auto"/>
                <w:szCs w:val="21"/>
                <w:highlight w:val="none"/>
              </w:rPr>
            </w:pPr>
            <w:r>
              <w:rPr>
                <w:color w:val="auto"/>
                <w:szCs w:val="21"/>
                <w:highlight w:val="none"/>
              </w:rPr>
              <w:t>地表水环境功能区</w:t>
            </w:r>
          </w:p>
        </w:tc>
        <w:tc>
          <w:tcPr>
            <w:tcW w:w="5253" w:type="dxa"/>
            <w:vAlign w:val="center"/>
          </w:tcPr>
          <w:p>
            <w:pPr>
              <w:spacing w:line="300" w:lineRule="exact"/>
              <w:jc w:val="both"/>
              <w:rPr>
                <w:color w:val="auto"/>
                <w:szCs w:val="21"/>
                <w:highlight w:val="none"/>
              </w:rPr>
            </w:pPr>
            <w:r>
              <w:rPr>
                <w:color w:val="auto"/>
                <w:szCs w:val="21"/>
                <w:highlight w:val="none"/>
              </w:rPr>
              <w:t>项目</w:t>
            </w:r>
            <w:r>
              <w:rPr>
                <w:rFonts w:hint="eastAsia"/>
                <w:color w:val="auto"/>
                <w:szCs w:val="21"/>
                <w:highlight w:val="none"/>
                <w:lang w:val="en-US" w:eastAsia="zh-CN"/>
              </w:rPr>
              <w:t>西</w:t>
            </w:r>
            <w:r>
              <w:rPr>
                <w:color w:val="auto"/>
                <w:szCs w:val="21"/>
                <w:highlight w:val="none"/>
              </w:rPr>
              <w:t>侧</w:t>
            </w:r>
            <w:r>
              <w:rPr>
                <w:rFonts w:hint="eastAsia"/>
                <w:color w:val="auto"/>
                <w:szCs w:val="21"/>
                <w:highlight w:val="none"/>
                <w:lang w:val="en-US" w:eastAsia="zh-CN"/>
              </w:rPr>
              <w:t>250</w:t>
            </w:r>
            <w:r>
              <w:rPr>
                <w:color w:val="auto"/>
                <w:szCs w:val="21"/>
                <w:highlight w:val="none"/>
              </w:rPr>
              <w:t>m为</w:t>
            </w:r>
            <w:r>
              <w:rPr>
                <w:rFonts w:hint="eastAsia"/>
                <w:color w:val="auto"/>
                <w:szCs w:val="21"/>
                <w:highlight w:val="none"/>
                <w:lang w:val="en-US" w:eastAsia="zh-CN"/>
              </w:rPr>
              <w:t>镰湾河</w:t>
            </w:r>
            <w:r>
              <w:rPr>
                <w:color w:val="auto"/>
                <w:szCs w:val="21"/>
                <w:highlight w:val="none"/>
              </w:rPr>
              <w:t>。</w:t>
            </w:r>
            <w:r>
              <w:rPr>
                <w:rFonts w:hint="eastAsia"/>
                <w:color w:val="auto"/>
                <w:szCs w:val="21"/>
                <w:highlight w:val="none"/>
                <w:lang w:val="en-US" w:eastAsia="zh-CN"/>
              </w:rPr>
              <w:t>根据《关于印发青岛西海岸新区水功能区划的通知》(2018年4月1日起施行)，</w:t>
            </w:r>
            <w:r>
              <w:rPr>
                <w:rFonts w:hint="eastAsia"/>
                <w:color w:val="auto"/>
                <w:szCs w:val="21"/>
                <w:highlight w:val="none"/>
                <w:lang w:val="en-US" w:eastAsia="zh-CN"/>
              </w:rPr>
              <w:t>镰湾河</w:t>
            </w:r>
            <w:r>
              <w:rPr>
                <w:rFonts w:hint="eastAsia"/>
                <w:color w:val="auto"/>
                <w:szCs w:val="21"/>
                <w:highlight w:val="none"/>
              </w:rPr>
              <w:t>执行《地表水环境质量标准》(GB3838-2002)表1中的V类标准</w:t>
            </w:r>
            <w:r>
              <w:rPr>
                <w:color w:val="auto"/>
                <w:szCs w:val="21"/>
                <w:highlight w:val="none"/>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7" w:hRule="atLeast"/>
          <w:jc w:val="center"/>
        </w:trPr>
        <w:tc>
          <w:tcPr>
            <w:tcW w:w="662" w:type="dxa"/>
            <w:shd w:val="clear" w:color="auto" w:fill="auto"/>
            <w:vAlign w:val="center"/>
          </w:tcPr>
          <w:p>
            <w:pPr>
              <w:spacing w:line="300" w:lineRule="exact"/>
              <w:jc w:val="left"/>
              <w:rPr>
                <w:color w:val="auto"/>
                <w:szCs w:val="21"/>
                <w:highlight w:val="none"/>
              </w:rPr>
            </w:pPr>
            <w:r>
              <w:rPr>
                <w:bCs/>
                <w:color w:val="auto"/>
                <w:szCs w:val="21"/>
                <w:highlight w:val="none"/>
              </w:rPr>
              <w:t>2</w:t>
            </w:r>
          </w:p>
        </w:tc>
        <w:tc>
          <w:tcPr>
            <w:tcW w:w="3202" w:type="dxa"/>
            <w:vAlign w:val="center"/>
          </w:tcPr>
          <w:p>
            <w:pPr>
              <w:spacing w:line="300" w:lineRule="exact"/>
              <w:jc w:val="left"/>
              <w:rPr>
                <w:bCs/>
                <w:color w:val="auto"/>
                <w:szCs w:val="21"/>
                <w:highlight w:val="none"/>
              </w:rPr>
            </w:pPr>
            <w:r>
              <w:rPr>
                <w:bCs/>
                <w:color w:val="auto"/>
                <w:szCs w:val="21"/>
                <w:highlight w:val="none"/>
              </w:rPr>
              <w:t>大气环境功能区划</w:t>
            </w:r>
          </w:p>
        </w:tc>
        <w:tc>
          <w:tcPr>
            <w:tcW w:w="5253" w:type="dxa"/>
            <w:vAlign w:val="center"/>
          </w:tcPr>
          <w:p>
            <w:pPr>
              <w:spacing w:line="300" w:lineRule="exact"/>
              <w:jc w:val="both"/>
              <w:rPr>
                <w:bCs/>
                <w:color w:val="auto"/>
                <w:szCs w:val="21"/>
                <w:highlight w:val="none"/>
              </w:rPr>
            </w:pPr>
            <w:r>
              <w:rPr>
                <w:bCs/>
                <w:color w:val="auto"/>
                <w:szCs w:val="21"/>
                <w:highlight w:val="none"/>
              </w:rPr>
              <w:t>根据《青岛市环境空气质量功能区划分规定》(青政发[2014]14号)，项目所在区域环境空气属于二类功能区。</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7" w:hRule="atLeast"/>
          <w:jc w:val="center"/>
        </w:trPr>
        <w:tc>
          <w:tcPr>
            <w:tcW w:w="662" w:type="dxa"/>
            <w:shd w:val="clear" w:color="auto" w:fill="auto"/>
            <w:vAlign w:val="center"/>
          </w:tcPr>
          <w:p>
            <w:pPr>
              <w:spacing w:line="300" w:lineRule="exact"/>
              <w:jc w:val="left"/>
              <w:rPr>
                <w:bCs/>
                <w:color w:val="auto"/>
                <w:szCs w:val="21"/>
                <w:highlight w:val="none"/>
              </w:rPr>
            </w:pPr>
            <w:r>
              <w:rPr>
                <w:bCs/>
                <w:color w:val="auto"/>
                <w:szCs w:val="21"/>
                <w:highlight w:val="none"/>
              </w:rPr>
              <w:t>3</w:t>
            </w:r>
          </w:p>
        </w:tc>
        <w:tc>
          <w:tcPr>
            <w:tcW w:w="3202" w:type="dxa"/>
            <w:vAlign w:val="center"/>
          </w:tcPr>
          <w:p>
            <w:pPr>
              <w:spacing w:line="300" w:lineRule="exact"/>
              <w:jc w:val="left"/>
              <w:rPr>
                <w:bCs/>
                <w:color w:val="auto"/>
                <w:szCs w:val="21"/>
                <w:highlight w:val="none"/>
              </w:rPr>
            </w:pPr>
            <w:r>
              <w:rPr>
                <w:bCs/>
                <w:color w:val="auto"/>
                <w:szCs w:val="21"/>
                <w:highlight w:val="none"/>
              </w:rPr>
              <w:t>声环境功能区划</w:t>
            </w:r>
          </w:p>
        </w:tc>
        <w:tc>
          <w:tcPr>
            <w:tcW w:w="5253" w:type="dxa"/>
            <w:vAlign w:val="center"/>
          </w:tcPr>
          <w:p>
            <w:pPr>
              <w:spacing w:line="300" w:lineRule="exact"/>
              <w:jc w:val="both"/>
              <w:rPr>
                <w:bCs/>
                <w:color w:val="auto"/>
                <w:szCs w:val="21"/>
                <w:highlight w:val="none"/>
              </w:rPr>
            </w:pPr>
            <w:r>
              <w:rPr>
                <w:bCs/>
                <w:color w:val="auto"/>
                <w:szCs w:val="21"/>
                <w:highlight w:val="none"/>
              </w:rPr>
              <w:t>根据</w:t>
            </w:r>
            <w:r>
              <w:rPr>
                <w:rFonts w:hint="eastAsia"/>
                <w:bCs/>
                <w:color w:val="auto"/>
                <w:szCs w:val="21"/>
                <w:highlight w:val="none"/>
              </w:rPr>
              <w:t>青岛市环境保护局《关于印发青岛市市区声环境质量标准适用区划的通知》(青环发</w:t>
            </w:r>
            <w:r>
              <w:rPr>
                <w:rFonts w:hint="eastAsia"/>
                <w:bCs/>
                <w:color w:val="auto"/>
                <w:szCs w:val="21"/>
                <w:highlight w:val="none"/>
                <w:lang w:val="en-US" w:eastAsia="zh-CN"/>
              </w:rPr>
              <w:t>[</w:t>
            </w:r>
            <w:r>
              <w:rPr>
                <w:rFonts w:hint="eastAsia"/>
                <w:bCs/>
                <w:color w:val="auto"/>
                <w:szCs w:val="21"/>
                <w:highlight w:val="none"/>
              </w:rPr>
              <w:t>2016</w:t>
            </w:r>
            <w:r>
              <w:rPr>
                <w:rFonts w:hint="eastAsia"/>
                <w:bCs/>
                <w:color w:val="auto"/>
                <w:szCs w:val="21"/>
                <w:highlight w:val="none"/>
                <w:lang w:val="en-US" w:eastAsia="zh-CN"/>
              </w:rPr>
              <w:t>]</w:t>
            </w:r>
            <w:r>
              <w:rPr>
                <w:rFonts w:hint="eastAsia"/>
                <w:bCs/>
                <w:color w:val="auto"/>
                <w:szCs w:val="21"/>
                <w:highlight w:val="none"/>
              </w:rPr>
              <w:t>112号)</w:t>
            </w:r>
            <w:r>
              <w:rPr>
                <w:bCs/>
                <w:color w:val="auto"/>
                <w:szCs w:val="21"/>
                <w:highlight w:val="none"/>
              </w:rPr>
              <w:t>及项目环评批复，项目所在区域为声环境质量标准3类适用区。</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648" w:hRule="exact"/>
          <w:jc w:val="center"/>
        </w:trPr>
        <w:tc>
          <w:tcPr>
            <w:tcW w:w="662" w:type="dxa"/>
            <w:vAlign w:val="center"/>
          </w:tcPr>
          <w:p>
            <w:pPr>
              <w:spacing w:line="300" w:lineRule="exact"/>
              <w:jc w:val="left"/>
              <w:rPr>
                <w:color w:val="auto"/>
                <w:szCs w:val="21"/>
                <w:highlight w:val="none"/>
              </w:rPr>
            </w:pPr>
            <w:r>
              <w:rPr>
                <w:color w:val="auto"/>
                <w:szCs w:val="21"/>
                <w:highlight w:val="none"/>
              </w:rPr>
              <w:t>4</w:t>
            </w:r>
          </w:p>
        </w:tc>
        <w:tc>
          <w:tcPr>
            <w:tcW w:w="3202" w:type="dxa"/>
            <w:vAlign w:val="center"/>
          </w:tcPr>
          <w:p>
            <w:pPr>
              <w:spacing w:line="300" w:lineRule="exact"/>
              <w:jc w:val="left"/>
              <w:rPr>
                <w:color w:val="auto"/>
                <w:szCs w:val="21"/>
                <w:highlight w:val="none"/>
              </w:rPr>
            </w:pPr>
            <w:r>
              <w:rPr>
                <w:color w:val="auto"/>
                <w:szCs w:val="21"/>
                <w:highlight w:val="none"/>
              </w:rPr>
              <w:t>地下水功能区划</w:t>
            </w:r>
          </w:p>
        </w:tc>
        <w:tc>
          <w:tcPr>
            <w:tcW w:w="5253" w:type="dxa"/>
            <w:vAlign w:val="center"/>
          </w:tcPr>
          <w:p>
            <w:pPr>
              <w:spacing w:line="300" w:lineRule="exact"/>
              <w:jc w:val="both"/>
              <w:rPr>
                <w:color w:val="auto"/>
                <w:szCs w:val="21"/>
                <w:highlight w:val="none"/>
              </w:rPr>
            </w:pPr>
            <w:r>
              <w:rPr>
                <w:color w:val="auto"/>
                <w:szCs w:val="21"/>
                <w:highlight w:val="none"/>
              </w:rPr>
              <w:t>未列入，根据使用功能参照执行《地下水质量标准》(GB/T14848-2017)</w:t>
            </w:r>
            <w:r>
              <w:rPr>
                <w:color w:val="auto"/>
                <w:szCs w:val="21"/>
                <w:highlight w:val="none"/>
              </w:rPr>
              <w:fldChar w:fldCharType="begin"/>
            </w:r>
            <w:r>
              <w:rPr>
                <w:color w:val="auto"/>
                <w:szCs w:val="21"/>
                <w:highlight w:val="none"/>
              </w:rPr>
              <w:instrText xml:space="preserve"> = 4 \* ROMAN \* MERGEFORMAT </w:instrText>
            </w:r>
            <w:r>
              <w:rPr>
                <w:color w:val="auto"/>
                <w:szCs w:val="21"/>
                <w:highlight w:val="none"/>
              </w:rPr>
              <w:fldChar w:fldCharType="separate"/>
            </w:r>
            <w:r>
              <w:rPr>
                <w:color w:val="auto"/>
                <w:highlight w:val="none"/>
              </w:rPr>
              <w:t>IV</w:t>
            </w:r>
            <w:r>
              <w:rPr>
                <w:color w:val="auto"/>
                <w:szCs w:val="21"/>
                <w:highlight w:val="none"/>
              </w:rPr>
              <w:fldChar w:fldCharType="end"/>
            </w:r>
            <w:r>
              <w:rPr>
                <w:color w:val="auto"/>
                <w:szCs w:val="21"/>
                <w:highlight w:val="none"/>
              </w:rPr>
              <w:t>类</w:t>
            </w:r>
            <w:r>
              <w:rPr>
                <w:color w:val="auto"/>
                <w:szCs w:val="21"/>
                <w:highlight w:val="none"/>
              </w:rPr>
              <w:t>标准。</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983" w:hRule="exact"/>
          <w:jc w:val="center"/>
        </w:trPr>
        <w:tc>
          <w:tcPr>
            <w:tcW w:w="662" w:type="dxa"/>
            <w:vAlign w:val="center"/>
          </w:tcPr>
          <w:p>
            <w:pPr>
              <w:jc w:val="left"/>
              <w:rPr>
                <w:color w:val="auto"/>
                <w:szCs w:val="21"/>
                <w:highlight w:val="none"/>
              </w:rPr>
            </w:pPr>
            <w:r>
              <w:rPr>
                <w:color w:val="auto"/>
                <w:szCs w:val="21"/>
                <w:highlight w:val="none"/>
              </w:rPr>
              <w:t>5</w:t>
            </w:r>
          </w:p>
        </w:tc>
        <w:tc>
          <w:tcPr>
            <w:tcW w:w="3202" w:type="dxa"/>
            <w:vAlign w:val="center"/>
          </w:tcPr>
          <w:p>
            <w:pPr>
              <w:jc w:val="left"/>
              <w:rPr>
                <w:color w:val="auto"/>
                <w:szCs w:val="21"/>
                <w:highlight w:val="none"/>
              </w:rPr>
            </w:pPr>
            <w:r>
              <w:rPr>
                <w:color w:val="auto"/>
                <w:szCs w:val="21"/>
                <w:highlight w:val="none"/>
              </w:rPr>
              <w:t>是否在“生活饮用水源保护区”内</w:t>
            </w:r>
          </w:p>
        </w:tc>
        <w:tc>
          <w:tcPr>
            <w:tcW w:w="5253" w:type="dxa"/>
            <w:vAlign w:val="center"/>
          </w:tcPr>
          <w:p>
            <w:pPr>
              <w:jc w:val="left"/>
              <w:rPr>
                <w:color w:val="auto"/>
                <w:szCs w:val="21"/>
                <w:highlight w:val="none"/>
              </w:rPr>
            </w:pPr>
            <w:r>
              <w:rPr>
                <w:color w:val="auto"/>
                <w:szCs w:val="21"/>
                <w:highlight w:val="none"/>
              </w:rPr>
              <w:t>根据《黄岛区饮用水水源保护区划》(青西新管发[2016]3号)，项目不在地表水源二级保护区和准保护区范围之内。</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exact"/>
          <w:jc w:val="center"/>
        </w:trPr>
        <w:tc>
          <w:tcPr>
            <w:tcW w:w="662" w:type="dxa"/>
            <w:vAlign w:val="center"/>
          </w:tcPr>
          <w:p>
            <w:pPr>
              <w:jc w:val="left"/>
              <w:rPr>
                <w:color w:val="auto"/>
                <w:szCs w:val="21"/>
                <w:highlight w:val="none"/>
              </w:rPr>
            </w:pPr>
            <w:r>
              <w:rPr>
                <w:color w:val="auto"/>
                <w:szCs w:val="21"/>
                <w:highlight w:val="none"/>
              </w:rPr>
              <w:t>6</w:t>
            </w:r>
          </w:p>
        </w:tc>
        <w:tc>
          <w:tcPr>
            <w:tcW w:w="3202" w:type="dxa"/>
            <w:vAlign w:val="center"/>
          </w:tcPr>
          <w:p>
            <w:pPr>
              <w:jc w:val="left"/>
              <w:rPr>
                <w:color w:val="auto"/>
                <w:szCs w:val="21"/>
                <w:highlight w:val="none"/>
              </w:rPr>
            </w:pPr>
            <w:r>
              <w:rPr>
                <w:color w:val="auto"/>
                <w:szCs w:val="21"/>
                <w:highlight w:val="none"/>
              </w:rPr>
              <w:t>基本农田保护区</w:t>
            </w:r>
          </w:p>
        </w:tc>
        <w:tc>
          <w:tcPr>
            <w:tcW w:w="5253" w:type="dxa"/>
            <w:vAlign w:val="center"/>
          </w:tcPr>
          <w:p>
            <w:pPr>
              <w:jc w:val="left"/>
              <w:rPr>
                <w:color w:val="auto"/>
                <w:szCs w:val="21"/>
                <w:highlight w:val="none"/>
              </w:rPr>
            </w:pPr>
            <w:r>
              <w:rPr>
                <w:color w:val="auto"/>
                <w:szCs w:val="21"/>
                <w:highlight w:val="none"/>
              </w:rPr>
              <w:t>否</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exact"/>
          <w:jc w:val="center"/>
        </w:trPr>
        <w:tc>
          <w:tcPr>
            <w:tcW w:w="662" w:type="dxa"/>
            <w:vAlign w:val="center"/>
          </w:tcPr>
          <w:p>
            <w:pPr>
              <w:jc w:val="left"/>
              <w:rPr>
                <w:color w:val="auto"/>
                <w:szCs w:val="21"/>
                <w:highlight w:val="none"/>
              </w:rPr>
            </w:pPr>
            <w:r>
              <w:rPr>
                <w:color w:val="auto"/>
                <w:szCs w:val="21"/>
                <w:highlight w:val="none"/>
              </w:rPr>
              <w:t>7</w:t>
            </w:r>
          </w:p>
        </w:tc>
        <w:tc>
          <w:tcPr>
            <w:tcW w:w="3202" w:type="dxa"/>
            <w:vAlign w:val="center"/>
          </w:tcPr>
          <w:p>
            <w:pPr>
              <w:jc w:val="left"/>
              <w:rPr>
                <w:color w:val="auto"/>
                <w:szCs w:val="21"/>
                <w:highlight w:val="none"/>
              </w:rPr>
            </w:pPr>
            <w:r>
              <w:rPr>
                <w:color w:val="auto"/>
                <w:szCs w:val="21"/>
                <w:highlight w:val="none"/>
              </w:rPr>
              <w:t>自然保护区、风景名胜保护区</w:t>
            </w:r>
          </w:p>
        </w:tc>
        <w:tc>
          <w:tcPr>
            <w:tcW w:w="5253" w:type="dxa"/>
            <w:vAlign w:val="center"/>
          </w:tcPr>
          <w:p>
            <w:pPr>
              <w:jc w:val="left"/>
              <w:rPr>
                <w:color w:val="auto"/>
                <w:szCs w:val="21"/>
                <w:highlight w:val="none"/>
              </w:rPr>
            </w:pPr>
            <w:r>
              <w:rPr>
                <w:color w:val="auto"/>
                <w:szCs w:val="21"/>
                <w:highlight w:val="none"/>
              </w:rPr>
              <w:t>否</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738" w:hRule="exact"/>
          <w:jc w:val="center"/>
        </w:trPr>
        <w:tc>
          <w:tcPr>
            <w:tcW w:w="662" w:type="dxa"/>
            <w:vAlign w:val="center"/>
          </w:tcPr>
          <w:p>
            <w:pPr>
              <w:jc w:val="left"/>
              <w:rPr>
                <w:color w:val="auto"/>
                <w:szCs w:val="21"/>
                <w:highlight w:val="none"/>
              </w:rPr>
            </w:pPr>
            <w:r>
              <w:rPr>
                <w:color w:val="auto"/>
                <w:szCs w:val="21"/>
                <w:highlight w:val="none"/>
              </w:rPr>
              <w:t>8</w:t>
            </w:r>
          </w:p>
        </w:tc>
        <w:tc>
          <w:tcPr>
            <w:tcW w:w="3202" w:type="dxa"/>
            <w:vAlign w:val="center"/>
          </w:tcPr>
          <w:p>
            <w:pPr>
              <w:jc w:val="left"/>
              <w:rPr>
                <w:color w:val="auto"/>
                <w:szCs w:val="21"/>
                <w:highlight w:val="none"/>
              </w:rPr>
            </w:pPr>
            <w:r>
              <w:rPr>
                <w:color w:val="auto"/>
                <w:szCs w:val="21"/>
                <w:highlight w:val="none"/>
              </w:rPr>
              <w:t>生态红线保护区</w:t>
            </w:r>
          </w:p>
        </w:tc>
        <w:tc>
          <w:tcPr>
            <w:tcW w:w="5253" w:type="dxa"/>
            <w:vAlign w:val="center"/>
          </w:tcPr>
          <w:p>
            <w:pPr>
              <w:jc w:val="left"/>
              <w:rPr>
                <w:color w:val="auto"/>
                <w:szCs w:val="21"/>
                <w:highlight w:val="none"/>
              </w:rPr>
            </w:pPr>
            <w:r>
              <w:rPr>
                <w:color w:val="auto"/>
                <w:szCs w:val="21"/>
                <w:highlight w:val="none"/>
              </w:rPr>
              <w:t>根据《山东省生态保护红线规划(2016-2020年)》，项</w:t>
            </w:r>
          </w:p>
          <w:p>
            <w:pPr>
              <w:jc w:val="left"/>
              <w:rPr>
                <w:color w:val="auto"/>
                <w:szCs w:val="21"/>
                <w:highlight w:val="none"/>
              </w:rPr>
            </w:pPr>
            <w:r>
              <w:rPr>
                <w:color w:val="auto"/>
                <w:szCs w:val="21"/>
                <w:highlight w:val="none"/>
              </w:rPr>
              <w:t>目不涉及生态红线区。</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018" w:hRule="exact"/>
          <w:jc w:val="center"/>
        </w:trPr>
        <w:tc>
          <w:tcPr>
            <w:tcW w:w="662" w:type="dxa"/>
            <w:vAlign w:val="center"/>
          </w:tcPr>
          <w:p>
            <w:pPr>
              <w:jc w:val="left"/>
              <w:rPr>
                <w:rFonts w:ascii="Times New Roman" w:hAnsi="Times New Roman" w:eastAsia="宋体" w:cs="Times New Roman"/>
                <w:color w:val="auto"/>
                <w:kern w:val="2"/>
                <w:sz w:val="21"/>
                <w:szCs w:val="21"/>
                <w:highlight w:val="none"/>
                <w:lang w:val="en-US" w:eastAsia="zh-CN" w:bidi="ar-SA"/>
              </w:rPr>
            </w:pPr>
            <w:r>
              <w:rPr>
                <w:color w:val="auto"/>
                <w:szCs w:val="21"/>
                <w:highlight w:val="none"/>
              </w:rPr>
              <w:t>9</w:t>
            </w:r>
          </w:p>
        </w:tc>
        <w:tc>
          <w:tcPr>
            <w:tcW w:w="3202" w:type="dxa"/>
            <w:vAlign w:val="center"/>
          </w:tcPr>
          <w:p>
            <w:pPr>
              <w:jc w:val="left"/>
              <w:rPr>
                <w:color w:val="auto"/>
                <w:szCs w:val="21"/>
                <w:highlight w:val="none"/>
              </w:rPr>
            </w:pPr>
            <w:r>
              <w:rPr>
                <w:rFonts w:ascii="Times New Roman" w:hAnsi="Times New Roman" w:cs="Times New Roman"/>
                <w:color w:val="auto"/>
                <w:sz w:val="21"/>
                <w:szCs w:val="21"/>
                <w:highlight w:val="none"/>
              </w:rPr>
              <w:t>是否胶州湾保护范围内</w:t>
            </w:r>
          </w:p>
        </w:tc>
        <w:tc>
          <w:tcPr>
            <w:tcW w:w="5253" w:type="dxa"/>
            <w:vAlign w:val="center"/>
          </w:tcPr>
          <w:p>
            <w:pPr>
              <w:widowControl w:val="0"/>
              <w:spacing w:line="300" w:lineRule="exact"/>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是，胶州湾沿岸陆域保护范围为陆域控制线</w:t>
            </w:r>
            <w:r>
              <w:rPr>
                <w:rFonts w:hint="eastAsia" w:cs="Times New Roman"/>
                <w:color w:val="auto"/>
                <w:sz w:val="21"/>
                <w:szCs w:val="21"/>
                <w:highlight w:val="none"/>
                <w:lang w:eastAsia="zh-CN"/>
              </w:rPr>
              <w:t>(</w:t>
            </w:r>
            <w:r>
              <w:rPr>
                <w:rFonts w:ascii="Times New Roman" w:hAnsi="Times New Roman" w:cs="Times New Roman"/>
                <w:color w:val="auto"/>
                <w:sz w:val="21"/>
                <w:szCs w:val="21"/>
                <w:highlight w:val="none"/>
              </w:rPr>
              <w:t>沿团岛路、团岛一路、四川路、……红柳河路、千山北路、淮河东路、江山路、嘉陵江路、漓江东路，西至凤凰岛脚子石的连线。</w:t>
            </w:r>
            <w:r>
              <w:rPr>
                <w:rFonts w:hint="eastAsia" w:cs="Times New Roman"/>
                <w:color w:val="auto"/>
                <w:sz w:val="21"/>
                <w:szCs w:val="21"/>
                <w:highlight w:val="none"/>
                <w:lang w:eastAsia="zh-CN"/>
              </w:rPr>
              <w:t>)</w:t>
            </w:r>
            <w:r>
              <w:rPr>
                <w:rFonts w:ascii="Times New Roman" w:hAnsi="Times New Roman" w:cs="Times New Roman"/>
                <w:color w:val="auto"/>
                <w:sz w:val="21"/>
                <w:szCs w:val="21"/>
                <w:highlight w:val="none"/>
              </w:rPr>
              <w:t>至胶州湾保护控制线的围合区域。</w:t>
            </w:r>
          </w:p>
          <w:p>
            <w:pPr>
              <w:widowControl w:val="0"/>
              <w:spacing w:line="300" w:lineRule="exact"/>
              <w:jc w:val="both"/>
              <w:rPr>
                <w:color w:val="auto"/>
                <w:szCs w:val="21"/>
                <w:highlight w:val="none"/>
              </w:rPr>
            </w:pPr>
            <w:r>
              <w:rPr>
                <w:rFonts w:ascii="Times New Roman" w:hAnsi="Times New Roman" w:cs="Times New Roman"/>
                <w:color w:val="auto"/>
                <w:sz w:val="21"/>
                <w:szCs w:val="21"/>
                <w:highlight w:val="none"/>
              </w:rPr>
              <w:t>项目位于</w:t>
            </w:r>
            <w:r>
              <w:rPr>
                <w:rFonts w:hint="eastAsia" w:ascii="Times New Roman" w:hAnsi="Times New Roman" w:cs="Times New Roman"/>
                <w:color w:val="auto"/>
                <w:sz w:val="21"/>
                <w:szCs w:val="21"/>
                <w:highlight w:val="none"/>
              </w:rPr>
              <w:t>青岛西海岸新区黄河东路139号青岛经济技术开发区电镀工业园内</w:t>
            </w:r>
            <w:r>
              <w:rPr>
                <w:rFonts w:ascii="Times New Roman" w:hAnsi="Times New Roman" w:cs="Times New Roman"/>
                <w:color w:val="auto"/>
                <w:sz w:val="21"/>
                <w:szCs w:val="21"/>
                <w:highlight w:val="none"/>
              </w:rPr>
              <w:t>，位于胶州湾沿岸陆域保护范围内</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55" w:hRule="exact"/>
          <w:jc w:val="center"/>
        </w:trPr>
        <w:tc>
          <w:tcPr>
            <w:tcW w:w="662" w:type="dxa"/>
            <w:vAlign w:val="center"/>
          </w:tcPr>
          <w:p>
            <w:pPr>
              <w:jc w:val="left"/>
              <w:rPr>
                <w:rFonts w:ascii="Times New Roman" w:hAnsi="Times New Roman" w:eastAsia="宋体" w:cs="Times New Roman"/>
                <w:color w:val="auto"/>
                <w:kern w:val="2"/>
                <w:sz w:val="21"/>
                <w:szCs w:val="21"/>
                <w:highlight w:val="none"/>
                <w:lang w:val="en-US" w:eastAsia="zh-CN" w:bidi="ar-SA"/>
              </w:rPr>
            </w:pPr>
            <w:r>
              <w:rPr>
                <w:color w:val="auto"/>
                <w:szCs w:val="21"/>
                <w:highlight w:val="none"/>
              </w:rPr>
              <w:t>10</w:t>
            </w:r>
          </w:p>
        </w:tc>
        <w:tc>
          <w:tcPr>
            <w:tcW w:w="3202" w:type="dxa"/>
            <w:vAlign w:val="center"/>
          </w:tcPr>
          <w:p>
            <w:pPr>
              <w:jc w:val="left"/>
              <w:rPr>
                <w:color w:val="auto"/>
                <w:szCs w:val="21"/>
                <w:highlight w:val="none"/>
              </w:rPr>
            </w:pPr>
            <w:r>
              <w:rPr>
                <w:color w:val="auto"/>
                <w:szCs w:val="21"/>
                <w:highlight w:val="none"/>
              </w:rPr>
              <w:t>历史文化保护区、文物保护单位</w:t>
            </w:r>
          </w:p>
        </w:tc>
        <w:tc>
          <w:tcPr>
            <w:tcW w:w="5253" w:type="dxa"/>
            <w:vAlign w:val="center"/>
          </w:tcPr>
          <w:p>
            <w:pPr>
              <w:jc w:val="left"/>
              <w:rPr>
                <w:color w:val="auto"/>
                <w:szCs w:val="21"/>
                <w:highlight w:val="none"/>
              </w:rPr>
            </w:pPr>
            <w:r>
              <w:rPr>
                <w:color w:val="auto"/>
                <w:szCs w:val="21"/>
                <w:highlight w:val="none"/>
              </w:rPr>
              <w:t>否</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703" w:hRule="exact"/>
          <w:jc w:val="center"/>
        </w:trPr>
        <w:tc>
          <w:tcPr>
            <w:tcW w:w="662" w:type="dxa"/>
            <w:vAlign w:val="center"/>
          </w:tcPr>
          <w:p>
            <w:pPr>
              <w:jc w:val="left"/>
              <w:rPr>
                <w:rFonts w:hint="default" w:eastAsia="宋体"/>
                <w:color w:val="auto"/>
                <w:szCs w:val="21"/>
                <w:highlight w:val="none"/>
                <w:lang w:val="en-US" w:eastAsia="zh-CN"/>
              </w:rPr>
            </w:pPr>
            <w:r>
              <w:rPr>
                <w:rFonts w:hint="eastAsia"/>
                <w:color w:val="auto"/>
                <w:szCs w:val="21"/>
                <w:highlight w:val="none"/>
                <w:lang w:val="en-US" w:eastAsia="zh-CN"/>
              </w:rPr>
              <w:t>11</w:t>
            </w:r>
          </w:p>
        </w:tc>
        <w:tc>
          <w:tcPr>
            <w:tcW w:w="3202" w:type="dxa"/>
            <w:vAlign w:val="center"/>
          </w:tcPr>
          <w:p>
            <w:pPr>
              <w:jc w:val="left"/>
              <w:rPr>
                <w:color w:val="auto"/>
                <w:szCs w:val="21"/>
                <w:highlight w:val="none"/>
              </w:rPr>
            </w:pPr>
            <w:r>
              <w:rPr>
                <w:color w:val="auto"/>
                <w:szCs w:val="21"/>
                <w:highlight w:val="none"/>
              </w:rPr>
              <w:t>是否在城市污水处理厂的集水范</w:t>
            </w:r>
          </w:p>
          <w:p>
            <w:pPr>
              <w:jc w:val="left"/>
              <w:rPr>
                <w:color w:val="auto"/>
                <w:szCs w:val="21"/>
                <w:highlight w:val="none"/>
              </w:rPr>
            </w:pPr>
            <w:r>
              <w:rPr>
                <w:color w:val="auto"/>
                <w:szCs w:val="21"/>
                <w:highlight w:val="none"/>
              </w:rPr>
              <w:t>围内</w:t>
            </w:r>
          </w:p>
        </w:tc>
        <w:tc>
          <w:tcPr>
            <w:tcW w:w="5253" w:type="dxa"/>
            <w:vAlign w:val="center"/>
          </w:tcPr>
          <w:p>
            <w:pPr>
              <w:jc w:val="left"/>
              <w:rPr>
                <w:color w:val="auto"/>
                <w:szCs w:val="21"/>
                <w:highlight w:val="none"/>
              </w:rPr>
            </w:pPr>
            <w:r>
              <w:rPr>
                <w:color w:val="auto"/>
                <w:szCs w:val="21"/>
                <w:highlight w:val="none"/>
              </w:rPr>
              <w:t>是，</w:t>
            </w:r>
            <w:r>
              <w:rPr>
                <w:rFonts w:hint="eastAsia"/>
                <w:color w:val="auto"/>
                <w:szCs w:val="21"/>
                <w:highlight w:val="none"/>
              </w:rPr>
              <w:t>镰湾河水质净化厂</w:t>
            </w:r>
            <w:r>
              <w:rPr>
                <w:color w:val="auto"/>
                <w:szCs w:val="21"/>
                <w:highlight w:val="none"/>
              </w:rPr>
              <w:t>。</w:t>
            </w:r>
          </w:p>
        </w:tc>
      </w:tr>
    </w:tbl>
    <w:p>
      <w:pPr>
        <w:adjustRightInd w:val="0"/>
        <w:snapToGrid w:val="0"/>
        <w:spacing w:line="360" w:lineRule="auto"/>
        <w:rPr>
          <w:rFonts w:ascii="黑体" w:hAnsi="黑体" w:eastAsia="黑体"/>
          <w:color w:val="auto"/>
          <w:sz w:val="24"/>
          <w:highlight w:val="none"/>
        </w:rPr>
      </w:pPr>
      <w:r>
        <w:rPr>
          <w:color w:val="auto"/>
          <w:sz w:val="24"/>
          <w:highlight w:val="none"/>
        </w:rPr>
        <w:t>1.3.</w:t>
      </w:r>
      <w:r>
        <w:rPr>
          <w:rFonts w:hint="eastAsia"/>
          <w:color w:val="auto"/>
          <w:sz w:val="24"/>
          <w:highlight w:val="none"/>
          <w:lang w:val="en-US" w:eastAsia="zh-CN"/>
        </w:rPr>
        <w:t>2</w:t>
      </w:r>
      <w:r>
        <w:rPr>
          <w:color w:val="auto"/>
          <w:sz w:val="24"/>
          <w:highlight w:val="none"/>
        </w:rPr>
        <w:t xml:space="preserve"> </w:t>
      </w:r>
      <w:r>
        <w:rPr>
          <w:rFonts w:hint="eastAsia"/>
          <w:color w:val="auto"/>
          <w:sz w:val="24"/>
          <w:highlight w:val="none"/>
          <w:lang w:eastAsia="zh-CN"/>
        </w:rPr>
        <w:t>环境</w:t>
      </w:r>
      <w:r>
        <w:rPr>
          <w:rFonts w:ascii="黑体" w:hAnsi="黑体" w:eastAsia="黑体"/>
          <w:color w:val="auto"/>
          <w:sz w:val="24"/>
          <w:highlight w:val="none"/>
        </w:rPr>
        <w:t>影响</w:t>
      </w:r>
      <w:r>
        <w:rPr>
          <w:rFonts w:hint="eastAsia" w:ascii="黑体" w:hAnsi="黑体" w:eastAsia="黑体"/>
          <w:color w:val="auto"/>
          <w:sz w:val="24"/>
          <w:highlight w:val="none"/>
          <w:lang w:eastAsia="zh-CN"/>
        </w:rPr>
        <w:t>评价因子</w:t>
      </w:r>
      <w:r>
        <w:rPr>
          <w:rFonts w:ascii="黑体" w:hAnsi="黑体" w:eastAsia="黑体"/>
          <w:color w:val="auto"/>
          <w:sz w:val="24"/>
          <w:highlight w:val="none"/>
        </w:rPr>
        <w:t>识别</w:t>
      </w:r>
    </w:p>
    <w:p>
      <w:pPr>
        <w:adjustRightInd w:val="0"/>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根据本项目的工程特点</w:t>
      </w:r>
      <w:r>
        <w:rPr>
          <w:rFonts w:hint="eastAsia" w:ascii="宋体" w:hAnsi="宋体"/>
          <w:color w:val="auto"/>
          <w:sz w:val="24"/>
          <w:highlight w:val="none"/>
        </w:rPr>
        <w:t>，</w:t>
      </w:r>
      <w:r>
        <w:rPr>
          <w:rFonts w:ascii="宋体" w:hAnsi="宋体"/>
          <w:color w:val="auto"/>
          <w:sz w:val="24"/>
          <w:highlight w:val="none"/>
        </w:rPr>
        <w:t>污染物征主要表现在生产过程中水污染物和大气污染物，其次是固体废物和设备噪声污染。本项目污水的特征污染物是</w:t>
      </w:r>
      <w:r>
        <w:rPr>
          <w:color w:val="auto"/>
          <w:sz w:val="24"/>
          <w:highlight w:val="none"/>
        </w:rPr>
        <w:t>COD</w:t>
      </w:r>
      <w:r>
        <w:rPr>
          <w:rFonts w:ascii="宋体" w:hAnsi="宋体"/>
          <w:color w:val="auto"/>
          <w:sz w:val="24"/>
          <w:highlight w:val="none"/>
        </w:rPr>
        <w:t>、氨氮</w:t>
      </w:r>
      <w:r>
        <w:rPr>
          <w:rFonts w:hint="eastAsia" w:ascii="宋体" w:hAnsi="宋体"/>
          <w:color w:val="auto"/>
          <w:sz w:val="24"/>
          <w:highlight w:val="none"/>
        </w:rPr>
        <w:t>、悬浮物、锌、铬</w:t>
      </w:r>
      <w:r>
        <w:rPr>
          <w:rFonts w:hint="eastAsia" w:ascii="宋体" w:hAnsi="宋体"/>
          <w:color w:val="auto"/>
          <w:sz w:val="24"/>
          <w:highlight w:val="none"/>
          <w:lang w:eastAsia="zh-CN"/>
        </w:rPr>
        <w:t>、镍、银、锡</w:t>
      </w:r>
      <w:r>
        <w:rPr>
          <w:rFonts w:ascii="宋体" w:hAnsi="宋体"/>
          <w:color w:val="auto"/>
          <w:sz w:val="24"/>
          <w:highlight w:val="none"/>
        </w:rPr>
        <w:t>等，大气的特征污染物主要是氯化氢</w:t>
      </w:r>
      <w:r>
        <w:rPr>
          <w:rFonts w:hint="eastAsia" w:ascii="Times New Roman" w:hAnsi="Times New Roman" w:cs="Times New Roman"/>
          <w:color w:val="auto"/>
          <w:sz w:val="24"/>
          <w:highlight w:val="none"/>
          <w:lang w:eastAsia="zh-CN"/>
        </w:rPr>
        <w:t>、NOx、</w:t>
      </w:r>
      <w:r>
        <w:rPr>
          <w:rFonts w:hint="eastAsia" w:ascii="宋体" w:hAnsi="宋体"/>
          <w:color w:val="auto"/>
          <w:sz w:val="24"/>
          <w:highlight w:val="none"/>
          <w:lang w:eastAsia="zh-CN"/>
        </w:rPr>
        <w:t>硫酸雾、铬酸雾、氨、</w:t>
      </w:r>
      <w:r>
        <w:rPr>
          <w:rFonts w:hint="eastAsia" w:ascii="Times New Roman" w:hAnsi="Times New Roman" w:cs="Times New Roman"/>
          <w:color w:val="auto"/>
          <w:sz w:val="24"/>
          <w:szCs w:val="24"/>
          <w:highlight w:val="none"/>
          <w:lang w:eastAsia="zh-CN"/>
        </w:rPr>
        <w:t>颗粒物</w:t>
      </w:r>
      <w:r>
        <w:rPr>
          <w:rFonts w:hint="default"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SO</w:t>
      </w:r>
      <w:r>
        <w:rPr>
          <w:rFonts w:hint="eastAsia" w:ascii="Times New Roman" w:hAnsi="Times New Roman" w:cs="Times New Roman"/>
          <w:color w:val="auto"/>
          <w:sz w:val="24"/>
          <w:szCs w:val="24"/>
          <w:highlight w:val="none"/>
          <w:vertAlign w:val="subscript"/>
          <w:lang w:val="en-US" w:eastAsia="zh-CN"/>
        </w:rPr>
        <w:t>2</w:t>
      </w:r>
      <w:r>
        <w:rPr>
          <w:rFonts w:ascii="宋体" w:hAnsi="宋体"/>
          <w:color w:val="auto"/>
          <w:sz w:val="24"/>
          <w:highlight w:val="none"/>
        </w:rPr>
        <w:t>。依据该地区环境质量现状的要求，通过分析识别环境因素，筛选出本次后评价的各项评价因子</w:t>
      </w:r>
      <w:r>
        <w:rPr>
          <w:rFonts w:hint="eastAsia" w:ascii="宋体" w:hAnsi="宋体"/>
          <w:color w:val="auto"/>
          <w:sz w:val="24"/>
          <w:highlight w:val="none"/>
        </w:rPr>
        <w:t>。</w:t>
      </w:r>
      <w:r>
        <w:rPr>
          <w:color w:val="auto"/>
          <w:kern w:val="0"/>
          <w:sz w:val="24"/>
          <w:highlight w:val="none"/>
        </w:rPr>
        <w:t>本项目的环境影响评价因子见表1.</w:t>
      </w:r>
      <w:r>
        <w:rPr>
          <w:rFonts w:hint="eastAsia"/>
          <w:color w:val="auto"/>
          <w:kern w:val="0"/>
          <w:sz w:val="24"/>
          <w:highlight w:val="none"/>
        </w:rPr>
        <w:t>3</w:t>
      </w:r>
      <w:r>
        <w:rPr>
          <w:color w:val="auto"/>
          <w:kern w:val="0"/>
          <w:sz w:val="24"/>
          <w:highlight w:val="none"/>
        </w:rPr>
        <w:t>-</w:t>
      </w:r>
      <w:r>
        <w:rPr>
          <w:rFonts w:hint="eastAsia"/>
          <w:color w:val="auto"/>
          <w:kern w:val="0"/>
          <w:sz w:val="24"/>
          <w:highlight w:val="none"/>
          <w:lang w:val="en-US" w:eastAsia="zh-CN"/>
        </w:rPr>
        <w:t>2</w:t>
      </w:r>
      <w:r>
        <w:rPr>
          <w:color w:val="auto"/>
          <w:kern w:val="0"/>
          <w:sz w:val="24"/>
          <w:highlight w:val="none"/>
        </w:rPr>
        <w:t>。</w:t>
      </w:r>
    </w:p>
    <w:p>
      <w:pPr>
        <w:adjustRightInd w:val="0"/>
        <w:snapToGrid w:val="0"/>
        <w:jc w:val="center"/>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表1.3-</w:t>
      </w:r>
      <w:r>
        <w:rPr>
          <w:rFonts w:hint="eastAsia" w:ascii="黑体" w:hAnsi="黑体" w:eastAsia="黑体" w:cs="黑体"/>
          <w:b w:val="0"/>
          <w:bCs w:val="0"/>
          <w:color w:val="auto"/>
          <w:sz w:val="24"/>
          <w:szCs w:val="24"/>
          <w:highlight w:val="none"/>
          <w:lang w:val="en-US" w:eastAsia="zh-CN"/>
        </w:rPr>
        <w:t>2</w:t>
      </w:r>
      <w:r>
        <w:rPr>
          <w:rFonts w:hint="eastAsia" w:ascii="黑体" w:hAnsi="黑体" w:eastAsia="黑体" w:cs="黑体"/>
          <w:b w:val="0"/>
          <w:bCs w:val="0"/>
          <w:color w:val="auto"/>
          <w:sz w:val="24"/>
          <w:szCs w:val="24"/>
          <w:highlight w:val="none"/>
        </w:rPr>
        <w:t xml:space="preserve"> </w:t>
      </w:r>
      <w:r>
        <w:rPr>
          <w:rFonts w:hint="eastAsia" w:ascii="黑体" w:hAnsi="黑体" w:eastAsia="黑体" w:cs="黑体"/>
          <w:b w:val="0"/>
          <w:bCs w:val="0"/>
          <w:color w:val="auto"/>
          <w:sz w:val="24"/>
          <w:szCs w:val="24"/>
          <w:highlight w:val="none"/>
          <w:lang w:val="en-US" w:eastAsia="zh-CN"/>
        </w:rPr>
        <w:t xml:space="preserve"> </w:t>
      </w:r>
      <w:r>
        <w:rPr>
          <w:rFonts w:hint="eastAsia" w:ascii="黑体" w:hAnsi="黑体" w:eastAsia="黑体" w:cs="黑体"/>
          <w:b w:val="0"/>
          <w:bCs w:val="0"/>
          <w:color w:val="auto"/>
          <w:sz w:val="24"/>
          <w:szCs w:val="24"/>
          <w:highlight w:val="none"/>
        </w:rPr>
        <w:t>评价因子确定表</w:t>
      </w:r>
    </w:p>
    <w:tbl>
      <w:tblPr>
        <w:tblStyle w:val="36"/>
        <w:tblW w:w="9286" w:type="dxa"/>
        <w:tblInd w:w="0"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763"/>
        <w:gridCol w:w="1980"/>
        <w:gridCol w:w="6543"/>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0" w:hRule="atLeast"/>
        </w:trPr>
        <w:tc>
          <w:tcPr>
            <w:tcW w:w="763" w:type="dxa"/>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ind w:left="0" w:leftChars="0" w:firstLine="0"/>
              <w:jc w:val="center"/>
              <w:textAlignment w:val="auto"/>
              <w:outlineLvl w:val="9"/>
              <w:rPr>
                <w:b/>
                <w:color w:val="auto"/>
                <w:sz w:val="21"/>
                <w:szCs w:val="21"/>
                <w:highlight w:val="none"/>
              </w:rPr>
            </w:pPr>
            <w:r>
              <w:rPr>
                <w:b/>
                <w:color w:val="auto"/>
                <w:sz w:val="21"/>
                <w:szCs w:val="21"/>
                <w:highlight w:val="none"/>
              </w:rPr>
              <w:t>类别</w:t>
            </w:r>
          </w:p>
        </w:tc>
        <w:tc>
          <w:tcPr>
            <w:tcW w:w="1980" w:type="dxa"/>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ind w:left="0" w:leftChars="0" w:firstLine="0"/>
              <w:jc w:val="center"/>
              <w:textAlignment w:val="auto"/>
              <w:outlineLvl w:val="9"/>
              <w:rPr>
                <w:b/>
                <w:color w:val="auto"/>
                <w:sz w:val="21"/>
                <w:szCs w:val="21"/>
                <w:highlight w:val="none"/>
              </w:rPr>
            </w:pPr>
            <w:r>
              <w:rPr>
                <w:b/>
                <w:color w:val="auto"/>
                <w:sz w:val="21"/>
                <w:szCs w:val="21"/>
                <w:highlight w:val="none"/>
              </w:rPr>
              <w:t>环境要素</w:t>
            </w:r>
          </w:p>
        </w:tc>
        <w:tc>
          <w:tcPr>
            <w:tcW w:w="6543" w:type="dxa"/>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ind w:left="0" w:leftChars="0" w:firstLine="0"/>
              <w:jc w:val="center"/>
              <w:textAlignment w:val="auto"/>
              <w:outlineLvl w:val="9"/>
              <w:rPr>
                <w:b/>
                <w:color w:val="auto"/>
                <w:sz w:val="21"/>
                <w:szCs w:val="21"/>
                <w:highlight w:val="none"/>
              </w:rPr>
            </w:pPr>
            <w:r>
              <w:rPr>
                <w:b/>
                <w:color w:val="auto"/>
                <w:sz w:val="21"/>
                <w:szCs w:val="21"/>
                <w:highlight w:val="none"/>
              </w:rPr>
              <w:t>评价因子</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0" w:hRule="atLeast"/>
        </w:trPr>
        <w:tc>
          <w:tcPr>
            <w:tcW w:w="763" w:type="dxa"/>
            <w:vMerge w:val="restart"/>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ind w:left="0" w:leftChars="0" w:firstLine="0"/>
              <w:jc w:val="center"/>
              <w:textAlignment w:val="auto"/>
              <w:outlineLvl w:val="9"/>
              <w:rPr>
                <w:color w:val="auto"/>
                <w:sz w:val="21"/>
                <w:szCs w:val="21"/>
                <w:highlight w:val="none"/>
              </w:rPr>
            </w:pPr>
            <w:r>
              <w:rPr>
                <w:color w:val="auto"/>
                <w:sz w:val="21"/>
                <w:szCs w:val="21"/>
                <w:highlight w:val="none"/>
              </w:rPr>
              <w:t>环境质量现状评价</w:t>
            </w:r>
          </w:p>
        </w:tc>
        <w:tc>
          <w:tcPr>
            <w:tcW w:w="1980" w:type="dxa"/>
            <w:noWrap w:val="0"/>
            <w:vAlign w:val="center"/>
          </w:tcPr>
          <w:p>
            <w:pPr>
              <w:tabs>
                <w:tab w:val="left" w:pos="2370"/>
              </w:tabs>
              <w:snapToGrid w:val="0"/>
              <w:jc w:val="center"/>
              <w:rPr>
                <w:rFonts w:hint="eastAsia"/>
                <w:color w:val="auto"/>
                <w:szCs w:val="21"/>
                <w:highlight w:val="none"/>
              </w:rPr>
            </w:pPr>
            <w:r>
              <w:rPr>
                <w:rFonts w:hint="eastAsia"/>
                <w:color w:val="auto"/>
                <w:szCs w:val="21"/>
                <w:highlight w:val="none"/>
              </w:rPr>
              <w:t>大气环境</w:t>
            </w:r>
          </w:p>
        </w:tc>
        <w:tc>
          <w:tcPr>
            <w:tcW w:w="6543" w:type="dxa"/>
            <w:noWrap w:val="0"/>
            <w:vAlign w:val="center"/>
          </w:tcPr>
          <w:p>
            <w:pPr>
              <w:pStyle w:val="12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outlineLvl w:val="9"/>
              <w:rPr>
                <w:color w:val="auto"/>
                <w:sz w:val="21"/>
                <w:szCs w:val="21"/>
                <w:highlight w:val="none"/>
              </w:rPr>
            </w:pPr>
            <w:r>
              <w:rPr>
                <w:rFonts w:ascii="Times New Roman" w:hAnsi="Times New Roman" w:cs="Times New Roman"/>
                <w:color w:val="auto"/>
                <w:sz w:val="21"/>
                <w:szCs w:val="21"/>
                <w:highlight w:val="none"/>
              </w:rPr>
              <w:t>SO</w:t>
            </w:r>
            <w:r>
              <w:rPr>
                <w:rFonts w:ascii="Times New Roman" w:hAnsi="Times New Roman" w:cs="Times New Roman"/>
                <w:color w:val="auto"/>
                <w:sz w:val="21"/>
                <w:szCs w:val="21"/>
                <w:highlight w:val="none"/>
                <w:vertAlign w:val="subscript"/>
              </w:rPr>
              <w:t>2</w:t>
            </w:r>
            <w:r>
              <w:rPr>
                <w:rFonts w:ascii="Times New Roman" w:hAnsi="Times New Roman" w:cs="Times New Roman"/>
                <w:color w:val="auto"/>
                <w:sz w:val="21"/>
                <w:szCs w:val="21"/>
                <w:highlight w:val="none"/>
              </w:rPr>
              <w:t>、PM</w:t>
            </w:r>
            <w:r>
              <w:rPr>
                <w:rFonts w:ascii="Times New Roman" w:hAnsi="Times New Roman" w:cs="Times New Roman"/>
                <w:color w:val="auto"/>
                <w:sz w:val="21"/>
                <w:szCs w:val="21"/>
                <w:highlight w:val="none"/>
                <w:vertAlign w:val="subscript"/>
              </w:rPr>
              <w:t>10</w:t>
            </w:r>
            <w:r>
              <w:rPr>
                <w:rFonts w:ascii="Times New Roman" w:hAnsi="Times New Roman" w:cs="Times New Roman"/>
                <w:color w:val="auto"/>
                <w:sz w:val="21"/>
                <w:szCs w:val="21"/>
                <w:highlight w:val="none"/>
              </w:rPr>
              <w:t>、PM</w:t>
            </w:r>
            <w:r>
              <w:rPr>
                <w:rFonts w:ascii="Times New Roman" w:hAnsi="Times New Roman" w:cs="Times New Roman"/>
                <w:color w:val="auto"/>
                <w:sz w:val="21"/>
                <w:szCs w:val="21"/>
                <w:highlight w:val="none"/>
                <w:vertAlign w:val="subscript"/>
              </w:rPr>
              <w:t>2.5</w:t>
            </w:r>
            <w:r>
              <w:rPr>
                <w:rFonts w:ascii="Times New Roman" w:hAnsi="Times New Roman" w:cs="Times New Roman"/>
                <w:color w:val="auto"/>
                <w:sz w:val="21"/>
                <w:szCs w:val="21"/>
                <w:highlight w:val="none"/>
              </w:rPr>
              <w:t>、NO</w:t>
            </w:r>
            <w:r>
              <w:rPr>
                <w:rFonts w:ascii="Times New Roman" w:hAnsi="Times New Roman" w:cs="Times New Roman"/>
                <w:color w:val="auto"/>
                <w:sz w:val="21"/>
                <w:szCs w:val="21"/>
                <w:highlight w:val="none"/>
                <w:vertAlign w:val="subscript"/>
              </w:rPr>
              <w:t>2</w:t>
            </w:r>
            <w:r>
              <w:rPr>
                <w:rStyle w:val="43"/>
                <w:rFonts w:ascii="Times New Roman" w:hAnsi="Times New Roman" w:cs="Times New Roman"/>
                <w:color w:val="auto"/>
                <w:kern w:val="2"/>
                <w:highlight w:val="none"/>
              </w:rPr>
              <w:t>、CO、O</w:t>
            </w:r>
            <w:r>
              <w:rPr>
                <w:rStyle w:val="43"/>
                <w:rFonts w:ascii="Times New Roman" w:hAnsi="Times New Roman" w:cs="Times New Roman"/>
                <w:color w:val="auto"/>
                <w:kern w:val="2"/>
                <w:highlight w:val="none"/>
                <w:vertAlign w:val="subscript"/>
              </w:rPr>
              <w:t>3</w:t>
            </w:r>
            <w:r>
              <w:rPr>
                <w:rStyle w:val="43"/>
                <w:rFonts w:hint="eastAsia" w:ascii="Times New Roman" w:hAnsi="Times New Roman" w:cs="Times New Roman"/>
                <w:color w:val="auto"/>
                <w:kern w:val="2"/>
                <w:highlight w:val="none"/>
                <w:lang w:eastAsia="zh-CN"/>
              </w:rPr>
              <w:t>、</w:t>
            </w:r>
            <w:r>
              <w:rPr>
                <w:rFonts w:hint="eastAsia"/>
                <w:color w:val="auto"/>
                <w:sz w:val="21"/>
                <w:szCs w:val="21"/>
                <w:highlight w:val="none"/>
              </w:rPr>
              <w:t>氯化氢、硫酸</w:t>
            </w:r>
            <w:r>
              <w:rPr>
                <w:rFonts w:hint="eastAsia"/>
                <w:color w:val="auto"/>
                <w:sz w:val="21"/>
                <w:szCs w:val="21"/>
                <w:highlight w:val="none"/>
                <w:lang w:eastAsia="zh-CN"/>
              </w:rPr>
              <w:t>雾</w:t>
            </w:r>
            <w:r>
              <w:rPr>
                <w:rFonts w:hint="eastAsia"/>
                <w:color w:val="auto"/>
                <w:sz w:val="21"/>
                <w:szCs w:val="21"/>
                <w:highlight w:val="none"/>
              </w:rPr>
              <w:t>、</w:t>
            </w:r>
            <w:r>
              <w:rPr>
                <w:rFonts w:hint="eastAsia"/>
                <w:color w:val="auto"/>
                <w:sz w:val="21"/>
                <w:szCs w:val="21"/>
                <w:highlight w:val="none"/>
                <w:lang w:eastAsia="zh-CN"/>
              </w:rPr>
              <w:t>铬酸雾、氨</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0" w:hRule="atLeast"/>
        </w:trPr>
        <w:tc>
          <w:tcPr>
            <w:tcW w:w="763" w:type="dxa"/>
            <w:vMerge w:val="continue"/>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ind w:left="0" w:leftChars="0" w:firstLine="0"/>
              <w:jc w:val="center"/>
              <w:textAlignment w:val="auto"/>
              <w:outlineLvl w:val="9"/>
              <w:rPr>
                <w:color w:val="auto"/>
                <w:sz w:val="21"/>
                <w:szCs w:val="21"/>
                <w:highlight w:val="none"/>
              </w:rPr>
            </w:pPr>
          </w:p>
        </w:tc>
        <w:tc>
          <w:tcPr>
            <w:tcW w:w="1980" w:type="dxa"/>
            <w:noWrap w:val="0"/>
            <w:vAlign w:val="center"/>
          </w:tcPr>
          <w:p>
            <w:pPr>
              <w:tabs>
                <w:tab w:val="left" w:pos="2370"/>
              </w:tabs>
              <w:snapToGrid w:val="0"/>
              <w:jc w:val="center"/>
              <w:rPr>
                <w:rFonts w:hint="eastAsia"/>
                <w:color w:val="auto"/>
                <w:szCs w:val="21"/>
                <w:highlight w:val="none"/>
              </w:rPr>
            </w:pPr>
            <w:r>
              <w:rPr>
                <w:rFonts w:hint="eastAsia"/>
                <w:color w:val="auto"/>
                <w:szCs w:val="21"/>
                <w:highlight w:val="none"/>
              </w:rPr>
              <w:t>地表水环境</w:t>
            </w:r>
          </w:p>
        </w:tc>
        <w:tc>
          <w:tcPr>
            <w:tcW w:w="6543" w:type="dxa"/>
            <w:noWrap w:val="0"/>
            <w:vAlign w:val="center"/>
          </w:tcPr>
          <w:p>
            <w:pPr>
              <w:tabs>
                <w:tab w:val="left" w:pos="2370"/>
              </w:tabs>
              <w:snapToGrid w:val="0"/>
              <w:rPr>
                <w:color w:val="auto"/>
                <w:sz w:val="21"/>
                <w:szCs w:val="21"/>
                <w:highlight w:val="none"/>
              </w:rPr>
            </w:pPr>
            <w:r>
              <w:rPr>
                <w:rFonts w:hint="eastAsia"/>
                <w:color w:val="auto"/>
                <w:szCs w:val="21"/>
                <w:highlight w:val="none"/>
              </w:rPr>
              <w:t>水温、pH、溶解氧、高锰酸盐指数、氨氮、总磷、化学需氧量、五日生化需氧量、铜、锌、镍、六价铬、硫酸盐、石油类、阴离子表面活性剂、粪大肠菌群</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0" w:hRule="atLeast"/>
        </w:trPr>
        <w:tc>
          <w:tcPr>
            <w:tcW w:w="763" w:type="dxa"/>
            <w:vMerge w:val="continue"/>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ind w:left="0" w:leftChars="0" w:firstLine="0"/>
              <w:jc w:val="center"/>
              <w:textAlignment w:val="auto"/>
              <w:outlineLvl w:val="9"/>
              <w:rPr>
                <w:color w:val="auto"/>
                <w:sz w:val="21"/>
                <w:szCs w:val="21"/>
                <w:highlight w:val="none"/>
              </w:rPr>
            </w:pPr>
          </w:p>
        </w:tc>
        <w:tc>
          <w:tcPr>
            <w:tcW w:w="1980" w:type="dxa"/>
            <w:noWrap w:val="0"/>
            <w:vAlign w:val="center"/>
          </w:tcPr>
          <w:p>
            <w:pPr>
              <w:tabs>
                <w:tab w:val="left" w:pos="2370"/>
              </w:tabs>
              <w:snapToGrid w:val="0"/>
              <w:jc w:val="center"/>
              <w:rPr>
                <w:rFonts w:hint="eastAsia"/>
                <w:color w:val="auto"/>
                <w:szCs w:val="21"/>
                <w:highlight w:val="none"/>
              </w:rPr>
            </w:pPr>
            <w:r>
              <w:rPr>
                <w:rFonts w:hint="eastAsia"/>
                <w:color w:val="auto"/>
                <w:szCs w:val="21"/>
                <w:highlight w:val="none"/>
              </w:rPr>
              <w:t>地下水环境</w:t>
            </w:r>
          </w:p>
        </w:tc>
        <w:tc>
          <w:tcPr>
            <w:tcW w:w="6543" w:type="dxa"/>
            <w:noWrap w:val="0"/>
            <w:vAlign w:val="center"/>
          </w:tcPr>
          <w:p>
            <w:pPr>
              <w:tabs>
                <w:tab w:val="left" w:pos="2370"/>
              </w:tabs>
              <w:snapToGrid w:val="0"/>
              <w:rPr>
                <w:color w:val="auto"/>
                <w:sz w:val="21"/>
                <w:szCs w:val="21"/>
                <w:highlight w:val="none"/>
              </w:rPr>
            </w:pPr>
            <w:r>
              <w:rPr>
                <w:rFonts w:hint="eastAsia"/>
                <w:color w:val="auto"/>
                <w:szCs w:val="21"/>
                <w:highlight w:val="none"/>
              </w:rPr>
              <w:t>pH、氨氮、硝酸盐、亚硝酸盐、总硬度、溶解性总固体、硫酸盐、氯化物、挥发性酚类、锌、铜、六价铬、镍、银、铁、</w:t>
            </w:r>
            <w:r>
              <w:rPr>
                <w:rFonts w:hint="eastAsia"/>
                <w:color w:val="auto"/>
                <w:szCs w:val="21"/>
                <w:highlight w:val="none"/>
                <w:lang w:val="en-US" w:eastAsia="zh-CN"/>
              </w:rPr>
              <w:t>耗氧量</w:t>
            </w:r>
            <w:r>
              <w:rPr>
                <w:rFonts w:hint="eastAsia"/>
                <w:color w:val="auto"/>
                <w:szCs w:val="21"/>
                <w:highlight w:val="none"/>
              </w:rPr>
              <w:t>、总大肠菌群</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0" w:hRule="atLeast"/>
        </w:trPr>
        <w:tc>
          <w:tcPr>
            <w:tcW w:w="763" w:type="dxa"/>
            <w:vMerge w:val="continue"/>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ind w:left="0" w:leftChars="0" w:firstLine="0"/>
              <w:jc w:val="center"/>
              <w:textAlignment w:val="auto"/>
              <w:outlineLvl w:val="9"/>
              <w:rPr>
                <w:color w:val="auto"/>
                <w:sz w:val="21"/>
                <w:szCs w:val="21"/>
                <w:highlight w:val="none"/>
              </w:rPr>
            </w:pPr>
          </w:p>
        </w:tc>
        <w:tc>
          <w:tcPr>
            <w:tcW w:w="1980" w:type="dxa"/>
            <w:noWrap w:val="0"/>
            <w:vAlign w:val="center"/>
          </w:tcPr>
          <w:p>
            <w:pPr>
              <w:tabs>
                <w:tab w:val="left" w:pos="2370"/>
              </w:tabs>
              <w:snapToGrid w:val="0"/>
              <w:jc w:val="center"/>
              <w:rPr>
                <w:rFonts w:hint="eastAsia"/>
                <w:color w:val="auto"/>
                <w:szCs w:val="21"/>
                <w:highlight w:val="none"/>
              </w:rPr>
            </w:pPr>
            <w:r>
              <w:rPr>
                <w:rFonts w:hint="eastAsia"/>
                <w:color w:val="auto"/>
                <w:szCs w:val="21"/>
                <w:highlight w:val="none"/>
              </w:rPr>
              <w:t>土壤</w:t>
            </w:r>
          </w:p>
        </w:tc>
        <w:tc>
          <w:tcPr>
            <w:tcW w:w="6543" w:type="dxa"/>
            <w:noWrap w:val="0"/>
            <w:vAlign w:val="center"/>
          </w:tcPr>
          <w:p>
            <w:pPr>
              <w:pStyle w:val="12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outlineLvl w:val="9"/>
              <w:rPr>
                <w:rFonts w:hint="eastAsia"/>
                <w:color w:val="auto"/>
                <w:szCs w:val="21"/>
                <w:highlight w:val="none"/>
                <w:lang w:val="en-US" w:eastAsia="zh-CN"/>
              </w:rPr>
            </w:pPr>
            <w:r>
              <w:rPr>
                <w:rFonts w:hint="eastAsia"/>
                <w:color w:val="auto"/>
                <w:szCs w:val="21"/>
                <w:highlight w:val="none"/>
                <w:lang w:val="en-US" w:eastAsia="zh-CN"/>
              </w:rPr>
              <w:t>重金属：砷、镉、铅、汞</w:t>
            </w:r>
          </w:p>
          <w:p>
            <w:pPr>
              <w:pStyle w:val="12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outlineLvl w:val="9"/>
              <w:rPr>
                <w:rFonts w:hint="eastAsia"/>
                <w:color w:val="auto"/>
                <w:szCs w:val="21"/>
                <w:highlight w:val="none"/>
                <w:lang w:val="en-US" w:eastAsia="zh-CN"/>
              </w:rPr>
            </w:pPr>
            <w:r>
              <w:rPr>
                <w:rFonts w:hint="eastAsia"/>
                <w:color w:val="auto"/>
                <w:szCs w:val="21"/>
                <w:highlight w:val="none"/>
                <w:lang w:val="en-US" w:eastAsia="zh-CN"/>
              </w:rPr>
              <w:t>挥发性有机物：四氯化碳、氯仿、氯甲烷、1,1-二氯乙烷、1,2-二氯乙烷、1,1-二氯以烯、顺-1,2-二氯以烯、反-1,2-二氯以烯、二氯甲烷、1,2-而氯丙烷、1,1,1,2-四氯乙烷、1,1,2,2-四氯乙烷、四氯乙烯、1,1,1-三氯乙烷、1,1,2-三氯乙烷、三氯乙烯、1,2,3-三氯丙烯、氯乙烯、苯、氯苯、1,2-二氯苯、1,4-二氯苯、乙苯、苯乙烯、甲苯、间二甲苯+对二甲苯、邻二甲苯</w:t>
            </w:r>
          </w:p>
          <w:p>
            <w:pPr>
              <w:pStyle w:val="12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outlineLvl w:val="9"/>
              <w:rPr>
                <w:rFonts w:hint="eastAsia"/>
                <w:color w:val="auto"/>
                <w:szCs w:val="21"/>
                <w:highlight w:val="none"/>
                <w:lang w:val="en-US" w:eastAsia="zh-CN"/>
              </w:rPr>
            </w:pPr>
            <w:r>
              <w:rPr>
                <w:rFonts w:hint="eastAsia"/>
                <w:color w:val="auto"/>
                <w:szCs w:val="21"/>
                <w:highlight w:val="none"/>
                <w:lang w:val="en-US" w:eastAsia="zh-CN"/>
              </w:rPr>
              <w:t>半挥发性有机物：硝基苯、苯胺、2-氯酚、苯并蒽、苯并芘、苯并[b]荧蒽、苯并[k]荧蒽、二苯并蒽、茚并芘、萘</w:t>
            </w:r>
          </w:p>
          <w:p>
            <w:pPr>
              <w:pStyle w:val="12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outlineLvl w:val="9"/>
              <w:rPr>
                <w:rFonts w:hint="eastAsia"/>
                <w:color w:val="auto"/>
                <w:szCs w:val="21"/>
                <w:highlight w:val="none"/>
              </w:rPr>
            </w:pPr>
            <w:r>
              <w:rPr>
                <w:rFonts w:hint="eastAsia"/>
                <w:color w:val="auto"/>
                <w:szCs w:val="21"/>
                <w:highlight w:val="none"/>
                <w:lang w:val="en-US" w:eastAsia="zh-CN"/>
              </w:rPr>
              <w:t>特征因子：</w:t>
            </w:r>
            <w:r>
              <w:rPr>
                <w:rFonts w:hint="eastAsia"/>
                <w:color w:val="auto"/>
                <w:szCs w:val="21"/>
                <w:highlight w:val="none"/>
                <w:lang w:val="de-DE" w:eastAsia="zh-CN"/>
              </w:rPr>
              <w:t>pH、</w:t>
            </w:r>
            <w:r>
              <w:rPr>
                <w:rFonts w:hint="eastAsia"/>
                <w:color w:val="auto"/>
                <w:szCs w:val="21"/>
                <w:highlight w:val="none"/>
                <w:lang w:val="en-US" w:eastAsia="zh-CN"/>
              </w:rPr>
              <w:t>锌、银、锡、铜、铬、镍</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0" w:hRule="atLeast"/>
        </w:trPr>
        <w:tc>
          <w:tcPr>
            <w:tcW w:w="763" w:type="dxa"/>
            <w:vMerge w:val="continue"/>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ind w:left="0" w:leftChars="0" w:firstLine="0"/>
              <w:jc w:val="center"/>
              <w:textAlignment w:val="auto"/>
              <w:outlineLvl w:val="9"/>
              <w:rPr>
                <w:color w:val="auto"/>
                <w:sz w:val="21"/>
                <w:szCs w:val="21"/>
                <w:highlight w:val="none"/>
              </w:rPr>
            </w:pPr>
          </w:p>
        </w:tc>
        <w:tc>
          <w:tcPr>
            <w:tcW w:w="1980" w:type="dxa"/>
            <w:noWrap w:val="0"/>
            <w:vAlign w:val="center"/>
          </w:tcPr>
          <w:p>
            <w:pPr>
              <w:tabs>
                <w:tab w:val="left" w:pos="2370"/>
              </w:tabs>
              <w:snapToGrid w:val="0"/>
              <w:jc w:val="center"/>
              <w:rPr>
                <w:rFonts w:hint="eastAsia"/>
                <w:color w:val="auto"/>
                <w:szCs w:val="21"/>
                <w:highlight w:val="none"/>
              </w:rPr>
            </w:pPr>
            <w:r>
              <w:rPr>
                <w:rFonts w:hint="eastAsia"/>
                <w:color w:val="auto"/>
                <w:szCs w:val="21"/>
                <w:highlight w:val="none"/>
              </w:rPr>
              <w:t>环境噪声</w:t>
            </w:r>
          </w:p>
        </w:tc>
        <w:tc>
          <w:tcPr>
            <w:tcW w:w="6543" w:type="dxa"/>
            <w:noWrap w:val="0"/>
            <w:vAlign w:val="center"/>
          </w:tcPr>
          <w:p>
            <w:pPr>
              <w:pStyle w:val="12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outlineLvl w:val="9"/>
              <w:rPr>
                <w:color w:val="auto"/>
                <w:sz w:val="21"/>
                <w:szCs w:val="21"/>
                <w:highlight w:val="none"/>
              </w:rPr>
            </w:pPr>
            <w:r>
              <w:rPr>
                <w:rFonts w:hint="eastAsia"/>
                <w:color w:val="auto"/>
                <w:szCs w:val="21"/>
                <w:highlight w:val="none"/>
                <w:lang w:val="en-US" w:eastAsia="zh-CN"/>
              </w:rPr>
              <w:t>等效声</w:t>
            </w:r>
            <w:r>
              <w:rPr>
                <w:color w:val="auto"/>
                <w:sz w:val="21"/>
                <w:szCs w:val="21"/>
                <w:highlight w:val="none"/>
              </w:rPr>
              <w:t>级L</w:t>
            </w:r>
            <w:r>
              <w:rPr>
                <w:color w:val="auto"/>
                <w:sz w:val="21"/>
                <w:szCs w:val="21"/>
                <w:highlight w:val="none"/>
                <w:vertAlign w:val="subscript"/>
              </w:rPr>
              <w:t>d</w:t>
            </w:r>
            <w:r>
              <w:rPr>
                <w:color w:val="auto"/>
                <w:sz w:val="21"/>
                <w:szCs w:val="21"/>
                <w:highlight w:val="none"/>
              </w:rPr>
              <w:t>、L</w:t>
            </w:r>
            <w:r>
              <w:rPr>
                <w:color w:val="auto"/>
                <w:sz w:val="21"/>
                <w:szCs w:val="21"/>
                <w:highlight w:val="none"/>
                <w:vertAlign w:val="subscript"/>
              </w:rPr>
              <w:t>n</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0" w:hRule="atLeast"/>
        </w:trPr>
        <w:tc>
          <w:tcPr>
            <w:tcW w:w="763" w:type="dxa"/>
            <w:vMerge w:val="restart"/>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ind w:left="0" w:leftChars="0" w:firstLine="0"/>
              <w:jc w:val="center"/>
              <w:textAlignment w:val="auto"/>
              <w:outlineLvl w:val="9"/>
              <w:rPr>
                <w:color w:val="auto"/>
                <w:sz w:val="21"/>
                <w:szCs w:val="21"/>
                <w:highlight w:val="none"/>
              </w:rPr>
            </w:pPr>
            <w:r>
              <w:rPr>
                <w:color w:val="auto"/>
                <w:sz w:val="21"/>
                <w:szCs w:val="21"/>
                <w:highlight w:val="none"/>
              </w:rPr>
              <w:t>项目污染源评价</w:t>
            </w:r>
          </w:p>
        </w:tc>
        <w:tc>
          <w:tcPr>
            <w:tcW w:w="1980" w:type="dxa"/>
            <w:noWrap w:val="0"/>
            <w:vAlign w:val="center"/>
          </w:tcPr>
          <w:p>
            <w:pPr>
              <w:pStyle w:val="12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color w:val="auto"/>
                <w:szCs w:val="21"/>
                <w:highlight w:val="none"/>
                <w:lang w:val="en-US" w:eastAsia="zh-CN"/>
              </w:rPr>
            </w:pPr>
            <w:r>
              <w:rPr>
                <w:rFonts w:hint="eastAsia"/>
                <w:color w:val="auto"/>
                <w:szCs w:val="21"/>
                <w:highlight w:val="none"/>
                <w:lang w:val="en-US" w:eastAsia="zh-CN"/>
              </w:rPr>
              <w:t>废气污染源</w:t>
            </w:r>
          </w:p>
        </w:tc>
        <w:tc>
          <w:tcPr>
            <w:tcW w:w="6543" w:type="dxa"/>
            <w:noWrap w:val="0"/>
            <w:vAlign w:val="center"/>
          </w:tcPr>
          <w:p>
            <w:pPr>
              <w:pStyle w:val="12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outlineLvl w:val="9"/>
              <w:rPr>
                <w:rFonts w:hint="eastAsia" w:eastAsia="宋体"/>
                <w:color w:val="auto"/>
                <w:sz w:val="21"/>
                <w:szCs w:val="21"/>
                <w:highlight w:val="none"/>
                <w:lang w:eastAsia="zh-CN"/>
              </w:rPr>
            </w:pPr>
            <w:r>
              <w:rPr>
                <w:color w:val="auto"/>
                <w:sz w:val="21"/>
                <w:szCs w:val="21"/>
                <w:highlight w:val="none"/>
              </w:rPr>
              <w:t>HCl、铬酸雾、硫酸雾、SO</w:t>
            </w:r>
            <w:r>
              <w:rPr>
                <w:color w:val="auto"/>
                <w:sz w:val="21"/>
                <w:szCs w:val="21"/>
                <w:highlight w:val="none"/>
                <w:vertAlign w:val="subscript"/>
              </w:rPr>
              <w:t>2</w:t>
            </w:r>
            <w:r>
              <w:rPr>
                <w:color w:val="auto"/>
                <w:sz w:val="21"/>
                <w:szCs w:val="21"/>
                <w:highlight w:val="none"/>
              </w:rPr>
              <w:t>、NOx、</w:t>
            </w:r>
            <w:r>
              <w:rPr>
                <w:rFonts w:hint="eastAsia"/>
                <w:color w:val="auto"/>
                <w:sz w:val="21"/>
                <w:szCs w:val="21"/>
                <w:highlight w:val="none"/>
                <w:lang w:eastAsia="zh-CN"/>
              </w:rPr>
              <w:t>颗粒物</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0" w:hRule="atLeast"/>
        </w:trPr>
        <w:tc>
          <w:tcPr>
            <w:tcW w:w="763" w:type="dxa"/>
            <w:vMerge w:val="continue"/>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ind w:left="0" w:leftChars="0" w:firstLine="0"/>
              <w:jc w:val="center"/>
              <w:textAlignment w:val="auto"/>
              <w:outlineLvl w:val="9"/>
              <w:rPr>
                <w:color w:val="auto"/>
                <w:sz w:val="21"/>
                <w:szCs w:val="21"/>
                <w:highlight w:val="none"/>
              </w:rPr>
            </w:pPr>
          </w:p>
        </w:tc>
        <w:tc>
          <w:tcPr>
            <w:tcW w:w="1980" w:type="dxa"/>
            <w:noWrap w:val="0"/>
            <w:vAlign w:val="center"/>
          </w:tcPr>
          <w:p>
            <w:pPr>
              <w:pStyle w:val="12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color w:val="auto"/>
                <w:szCs w:val="21"/>
                <w:highlight w:val="none"/>
                <w:lang w:val="en-US" w:eastAsia="zh-CN"/>
              </w:rPr>
            </w:pPr>
            <w:r>
              <w:rPr>
                <w:rFonts w:hint="eastAsia"/>
                <w:color w:val="auto"/>
                <w:szCs w:val="21"/>
                <w:highlight w:val="none"/>
                <w:lang w:val="en-US" w:eastAsia="zh-CN"/>
              </w:rPr>
              <w:t>废水污染源</w:t>
            </w:r>
          </w:p>
        </w:tc>
        <w:tc>
          <w:tcPr>
            <w:tcW w:w="6543" w:type="dxa"/>
            <w:noWrap w:val="0"/>
            <w:vAlign w:val="center"/>
          </w:tcPr>
          <w:p>
            <w:pPr>
              <w:pStyle w:val="12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outlineLvl w:val="9"/>
              <w:rPr>
                <w:color w:val="auto"/>
                <w:sz w:val="21"/>
                <w:szCs w:val="21"/>
                <w:highlight w:val="none"/>
              </w:rPr>
            </w:pPr>
            <w:r>
              <w:rPr>
                <w:bCs/>
                <w:color w:val="auto"/>
                <w:sz w:val="21"/>
                <w:szCs w:val="21"/>
                <w:highlight w:val="none"/>
              </w:rPr>
              <w:t>pH、COD</w:t>
            </w:r>
            <w:r>
              <w:rPr>
                <w:bCs/>
                <w:color w:val="auto"/>
                <w:sz w:val="21"/>
                <w:szCs w:val="21"/>
                <w:highlight w:val="none"/>
                <w:vertAlign w:val="subscript"/>
              </w:rPr>
              <w:t>Cr</w:t>
            </w:r>
            <w:r>
              <w:rPr>
                <w:bCs/>
                <w:color w:val="auto"/>
                <w:sz w:val="21"/>
                <w:szCs w:val="21"/>
                <w:highlight w:val="none"/>
              </w:rPr>
              <w:t>、BOD</w:t>
            </w:r>
            <w:r>
              <w:rPr>
                <w:bCs/>
                <w:color w:val="auto"/>
                <w:sz w:val="21"/>
                <w:szCs w:val="21"/>
                <w:highlight w:val="none"/>
                <w:vertAlign w:val="subscript"/>
              </w:rPr>
              <w:t>5</w:t>
            </w:r>
            <w:r>
              <w:rPr>
                <w:bCs/>
                <w:color w:val="auto"/>
                <w:sz w:val="21"/>
                <w:szCs w:val="21"/>
                <w:highlight w:val="none"/>
              </w:rPr>
              <w:t>、SS、氨氮</w:t>
            </w:r>
            <w:r>
              <w:rPr>
                <w:color w:val="auto"/>
                <w:sz w:val="21"/>
                <w:szCs w:val="21"/>
                <w:highlight w:val="none"/>
              </w:rPr>
              <w:t>、石油类、</w:t>
            </w:r>
            <w:r>
              <w:rPr>
                <w:rFonts w:hint="eastAsia"/>
                <w:bCs/>
                <w:color w:val="auto"/>
                <w:sz w:val="21"/>
                <w:szCs w:val="21"/>
                <w:highlight w:val="none"/>
                <w:lang w:eastAsia="zh-CN"/>
              </w:rPr>
              <w:t>总</w:t>
            </w:r>
            <w:r>
              <w:rPr>
                <w:bCs/>
                <w:color w:val="auto"/>
                <w:sz w:val="21"/>
                <w:szCs w:val="21"/>
                <w:highlight w:val="none"/>
              </w:rPr>
              <w:t>锌、</w:t>
            </w:r>
            <w:r>
              <w:rPr>
                <w:rFonts w:hint="eastAsia"/>
                <w:color w:val="auto"/>
                <w:sz w:val="21"/>
                <w:szCs w:val="21"/>
                <w:highlight w:val="none"/>
                <w:u w:val="none" w:color="FFFFFF"/>
                <w:lang w:eastAsia="zh-CN"/>
              </w:rPr>
              <w:t>总铜、</w:t>
            </w:r>
            <w:r>
              <w:rPr>
                <w:bCs/>
                <w:color w:val="auto"/>
                <w:sz w:val="21"/>
                <w:szCs w:val="21"/>
                <w:highlight w:val="none"/>
                <w:u w:val="none" w:color="FFFFFF"/>
              </w:rPr>
              <w:t>铬</w:t>
            </w:r>
            <w:r>
              <w:rPr>
                <w:rFonts w:hint="eastAsia"/>
                <w:bCs/>
                <w:color w:val="auto"/>
                <w:sz w:val="21"/>
                <w:szCs w:val="21"/>
                <w:highlight w:val="none"/>
                <w:u w:val="none" w:color="FFFFFF"/>
                <w:lang w:eastAsia="zh-CN"/>
              </w:rPr>
              <w:t>(</w:t>
            </w:r>
            <w:r>
              <w:rPr>
                <w:bCs/>
                <w:color w:val="auto"/>
                <w:sz w:val="21"/>
                <w:szCs w:val="21"/>
                <w:highlight w:val="none"/>
                <w:u w:val="none" w:color="FFFFFF"/>
              </w:rPr>
              <w:t>六价</w:t>
            </w:r>
            <w:r>
              <w:rPr>
                <w:rFonts w:hint="eastAsia"/>
                <w:bCs/>
                <w:color w:val="auto"/>
                <w:sz w:val="21"/>
                <w:szCs w:val="21"/>
                <w:highlight w:val="none"/>
                <w:u w:val="none" w:color="FFFFFF"/>
                <w:lang w:eastAsia="zh-CN"/>
              </w:rPr>
              <w:t>)</w:t>
            </w:r>
            <w:r>
              <w:rPr>
                <w:bCs/>
                <w:color w:val="auto"/>
                <w:sz w:val="21"/>
                <w:szCs w:val="21"/>
                <w:highlight w:val="none"/>
                <w:u w:val="none" w:color="FFFFFF"/>
              </w:rPr>
              <w:t>、</w:t>
            </w:r>
            <w:r>
              <w:rPr>
                <w:color w:val="auto"/>
                <w:sz w:val="21"/>
                <w:szCs w:val="21"/>
                <w:highlight w:val="none"/>
                <w:u w:val="none" w:color="FFFFFF"/>
              </w:rPr>
              <w:t>总铬</w:t>
            </w:r>
            <w:r>
              <w:rPr>
                <w:rFonts w:hint="eastAsia"/>
                <w:color w:val="auto"/>
                <w:sz w:val="21"/>
                <w:szCs w:val="21"/>
                <w:highlight w:val="none"/>
                <w:u w:val="none" w:color="FFFFFF"/>
                <w:lang w:eastAsia="zh-CN"/>
              </w:rPr>
              <w:t>、</w:t>
            </w:r>
            <w:r>
              <w:rPr>
                <w:rFonts w:hint="eastAsia"/>
                <w:bCs/>
                <w:color w:val="auto"/>
                <w:sz w:val="21"/>
                <w:szCs w:val="21"/>
                <w:highlight w:val="none"/>
                <w:lang w:eastAsia="zh-CN"/>
              </w:rPr>
              <w:t>总</w:t>
            </w:r>
            <w:r>
              <w:rPr>
                <w:rFonts w:hint="eastAsia"/>
                <w:color w:val="auto"/>
                <w:sz w:val="21"/>
                <w:szCs w:val="21"/>
                <w:highlight w:val="none"/>
                <w:u w:val="none" w:color="FFFFFF"/>
                <w:lang w:eastAsia="zh-CN"/>
              </w:rPr>
              <w:t>镍、总锡</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0" w:hRule="atLeast"/>
        </w:trPr>
        <w:tc>
          <w:tcPr>
            <w:tcW w:w="763" w:type="dxa"/>
            <w:vMerge w:val="continue"/>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ind w:left="0" w:leftChars="0" w:firstLine="0"/>
              <w:jc w:val="center"/>
              <w:textAlignment w:val="auto"/>
              <w:outlineLvl w:val="9"/>
              <w:rPr>
                <w:color w:val="auto"/>
                <w:sz w:val="21"/>
                <w:szCs w:val="21"/>
                <w:highlight w:val="none"/>
              </w:rPr>
            </w:pPr>
          </w:p>
        </w:tc>
        <w:tc>
          <w:tcPr>
            <w:tcW w:w="1980" w:type="dxa"/>
            <w:noWrap w:val="0"/>
            <w:vAlign w:val="center"/>
          </w:tcPr>
          <w:p>
            <w:pPr>
              <w:pStyle w:val="12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color w:val="auto"/>
                <w:szCs w:val="21"/>
                <w:highlight w:val="none"/>
                <w:lang w:val="en-US" w:eastAsia="zh-CN"/>
              </w:rPr>
            </w:pPr>
            <w:r>
              <w:rPr>
                <w:rFonts w:hint="eastAsia"/>
                <w:color w:val="auto"/>
                <w:szCs w:val="21"/>
                <w:highlight w:val="none"/>
                <w:lang w:val="en-US" w:eastAsia="zh-CN"/>
              </w:rPr>
              <w:t>噪声污染源</w:t>
            </w:r>
          </w:p>
        </w:tc>
        <w:tc>
          <w:tcPr>
            <w:tcW w:w="6543" w:type="dxa"/>
            <w:noWrap w:val="0"/>
            <w:vAlign w:val="center"/>
          </w:tcPr>
          <w:p>
            <w:pPr>
              <w:pStyle w:val="12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outlineLvl w:val="9"/>
              <w:rPr>
                <w:color w:val="auto"/>
                <w:sz w:val="21"/>
                <w:szCs w:val="21"/>
                <w:highlight w:val="none"/>
              </w:rPr>
            </w:pPr>
            <w:r>
              <w:rPr>
                <w:color w:val="auto"/>
                <w:sz w:val="21"/>
                <w:szCs w:val="21"/>
                <w:highlight w:val="none"/>
              </w:rPr>
              <w:t>等效声级L</w:t>
            </w:r>
            <w:r>
              <w:rPr>
                <w:color w:val="auto"/>
                <w:sz w:val="21"/>
                <w:szCs w:val="21"/>
                <w:highlight w:val="none"/>
                <w:vertAlign w:val="subscript"/>
              </w:rPr>
              <w:t>d</w:t>
            </w:r>
            <w:r>
              <w:rPr>
                <w:color w:val="auto"/>
                <w:sz w:val="21"/>
                <w:szCs w:val="21"/>
                <w:highlight w:val="none"/>
              </w:rPr>
              <w:t>、L</w:t>
            </w:r>
            <w:r>
              <w:rPr>
                <w:color w:val="auto"/>
                <w:sz w:val="21"/>
                <w:szCs w:val="21"/>
                <w:highlight w:val="none"/>
                <w:vertAlign w:val="subscript"/>
              </w:rPr>
              <w:t>n</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0" w:hRule="atLeast"/>
        </w:trPr>
        <w:tc>
          <w:tcPr>
            <w:tcW w:w="763" w:type="dxa"/>
            <w:vMerge w:val="continue"/>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ind w:left="0" w:leftChars="0" w:firstLine="0"/>
              <w:jc w:val="center"/>
              <w:textAlignment w:val="auto"/>
              <w:outlineLvl w:val="9"/>
              <w:rPr>
                <w:color w:val="auto"/>
                <w:sz w:val="21"/>
                <w:szCs w:val="21"/>
                <w:highlight w:val="none"/>
              </w:rPr>
            </w:pPr>
          </w:p>
        </w:tc>
        <w:tc>
          <w:tcPr>
            <w:tcW w:w="1980" w:type="dxa"/>
            <w:noWrap w:val="0"/>
            <w:vAlign w:val="center"/>
          </w:tcPr>
          <w:p>
            <w:pPr>
              <w:pStyle w:val="12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color w:val="auto"/>
                <w:szCs w:val="21"/>
                <w:highlight w:val="none"/>
                <w:lang w:val="en-US" w:eastAsia="zh-CN"/>
              </w:rPr>
            </w:pPr>
            <w:r>
              <w:rPr>
                <w:rFonts w:hint="eastAsia"/>
                <w:color w:val="auto"/>
                <w:szCs w:val="21"/>
                <w:highlight w:val="none"/>
                <w:lang w:val="en-US" w:eastAsia="zh-CN"/>
              </w:rPr>
              <w:t>固废污染源</w:t>
            </w:r>
          </w:p>
        </w:tc>
        <w:tc>
          <w:tcPr>
            <w:tcW w:w="6543" w:type="dxa"/>
            <w:noWrap w:val="0"/>
            <w:vAlign w:val="center"/>
          </w:tcPr>
          <w:p>
            <w:pPr>
              <w:pStyle w:val="12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outlineLvl w:val="9"/>
              <w:rPr>
                <w:color w:val="auto"/>
                <w:sz w:val="21"/>
                <w:szCs w:val="21"/>
                <w:highlight w:val="none"/>
              </w:rPr>
            </w:pPr>
            <w:r>
              <w:rPr>
                <w:color w:val="auto"/>
                <w:sz w:val="21"/>
                <w:szCs w:val="21"/>
                <w:highlight w:val="none"/>
              </w:rPr>
              <w:t>危险废物、生活垃圾</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0" w:hRule="atLeast"/>
        </w:trPr>
        <w:tc>
          <w:tcPr>
            <w:tcW w:w="763" w:type="dxa"/>
            <w:vMerge w:val="restart"/>
            <w:noWrap w:val="0"/>
            <w:vAlign w:val="center"/>
          </w:tcPr>
          <w:p>
            <w:pPr>
              <w:adjustRightInd w:val="0"/>
              <w:spacing w:line="300" w:lineRule="exact"/>
              <w:jc w:val="center"/>
              <w:textAlignment w:val="baseline"/>
              <w:rPr>
                <w:color w:val="auto"/>
                <w:sz w:val="21"/>
                <w:szCs w:val="21"/>
                <w:highlight w:val="none"/>
              </w:rPr>
            </w:pPr>
            <w:r>
              <w:rPr>
                <w:color w:val="auto"/>
                <w:kern w:val="0"/>
                <w:szCs w:val="21"/>
                <w:highlight w:val="none"/>
              </w:rPr>
              <w:t>环境影响分析与评价</w:t>
            </w:r>
          </w:p>
        </w:tc>
        <w:tc>
          <w:tcPr>
            <w:tcW w:w="1980" w:type="dxa"/>
            <w:noWrap w:val="0"/>
            <w:vAlign w:val="center"/>
          </w:tcPr>
          <w:p>
            <w:pPr>
              <w:adjustRightInd w:val="0"/>
              <w:spacing w:line="300" w:lineRule="exact"/>
              <w:jc w:val="center"/>
              <w:textAlignment w:val="baseline"/>
              <w:rPr>
                <w:rFonts w:hint="eastAsia"/>
                <w:color w:val="auto"/>
                <w:szCs w:val="21"/>
                <w:highlight w:val="none"/>
                <w:lang w:val="en-US" w:eastAsia="zh-CN"/>
              </w:rPr>
            </w:pPr>
            <w:r>
              <w:rPr>
                <w:color w:val="auto"/>
                <w:kern w:val="0"/>
                <w:szCs w:val="21"/>
                <w:highlight w:val="none"/>
              </w:rPr>
              <w:t>大气环境影响分析</w:t>
            </w:r>
          </w:p>
        </w:tc>
        <w:tc>
          <w:tcPr>
            <w:tcW w:w="6543" w:type="dxa"/>
            <w:noWrap w:val="0"/>
            <w:vAlign w:val="center"/>
          </w:tcPr>
          <w:p>
            <w:pPr>
              <w:pStyle w:val="12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outlineLvl w:val="9"/>
              <w:rPr>
                <w:color w:val="auto"/>
                <w:sz w:val="21"/>
                <w:szCs w:val="21"/>
                <w:highlight w:val="none"/>
              </w:rPr>
            </w:pPr>
            <w:r>
              <w:rPr>
                <w:color w:val="auto"/>
                <w:sz w:val="21"/>
                <w:szCs w:val="21"/>
                <w:highlight w:val="none"/>
              </w:rPr>
              <w:t>HCl、铬酸雾、硫酸雾、SO</w:t>
            </w:r>
            <w:r>
              <w:rPr>
                <w:color w:val="auto"/>
                <w:sz w:val="21"/>
                <w:szCs w:val="21"/>
                <w:highlight w:val="none"/>
                <w:vertAlign w:val="subscript"/>
              </w:rPr>
              <w:t>2</w:t>
            </w:r>
            <w:r>
              <w:rPr>
                <w:color w:val="auto"/>
                <w:sz w:val="21"/>
                <w:szCs w:val="21"/>
                <w:highlight w:val="none"/>
              </w:rPr>
              <w:t>、NOx、</w:t>
            </w:r>
            <w:r>
              <w:rPr>
                <w:rFonts w:hint="eastAsia"/>
                <w:color w:val="auto"/>
                <w:sz w:val="21"/>
                <w:szCs w:val="21"/>
                <w:highlight w:val="none"/>
                <w:lang w:eastAsia="zh-CN"/>
              </w:rPr>
              <w:t>颗粒物</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0" w:hRule="atLeast"/>
        </w:trPr>
        <w:tc>
          <w:tcPr>
            <w:tcW w:w="763" w:type="dxa"/>
            <w:vMerge w:val="continue"/>
            <w:noWrap w:val="0"/>
            <w:vAlign w:val="center"/>
          </w:tcPr>
          <w:p>
            <w:pPr>
              <w:adjustRightInd w:val="0"/>
              <w:spacing w:line="300" w:lineRule="exact"/>
              <w:jc w:val="center"/>
              <w:textAlignment w:val="baseline"/>
              <w:rPr>
                <w:color w:val="auto"/>
                <w:sz w:val="21"/>
                <w:szCs w:val="21"/>
                <w:highlight w:val="none"/>
              </w:rPr>
            </w:pPr>
          </w:p>
        </w:tc>
        <w:tc>
          <w:tcPr>
            <w:tcW w:w="1980" w:type="dxa"/>
            <w:noWrap w:val="0"/>
            <w:vAlign w:val="center"/>
          </w:tcPr>
          <w:p>
            <w:pPr>
              <w:adjustRightInd w:val="0"/>
              <w:spacing w:line="300" w:lineRule="exact"/>
              <w:jc w:val="center"/>
              <w:textAlignment w:val="baseline"/>
              <w:rPr>
                <w:rFonts w:hint="eastAsia"/>
                <w:color w:val="auto"/>
                <w:szCs w:val="21"/>
                <w:highlight w:val="none"/>
                <w:lang w:val="en-US" w:eastAsia="zh-CN"/>
              </w:rPr>
            </w:pPr>
            <w:r>
              <w:rPr>
                <w:color w:val="auto"/>
                <w:kern w:val="0"/>
                <w:szCs w:val="21"/>
                <w:highlight w:val="none"/>
              </w:rPr>
              <w:t>水环境影响分析</w:t>
            </w:r>
          </w:p>
        </w:tc>
        <w:tc>
          <w:tcPr>
            <w:tcW w:w="6543" w:type="dxa"/>
            <w:noWrap w:val="0"/>
            <w:vAlign w:val="center"/>
          </w:tcPr>
          <w:p>
            <w:pPr>
              <w:pStyle w:val="12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outlineLvl w:val="9"/>
              <w:rPr>
                <w:color w:val="auto"/>
                <w:sz w:val="21"/>
                <w:szCs w:val="21"/>
                <w:highlight w:val="none"/>
              </w:rPr>
            </w:pPr>
            <w:r>
              <w:rPr>
                <w:bCs/>
                <w:color w:val="auto"/>
                <w:sz w:val="21"/>
                <w:szCs w:val="21"/>
                <w:highlight w:val="none"/>
              </w:rPr>
              <w:t>pH、COD</w:t>
            </w:r>
            <w:r>
              <w:rPr>
                <w:bCs/>
                <w:color w:val="auto"/>
                <w:sz w:val="21"/>
                <w:szCs w:val="21"/>
                <w:highlight w:val="none"/>
                <w:vertAlign w:val="subscript"/>
              </w:rPr>
              <w:t>Cr</w:t>
            </w:r>
            <w:r>
              <w:rPr>
                <w:bCs/>
                <w:color w:val="auto"/>
                <w:sz w:val="21"/>
                <w:szCs w:val="21"/>
                <w:highlight w:val="none"/>
              </w:rPr>
              <w:t>、BOD</w:t>
            </w:r>
            <w:r>
              <w:rPr>
                <w:bCs/>
                <w:color w:val="auto"/>
                <w:sz w:val="21"/>
                <w:szCs w:val="21"/>
                <w:highlight w:val="none"/>
                <w:vertAlign w:val="subscript"/>
              </w:rPr>
              <w:t>5</w:t>
            </w:r>
            <w:r>
              <w:rPr>
                <w:bCs/>
                <w:color w:val="auto"/>
                <w:sz w:val="21"/>
                <w:szCs w:val="21"/>
                <w:highlight w:val="none"/>
              </w:rPr>
              <w:t>、SS、氨氮</w:t>
            </w:r>
            <w:r>
              <w:rPr>
                <w:color w:val="auto"/>
                <w:sz w:val="21"/>
                <w:szCs w:val="21"/>
                <w:highlight w:val="none"/>
              </w:rPr>
              <w:t>、石油类、</w:t>
            </w:r>
            <w:r>
              <w:rPr>
                <w:rFonts w:hint="eastAsia"/>
                <w:bCs/>
                <w:color w:val="auto"/>
                <w:sz w:val="21"/>
                <w:szCs w:val="21"/>
                <w:highlight w:val="none"/>
                <w:lang w:eastAsia="zh-CN"/>
              </w:rPr>
              <w:t>总</w:t>
            </w:r>
            <w:r>
              <w:rPr>
                <w:bCs/>
                <w:color w:val="auto"/>
                <w:sz w:val="21"/>
                <w:szCs w:val="21"/>
                <w:highlight w:val="none"/>
              </w:rPr>
              <w:t>锌、</w:t>
            </w:r>
            <w:r>
              <w:rPr>
                <w:rFonts w:hint="eastAsia"/>
                <w:color w:val="auto"/>
                <w:sz w:val="21"/>
                <w:szCs w:val="21"/>
                <w:highlight w:val="none"/>
                <w:u w:val="none" w:color="FFFFFF"/>
                <w:lang w:eastAsia="zh-CN"/>
              </w:rPr>
              <w:t>总铜</w:t>
            </w:r>
            <w:r>
              <w:rPr>
                <w:rFonts w:hint="eastAsia"/>
                <w:color w:val="auto"/>
                <w:sz w:val="21"/>
                <w:szCs w:val="21"/>
                <w:highlight w:val="none"/>
                <w:u w:val="none" w:color="FFFFFF"/>
                <w:lang w:eastAsia="zh-CN"/>
              </w:rPr>
              <w:t>、总银、</w:t>
            </w:r>
            <w:r>
              <w:rPr>
                <w:bCs/>
                <w:color w:val="auto"/>
                <w:sz w:val="21"/>
                <w:szCs w:val="21"/>
                <w:highlight w:val="none"/>
                <w:u w:val="none" w:color="FFFFFF"/>
              </w:rPr>
              <w:t>铬</w:t>
            </w:r>
            <w:r>
              <w:rPr>
                <w:rFonts w:hint="eastAsia"/>
                <w:bCs/>
                <w:color w:val="auto"/>
                <w:sz w:val="21"/>
                <w:szCs w:val="21"/>
                <w:highlight w:val="none"/>
                <w:u w:val="none" w:color="FFFFFF"/>
                <w:lang w:eastAsia="zh-CN"/>
              </w:rPr>
              <w:t>(</w:t>
            </w:r>
            <w:r>
              <w:rPr>
                <w:bCs/>
                <w:color w:val="auto"/>
                <w:sz w:val="21"/>
                <w:szCs w:val="21"/>
                <w:highlight w:val="none"/>
                <w:u w:val="none" w:color="FFFFFF"/>
              </w:rPr>
              <w:t>六价</w:t>
            </w:r>
            <w:r>
              <w:rPr>
                <w:rFonts w:hint="eastAsia"/>
                <w:bCs/>
                <w:color w:val="auto"/>
                <w:sz w:val="21"/>
                <w:szCs w:val="21"/>
                <w:highlight w:val="none"/>
                <w:u w:val="none" w:color="FFFFFF"/>
                <w:lang w:eastAsia="zh-CN"/>
              </w:rPr>
              <w:t>)</w:t>
            </w:r>
            <w:r>
              <w:rPr>
                <w:bCs/>
                <w:color w:val="auto"/>
                <w:sz w:val="21"/>
                <w:szCs w:val="21"/>
                <w:highlight w:val="none"/>
                <w:u w:val="none" w:color="FFFFFF"/>
              </w:rPr>
              <w:t>、</w:t>
            </w:r>
            <w:r>
              <w:rPr>
                <w:color w:val="auto"/>
                <w:sz w:val="21"/>
                <w:szCs w:val="21"/>
                <w:highlight w:val="none"/>
                <w:u w:val="none" w:color="FFFFFF"/>
              </w:rPr>
              <w:t>总铬</w:t>
            </w:r>
            <w:r>
              <w:rPr>
                <w:rFonts w:hint="eastAsia"/>
                <w:color w:val="auto"/>
                <w:sz w:val="21"/>
                <w:szCs w:val="21"/>
                <w:highlight w:val="none"/>
                <w:u w:val="none" w:color="FFFFFF"/>
                <w:lang w:eastAsia="zh-CN"/>
              </w:rPr>
              <w:t>、</w:t>
            </w:r>
            <w:r>
              <w:rPr>
                <w:rFonts w:hint="eastAsia"/>
                <w:bCs/>
                <w:color w:val="auto"/>
                <w:sz w:val="21"/>
                <w:szCs w:val="21"/>
                <w:highlight w:val="none"/>
                <w:lang w:eastAsia="zh-CN"/>
              </w:rPr>
              <w:t>总</w:t>
            </w:r>
            <w:r>
              <w:rPr>
                <w:rFonts w:hint="eastAsia"/>
                <w:color w:val="auto"/>
                <w:sz w:val="21"/>
                <w:szCs w:val="21"/>
                <w:highlight w:val="none"/>
                <w:u w:val="none" w:color="FFFFFF"/>
                <w:lang w:eastAsia="zh-CN"/>
              </w:rPr>
              <w:t>镍、总锡</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0" w:hRule="atLeast"/>
        </w:trPr>
        <w:tc>
          <w:tcPr>
            <w:tcW w:w="763" w:type="dxa"/>
            <w:vMerge w:val="continue"/>
            <w:noWrap w:val="0"/>
            <w:vAlign w:val="center"/>
          </w:tcPr>
          <w:p>
            <w:pPr>
              <w:adjustRightInd w:val="0"/>
              <w:spacing w:line="300" w:lineRule="exact"/>
              <w:jc w:val="center"/>
              <w:textAlignment w:val="baseline"/>
              <w:rPr>
                <w:color w:val="auto"/>
                <w:sz w:val="21"/>
                <w:szCs w:val="21"/>
                <w:highlight w:val="none"/>
              </w:rPr>
            </w:pPr>
          </w:p>
        </w:tc>
        <w:tc>
          <w:tcPr>
            <w:tcW w:w="1980" w:type="dxa"/>
            <w:noWrap w:val="0"/>
            <w:vAlign w:val="center"/>
          </w:tcPr>
          <w:p>
            <w:pPr>
              <w:adjustRightInd w:val="0"/>
              <w:spacing w:line="300" w:lineRule="exact"/>
              <w:jc w:val="center"/>
              <w:textAlignment w:val="baseline"/>
              <w:rPr>
                <w:rFonts w:hint="eastAsia"/>
                <w:color w:val="auto"/>
                <w:szCs w:val="21"/>
                <w:highlight w:val="none"/>
                <w:lang w:val="en-US" w:eastAsia="zh-CN"/>
              </w:rPr>
            </w:pPr>
            <w:r>
              <w:rPr>
                <w:color w:val="auto"/>
                <w:kern w:val="0"/>
                <w:szCs w:val="21"/>
                <w:highlight w:val="none"/>
              </w:rPr>
              <w:t>噪声环境影响分析</w:t>
            </w:r>
          </w:p>
        </w:tc>
        <w:tc>
          <w:tcPr>
            <w:tcW w:w="6543" w:type="dxa"/>
            <w:noWrap w:val="0"/>
            <w:vAlign w:val="center"/>
          </w:tcPr>
          <w:p>
            <w:pPr>
              <w:adjustRightInd w:val="0"/>
              <w:spacing w:line="300" w:lineRule="exact"/>
              <w:jc w:val="left"/>
              <w:textAlignment w:val="baseline"/>
              <w:rPr>
                <w:color w:val="auto"/>
                <w:sz w:val="21"/>
                <w:szCs w:val="21"/>
                <w:highlight w:val="none"/>
              </w:rPr>
            </w:pPr>
            <w:r>
              <w:rPr>
                <w:color w:val="auto"/>
                <w:kern w:val="0"/>
                <w:szCs w:val="21"/>
                <w:highlight w:val="none"/>
              </w:rPr>
              <w:t>昼间等效声级L</w:t>
            </w:r>
            <w:r>
              <w:rPr>
                <w:color w:val="auto"/>
                <w:kern w:val="0"/>
                <w:szCs w:val="21"/>
                <w:highlight w:val="none"/>
                <w:vertAlign w:val="subscript"/>
              </w:rPr>
              <w:t>d</w:t>
            </w:r>
            <w:r>
              <w:rPr>
                <w:color w:val="auto"/>
                <w:kern w:val="0"/>
                <w:szCs w:val="21"/>
                <w:highlight w:val="none"/>
              </w:rPr>
              <w:t>、夜间等效声级L</w:t>
            </w:r>
            <w:r>
              <w:rPr>
                <w:color w:val="auto"/>
                <w:kern w:val="0"/>
                <w:szCs w:val="21"/>
                <w:highlight w:val="none"/>
                <w:vertAlign w:val="subscript"/>
              </w:rPr>
              <w:t>n</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0" w:hRule="atLeast"/>
        </w:trPr>
        <w:tc>
          <w:tcPr>
            <w:tcW w:w="763" w:type="dxa"/>
            <w:vMerge w:val="continue"/>
            <w:noWrap w:val="0"/>
            <w:vAlign w:val="center"/>
          </w:tcPr>
          <w:p>
            <w:pPr>
              <w:adjustRightInd w:val="0"/>
              <w:spacing w:line="300" w:lineRule="exact"/>
              <w:jc w:val="center"/>
              <w:textAlignment w:val="baseline"/>
              <w:rPr>
                <w:color w:val="auto"/>
                <w:sz w:val="21"/>
                <w:szCs w:val="21"/>
                <w:highlight w:val="none"/>
              </w:rPr>
            </w:pPr>
          </w:p>
        </w:tc>
        <w:tc>
          <w:tcPr>
            <w:tcW w:w="1980" w:type="dxa"/>
            <w:noWrap w:val="0"/>
            <w:vAlign w:val="center"/>
          </w:tcPr>
          <w:p>
            <w:pPr>
              <w:adjustRightInd w:val="0"/>
              <w:spacing w:line="300" w:lineRule="exact"/>
              <w:jc w:val="center"/>
              <w:textAlignment w:val="baseline"/>
              <w:rPr>
                <w:rFonts w:hint="eastAsia"/>
                <w:color w:val="auto"/>
                <w:szCs w:val="21"/>
                <w:highlight w:val="none"/>
                <w:lang w:val="en-US" w:eastAsia="zh-CN"/>
              </w:rPr>
            </w:pPr>
            <w:r>
              <w:rPr>
                <w:color w:val="auto"/>
                <w:kern w:val="0"/>
                <w:szCs w:val="21"/>
                <w:highlight w:val="none"/>
              </w:rPr>
              <w:t>固废环境影响分析</w:t>
            </w:r>
          </w:p>
        </w:tc>
        <w:tc>
          <w:tcPr>
            <w:tcW w:w="6543" w:type="dxa"/>
            <w:noWrap w:val="0"/>
            <w:vAlign w:val="center"/>
          </w:tcPr>
          <w:p>
            <w:pPr>
              <w:adjustRightInd w:val="0"/>
              <w:spacing w:line="300" w:lineRule="exact"/>
              <w:jc w:val="left"/>
              <w:textAlignment w:val="baseline"/>
              <w:rPr>
                <w:color w:val="auto"/>
                <w:sz w:val="21"/>
                <w:szCs w:val="21"/>
                <w:highlight w:val="none"/>
              </w:rPr>
            </w:pPr>
            <w:r>
              <w:rPr>
                <w:color w:val="auto"/>
                <w:kern w:val="0"/>
                <w:szCs w:val="21"/>
                <w:highlight w:val="none"/>
              </w:rPr>
              <w:t>危险废物、</w:t>
            </w:r>
            <w:r>
              <w:rPr>
                <w:rFonts w:hint="eastAsia"/>
                <w:color w:val="auto"/>
                <w:kern w:val="0"/>
                <w:szCs w:val="21"/>
                <w:highlight w:val="none"/>
                <w:lang w:val="en-US" w:eastAsia="zh-CN"/>
              </w:rPr>
              <w:t>一般固废、</w:t>
            </w:r>
            <w:r>
              <w:rPr>
                <w:color w:val="auto"/>
                <w:kern w:val="0"/>
                <w:szCs w:val="21"/>
                <w:highlight w:val="none"/>
              </w:rPr>
              <w:t>生活垃圾</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0" w:hRule="atLeast"/>
        </w:trPr>
        <w:tc>
          <w:tcPr>
            <w:tcW w:w="763" w:type="dxa"/>
            <w:vMerge w:val="continue"/>
            <w:noWrap w:val="0"/>
            <w:vAlign w:val="center"/>
          </w:tcPr>
          <w:p>
            <w:pPr>
              <w:adjustRightInd w:val="0"/>
              <w:spacing w:line="300" w:lineRule="exact"/>
              <w:jc w:val="center"/>
              <w:textAlignment w:val="baseline"/>
              <w:rPr>
                <w:color w:val="auto"/>
                <w:sz w:val="21"/>
                <w:szCs w:val="21"/>
                <w:highlight w:val="none"/>
              </w:rPr>
            </w:pPr>
          </w:p>
        </w:tc>
        <w:tc>
          <w:tcPr>
            <w:tcW w:w="1980" w:type="dxa"/>
            <w:noWrap w:val="0"/>
            <w:vAlign w:val="center"/>
          </w:tcPr>
          <w:p>
            <w:pPr>
              <w:adjustRightInd w:val="0"/>
              <w:spacing w:line="300" w:lineRule="exact"/>
              <w:jc w:val="center"/>
              <w:textAlignment w:val="baseline"/>
              <w:rPr>
                <w:rFonts w:hint="eastAsia"/>
                <w:color w:val="auto"/>
                <w:szCs w:val="21"/>
                <w:highlight w:val="none"/>
                <w:lang w:val="en-US" w:eastAsia="zh-CN"/>
              </w:rPr>
            </w:pPr>
            <w:r>
              <w:rPr>
                <w:rFonts w:hint="eastAsia"/>
                <w:color w:val="auto"/>
                <w:kern w:val="0"/>
                <w:szCs w:val="21"/>
                <w:highlight w:val="none"/>
                <w:lang w:val="en-US" w:eastAsia="zh-CN"/>
              </w:rPr>
              <w:t>土壤环境影响分析</w:t>
            </w:r>
          </w:p>
        </w:tc>
        <w:tc>
          <w:tcPr>
            <w:tcW w:w="6543" w:type="dxa"/>
            <w:noWrap w:val="0"/>
            <w:vAlign w:val="center"/>
          </w:tcPr>
          <w:p>
            <w:pPr>
              <w:adjustRightInd w:val="0"/>
              <w:spacing w:line="300" w:lineRule="exact"/>
              <w:jc w:val="left"/>
              <w:textAlignment w:val="baseline"/>
              <w:rPr>
                <w:rFonts w:hint="default"/>
                <w:color w:val="auto"/>
                <w:sz w:val="21"/>
                <w:szCs w:val="21"/>
                <w:highlight w:val="none"/>
                <w:lang w:val="en-US"/>
              </w:rPr>
            </w:pPr>
            <w:r>
              <w:rPr>
                <w:rFonts w:hint="eastAsia"/>
                <w:color w:val="auto"/>
                <w:kern w:val="0"/>
                <w:szCs w:val="21"/>
                <w:highlight w:val="none"/>
                <w:lang w:val="en-US" w:eastAsia="zh-CN"/>
              </w:rPr>
              <w:t>铬(六价铬)、锌、镍</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0" w:hRule="atLeast"/>
        </w:trPr>
        <w:tc>
          <w:tcPr>
            <w:tcW w:w="763" w:type="dxa"/>
            <w:vMerge w:val="continue"/>
            <w:noWrap w:val="0"/>
            <w:vAlign w:val="center"/>
          </w:tcPr>
          <w:p>
            <w:pPr>
              <w:adjustRightInd w:val="0"/>
              <w:spacing w:line="300" w:lineRule="exact"/>
              <w:jc w:val="center"/>
              <w:textAlignment w:val="baseline"/>
              <w:rPr>
                <w:color w:val="auto"/>
                <w:sz w:val="21"/>
                <w:szCs w:val="21"/>
                <w:highlight w:val="none"/>
              </w:rPr>
            </w:pPr>
          </w:p>
        </w:tc>
        <w:tc>
          <w:tcPr>
            <w:tcW w:w="1980" w:type="dxa"/>
            <w:noWrap w:val="0"/>
            <w:vAlign w:val="center"/>
          </w:tcPr>
          <w:p>
            <w:pPr>
              <w:adjustRightInd w:val="0"/>
              <w:spacing w:line="300" w:lineRule="exact"/>
              <w:jc w:val="center"/>
              <w:textAlignment w:val="baseline"/>
              <w:rPr>
                <w:rFonts w:hint="eastAsia"/>
                <w:color w:val="auto"/>
                <w:szCs w:val="21"/>
                <w:highlight w:val="none"/>
                <w:lang w:val="en-US" w:eastAsia="zh-CN"/>
              </w:rPr>
            </w:pPr>
            <w:r>
              <w:rPr>
                <w:rFonts w:hint="eastAsia"/>
                <w:color w:val="auto"/>
                <w:kern w:val="0"/>
                <w:szCs w:val="21"/>
                <w:highlight w:val="none"/>
                <w:lang w:val="en-US" w:eastAsia="zh-CN"/>
              </w:rPr>
              <w:t>环境风险分析</w:t>
            </w:r>
          </w:p>
        </w:tc>
        <w:tc>
          <w:tcPr>
            <w:tcW w:w="6543" w:type="dxa"/>
            <w:noWrap w:val="0"/>
            <w:vAlign w:val="center"/>
          </w:tcPr>
          <w:p>
            <w:pPr>
              <w:adjustRightInd w:val="0"/>
              <w:spacing w:line="300" w:lineRule="exact"/>
              <w:jc w:val="left"/>
              <w:textAlignment w:val="baseline"/>
              <w:rPr>
                <w:color w:val="auto"/>
                <w:sz w:val="21"/>
                <w:szCs w:val="21"/>
                <w:highlight w:val="none"/>
              </w:rPr>
            </w:pPr>
            <w:r>
              <w:rPr>
                <w:rFonts w:hint="eastAsia"/>
                <w:color w:val="auto"/>
                <w:kern w:val="0"/>
                <w:szCs w:val="21"/>
                <w:highlight w:val="none"/>
                <w:lang w:val="en-US" w:eastAsia="zh-CN"/>
              </w:rPr>
              <w:t>风险等级、环境风险防范措施</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0" w:hRule="atLeast"/>
        </w:trPr>
        <w:tc>
          <w:tcPr>
            <w:tcW w:w="763" w:type="dxa"/>
            <w:vMerge w:val="restart"/>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color w:val="auto"/>
                <w:sz w:val="21"/>
                <w:szCs w:val="21"/>
                <w:highlight w:val="none"/>
              </w:rPr>
            </w:pPr>
            <w:r>
              <w:rPr>
                <w:color w:val="auto"/>
                <w:sz w:val="21"/>
                <w:szCs w:val="21"/>
                <w:highlight w:val="none"/>
              </w:rPr>
              <w:t>总量</w:t>
            </w:r>
          </w:p>
          <w:p>
            <w:pPr>
              <w:pStyle w:val="1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outlineLvl w:val="9"/>
              <w:rPr>
                <w:color w:val="auto"/>
                <w:sz w:val="21"/>
                <w:szCs w:val="21"/>
                <w:highlight w:val="none"/>
              </w:rPr>
            </w:pPr>
            <w:r>
              <w:rPr>
                <w:color w:val="auto"/>
                <w:sz w:val="21"/>
                <w:szCs w:val="21"/>
                <w:highlight w:val="none"/>
              </w:rPr>
              <w:t>控制</w:t>
            </w:r>
          </w:p>
        </w:tc>
        <w:tc>
          <w:tcPr>
            <w:tcW w:w="1980" w:type="dxa"/>
            <w:noWrap w:val="0"/>
            <w:vAlign w:val="center"/>
          </w:tcPr>
          <w:p>
            <w:pPr>
              <w:pStyle w:val="12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color w:val="auto"/>
                <w:szCs w:val="21"/>
                <w:highlight w:val="none"/>
                <w:lang w:val="en-US" w:eastAsia="zh-CN"/>
              </w:rPr>
            </w:pPr>
            <w:r>
              <w:rPr>
                <w:rFonts w:hint="eastAsia"/>
                <w:color w:val="auto"/>
                <w:szCs w:val="21"/>
                <w:highlight w:val="none"/>
                <w:lang w:val="en-US" w:eastAsia="zh-CN"/>
              </w:rPr>
              <w:t>废水污染物</w:t>
            </w:r>
          </w:p>
        </w:tc>
        <w:tc>
          <w:tcPr>
            <w:tcW w:w="6543" w:type="dxa"/>
            <w:noWrap w:val="0"/>
            <w:vAlign w:val="center"/>
          </w:tcPr>
          <w:p>
            <w:pPr>
              <w:pStyle w:val="12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outlineLvl w:val="9"/>
              <w:rPr>
                <w:color w:val="auto"/>
                <w:sz w:val="21"/>
                <w:szCs w:val="21"/>
                <w:highlight w:val="none"/>
              </w:rPr>
            </w:pPr>
            <w:r>
              <w:rPr>
                <w:color w:val="auto"/>
                <w:sz w:val="21"/>
                <w:szCs w:val="21"/>
                <w:highlight w:val="none"/>
              </w:rPr>
              <w:t>COD、氨</w:t>
            </w:r>
            <w:r>
              <w:rPr>
                <w:color w:val="auto"/>
                <w:sz w:val="21"/>
                <w:szCs w:val="21"/>
                <w:highlight w:val="none"/>
              </w:rPr>
              <w:t>氮、总锌、总铜、</w:t>
            </w:r>
            <w:r>
              <w:rPr>
                <w:rFonts w:hint="eastAsia"/>
                <w:color w:val="auto"/>
                <w:sz w:val="21"/>
                <w:szCs w:val="21"/>
                <w:highlight w:val="none"/>
                <w:u w:val="none" w:color="FFFFFF"/>
                <w:lang w:eastAsia="zh-CN"/>
              </w:rPr>
              <w:t>总银</w:t>
            </w:r>
            <w:r>
              <w:rPr>
                <w:rFonts w:hint="eastAsia"/>
                <w:color w:val="auto"/>
                <w:kern w:val="2"/>
                <w:sz w:val="21"/>
                <w:szCs w:val="21"/>
                <w:highlight w:val="none"/>
              </w:rPr>
              <w:t>、</w:t>
            </w:r>
            <w:r>
              <w:rPr>
                <w:rFonts w:hint="eastAsia"/>
                <w:color w:val="auto"/>
                <w:kern w:val="2"/>
                <w:sz w:val="21"/>
                <w:szCs w:val="21"/>
                <w:highlight w:val="none"/>
                <w:lang w:val="en-US" w:eastAsia="zh-CN"/>
              </w:rPr>
              <w:t>总镍、</w:t>
            </w:r>
            <w:r>
              <w:rPr>
                <w:color w:val="auto"/>
                <w:kern w:val="2"/>
                <w:sz w:val="21"/>
                <w:szCs w:val="21"/>
                <w:highlight w:val="none"/>
              </w:rPr>
              <w:t>六价铬、总铬</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0" w:hRule="atLeast"/>
        </w:trPr>
        <w:tc>
          <w:tcPr>
            <w:tcW w:w="763" w:type="dxa"/>
            <w:vMerge w:val="continue"/>
            <w:noWrap w:val="0"/>
            <w:vAlign w:val="center"/>
          </w:tcPr>
          <w:p>
            <w:pPr>
              <w:pStyle w:val="14"/>
              <w:keepNext w:val="0"/>
              <w:keepLines w:val="0"/>
              <w:pageBreakBefore w:val="0"/>
              <w:widowControl w:val="0"/>
              <w:kinsoku/>
              <w:wordWrap/>
              <w:overflowPunct/>
              <w:topLinePunct w:val="0"/>
              <w:autoSpaceDE/>
              <w:autoSpaceDN/>
              <w:bidi w:val="0"/>
              <w:adjustRightInd w:val="0"/>
              <w:snapToGrid w:val="0"/>
              <w:spacing w:line="240" w:lineRule="auto"/>
              <w:ind w:left="0" w:leftChars="0" w:firstLine="0"/>
              <w:jc w:val="center"/>
              <w:textAlignment w:val="auto"/>
              <w:outlineLvl w:val="9"/>
              <w:rPr>
                <w:color w:val="auto"/>
                <w:sz w:val="21"/>
                <w:szCs w:val="21"/>
                <w:highlight w:val="none"/>
              </w:rPr>
            </w:pPr>
          </w:p>
        </w:tc>
        <w:tc>
          <w:tcPr>
            <w:tcW w:w="1980" w:type="dxa"/>
            <w:noWrap w:val="0"/>
            <w:vAlign w:val="center"/>
          </w:tcPr>
          <w:p>
            <w:pPr>
              <w:pStyle w:val="12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color w:val="auto"/>
                <w:szCs w:val="21"/>
                <w:highlight w:val="none"/>
                <w:lang w:val="en-US" w:eastAsia="zh-CN"/>
              </w:rPr>
            </w:pPr>
            <w:r>
              <w:rPr>
                <w:rFonts w:hint="eastAsia"/>
                <w:color w:val="auto"/>
                <w:szCs w:val="21"/>
                <w:highlight w:val="none"/>
                <w:lang w:val="en-US" w:eastAsia="zh-CN"/>
              </w:rPr>
              <w:t>废气污染物</w:t>
            </w:r>
          </w:p>
        </w:tc>
        <w:tc>
          <w:tcPr>
            <w:tcW w:w="6543" w:type="dxa"/>
            <w:noWrap w:val="0"/>
            <w:vAlign w:val="center"/>
          </w:tcPr>
          <w:p>
            <w:pPr>
              <w:pStyle w:val="12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outlineLvl w:val="9"/>
              <w:rPr>
                <w:rFonts w:hint="default" w:eastAsia="宋体"/>
                <w:color w:val="auto"/>
                <w:sz w:val="21"/>
                <w:szCs w:val="21"/>
                <w:highlight w:val="none"/>
                <w:lang w:val="en-US" w:eastAsia="zh-CN"/>
              </w:rPr>
            </w:pPr>
            <w:r>
              <w:rPr>
                <w:rFonts w:hint="eastAsia"/>
                <w:color w:val="auto"/>
                <w:sz w:val="21"/>
                <w:szCs w:val="21"/>
                <w:highlight w:val="none"/>
                <w:lang w:eastAsia="zh-CN"/>
              </w:rPr>
              <w:t>颗粒物、</w:t>
            </w:r>
            <w:r>
              <w:rPr>
                <w:color w:val="auto"/>
                <w:sz w:val="21"/>
                <w:szCs w:val="21"/>
                <w:highlight w:val="none"/>
              </w:rPr>
              <w:t>SO</w:t>
            </w:r>
            <w:r>
              <w:rPr>
                <w:color w:val="auto"/>
                <w:sz w:val="21"/>
                <w:szCs w:val="21"/>
                <w:highlight w:val="none"/>
                <w:vertAlign w:val="subscript"/>
              </w:rPr>
              <w:t>2</w:t>
            </w:r>
            <w:r>
              <w:rPr>
                <w:color w:val="auto"/>
                <w:sz w:val="21"/>
                <w:szCs w:val="21"/>
                <w:highlight w:val="none"/>
              </w:rPr>
              <w:t>、NOx</w:t>
            </w:r>
            <w:r>
              <w:rPr>
                <w:rFonts w:hint="eastAsia"/>
                <w:color w:val="auto"/>
                <w:sz w:val="21"/>
                <w:szCs w:val="21"/>
                <w:highlight w:val="none"/>
                <w:lang w:eastAsia="zh-CN"/>
              </w:rPr>
              <w:t>、</w:t>
            </w:r>
            <w:r>
              <w:rPr>
                <w:rFonts w:hint="eastAsia"/>
                <w:color w:val="auto"/>
                <w:sz w:val="21"/>
                <w:szCs w:val="21"/>
                <w:highlight w:val="none"/>
                <w:lang w:val="en-US" w:eastAsia="zh-CN"/>
              </w:rPr>
              <w:t>氯化氢、铬酸雾、硫酸雾</w:t>
            </w:r>
          </w:p>
        </w:tc>
      </w:tr>
    </w:tbl>
    <w:p>
      <w:pPr>
        <w:pStyle w:val="6"/>
        <w:numPr>
          <w:ilvl w:val="0"/>
          <w:numId w:val="0"/>
        </w:numPr>
        <w:tabs>
          <w:tab w:val="left" w:pos="540"/>
          <w:tab w:val="left" w:pos="720"/>
        </w:tabs>
        <w:adjustRightInd w:val="0"/>
        <w:snapToGrid w:val="0"/>
        <w:spacing w:before="0" w:after="0" w:line="360" w:lineRule="auto"/>
        <w:rPr>
          <w:rFonts w:ascii="Times New Roman" w:hAnsi="Times New Roman"/>
          <w:b w:val="0"/>
          <w:bCs w:val="0"/>
          <w:color w:val="auto"/>
          <w:sz w:val="24"/>
          <w:szCs w:val="24"/>
          <w:highlight w:val="none"/>
        </w:rPr>
      </w:pPr>
      <w:bookmarkStart w:id="22" w:name="_Toc257792331"/>
      <w:bookmarkStart w:id="23" w:name="_Toc870"/>
      <w:bookmarkStart w:id="24" w:name="_Toc396207008"/>
      <w:bookmarkStart w:id="25" w:name="_Toc530655592"/>
      <w:bookmarkStart w:id="26" w:name="_Toc519063292"/>
      <w:bookmarkStart w:id="27" w:name="_Toc360778953"/>
      <w:r>
        <w:rPr>
          <w:rFonts w:hint="eastAsia" w:ascii="Times New Roman" w:hAnsi="Times New Roman"/>
          <w:b w:val="0"/>
          <w:bCs w:val="0"/>
          <w:color w:val="auto"/>
          <w:sz w:val="24"/>
          <w:szCs w:val="24"/>
          <w:highlight w:val="none"/>
        </w:rPr>
        <w:t>1.4 评价</w:t>
      </w:r>
      <w:r>
        <w:rPr>
          <w:rFonts w:ascii="Times New Roman" w:hAnsi="Times New Roman"/>
          <w:b w:val="0"/>
          <w:bCs w:val="0"/>
          <w:color w:val="auto"/>
          <w:sz w:val="24"/>
          <w:szCs w:val="24"/>
          <w:highlight w:val="none"/>
        </w:rPr>
        <w:t>标准</w:t>
      </w:r>
      <w:bookmarkEnd w:id="22"/>
      <w:bookmarkEnd w:id="23"/>
      <w:bookmarkEnd w:id="24"/>
      <w:bookmarkEnd w:id="25"/>
      <w:bookmarkEnd w:id="26"/>
      <w:bookmarkEnd w:id="27"/>
      <w:bookmarkStart w:id="28" w:name="_Toc257792332"/>
    </w:p>
    <w:bookmarkEnd w:id="28"/>
    <w:p>
      <w:pPr>
        <w:adjustRightInd w:val="0"/>
        <w:snapToGrid w:val="0"/>
        <w:spacing w:line="360" w:lineRule="auto"/>
        <w:outlineLvl w:val="2"/>
        <w:rPr>
          <w:rFonts w:eastAsia="黑体"/>
          <w:color w:val="auto"/>
          <w:sz w:val="24"/>
          <w:highlight w:val="none"/>
        </w:rPr>
      </w:pPr>
      <w:r>
        <w:rPr>
          <w:rFonts w:eastAsia="黑体"/>
          <w:color w:val="auto"/>
          <w:sz w:val="24"/>
          <w:highlight w:val="none"/>
        </w:rPr>
        <w:t>1.4.1 环境质量标准</w:t>
      </w:r>
    </w:p>
    <w:p>
      <w:pPr>
        <w:adjustRightInd w:val="0"/>
        <w:snapToGrid w:val="0"/>
        <w:spacing w:line="360" w:lineRule="auto"/>
        <w:ind w:firstLine="480" w:firstLineChars="200"/>
        <w:rPr>
          <w:color w:val="auto"/>
          <w:sz w:val="24"/>
          <w:highlight w:val="none"/>
        </w:rPr>
      </w:pPr>
      <w:r>
        <w:rPr>
          <w:rFonts w:hint="eastAsia"/>
          <w:color w:val="auto"/>
          <w:sz w:val="24"/>
          <w:highlight w:val="none"/>
        </w:rPr>
        <w:t>1、</w:t>
      </w:r>
      <w:r>
        <w:rPr>
          <w:color w:val="auto"/>
          <w:sz w:val="24"/>
          <w:highlight w:val="none"/>
        </w:rPr>
        <w:t>大气环境质量标准</w:t>
      </w:r>
    </w:p>
    <w:p>
      <w:pPr>
        <w:adjustRightInd w:val="0"/>
        <w:snapToGrid w:val="0"/>
        <w:spacing w:line="360" w:lineRule="auto"/>
        <w:ind w:firstLine="480" w:firstLineChars="200"/>
        <w:rPr>
          <w:color w:val="auto"/>
          <w:sz w:val="24"/>
          <w:highlight w:val="none"/>
        </w:rPr>
      </w:pPr>
      <w:r>
        <w:rPr>
          <w:color w:val="auto"/>
          <w:sz w:val="24"/>
          <w:highlight w:val="none"/>
        </w:rPr>
        <w:t>根据青岛市环境空气质量功能区分类，项目所在区域</w:t>
      </w:r>
      <w:r>
        <w:rPr>
          <w:rFonts w:hint="eastAsia"/>
          <w:color w:val="auto"/>
          <w:sz w:val="24"/>
          <w:highlight w:val="none"/>
        </w:rPr>
        <w:t>属环境空气质量功能区二类区</w:t>
      </w:r>
      <w:r>
        <w:rPr>
          <w:color w:val="auto"/>
          <w:sz w:val="24"/>
          <w:highlight w:val="none"/>
        </w:rPr>
        <w:t>。SO</w:t>
      </w:r>
      <w:r>
        <w:rPr>
          <w:color w:val="auto"/>
          <w:sz w:val="24"/>
          <w:highlight w:val="none"/>
          <w:vertAlign w:val="subscript"/>
        </w:rPr>
        <w:t>2</w:t>
      </w:r>
      <w:r>
        <w:rPr>
          <w:color w:val="auto"/>
          <w:sz w:val="24"/>
          <w:highlight w:val="none"/>
        </w:rPr>
        <w:t>、NO</w:t>
      </w:r>
      <w:r>
        <w:rPr>
          <w:rFonts w:hint="eastAsia"/>
          <w:color w:val="auto"/>
          <w:sz w:val="24"/>
          <w:highlight w:val="none"/>
          <w:vertAlign w:val="subscript"/>
          <w:lang w:val="en-US" w:eastAsia="zh-CN"/>
        </w:rPr>
        <w:t>x</w:t>
      </w:r>
      <w:r>
        <w:rPr>
          <w:color w:val="auto"/>
          <w:sz w:val="24"/>
          <w:highlight w:val="none"/>
        </w:rPr>
        <w:t>、PM</w:t>
      </w:r>
      <w:r>
        <w:rPr>
          <w:color w:val="auto"/>
          <w:sz w:val="24"/>
          <w:highlight w:val="none"/>
          <w:vertAlign w:val="subscript"/>
        </w:rPr>
        <w:t>10</w:t>
      </w:r>
      <w:r>
        <w:rPr>
          <w:color w:val="auto"/>
          <w:sz w:val="24"/>
          <w:highlight w:val="none"/>
        </w:rPr>
        <w:t>、</w:t>
      </w:r>
      <w:r>
        <w:rPr>
          <w:color w:val="auto"/>
          <w:sz w:val="24"/>
          <w:szCs w:val="24"/>
          <w:highlight w:val="none"/>
        </w:rPr>
        <w:t>PM</w:t>
      </w:r>
      <w:r>
        <w:rPr>
          <w:rFonts w:hint="eastAsia"/>
          <w:color w:val="auto"/>
          <w:sz w:val="24"/>
          <w:szCs w:val="24"/>
          <w:highlight w:val="none"/>
          <w:vertAlign w:val="subscript"/>
        </w:rPr>
        <w:t>2.5</w:t>
      </w:r>
      <w:r>
        <w:rPr>
          <w:rStyle w:val="43"/>
          <w:rFonts w:ascii="Times New Roman" w:hAnsi="Times New Roman" w:cs="Times New Roman"/>
          <w:color w:val="auto"/>
          <w:kern w:val="2"/>
          <w:sz w:val="24"/>
          <w:szCs w:val="24"/>
          <w:highlight w:val="none"/>
        </w:rPr>
        <w:t>、CO、O</w:t>
      </w:r>
      <w:r>
        <w:rPr>
          <w:rStyle w:val="43"/>
          <w:rFonts w:ascii="Times New Roman" w:hAnsi="Times New Roman" w:cs="Times New Roman"/>
          <w:color w:val="auto"/>
          <w:kern w:val="2"/>
          <w:sz w:val="24"/>
          <w:szCs w:val="24"/>
          <w:highlight w:val="none"/>
          <w:vertAlign w:val="subscript"/>
        </w:rPr>
        <w:t>3</w:t>
      </w:r>
      <w:r>
        <w:rPr>
          <w:color w:val="auto"/>
          <w:sz w:val="24"/>
          <w:highlight w:val="none"/>
        </w:rPr>
        <w:t>执行《环境空气质量标准》</w:t>
      </w:r>
      <w:r>
        <w:rPr>
          <w:rFonts w:hint="eastAsia"/>
          <w:color w:val="auto"/>
          <w:sz w:val="24"/>
          <w:highlight w:val="none"/>
        </w:rPr>
        <w:t>(</w:t>
      </w:r>
      <w:r>
        <w:rPr>
          <w:color w:val="auto"/>
          <w:sz w:val="24"/>
          <w:highlight w:val="none"/>
        </w:rPr>
        <w:t>GB3095-</w:t>
      </w:r>
      <w:r>
        <w:rPr>
          <w:rFonts w:hint="eastAsia"/>
          <w:color w:val="auto"/>
          <w:sz w:val="24"/>
          <w:highlight w:val="none"/>
        </w:rPr>
        <w:t>2012)</w:t>
      </w:r>
      <w:r>
        <w:rPr>
          <w:color w:val="auto"/>
          <w:sz w:val="24"/>
          <w:highlight w:val="none"/>
        </w:rPr>
        <w:t>二级标准，氯化氢</w:t>
      </w:r>
      <w:r>
        <w:rPr>
          <w:rFonts w:hint="eastAsia"/>
          <w:color w:val="auto"/>
          <w:sz w:val="24"/>
          <w:highlight w:val="none"/>
        </w:rPr>
        <w:t>、硫酸</w:t>
      </w:r>
      <w:r>
        <w:rPr>
          <w:rFonts w:hint="eastAsia"/>
          <w:color w:val="auto"/>
          <w:sz w:val="24"/>
          <w:highlight w:val="none"/>
          <w:lang w:eastAsia="zh-CN"/>
        </w:rPr>
        <w:t>、氨</w:t>
      </w:r>
      <w:r>
        <w:rPr>
          <w:rFonts w:hint="eastAsia"/>
          <w:color w:val="auto"/>
          <w:sz w:val="24"/>
          <w:highlight w:val="none"/>
        </w:rPr>
        <w:t>选用《环境影响评价技术导则 大气环境》</w:t>
      </w:r>
      <w:r>
        <w:rPr>
          <w:rFonts w:hint="eastAsia"/>
          <w:color w:val="auto"/>
          <w:sz w:val="24"/>
          <w:highlight w:val="none"/>
          <w:lang w:eastAsia="zh-CN"/>
        </w:rPr>
        <w:t>(</w:t>
      </w:r>
      <w:r>
        <w:rPr>
          <w:rFonts w:hint="eastAsia"/>
          <w:color w:val="auto"/>
          <w:sz w:val="24"/>
          <w:highlight w:val="none"/>
        </w:rPr>
        <w:t>HJ2.2-2018</w:t>
      </w:r>
      <w:r>
        <w:rPr>
          <w:rFonts w:hint="eastAsia"/>
          <w:color w:val="auto"/>
          <w:sz w:val="24"/>
          <w:highlight w:val="none"/>
          <w:lang w:eastAsia="zh-CN"/>
        </w:rPr>
        <w:t>)</w:t>
      </w:r>
      <w:r>
        <w:rPr>
          <w:rFonts w:hint="eastAsia"/>
          <w:color w:val="auto"/>
          <w:sz w:val="24"/>
          <w:highlight w:val="none"/>
        </w:rPr>
        <w:t>附录D中参考值，铬</w:t>
      </w:r>
      <w:r>
        <w:rPr>
          <w:rFonts w:hint="eastAsia"/>
          <w:color w:val="auto"/>
          <w:sz w:val="24"/>
          <w:highlight w:val="none"/>
          <w:lang w:eastAsia="zh-CN"/>
        </w:rPr>
        <w:t>(</w:t>
      </w:r>
      <w:r>
        <w:rPr>
          <w:rFonts w:hint="eastAsia"/>
          <w:color w:val="auto"/>
          <w:sz w:val="24"/>
          <w:highlight w:val="none"/>
        </w:rPr>
        <w:t>六价</w:t>
      </w:r>
      <w:r>
        <w:rPr>
          <w:rFonts w:hint="eastAsia"/>
          <w:color w:val="auto"/>
          <w:sz w:val="24"/>
          <w:highlight w:val="none"/>
          <w:lang w:eastAsia="zh-CN"/>
        </w:rPr>
        <w:t>)</w:t>
      </w:r>
      <w:r>
        <w:rPr>
          <w:rFonts w:hint="eastAsia"/>
          <w:color w:val="auto"/>
          <w:sz w:val="24"/>
          <w:highlight w:val="none"/>
        </w:rPr>
        <w:t>执行《工业企业设计卫生标准》</w:t>
      </w:r>
      <w:r>
        <w:rPr>
          <w:rFonts w:hint="eastAsia"/>
          <w:color w:val="auto"/>
          <w:sz w:val="24"/>
          <w:highlight w:val="none"/>
          <w:lang w:eastAsia="zh-CN"/>
        </w:rPr>
        <w:t>(</w:t>
      </w:r>
      <w:r>
        <w:rPr>
          <w:rFonts w:hint="eastAsia"/>
          <w:color w:val="auto"/>
          <w:sz w:val="24"/>
          <w:highlight w:val="none"/>
        </w:rPr>
        <w:t>TJ36-79</w:t>
      </w:r>
      <w:r>
        <w:rPr>
          <w:rFonts w:hint="eastAsia"/>
          <w:color w:val="auto"/>
          <w:sz w:val="24"/>
          <w:highlight w:val="none"/>
          <w:lang w:eastAsia="zh-CN"/>
        </w:rPr>
        <w:t>)</w:t>
      </w:r>
      <w:r>
        <w:rPr>
          <w:rFonts w:hint="eastAsia"/>
          <w:color w:val="auto"/>
          <w:sz w:val="24"/>
          <w:highlight w:val="none"/>
        </w:rPr>
        <w:t>居住区大气中有害物质的最高容许浓度</w:t>
      </w:r>
      <w:r>
        <w:rPr>
          <w:rFonts w:hint="eastAsia"/>
          <w:color w:val="auto"/>
          <w:sz w:val="24"/>
          <w:highlight w:val="none"/>
          <w:lang w:eastAsia="zh-CN"/>
        </w:rPr>
        <w:t>。</w:t>
      </w:r>
      <w:r>
        <w:rPr>
          <w:color w:val="auto"/>
          <w:sz w:val="24"/>
          <w:highlight w:val="none"/>
        </w:rPr>
        <w:t>具体数值见表1.</w:t>
      </w:r>
      <w:r>
        <w:rPr>
          <w:rFonts w:hint="eastAsia"/>
          <w:color w:val="auto"/>
          <w:sz w:val="24"/>
          <w:highlight w:val="none"/>
        </w:rPr>
        <w:t>4</w:t>
      </w:r>
      <w:r>
        <w:rPr>
          <w:color w:val="auto"/>
          <w:sz w:val="24"/>
          <w:highlight w:val="none"/>
        </w:rPr>
        <w:t>-</w:t>
      </w:r>
      <w:r>
        <w:rPr>
          <w:rFonts w:hint="eastAsia"/>
          <w:color w:val="auto"/>
          <w:sz w:val="24"/>
          <w:highlight w:val="none"/>
        </w:rPr>
        <w:t>1</w:t>
      </w:r>
      <w:r>
        <w:rPr>
          <w:color w:val="auto"/>
          <w:sz w:val="24"/>
          <w:highlight w:val="none"/>
        </w:rPr>
        <w:t>。</w:t>
      </w:r>
    </w:p>
    <w:p>
      <w:pPr>
        <w:adjustRightInd w:val="0"/>
        <w:snapToGrid w:val="0"/>
        <w:jc w:val="right"/>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 xml:space="preserve">表1.4-1 </w:t>
      </w:r>
      <w:r>
        <w:rPr>
          <w:rFonts w:hint="eastAsia" w:ascii="黑体" w:hAnsi="黑体" w:eastAsia="黑体" w:cs="黑体"/>
          <w:b w:val="0"/>
          <w:bCs w:val="0"/>
          <w:color w:val="auto"/>
          <w:sz w:val="24"/>
          <w:szCs w:val="24"/>
          <w:highlight w:val="none"/>
          <w:lang w:val="en-US" w:eastAsia="zh-CN"/>
        </w:rPr>
        <w:t xml:space="preserve"> </w:t>
      </w:r>
      <w:r>
        <w:rPr>
          <w:rFonts w:hint="eastAsia" w:ascii="黑体" w:hAnsi="黑体" w:eastAsia="黑体" w:cs="黑体"/>
          <w:b w:val="0"/>
          <w:bCs w:val="0"/>
          <w:color w:val="auto"/>
          <w:sz w:val="24"/>
          <w:szCs w:val="24"/>
          <w:highlight w:val="none"/>
        </w:rPr>
        <w:t xml:space="preserve">环境空气指标标准  </w:t>
      </w:r>
      <w:r>
        <w:rPr>
          <w:rFonts w:hint="eastAsia" w:ascii="黑体" w:hAnsi="黑体" w:eastAsia="黑体" w:cs="黑体"/>
          <w:b w:val="0"/>
          <w:bCs w:val="0"/>
          <w:color w:val="auto"/>
          <w:sz w:val="24"/>
          <w:szCs w:val="24"/>
          <w:highlight w:val="none"/>
          <w:lang w:val="en-US" w:eastAsia="zh-CN"/>
        </w:rPr>
        <w:t xml:space="preserve">        </w:t>
      </w:r>
      <w:r>
        <w:rPr>
          <w:rFonts w:hint="eastAsia" w:ascii="黑体" w:hAnsi="黑体" w:eastAsia="黑体" w:cs="黑体"/>
          <w:b w:val="0"/>
          <w:bCs w:val="0"/>
          <w:color w:val="auto"/>
          <w:sz w:val="24"/>
          <w:szCs w:val="24"/>
          <w:highlight w:val="none"/>
        </w:rPr>
        <w:t xml:space="preserve">  单位：μg/m</w:t>
      </w:r>
      <w:r>
        <w:rPr>
          <w:rFonts w:hint="eastAsia" w:ascii="黑体" w:hAnsi="黑体" w:eastAsia="黑体" w:cs="黑体"/>
          <w:b w:val="0"/>
          <w:bCs w:val="0"/>
          <w:color w:val="auto"/>
          <w:sz w:val="24"/>
          <w:szCs w:val="24"/>
          <w:highlight w:val="none"/>
          <w:vertAlign w:val="superscript"/>
        </w:rPr>
        <w:t>3</w:t>
      </w:r>
    </w:p>
    <w:tbl>
      <w:tblPr>
        <w:tblStyle w:val="36"/>
        <w:tblW w:w="9070" w:type="dxa"/>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457"/>
        <w:gridCol w:w="1881"/>
        <w:gridCol w:w="1384"/>
        <w:gridCol w:w="4348"/>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1457" w:type="dxa"/>
            <w:tcMar>
              <w:left w:w="0" w:type="dxa"/>
              <w:right w:w="0" w:type="dxa"/>
            </w:tcMar>
            <w:vAlign w:val="center"/>
          </w:tcPr>
          <w:p>
            <w:pPr>
              <w:jc w:val="center"/>
              <w:rPr>
                <w:b/>
                <w:color w:val="auto"/>
                <w:szCs w:val="21"/>
                <w:highlight w:val="none"/>
              </w:rPr>
            </w:pPr>
            <w:r>
              <w:rPr>
                <w:b/>
                <w:color w:val="auto"/>
                <w:szCs w:val="21"/>
                <w:highlight w:val="none"/>
              </w:rPr>
              <w:t>项目</w:t>
            </w:r>
          </w:p>
        </w:tc>
        <w:tc>
          <w:tcPr>
            <w:tcW w:w="1881" w:type="dxa"/>
            <w:tcMar>
              <w:left w:w="0" w:type="dxa"/>
              <w:right w:w="0" w:type="dxa"/>
            </w:tcMar>
            <w:vAlign w:val="center"/>
          </w:tcPr>
          <w:p>
            <w:pPr>
              <w:jc w:val="center"/>
              <w:rPr>
                <w:b/>
                <w:color w:val="auto"/>
                <w:szCs w:val="21"/>
                <w:highlight w:val="none"/>
              </w:rPr>
            </w:pPr>
            <w:r>
              <w:rPr>
                <w:b/>
                <w:color w:val="auto"/>
                <w:szCs w:val="21"/>
                <w:highlight w:val="none"/>
              </w:rPr>
              <w:t>取值时间</w:t>
            </w:r>
          </w:p>
        </w:tc>
        <w:tc>
          <w:tcPr>
            <w:tcW w:w="1384" w:type="dxa"/>
            <w:tcMar>
              <w:left w:w="0" w:type="dxa"/>
              <w:right w:w="0" w:type="dxa"/>
            </w:tcMar>
            <w:vAlign w:val="center"/>
          </w:tcPr>
          <w:p>
            <w:pPr>
              <w:jc w:val="center"/>
              <w:rPr>
                <w:b/>
                <w:color w:val="auto"/>
                <w:szCs w:val="21"/>
                <w:highlight w:val="none"/>
              </w:rPr>
            </w:pPr>
            <w:r>
              <w:rPr>
                <w:b/>
                <w:color w:val="auto"/>
                <w:szCs w:val="21"/>
                <w:highlight w:val="none"/>
              </w:rPr>
              <w:t>浓度限值</w:t>
            </w:r>
          </w:p>
        </w:tc>
        <w:tc>
          <w:tcPr>
            <w:tcW w:w="4348" w:type="dxa"/>
            <w:tcMar>
              <w:left w:w="0" w:type="dxa"/>
              <w:right w:w="0" w:type="dxa"/>
            </w:tcMar>
            <w:vAlign w:val="center"/>
          </w:tcPr>
          <w:p>
            <w:pPr>
              <w:jc w:val="center"/>
              <w:rPr>
                <w:b/>
                <w:color w:val="auto"/>
                <w:szCs w:val="21"/>
                <w:highlight w:val="none"/>
              </w:rPr>
            </w:pPr>
            <w:r>
              <w:rPr>
                <w:b/>
                <w:color w:val="auto"/>
                <w:szCs w:val="21"/>
                <w:highlight w:val="none"/>
              </w:rPr>
              <w:t>标准来源</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45" w:hRule="atLeast"/>
          <w:jc w:val="center"/>
        </w:trPr>
        <w:tc>
          <w:tcPr>
            <w:tcW w:w="1457" w:type="dxa"/>
            <w:vMerge w:val="restart"/>
            <w:tcMar>
              <w:left w:w="0" w:type="dxa"/>
              <w:right w:w="0" w:type="dxa"/>
            </w:tcMar>
            <w:vAlign w:val="center"/>
          </w:tcPr>
          <w:p>
            <w:pPr>
              <w:jc w:val="center"/>
              <w:rPr>
                <w:color w:val="auto"/>
                <w:szCs w:val="21"/>
                <w:highlight w:val="none"/>
              </w:rPr>
            </w:pPr>
            <w:r>
              <w:rPr>
                <w:color w:val="auto"/>
                <w:szCs w:val="21"/>
                <w:highlight w:val="none"/>
              </w:rPr>
              <w:t>SO</w:t>
            </w:r>
            <w:r>
              <w:rPr>
                <w:color w:val="auto"/>
                <w:szCs w:val="21"/>
                <w:highlight w:val="none"/>
                <w:vertAlign w:val="subscript"/>
              </w:rPr>
              <w:t>2</w:t>
            </w:r>
          </w:p>
        </w:tc>
        <w:tc>
          <w:tcPr>
            <w:tcW w:w="1881" w:type="dxa"/>
            <w:tcMar>
              <w:left w:w="0" w:type="dxa"/>
              <w:right w:w="0" w:type="dxa"/>
            </w:tcMar>
            <w:vAlign w:val="center"/>
          </w:tcPr>
          <w:p>
            <w:pPr>
              <w:spacing w:before="24" w:beforeLines="8"/>
              <w:jc w:val="center"/>
              <w:rPr>
                <w:color w:val="auto"/>
                <w:kern w:val="0"/>
                <w:szCs w:val="21"/>
                <w:highlight w:val="none"/>
              </w:rPr>
            </w:pPr>
            <w:r>
              <w:rPr>
                <w:rFonts w:hint="eastAsia"/>
                <w:color w:val="auto"/>
                <w:kern w:val="0"/>
                <w:szCs w:val="21"/>
                <w:highlight w:val="none"/>
              </w:rPr>
              <w:t>24小时</w:t>
            </w:r>
            <w:r>
              <w:rPr>
                <w:color w:val="auto"/>
                <w:kern w:val="0"/>
                <w:szCs w:val="21"/>
                <w:highlight w:val="none"/>
              </w:rPr>
              <w:t>平均</w:t>
            </w:r>
          </w:p>
        </w:tc>
        <w:tc>
          <w:tcPr>
            <w:tcW w:w="1384" w:type="dxa"/>
            <w:tcMar>
              <w:left w:w="0" w:type="dxa"/>
              <w:right w:w="0" w:type="dxa"/>
            </w:tcMar>
            <w:vAlign w:val="center"/>
          </w:tcPr>
          <w:p>
            <w:pPr>
              <w:spacing w:before="24" w:beforeLines="8"/>
              <w:jc w:val="center"/>
              <w:rPr>
                <w:color w:val="auto"/>
                <w:kern w:val="0"/>
                <w:szCs w:val="21"/>
                <w:highlight w:val="none"/>
              </w:rPr>
            </w:pPr>
            <w:r>
              <w:rPr>
                <w:rFonts w:hint="eastAsia"/>
                <w:color w:val="auto"/>
                <w:kern w:val="0"/>
                <w:szCs w:val="21"/>
                <w:highlight w:val="none"/>
              </w:rPr>
              <w:t>150</w:t>
            </w:r>
          </w:p>
        </w:tc>
        <w:tc>
          <w:tcPr>
            <w:tcW w:w="4348" w:type="dxa"/>
            <w:vMerge w:val="restart"/>
            <w:tcMar>
              <w:left w:w="0" w:type="dxa"/>
              <w:right w:w="0" w:type="dxa"/>
            </w:tcMar>
            <w:vAlign w:val="center"/>
          </w:tcPr>
          <w:p>
            <w:pPr>
              <w:jc w:val="center"/>
              <w:rPr>
                <w:color w:val="auto"/>
                <w:szCs w:val="21"/>
                <w:highlight w:val="none"/>
              </w:rPr>
            </w:pPr>
            <w:r>
              <w:rPr>
                <w:color w:val="auto"/>
                <w:szCs w:val="21"/>
                <w:highlight w:val="none"/>
              </w:rPr>
              <w:t>《环境空气质量标准》</w:t>
            </w:r>
            <w:r>
              <w:rPr>
                <w:rFonts w:hint="eastAsia"/>
                <w:color w:val="auto"/>
                <w:szCs w:val="21"/>
                <w:highlight w:val="none"/>
              </w:rPr>
              <w:t>(</w:t>
            </w:r>
            <w:r>
              <w:rPr>
                <w:color w:val="auto"/>
                <w:szCs w:val="21"/>
                <w:highlight w:val="none"/>
              </w:rPr>
              <w:t>GB3095-</w:t>
            </w:r>
            <w:r>
              <w:rPr>
                <w:rFonts w:hint="eastAsia"/>
                <w:color w:val="auto"/>
                <w:szCs w:val="21"/>
                <w:highlight w:val="none"/>
              </w:rPr>
              <w:t>2012)</w:t>
            </w:r>
            <w:r>
              <w:rPr>
                <w:color w:val="auto"/>
                <w:kern w:val="0"/>
                <w:szCs w:val="21"/>
                <w:highlight w:val="none"/>
              </w:rPr>
              <w:t>二级标准</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1457" w:type="dxa"/>
            <w:vMerge w:val="continue"/>
            <w:tcMar>
              <w:left w:w="0" w:type="dxa"/>
              <w:right w:w="0" w:type="dxa"/>
            </w:tcMar>
            <w:vAlign w:val="center"/>
          </w:tcPr>
          <w:p>
            <w:pPr>
              <w:jc w:val="center"/>
              <w:rPr>
                <w:color w:val="auto"/>
                <w:szCs w:val="21"/>
                <w:highlight w:val="none"/>
              </w:rPr>
            </w:pPr>
          </w:p>
        </w:tc>
        <w:tc>
          <w:tcPr>
            <w:tcW w:w="1881" w:type="dxa"/>
            <w:tcMar>
              <w:left w:w="0" w:type="dxa"/>
              <w:right w:w="0" w:type="dxa"/>
            </w:tcMar>
            <w:vAlign w:val="center"/>
          </w:tcPr>
          <w:p>
            <w:pPr>
              <w:widowControl/>
              <w:spacing w:before="24" w:beforeLines="8"/>
              <w:jc w:val="center"/>
              <w:rPr>
                <w:color w:val="auto"/>
                <w:kern w:val="0"/>
                <w:szCs w:val="21"/>
                <w:highlight w:val="none"/>
              </w:rPr>
            </w:pPr>
            <w:r>
              <w:rPr>
                <w:color w:val="auto"/>
                <w:kern w:val="0"/>
                <w:szCs w:val="21"/>
                <w:highlight w:val="none"/>
              </w:rPr>
              <w:t>1小时平均</w:t>
            </w:r>
          </w:p>
        </w:tc>
        <w:tc>
          <w:tcPr>
            <w:tcW w:w="1384" w:type="dxa"/>
            <w:tcMar>
              <w:left w:w="0" w:type="dxa"/>
              <w:right w:w="0" w:type="dxa"/>
            </w:tcMar>
            <w:vAlign w:val="center"/>
          </w:tcPr>
          <w:p>
            <w:pPr>
              <w:widowControl/>
              <w:spacing w:before="24" w:beforeLines="8"/>
              <w:jc w:val="center"/>
              <w:rPr>
                <w:color w:val="auto"/>
                <w:kern w:val="0"/>
                <w:szCs w:val="21"/>
                <w:highlight w:val="none"/>
              </w:rPr>
            </w:pPr>
            <w:r>
              <w:rPr>
                <w:rFonts w:hint="eastAsia"/>
                <w:color w:val="auto"/>
                <w:kern w:val="0"/>
                <w:szCs w:val="21"/>
                <w:highlight w:val="none"/>
              </w:rPr>
              <w:t>500</w:t>
            </w:r>
          </w:p>
        </w:tc>
        <w:tc>
          <w:tcPr>
            <w:tcW w:w="4348" w:type="dxa"/>
            <w:vMerge w:val="continue"/>
            <w:tcMar>
              <w:left w:w="0" w:type="dxa"/>
              <w:right w:w="0" w:type="dxa"/>
            </w:tcMar>
            <w:vAlign w:val="center"/>
          </w:tcPr>
          <w:p>
            <w:pPr>
              <w:jc w:val="center"/>
              <w:rPr>
                <w:color w:val="auto"/>
                <w:szCs w:val="21"/>
                <w:highlight w:val="none"/>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1457" w:type="dxa"/>
            <w:vMerge w:val="restart"/>
            <w:tcMar>
              <w:left w:w="0" w:type="dxa"/>
              <w:right w:w="0" w:type="dxa"/>
            </w:tcMar>
            <w:vAlign w:val="center"/>
          </w:tcPr>
          <w:p>
            <w:pPr>
              <w:jc w:val="center"/>
              <w:rPr>
                <w:rFonts w:hint="eastAsia" w:eastAsia="宋体"/>
                <w:color w:val="auto"/>
                <w:szCs w:val="21"/>
                <w:highlight w:val="none"/>
                <w:lang w:eastAsia="zh-CN"/>
              </w:rPr>
            </w:pPr>
            <w:r>
              <w:rPr>
                <w:color w:val="auto"/>
                <w:szCs w:val="21"/>
                <w:highlight w:val="none"/>
              </w:rPr>
              <w:t>NO</w:t>
            </w:r>
            <w:r>
              <w:rPr>
                <w:rFonts w:hint="eastAsia"/>
                <w:color w:val="auto"/>
                <w:szCs w:val="21"/>
                <w:highlight w:val="none"/>
                <w:vertAlign w:val="subscript"/>
                <w:lang w:val="en-US" w:eastAsia="zh-CN"/>
              </w:rPr>
              <w:t>x</w:t>
            </w:r>
          </w:p>
        </w:tc>
        <w:tc>
          <w:tcPr>
            <w:tcW w:w="1881" w:type="dxa"/>
            <w:tcMar>
              <w:left w:w="0" w:type="dxa"/>
              <w:right w:w="0" w:type="dxa"/>
            </w:tcMar>
            <w:vAlign w:val="center"/>
          </w:tcPr>
          <w:p>
            <w:pPr>
              <w:spacing w:before="24" w:beforeLines="8"/>
              <w:jc w:val="center"/>
              <w:rPr>
                <w:color w:val="auto"/>
                <w:kern w:val="0"/>
                <w:szCs w:val="21"/>
                <w:highlight w:val="none"/>
              </w:rPr>
            </w:pPr>
            <w:r>
              <w:rPr>
                <w:rFonts w:hint="eastAsia"/>
                <w:color w:val="auto"/>
                <w:kern w:val="0"/>
                <w:szCs w:val="21"/>
                <w:highlight w:val="none"/>
              </w:rPr>
              <w:t>24小时</w:t>
            </w:r>
            <w:r>
              <w:rPr>
                <w:color w:val="auto"/>
                <w:kern w:val="0"/>
                <w:szCs w:val="21"/>
                <w:highlight w:val="none"/>
              </w:rPr>
              <w:t>平均</w:t>
            </w:r>
          </w:p>
        </w:tc>
        <w:tc>
          <w:tcPr>
            <w:tcW w:w="1384" w:type="dxa"/>
            <w:tcMar>
              <w:left w:w="0" w:type="dxa"/>
              <w:right w:w="0" w:type="dxa"/>
            </w:tcMar>
            <w:vAlign w:val="center"/>
          </w:tcPr>
          <w:p>
            <w:pPr>
              <w:spacing w:before="24" w:beforeLines="8"/>
              <w:jc w:val="center"/>
              <w:rPr>
                <w:rFonts w:hint="eastAsia" w:eastAsia="宋体"/>
                <w:color w:val="auto"/>
                <w:kern w:val="0"/>
                <w:szCs w:val="21"/>
                <w:highlight w:val="none"/>
                <w:lang w:val="en-US" w:eastAsia="zh-CN"/>
              </w:rPr>
            </w:pPr>
            <w:r>
              <w:rPr>
                <w:rFonts w:hint="eastAsia"/>
                <w:color w:val="auto"/>
                <w:kern w:val="0"/>
                <w:szCs w:val="21"/>
                <w:highlight w:val="none"/>
                <w:lang w:val="en-US" w:eastAsia="zh-CN"/>
              </w:rPr>
              <w:t>100</w:t>
            </w:r>
          </w:p>
        </w:tc>
        <w:tc>
          <w:tcPr>
            <w:tcW w:w="4348" w:type="dxa"/>
            <w:vMerge w:val="continue"/>
            <w:tcMar>
              <w:left w:w="0" w:type="dxa"/>
              <w:right w:w="0" w:type="dxa"/>
            </w:tcMar>
            <w:vAlign w:val="center"/>
          </w:tcPr>
          <w:p>
            <w:pPr>
              <w:jc w:val="center"/>
              <w:rPr>
                <w:color w:val="auto"/>
                <w:szCs w:val="21"/>
                <w:highlight w:val="none"/>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1457" w:type="dxa"/>
            <w:vMerge w:val="continue"/>
            <w:tcMar>
              <w:left w:w="0" w:type="dxa"/>
              <w:right w:w="0" w:type="dxa"/>
            </w:tcMar>
            <w:vAlign w:val="center"/>
          </w:tcPr>
          <w:p>
            <w:pPr>
              <w:jc w:val="center"/>
              <w:rPr>
                <w:color w:val="auto"/>
                <w:szCs w:val="21"/>
                <w:highlight w:val="none"/>
              </w:rPr>
            </w:pPr>
          </w:p>
        </w:tc>
        <w:tc>
          <w:tcPr>
            <w:tcW w:w="1881" w:type="dxa"/>
            <w:tcMar>
              <w:left w:w="0" w:type="dxa"/>
              <w:right w:w="0" w:type="dxa"/>
            </w:tcMar>
            <w:vAlign w:val="center"/>
          </w:tcPr>
          <w:p>
            <w:pPr>
              <w:widowControl/>
              <w:spacing w:before="24" w:beforeLines="8"/>
              <w:jc w:val="center"/>
              <w:rPr>
                <w:color w:val="auto"/>
                <w:kern w:val="0"/>
                <w:szCs w:val="21"/>
                <w:highlight w:val="none"/>
              </w:rPr>
            </w:pPr>
            <w:r>
              <w:rPr>
                <w:color w:val="auto"/>
                <w:kern w:val="0"/>
                <w:szCs w:val="21"/>
                <w:highlight w:val="none"/>
              </w:rPr>
              <w:t>1小时平均</w:t>
            </w:r>
          </w:p>
        </w:tc>
        <w:tc>
          <w:tcPr>
            <w:tcW w:w="1384" w:type="dxa"/>
            <w:tcMar>
              <w:left w:w="0" w:type="dxa"/>
              <w:right w:w="0" w:type="dxa"/>
            </w:tcMar>
            <w:vAlign w:val="center"/>
          </w:tcPr>
          <w:p>
            <w:pPr>
              <w:widowControl/>
              <w:spacing w:before="24" w:beforeLines="8"/>
              <w:jc w:val="center"/>
              <w:rPr>
                <w:color w:val="auto"/>
                <w:kern w:val="0"/>
                <w:szCs w:val="21"/>
                <w:highlight w:val="none"/>
              </w:rPr>
            </w:pPr>
            <w:r>
              <w:rPr>
                <w:rFonts w:hint="eastAsia"/>
                <w:color w:val="auto"/>
                <w:kern w:val="0"/>
                <w:szCs w:val="21"/>
                <w:highlight w:val="none"/>
              </w:rPr>
              <w:t>2</w:t>
            </w:r>
            <w:r>
              <w:rPr>
                <w:rFonts w:hint="eastAsia"/>
                <w:color w:val="auto"/>
                <w:kern w:val="0"/>
                <w:szCs w:val="21"/>
                <w:highlight w:val="none"/>
                <w:lang w:val="en-US" w:eastAsia="zh-CN"/>
              </w:rPr>
              <w:t>5</w:t>
            </w:r>
            <w:r>
              <w:rPr>
                <w:rFonts w:hint="eastAsia"/>
                <w:color w:val="auto"/>
                <w:kern w:val="0"/>
                <w:szCs w:val="21"/>
                <w:highlight w:val="none"/>
              </w:rPr>
              <w:t>0</w:t>
            </w:r>
          </w:p>
        </w:tc>
        <w:tc>
          <w:tcPr>
            <w:tcW w:w="4348" w:type="dxa"/>
            <w:vMerge w:val="continue"/>
            <w:tcMar>
              <w:left w:w="0" w:type="dxa"/>
              <w:right w:w="0" w:type="dxa"/>
            </w:tcMar>
            <w:vAlign w:val="center"/>
          </w:tcPr>
          <w:p>
            <w:pPr>
              <w:jc w:val="center"/>
              <w:rPr>
                <w:color w:val="auto"/>
                <w:szCs w:val="21"/>
                <w:highlight w:val="none"/>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09" w:hRule="atLeast"/>
          <w:jc w:val="center"/>
        </w:trPr>
        <w:tc>
          <w:tcPr>
            <w:tcW w:w="1457" w:type="dxa"/>
            <w:tcMar>
              <w:left w:w="0" w:type="dxa"/>
              <w:right w:w="0" w:type="dxa"/>
            </w:tcMar>
            <w:vAlign w:val="center"/>
          </w:tcPr>
          <w:p>
            <w:pPr>
              <w:jc w:val="center"/>
              <w:rPr>
                <w:color w:val="auto"/>
                <w:szCs w:val="21"/>
                <w:highlight w:val="none"/>
              </w:rPr>
            </w:pPr>
            <w:r>
              <w:rPr>
                <w:color w:val="auto"/>
                <w:szCs w:val="21"/>
                <w:highlight w:val="none"/>
              </w:rPr>
              <w:t>PM</w:t>
            </w:r>
            <w:r>
              <w:rPr>
                <w:color w:val="auto"/>
                <w:szCs w:val="21"/>
                <w:highlight w:val="none"/>
                <w:vertAlign w:val="subscript"/>
              </w:rPr>
              <w:t>10</w:t>
            </w:r>
          </w:p>
        </w:tc>
        <w:tc>
          <w:tcPr>
            <w:tcW w:w="1881" w:type="dxa"/>
            <w:tcMar>
              <w:left w:w="0" w:type="dxa"/>
              <w:right w:w="0" w:type="dxa"/>
            </w:tcMar>
            <w:vAlign w:val="center"/>
          </w:tcPr>
          <w:p>
            <w:pPr>
              <w:spacing w:before="24" w:beforeLines="8"/>
              <w:jc w:val="center"/>
              <w:rPr>
                <w:color w:val="auto"/>
                <w:kern w:val="0"/>
                <w:szCs w:val="21"/>
                <w:highlight w:val="none"/>
              </w:rPr>
            </w:pPr>
            <w:r>
              <w:rPr>
                <w:rFonts w:hint="eastAsia"/>
                <w:color w:val="auto"/>
                <w:kern w:val="0"/>
                <w:szCs w:val="21"/>
                <w:highlight w:val="none"/>
              </w:rPr>
              <w:t>24小时</w:t>
            </w:r>
            <w:r>
              <w:rPr>
                <w:color w:val="auto"/>
                <w:kern w:val="0"/>
                <w:szCs w:val="21"/>
                <w:highlight w:val="none"/>
              </w:rPr>
              <w:t>平均</w:t>
            </w:r>
          </w:p>
        </w:tc>
        <w:tc>
          <w:tcPr>
            <w:tcW w:w="1384" w:type="dxa"/>
            <w:tcMar>
              <w:left w:w="0" w:type="dxa"/>
              <w:right w:w="0" w:type="dxa"/>
            </w:tcMar>
            <w:vAlign w:val="center"/>
          </w:tcPr>
          <w:p>
            <w:pPr>
              <w:spacing w:before="24" w:beforeLines="8"/>
              <w:jc w:val="center"/>
              <w:rPr>
                <w:color w:val="auto"/>
                <w:kern w:val="0"/>
                <w:szCs w:val="21"/>
                <w:highlight w:val="none"/>
              </w:rPr>
            </w:pPr>
            <w:r>
              <w:rPr>
                <w:rFonts w:hint="eastAsia"/>
                <w:color w:val="auto"/>
                <w:kern w:val="0"/>
                <w:szCs w:val="21"/>
                <w:highlight w:val="none"/>
              </w:rPr>
              <w:t>150</w:t>
            </w:r>
          </w:p>
        </w:tc>
        <w:tc>
          <w:tcPr>
            <w:tcW w:w="4348" w:type="dxa"/>
            <w:vMerge w:val="continue"/>
            <w:tcMar>
              <w:left w:w="0" w:type="dxa"/>
              <w:right w:w="0" w:type="dxa"/>
            </w:tcMar>
            <w:vAlign w:val="center"/>
          </w:tcPr>
          <w:p>
            <w:pPr>
              <w:jc w:val="center"/>
              <w:rPr>
                <w:color w:val="auto"/>
                <w:szCs w:val="21"/>
                <w:highlight w:val="none"/>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58" w:hRule="atLeast"/>
          <w:jc w:val="center"/>
        </w:trPr>
        <w:tc>
          <w:tcPr>
            <w:tcW w:w="1457" w:type="dxa"/>
            <w:tcMar>
              <w:left w:w="0" w:type="dxa"/>
              <w:right w:w="0" w:type="dxa"/>
            </w:tcMar>
            <w:vAlign w:val="center"/>
          </w:tcPr>
          <w:p>
            <w:pPr>
              <w:jc w:val="center"/>
              <w:rPr>
                <w:color w:val="auto"/>
                <w:szCs w:val="21"/>
                <w:highlight w:val="none"/>
              </w:rPr>
            </w:pPr>
            <w:r>
              <w:rPr>
                <w:color w:val="auto"/>
                <w:szCs w:val="21"/>
                <w:highlight w:val="none"/>
              </w:rPr>
              <w:t>PM</w:t>
            </w:r>
            <w:r>
              <w:rPr>
                <w:rFonts w:hint="eastAsia"/>
                <w:color w:val="auto"/>
                <w:szCs w:val="21"/>
                <w:highlight w:val="none"/>
                <w:vertAlign w:val="subscript"/>
              </w:rPr>
              <w:t>2.5</w:t>
            </w:r>
          </w:p>
        </w:tc>
        <w:tc>
          <w:tcPr>
            <w:tcW w:w="1881" w:type="dxa"/>
            <w:tcMar>
              <w:left w:w="0" w:type="dxa"/>
              <w:right w:w="0" w:type="dxa"/>
            </w:tcMar>
            <w:vAlign w:val="center"/>
          </w:tcPr>
          <w:p>
            <w:pPr>
              <w:spacing w:before="24" w:beforeLines="8"/>
              <w:jc w:val="center"/>
              <w:rPr>
                <w:color w:val="auto"/>
                <w:kern w:val="0"/>
                <w:szCs w:val="21"/>
                <w:highlight w:val="none"/>
              </w:rPr>
            </w:pPr>
            <w:r>
              <w:rPr>
                <w:rFonts w:hint="eastAsia"/>
                <w:color w:val="auto"/>
                <w:kern w:val="0"/>
                <w:szCs w:val="21"/>
                <w:highlight w:val="none"/>
              </w:rPr>
              <w:t>24小时</w:t>
            </w:r>
            <w:r>
              <w:rPr>
                <w:color w:val="auto"/>
                <w:kern w:val="0"/>
                <w:szCs w:val="21"/>
                <w:highlight w:val="none"/>
              </w:rPr>
              <w:t>平均</w:t>
            </w:r>
          </w:p>
        </w:tc>
        <w:tc>
          <w:tcPr>
            <w:tcW w:w="1384" w:type="dxa"/>
            <w:tcMar>
              <w:left w:w="0" w:type="dxa"/>
              <w:right w:w="0" w:type="dxa"/>
            </w:tcMar>
            <w:vAlign w:val="center"/>
          </w:tcPr>
          <w:p>
            <w:pPr>
              <w:spacing w:before="24" w:beforeLines="8"/>
              <w:jc w:val="center"/>
              <w:rPr>
                <w:color w:val="auto"/>
                <w:kern w:val="0"/>
                <w:szCs w:val="21"/>
                <w:highlight w:val="none"/>
              </w:rPr>
            </w:pPr>
            <w:r>
              <w:rPr>
                <w:rFonts w:hint="eastAsia"/>
                <w:color w:val="auto"/>
                <w:kern w:val="0"/>
                <w:szCs w:val="21"/>
                <w:highlight w:val="none"/>
              </w:rPr>
              <w:t>75</w:t>
            </w:r>
          </w:p>
        </w:tc>
        <w:tc>
          <w:tcPr>
            <w:tcW w:w="4348" w:type="dxa"/>
            <w:vMerge w:val="continue"/>
            <w:tcMar>
              <w:left w:w="0" w:type="dxa"/>
              <w:right w:w="0" w:type="dxa"/>
            </w:tcMar>
            <w:vAlign w:val="center"/>
          </w:tcPr>
          <w:p>
            <w:pPr>
              <w:jc w:val="center"/>
              <w:rPr>
                <w:color w:val="auto"/>
                <w:szCs w:val="21"/>
                <w:highlight w:val="none"/>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58" w:hRule="atLeast"/>
          <w:jc w:val="center"/>
        </w:trPr>
        <w:tc>
          <w:tcPr>
            <w:tcW w:w="1457" w:type="dxa"/>
            <w:vMerge w:val="restart"/>
            <w:tcMar>
              <w:left w:w="0" w:type="dxa"/>
              <w:right w:w="0" w:type="dxa"/>
            </w:tcMar>
            <w:vAlign w:val="center"/>
          </w:tcPr>
          <w:p>
            <w:pPr>
              <w:widowControl w:val="0"/>
              <w:adjustRightInd w:val="0"/>
              <w:snapToGrid w:val="0"/>
              <w:spacing w:line="300" w:lineRule="exact"/>
              <w:jc w:val="center"/>
              <w:rPr>
                <w:color w:val="auto"/>
                <w:szCs w:val="21"/>
                <w:highlight w:val="none"/>
              </w:rPr>
            </w:pPr>
            <w:r>
              <w:rPr>
                <w:rFonts w:ascii="Times New Roman" w:hAnsi="Times New Roman" w:cs="Times New Roman"/>
                <w:color w:val="auto"/>
                <w:sz w:val="21"/>
                <w:szCs w:val="21"/>
                <w:highlight w:val="none"/>
              </w:rPr>
              <w:t>CO</w:t>
            </w:r>
          </w:p>
        </w:tc>
        <w:tc>
          <w:tcPr>
            <w:tcW w:w="1881" w:type="dxa"/>
            <w:tcMar>
              <w:left w:w="0" w:type="dxa"/>
              <w:right w:w="0" w:type="dxa"/>
            </w:tcMar>
            <w:vAlign w:val="center"/>
          </w:tcPr>
          <w:p>
            <w:pPr>
              <w:spacing w:before="24" w:beforeLines="8"/>
              <w:jc w:val="center"/>
              <w:rPr>
                <w:rFonts w:hint="eastAsia"/>
                <w:color w:val="auto"/>
                <w:kern w:val="0"/>
                <w:szCs w:val="21"/>
                <w:highlight w:val="none"/>
              </w:rPr>
            </w:pPr>
            <w:r>
              <w:rPr>
                <w:rFonts w:hint="eastAsia"/>
                <w:color w:val="auto"/>
                <w:kern w:val="0"/>
                <w:szCs w:val="21"/>
                <w:highlight w:val="none"/>
              </w:rPr>
              <w:t>24小时</w:t>
            </w:r>
            <w:r>
              <w:rPr>
                <w:color w:val="auto"/>
                <w:kern w:val="0"/>
                <w:szCs w:val="21"/>
                <w:highlight w:val="none"/>
              </w:rPr>
              <w:t>平均</w:t>
            </w:r>
          </w:p>
        </w:tc>
        <w:tc>
          <w:tcPr>
            <w:tcW w:w="1384" w:type="dxa"/>
            <w:tcMar>
              <w:left w:w="0" w:type="dxa"/>
              <w:right w:w="0" w:type="dxa"/>
            </w:tcMar>
            <w:vAlign w:val="center"/>
          </w:tcPr>
          <w:p>
            <w:pPr>
              <w:spacing w:before="24" w:beforeLines="8"/>
              <w:jc w:val="center"/>
              <w:rPr>
                <w:rFonts w:hint="eastAsia" w:eastAsia="宋体"/>
                <w:color w:val="auto"/>
                <w:kern w:val="0"/>
                <w:szCs w:val="21"/>
                <w:highlight w:val="none"/>
                <w:lang w:val="en-US" w:eastAsia="zh-CN"/>
              </w:rPr>
            </w:pPr>
            <w:r>
              <w:rPr>
                <w:rFonts w:hint="eastAsia"/>
                <w:color w:val="auto"/>
                <w:kern w:val="0"/>
                <w:szCs w:val="21"/>
                <w:highlight w:val="none"/>
                <w:lang w:val="en-US" w:eastAsia="zh-CN"/>
              </w:rPr>
              <w:t>4</w:t>
            </w:r>
          </w:p>
        </w:tc>
        <w:tc>
          <w:tcPr>
            <w:tcW w:w="4348" w:type="dxa"/>
            <w:vMerge w:val="continue"/>
            <w:tcMar>
              <w:left w:w="0" w:type="dxa"/>
              <w:right w:w="0" w:type="dxa"/>
            </w:tcMar>
            <w:vAlign w:val="center"/>
          </w:tcPr>
          <w:p>
            <w:pPr>
              <w:jc w:val="center"/>
              <w:rPr>
                <w:color w:val="auto"/>
                <w:szCs w:val="21"/>
                <w:highlight w:val="none"/>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58" w:hRule="atLeast"/>
          <w:jc w:val="center"/>
        </w:trPr>
        <w:tc>
          <w:tcPr>
            <w:tcW w:w="1457" w:type="dxa"/>
            <w:vMerge w:val="continue"/>
            <w:tcMar>
              <w:left w:w="0" w:type="dxa"/>
              <w:right w:w="0" w:type="dxa"/>
            </w:tcMar>
            <w:vAlign w:val="center"/>
          </w:tcPr>
          <w:p>
            <w:pPr>
              <w:jc w:val="center"/>
              <w:rPr>
                <w:color w:val="auto"/>
                <w:szCs w:val="21"/>
                <w:highlight w:val="none"/>
              </w:rPr>
            </w:pPr>
          </w:p>
        </w:tc>
        <w:tc>
          <w:tcPr>
            <w:tcW w:w="1881" w:type="dxa"/>
            <w:tcMar>
              <w:left w:w="0" w:type="dxa"/>
              <w:right w:w="0" w:type="dxa"/>
            </w:tcMar>
            <w:vAlign w:val="center"/>
          </w:tcPr>
          <w:p>
            <w:pPr>
              <w:widowControl/>
              <w:spacing w:before="24" w:beforeLines="8"/>
              <w:jc w:val="center"/>
              <w:rPr>
                <w:rFonts w:hint="eastAsia"/>
                <w:color w:val="auto"/>
                <w:kern w:val="0"/>
                <w:szCs w:val="21"/>
                <w:highlight w:val="none"/>
              </w:rPr>
            </w:pPr>
            <w:r>
              <w:rPr>
                <w:color w:val="auto"/>
                <w:kern w:val="0"/>
                <w:szCs w:val="21"/>
                <w:highlight w:val="none"/>
              </w:rPr>
              <w:t>1小时平均</w:t>
            </w:r>
          </w:p>
        </w:tc>
        <w:tc>
          <w:tcPr>
            <w:tcW w:w="1384" w:type="dxa"/>
            <w:tcMar>
              <w:left w:w="0" w:type="dxa"/>
              <w:right w:w="0" w:type="dxa"/>
            </w:tcMar>
            <w:vAlign w:val="center"/>
          </w:tcPr>
          <w:p>
            <w:pPr>
              <w:spacing w:before="24" w:beforeLines="8"/>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10</w:t>
            </w:r>
          </w:p>
        </w:tc>
        <w:tc>
          <w:tcPr>
            <w:tcW w:w="4348" w:type="dxa"/>
            <w:vMerge w:val="continue"/>
            <w:tcMar>
              <w:left w:w="0" w:type="dxa"/>
              <w:right w:w="0" w:type="dxa"/>
            </w:tcMar>
            <w:vAlign w:val="center"/>
          </w:tcPr>
          <w:p>
            <w:pPr>
              <w:jc w:val="center"/>
              <w:rPr>
                <w:color w:val="auto"/>
                <w:szCs w:val="21"/>
                <w:highlight w:val="none"/>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58" w:hRule="atLeast"/>
          <w:jc w:val="center"/>
        </w:trPr>
        <w:tc>
          <w:tcPr>
            <w:tcW w:w="1457" w:type="dxa"/>
            <w:tcMar>
              <w:left w:w="0" w:type="dxa"/>
              <w:right w:w="0" w:type="dxa"/>
            </w:tcMar>
            <w:vAlign w:val="center"/>
          </w:tcPr>
          <w:p>
            <w:pPr>
              <w:widowControl w:val="0"/>
              <w:adjustRightInd w:val="0"/>
              <w:snapToGrid w:val="0"/>
              <w:spacing w:line="300" w:lineRule="exact"/>
              <w:jc w:val="center"/>
              <w:rPr>
                <w:color w:val="auto"/>
                <w:szCs w:val="21"/>
                <w:highlight w:val="none"/>
              </w:rPr>
            </w:pPr>
            <w:r>
              <w:rPr>
                <w:rFonts w:ascii="Times New Roman" w:hAnsi="Times New Roman" w:cs="Times New Roman"/>
                <w:color w:val="auto"/>
                <w:sz w:val="21"/>
                <w:szCs w:val="21"/>
                <w:highlight w:val="none"/>
              </w:rPr>
              <w:t>O</w:t>
            </w:r>
            <w:r>
              <w:rPr>
                <w:rFonts w:ascii="Times New Roman" w:hAnsi="Times New Roman" w:cs="Times New Roman"/>
                <w:color w:val="auto"/>
                <w:sz w:val="21"/>
                <w:szCs w:val="21"/>
                <w:highlight w:val="none"/>
                <w:vertAlign w:val="subscript"/>
              </w:rPr>
              <w:t>3</w:t>
            </w:r>
          </w:p>
        </w:tc>
        <w:tc>
          <w:tcPr>
            <w:tcW w:w="1881" w:type="dxa"/>
            <w:tcMar>
              <w:left w:w="0" w:type="dxa"/>
              <w:right w:w="0" w:type="dxa"/>
            </w:tcMar>
            <w:vAlign w:val="center"/>
          </w:tcPr>
          <w:p>
            <w:pPr>
              <w:spacing w:before="24" w:beforeLines="8"/>
              <w:jc w:val="center"/>
              <w:rPr>
                <w:rFonts w:hint="eastAsia"/>
                <w:color w:val="auto"/>
                <w:kern w:val="0"/>
                <w:szCs w:val="21"/>
                <w:highlight w:val="none"/>
              </w:rPr>
            </w:pPr>
            <w:r>
              <w:rPr>
                <w:color w:val="auto"/>
                <w:kern w:val="0"/>
                <w:szCs w:val="21"/>
                <w:highlight w:val="none"/>
              </w:rPr>
              <w:t>1小时平均</w:t>
            </w:r>
          </w:p>
        </w:tc>
        <w:tc>
          <w:tcPr>
            <w:tcW w:w="1384" w:type="dxa"/>
            <w:tcMar>
              <w:left w:w="0" w:type="dxa"/>
              <w:right w:w="0" w:type="dxa"/>
            </w:tcMar>
            <w:vAlign w:val="center"/>
          </w:tcPr>
          <w:p>
            <w:pPr>
              <w:spacing w:before="24" w:beforeLines="8"/>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200</w:t>
            </w:r>
          </w:p>
        </w:tc>
        <w:tc>
          <w:tcPr>
            <w:tcW w:w="4348" w:type="dxa"/>
            <w:vMerge w:val="continue"/>
            <w:tcMar>
              <w:left w:w="0" w:type="dxa"/>
              <w:right w:w="0" w:type="dxa"/>
            </w:tcMar>
            <w:vAlign w:val="center"/>
          </w:tcPr>
          <w:p>
            <w:pPr>
              <w:jc w:val="center"/>
              <w:rPr>
                <w:color w:val="auto"/>
                <w:szCs w:val="21"/>
                <w:highlight w:val="none"/>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44" w:hRule="atLeast"/>
          <w:jc w:val="center"/>
        </w:trPr>
        <w:tc>
          <w:tcPr>
            <w:tcW w:w="1457" w:type="dxa"/>
            <w:vMerge w:val="restart"/>
            <w:tcMar>
              <w:left w:w="0" w:type="dxa"/>
              <w:right w:w="0" w:type="dxa"/>
            </w:tcMar>
            <w:vAlign w:val="center"/>
          </w:tcPr>
          <w:p>
            <w:pPr>
              <w:jc w:val="center"/>
              <w:rPr>
                <w:color w:val="auto"/>
                <w:szCs w:val="21"/>
                <w:highlight w:val="none"/>
              </w:rPr>
            </w:pPr>
            <w:r>
              <w:rPr>
                <w:color w:val="auto"/>
                <w:szCs w:val="21"/>
                <w:highlight w:val="none"/>
              </w:rPr>
              <w:t>HCl</w:t>
            </w:r>
          </w:p>
        </w:tc>
        <w:tc>
          <w:tcPr>
            <w:tcW w:w="1881" w:type="dxa"/>
            <w:tcMar>
              <w:left w:w="0" w:type="dxa"/>
              <w:right w:w="0" w:type="dxa"/>
            </w:tcMar>
            <w:vAlign w:val="center"/>
          </w:tcPr>
          <w:p>
            <w:pPr>
              <w:spacing w:before="24" w:beforeLines="8"/>
              <w:jc w:val="center"/>
              <w:rPr>
                <w:rFonts w:hint="eastAsia"/>
                <w:color w:val="auto"/>
                <w:kern w:val="0"/>
                <w:szCs w:val="21"/>
                <w:highlight w:val="none"/>
              </w:rPr>
            </w:pPr>
            <w:r>
              <w:rPr>
                <w:color w:val="auto"/>
                <w:kern w:val="0"/>
                <w:szCs w:val="21"/>
                <w:highlight w:val="none"/>
              </w:rPr>
              <w:t>1</w:t>
            </w:r>
            <w:r>
              <w:rPr>
                <w:rFonts w:hint="eastAsia"/>
                <w:color w:val="auto"/>
                <w:kern w:val="0"/>
                <w:szCs w:val="21"/>
                <w:highlight w:val="none"/>
                <w:lang w:val="en-US" w:eastAsia="zh-CN"/>
              </w:rPr>
              <w:t>h</w:t>
            </w:r>
            <w:r>
              <w:rPr>
                <w:color w:val="auto"/>
                <w:kern w:val="0"/>
                <w:szCs w:val="21"/>
                <w:highlight w:val="none"/>
              </w:rPr>
              <w:t>平均</w:t>
            </w:r>
          </w:p>
        </w:tc>
        <w:tc>
          <w:tcPr>
            <w:tcW w:w="1384" w:type="dxa"/>
            <w:tcMar>
              <w:left w:w="0" w:type="dxa"/>
              <w:right w:w="0" w:type="dxa"/>
            </w:tcMar>
            <w:vAlign w:val="center"/>
          </w:tcPr>
          <w:p>
            <w:pPr>
              <w:spacing w:before="24" w:beforeLines="8"/>
              <w:jc w:val="center"/>
              <w:rPr>
                <w:rFonts w:hint="eastAsia" w:eastAsia="宋体"/>
                <w:color w:val="auto"/>
                <w:kern w:val="0"/>
                <w:szCs w:val="21"/>
                <w:highlight w:val="none"/>
                <w:lang w:val="en-US" w:eastAsia="zh-CN"/>
              </w:rPr>
            </w:pPr>
            <w:r>
              <w:rPr>
                <w:rFonts w:hint="eastAsia"/>
                <w:color w:val="auto"/>
                <w:kern w:val="0"/>
                <w:szCs w:val="21"/>
                <w:highlight w:val="none"/>
                <w:lang w:val="en-US" w:eastAsia="zh-CN"/>
              </w:rPr>
              <w:t>50</w:t>
            </w:r>
          </w:p>
        </w:tc>
        <w:tc>
          <w:tcPr>
            <w:tcW w:w="4348" w:type="dxa"/>
            <w:vMerge w:val="restart"/>
            <w:tcMar>
              <w:left w:w="0" w:type="dxa"/>
              <w:right w:w="0" w:type="dxa"/>
            </w:tcMar>
            <w:vAlign w:val="center"/>
          </w:tcPr>
          <w:p>
            <w:pPr>
              <w:jc w:val="center"/>
              <w:rPr>
                <w:color w:val="auto"/>
                <w:szCs w:val="21"/>
                <w:highlight w:val="none"/>
              </w:rPr>
            </w:pPr>
            <w:r>
              <w:rPr>
                <w:rFonts w:hint="eastAsia"/>
                <w:color w:val="auto"/>
                <w:szCs w:val="21"/>
                <w:highlight w:val="none"/>
              </w:rPr>
              <w:t>《环境影响评价技术导则  大气环境》</w:t>
            </w:r>
            <w:r>
              <w:rPr>
                <w:rFonts w:hint="eastAsia"/>
                <w:color w:val="auto"/>
                <w:szCs w:val="21"/>
                <w:highlight w:val="none"/>
                <w:lang w:eastAsia="zh-CN"/>
              </w:rPr>
              <w:t>(</w:t>
            </w:r>
            <w:r>
              <w:rPr>
                <w:rFonts w:hint="eastAsia"/>
                <w:color w:val="auto"/>
                <w:szCs w:val="21"/>
                <w:highlight w:val="none"/>
              </w:rPr>
              <w:t>HJ2.2-2018</w:t>
            </w:r>
            <w:r>
              <w:rPr>
                <w:rFonts w:hint="eastAsia"/>
                <w:color w:val="auto"/>
                <w:szCs w:val="21"/>
                <w:highlight w:val="none"/>
                <w:lang w:eastAsia="zh-CN"/>
              </w:rPr>
              <w:t>)</w:t>
            </w:r>
            <w:r>
              <w:rPr>
                <w:rFonts w:hint="eastAsia"/>
                <w:color w:val="auto"/>
                <w:szCs w:val="21"/>
                <w:highlight w:val="none"/>
              </w:rPr>
              <w:t>附录D</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44" w:hRule="atLeast"/>
          <w:jc w:val="center"/>
        </w:trPr>
        <w:tc>
          <w:tcPr>
            <w:tcW w:w="1457" w:type="dxa"/>
            <w:vMerge w:val="continue"/>
            <w:tcMar>
              <w:left w:w="0" w:type="dxa"/>
              <w:right w:w="0" w:type="dxa"/>
            </w:tcMar>
            <w:vAlign w:val="center"/>
          </w:tcPr>
          <w:p>
            <w:pPr>
              <w:jc w:val="center"/>
              <w:rPr>
                <w:color w:val="auto"/>
                <w:szCs w:val="21"/>
                <w:highlight w:val="none"/>
              </w:rPr>
            </w:pPr>
          </w:p>
        </w:tc>
        <w:tc>
          <w:tcPr>
            <w:tcW w:w="1881" w:type="dxa"/>
            <w:tcMar>
              <w:left w:w="0" w:type="dxa"/>
              <w:right w:w="0" w:type="dxa"/>
            </w:tcMar>
            <w:vAlign w:val="center"/>
          </w:tcPr>
          <w:p>
            <w:pPr>
              <w:spacing w:before="24" w:beforeLines="8"/>
              <w:jc w:val="center"/>
              <w:rPr>
                <w:rFonts w:hint="eastAsia" w:eastAsia="宋体"/>
                <w:color w:val="auto"/>
                <w:kern w:val="0"/>
                <w:szCs w:val="21"/>
                <w:highlight w:val="none"/>
                <w:lang w:eastAsia="zh-CN"/>
              </w:rPr>
            </w:pPr>
            <w:r>
              <w:rPr>
                <w:rFonts w:hint="eastAsia"/>
                <w:color w:val="auto"/>
                <w:kern w:val="0"/>
                <w:szCs w:val="21"/>
                <w:highlight w:val="none"/>
                <w:lang w:eastAsia="zh-CN"/>
              </w:rPr>
              <w:t>日平均</w:t>
            </w:r>
          </w:p>
        </w:tc>
        <w:tc>
          <w:tcPr>
            <w:tcW w:w="1384" w:type="dxa"/>
            <w:tcMar>
              <w:left w:w="0" w:type="dxa"/>
              <w:right w:w="0" w:type="dxa"/>
            </w:tcMar>
            <w:vAlign w:val="center"/>
          </w:tcPr>
          <w:p>
            <w:pPr>
              <w:spacing w:before="24" w:beforeLines="8"/>
              <w:jc w:val="center"/>
              <w:rPr>
                <w:rFonts w:hint="eastAsia" w:eastAsia="宋体"/>
                <w:color w:val="auto"/>
                <w:kern w:val="0"/>
                <w:szCs w:val="21"/>
                <w:highlight w:val="none"/>
                <w:lang w:val="en-US" w:eastAsia="zh-CN"/>
              </w:rPr>
            </w:pPr>
            <w:r>
              <w:rPr>
                <w:rFonts w:hint="eastAsia"/>
                <w:color w:val="auto"/>
                <w:kern w:val="0"/>
                <w:szCs w:val="21"/>
                <w:highlight w:val="none"/>
                <w:lang w:val="en-US" w:eastAsia="zh-CN"/>
              </w:rPr>
              <w:t>15</w:t>
            </w:r>
          </w:p>
        </w:tc>
        <w:tc>
          <w:tcPr>
            <w:tcW w:w="4348" w:type="dxa"/>
            <w:vMerge w:val="continue"/>
            <w:tcMar>
              <w:left w:w="0" w:type="dxa"/>
              <w:right w:w="0" w:type="dxa"/>
            </w:tcMar>
            <w:vAlign w:val="center"/>
          </w:tcPr>
          <w:p>
            <w:pPr>
              <w:jc w:val="center"/>
              <w:rPr>
                <w:color w:val="auto"/>
                <w:szCs w:val="21"/>
                <w:highlight w:val="none"/>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58" w:hRule="atLeast"/>
          <w:jc w:val="center"/>
        </w:trPr>
        <w:tc>
          <w:tcPr>
            <w:tcW w:w="1457" w:type="dxa"/>
            <w:vMerge w:val="restart"/>
            <w:tcMar>
              <w:left w:w="0" w:type="dxa"/>
              <w:right w:w="0" w:type="dxa"/>
            </w:tcMar>
            <w:vAlign w:val="center"/>
          </w:tcPr>
          <w:p>
            <w:pPr>
              <w:jc w:val="center"/>
              <w:rPr>
                <w:color w:val="auto"/>
                <w:szCs w:val="21"/>
                <w:highlight w:val="none"/>
              </w:rPr>
            </w:pPr>
            <w:r>
              <w:rPr>
                <w:color w:val="auto"/>
                <w:szCs w:val="21"/>
                <w:highlight w:val="none"/>
              </w:rPr>
              <w:t>硫酸</w:t>
            </w:r>
          </w:p>
        </w:tc>
        <w:tc>
          <w:tcPr>
            <w:tcW w:w="1881" w:type="dxa"/>
            <w:tcMar>
              <w:left w:w="0" w:type="dxa"/>
              <w:right w:w="0" w:type="dxa"/>
            </w:tcMar>
            <w:vAlign w:val="center"/>
          </w:tcPr>
          <w:p>
            <w:pPr>
              <w:spacing w:before="24" w:beforeLines="8"/>
              <w:jc w:val="center"/>
              <w:rPr>
                <w:rFonts w:hint="eastAsia"/>
                <w:color w:val="auto"/>
                <w:kern w:val="0"/>
                <w:szCs w:val="21"/>
                <w:highlight w:val="none"/>
              </w:rPr>
            </w:pPr>
            <w:r>
              <w:rPr>
                <w:color w:val="auto"/>
                <w:kern w:val="0"/>
                <w:szCs w:val="21"/>
                <w:highlight w:val="none"/>
              </w:rPr>
              <w:t>1</w:t>
            </w:r>
            <w:r>
              <w:rPr>
                <w:rFonts w:hint="eastAsia"/>
                <w:color w:val="auto"/>
                <w:kern w:val="0"/>
                <w:szCs w:val="21"/>
                <w:highlight w:val="none"/>
                <w:lang w:val="en-US" w:eastAsia="zh-CN"/>
              </w:rPr>
              <w:t>h</w:t>
            </w:r>
            <w:r>
              <w:rPr>
                <w:color w:val="auto"/>
                <w:kern w:val="0"/>
                <w:szCs w:val="21"/>
                <w:highlight w:val="none"/>
              </w:rPr>
              <w:t>平均</w:t>
            </w:r>
          </w:p>
        </w:tc>
        <w:tc>
          <w:tcPr>
            <w:tcW w:w="1384" w:type="dxa"/>
            <w:tcMar>
              <w:left w:w="0" w:type="dxa"/>
              <w:right w:w="0" w:type="dxa"/>
            </w:tcMar>
            <w:vAlign w:val="center"/>
          </w:tcPr>
          <w:p>
            <w:pPr>
              <w:spacing w:before="24" w:beforeLines="8"/>
              <w:jc w:val="center"/>
              <w:rPr>
                <w:rFonts w:hint="eastAsia" w:eastAsia="宋体"/>
                <w:color w:val="auto"/>
                <w:kern w:val="0"/>
                <w:szCs w:val="21"/>
                <w:highlight w:val="none"/>
                <w:lang w:val="en-US" w:eastAsia="zh-CN"/>
              </w:rPr>
            </w:pPr>
            <w:r>
              <w:rPr>
                <w:rFonts w:hint="eastAsia"/>
                <w:color w:val="auto"/>
                <w:kern w:val="0"/>
                <w:szCs w:val="21"/>
                <w:highlight w:val="none"/>
                <w:lang w:val="en-US" w:eastAsia="zh-CN"/>
              </w:rPr>
              <w:t>300</w:t>
            </w:r>
          </w:p>
        </w:tc>
        <w:tc>
          <w:tcPr>
            <w:tcW w:w="4348" w:type="dxa"/>
            <w:vMerge w:val="continue"/>
            <w:tcMar>
              <w:left w:w="0" w:type="dxa"/>
              <w:right w:w="0" w:type="dxa"/>
            </w:tcMar>
            <w:vAlign w:val="center"/>
          </w:tcPr>
          <w:p>
            <w:pPr>
              <w:jc w:val="center"/>
              <w:rPr>
                <w:color w:val="auto"/>
                <w:szCs w:val="21"/>
                <w:highlight w:val="none"/>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58" w:hRule="atLeast"/>
          <w:jc w:val="center"/>
        </w:trPr>
        <w:tc>
          <w:tcPr>
            <w:tcW w:w="1457" w:type="dxa"/>
            <w:vMerge w:val="continue"/>
            <w:tcMar>
              <w:left w:w="0" w:type="dxa"/>
              <w:right w:w="0" w:type="dxa"/>
            </w:tcMar>
            <w:vAlign w:val="center"/>
          </w:tcPr>
          <w:p>
            <w:pPr>
              <w:jc w:val="center"/>
              <w:rPr>
                <w:color w:val="auto"/>
                <w:szCs w:val="21"/>
                <w:highlight w:val="none"/>
              </w:rPr>
            </w:pPr>
          </w:p>
        </w:tc>
        <w:tc>
          <w:tcPr>
            <w:tcW w:w="1881" w:type="dxa"/>
            <w:tcMar>
              <w:left w:w="0" w:type="dxa"/>
              <w:right w:w="0" w:type="dxa"/>
            </w:tcMar>
            <w:vAlign w:val="center"/>
          </w:tcPr>
          <w:p>
            <w:pPr>
              <w:spacing w:before="24" w:beforeLines="8"/>
              <w:jc w:val="center"/>
              <w:rPr>
                <w:color w:val="auto"/>
                <w:kern w:val="0"/>
                <w:szCs w:val="21"/>
                <w:highlight w:val="none"/>
              </w:rPr>
            </w:pPr>
            <w:r>
              <w:rPr>
                <w:rFonts w:hint="eastAsia"/>
                <w:color w:val="auto"/>
                <w:kern w:val="0"/>
                <w:szCs w:val="21"/>
                <w:highlight w:val="none"/>
                <w:lang w:eastAsia="zh-CN"/>
              </w:rPr>
              <w:t>日平均</w:t>
            </w:r>
          </w:p>
        </w:tc>
        <w:tc>
          <w:tcPr>
            <w:tcW w:w="1384" w:type="dxa"/>
            <w:tcMar>
              <w:left w:w="0" w:type="dxa"/>
              <w:right w:w="0" w:type="dxa"/>
            </w:tcMar>
            <w:vAlign w:val="center"/>
          </w:tcPr>
          <w:p>
            <w:pPr>
              <w:spacing w:before="24" w:beforeLines="8"/>
              <w:jc w:val="center"/>
              <w:rPr>
                <w:rFonts w:hint="eastAsia" w:eastAsia="宋体"/>
                <w:color w:val="auto"/>
                <w:kern w:val="0"/>
                <w:szCs w:val="21"/>
                <w:highlight w:val="none"/>
                <w:lang w:val="en-US" w:eastAsia="zh-CN"/>
              </w:rPr>
            </w:pPr>
            <w:r>
              <w:rPr>
                <w:rFonts w:hint="eastAsia"/>
                <w:color w:val="auto"/>
                <w:kern w:val="0"/>
                <w:szCs w:val="21"/>
                <w:highlight w:val="none"/>
                <w:lang w:val="en-US" w:eastAsia="zh-CN"/>
              </w:rPr>
              <w:t>100</w:t>
            </w:r>
          </w:p>
        </w:tc>
        <w:tc>
          <w:tcPr>
            <w:tcW w:w="4348" w:type="dxa"/>
            <w:vMerge w:val="continue"/>
            <w:tcMar>
              <w:left w:w="0" w:type="dxa"/>
              <w:right w:w="0" w:type="dxa"/>
            </w:tcMar>
            <w:vAlign w:val="center"/>
          </w:tcPr>
          <w:p>
            <w:pPr>
              <w:jc w:val="center"/>
              <w:rPr>
                <w:color w:val="auto"/>
                <w:szCs w:val="21"/>
                <w:highlight w:val="none"/>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58" w:hRule="atLeast"/>
          <w:jc w:val="center"/>
        </w:trPr>
        <w:tc>
          <w:tcPr>
            <w:tcW w:w="1457" w:type="dxa"/>
            <w:tcMar>
              <w:left w:w="0" w:type="dxa"/>
              <w:right w:w="0" w:type="dxa"/>
            </w:tcMar>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氨</w:t>
            </w:r>
          </w:p>
        </w:tc>
        <w:tc>
          <w:tcPr>
            <w:tcW w:w="1881" w:type="dxa"/>
            <w:tcMar>
              <w:left w:w="0" w:type="dxa"/>
              <w:right w:w="0" w:type="dxa"/>
            </w:tcMar>
            <w:vAlign w:val="center"/>
          </w:tcPr>
          <w:p>
            <w:pPr>
              <w:spacing w:before="24" w:beforeLines="8"/>
              <w:jc w:val="center"/>
              <w:rPr>
                <w:rFonts w:hint="eastAsia"/>
                <w:color w:val="auto"/>
                <w:kern w:val="0"/>
                <w:szCs w:val="21"/>
                <w:highlight w:val="none"/>
              </w:rPr>
            </w:pPr>
            <w:r>
              <w:rPr>
                <w:color w:val="auto"/>
                <w:kern w:val="0"/>
                <w:szCs w:val="21"/>
                <w:highlight w:val="none"/>
              </w:rPr>
              <w:t>1</w:t>
            </w:r>
            <w:r>
              <w:rPr>
                <w:rFonts w:hint="eastAsia"/>
                <w:color w:val="auto"/>
                <w:kern w:val="0"/>
                <w:szCs w:val="21"/>
                <w:highlight w:val="none"/>
                <w:lang w:val="en-US" w:eastAsia="zh-CN"/>
              </w:rPr>
              <w:t>h</w:t>
            </w:r>
            <w:r>
              <w:rPr>
                <w:color w:val="auto"/>
                <w:kern w:val="0"/>
                <w:szCs w:val="21"/>
                <w:highlight w:val="none"/>
              </w:rPr>
              <w:t>平均</w:t>
            </w:r>
          </w:p>
        </w:tc>
        <w:tc>
          <w:tcPr>
            <w:tcW w:w="1384" w:type="dxa"/>
            <w:tcMar>
              <w:left w:w="0" w:type="dxa"/>
              <w:right w:w="0" w:type="dxa"/>
            </w:tcMar>
            <w:vAlign w:val="center"/>
          </w:tcPr>
          <w:p>
            <w:pPr>
              <w:spacing w:before="24" w:beforeLines="8"/>
              <w:jc w:val="center"/>
              <w:rPr>
                <w:rFonts w:hint="eastAsia"/>
                <w:color w:val="auto"/>
                <w:kern w:val="0"/>
                <w:szCs w:val="21"/>
                <w:highlight w:val="none"/>
              </w:rPr>
            </w:pPr>
            <w:r>
              <w:rPr>
                <w:rFonts w:hint="eastAsia"/>
                <w:color w:val="auto"/>
                <w:kern w:val="0"/>
                <w:szCs w:val="21"/>
                <w:highlight w:val="none"/>
                <w:lang w:val="en-US" w:eastAsia="zh-CN"/>
              </w:rPr>
              <w:t>200</w:t>
            </w:r>
          </w:p>
        </w:tc>
        <w:tc>
          <w:tcPr>
            <w:tcW w:w="4348" w:type="dxa"/>
            <w:vMerge w:val="continue"/>
            <w:tcMar>
              <w:left w:w="0" w:type="dxa"/>
              <w:right w:w="0" w:type="dxa"/>
            </w:tcMar>
            <w:vAlign w:val="center"/>
          </w:tcPr>
          <w:p>
            <w:pPr>
              <w:jc w:val="center"/>
              <w:rPr>
                <w:color w:val="auto"/>
                <w:szCs w:val="21"/>
                <w:highlight w:val="none"/>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58" w:hRule="atLeast"/>
          <w:jc w:val="center"/>
        </w:trPr>
        <w:tc>
          <w:tcPr>
            <w:tcW w:w="1457" w:type="dxa"/>
            <w:tcMar>
              <w:left w:w="0" w:type="dxa"/>
              <w:right w:w="0" w:type="dxa"/>
            </w:tcMar>
            <w:vAlign w:val="center"/>
          </w:tcPr>
          <w:p>
            <w:pPr>
              <w:jc w:val="center"/>
              <w:rPr>
                <w:rFonts w:hint="eastAsia" w:eastAsia="宋体"/>
                <w:color w:val="auto"/>
                <w:szCs w:val="21"/>
                <w:highlight w:val="none"/>
                <w:lang w:eastAsia="zh-CN"/>
              </w:rPr>
            </w:pPr>
            <w:r>
              <w:rPr>
                <w:rFonts w:hint="eastAsia"/>
                <w:color w:val="auto"/>
                <w:szCs w:val="21"/>
                <w:highlight w:val="none"/>
              </w:rPr>
              <w:t>铬</w:t>
            </w:r>
            <w:r>
              <w:rPr>
                <w:rFonts w:hint="eastAsia"/>
                <w:color w:val="auto"/>
                <w:szCs w:val="21"/>
                <w:highlight w:val="none"/>
                <w:lang w:eastAsia="zh-CN"/>
              </w:rPr>
              <w:t>(</w:t>
            </w:r>
            <w:r>
              <w:rPr>
                <w:rFonts w:hint="eastAsia"/>
                <w:color w:val="auto"/>
                <w:szCs w:val="21"/>
                <w:highlight w:val="none"/>
              </w:rPr>
              <w:t>六价</w:t>
            </w:r>
            <w:r>
              <w:rPr>
                <w:rFonts w:hint="eastAsia"/>
                <w:color w:val="auto"/>
                <w:szCs w:val="21"/>
                <w:highlight w:val="none"/>
                <w:lang w:eastAsia="zh-CN"/>
              </w:rPr>
              <w:t>)</w:t>
            </w:r>
          </w:p>
        </w:tc>
        <w:tc>
          <w:tcPr>
            <w:tcW w:w="1881" w:type="dxa"/>
            <w:tcMar>
              <w:left w:w="0" w:type="dxa"/>
              <w:right w:w="0" w:type="dxa"/>
            </w:tcMar>
            <w:vAlign w:val="center"/>
          </w:tcPr>
          <w:p>
            <w:pPr>
              <w:spacing w:before="24" w:beforeLines="8"/>
              <w:jc w:val="center"/>
              <w:rPr>
                <w:color w:val="auto"/>
                <w:kern w:val="0"/>
                <w:szCs w:val="21"/>
                <w:highlight w:val="none"/>
              </w:rPr>
            </w:pPr>
            <w:r>
              <w:rPr>
                <w:rFonts w:hint="eastAsia"/>
                <w:color w:val="auto"/>
                <w:kern w:val="0"/>
                <w:szCs w:val="21"/>
                <w:highlight w:val="none"/>
              </w:rPr>
              <w:t>一次浓度值</w:t>
            </w:r>
          </w:p>
        </w:tc>
        <w:tc>
          <w:tcPr>
            <w:tcW w:w="1384" w:type="dxa"/>
            <w:tcMar>
              <w:left w:w="0" w:type="dxa"/>
              <w:right w:w="0" w:type="dxa"/>
            </w:tcMar>
            <w:vAlign w:val="center"/>
          </w:tcPr>
          <w:p>
            <w:pPr>
              <w:spacing w:before="24" w:beforeLines="8"/>
              <w:jc w:val="center"/>
              <w:rPr>
                <w:rFonts w:hint="eastAsia" w:eastAsia="宋体"/>
                <w:color w:val="auto"/>
                <w:kern w:val="0"/>
                <w:szCs w:val="21"/>
                <w:highlight w:val="none"/>
                <w:lang w:val="en-US" w:eastAsia="zh-CN"/>
              </w:rPr>
            </w:pPr>
            <w:r>
              <w:rPr>
                <w:rFonts w:hint="eastAsia"/>
                <w:color w:val="auto"/>
                <w:kern w:val="0"/>
                <w:szCs w:val="21"/>
                <w:highlight w:val="none"/>
                <w:lang w:val="en-US" w:eastAsia="zh-CN"/>
              </w:rPr>
              <w:t>1.5</w:t>
            </w:r>
          </w:p>
        </w:tc>
        <w:tc>
          <w:tcPr>
            <w:tcW w:w="4348" w:type="dxa"/>
            <w:tcMar>
              <w:left w:w="0" w:type="dxa"/>
              <w:right w:w="0" w:type="dxa"/>
            </w:tcMar>
            <w:vAlign w:val="center"/>
          </w:tcPr>
          <w:p>
            <w:pPr>
              <w:jc w:val="center"/>
              <w:rPr>
                <w:color w:val="auto"/>
                <w:szCs w:val="21"/>
                <w:highlight w:val="none"/>
              </w:rPr>
            </w:pPr>
            <w:r>
              <w:rPr>
                <w:rFonts w:hint="eastAsia"/>
                <w:color w:val="auto"/>
                <w:szCs w:val="21"/>
                <w:highlight w:val="none"/>
              </w:rPr>
              <w:t>《工业企业设计卫生标准》(TJ36-79)</w:t>
            </w:r>
          </w:p>
        </w:tc>
      </w:tr>
    </w:tbl>
    <w:p>
      <w:pPr>
        <w:adjustRightInd w:val="0"/>
        <w:snapToGrid w:val="0"/>
        <w:spacing w:line="360" w:lineRule="auto"/>
        <w:ind w:firstLine="480" w:firstLineChars="200"/>
        <w:rPr>
          <w:color w:val="auto"/>
          <w:sz w:val="24"/>
          <w:highlight w:val="none"/>
        </w:rPr>
      </w:pPr>
      <w:r>
        <w:rPr>
          <w:rFonts w:hint="eastAsia"/>
          <w:color w:val="auto"/>
          <w:sz w:val="24"/>
          <w:highlight w:val="none"/>
        </w:rPr>
        <w:t>2、地表水环境质量标准</w:t>
      </w:r>
    </w:p>
    <w:p>
      <w:pPr>
        <w:adjustRightInd w:val="0"/>
        <w:snapToGrid w:val="0"/>
        <w:spacing w:line="360" w:lineRule="auto"/>
        <w:ind w:firstLine="480" w:firstLineChars="200"/>
        <w:rPr>
          <w:color w:val="auto"/>
          <w:sz w:val="24"/>
          <w:highlight w:val="none"/>
        </w:rPr>
      </w:pPr>
      <w:r>
        <w:rPr>
          <w:rFonts w:hint="eastAsia"/>
          <w:color w:val="auto"/>
          <w:sz w:val="24"/>
          <w:highlight w:val="none"/>
        </w:rPr>
        <w:t>根据</w:t>
      </w:r>
      <w:r>
        <w:rPr>
          <w:rFonts w:hint="eastAsia"/>
          <w:color w:val="auto"/>
          <w:sz w:val="24"/>
          <w:highlight w:val="none"/>
        </w:rPr>
        <w:t>《关于印发青岛西海岸新区水功能区划的通知》(2018年4月1日起施行)，园区西向约250m处的</w:t>
      </w:r>
      <w:r>
        <w:rPr>
          <w:rFonts w:hint="eastAsia"/>
          <w:color w:val="auto"/>
          <w:sz w:val="24"/>
          <w:highlight w:val="none"/>
          <w:lang w:eastAsia="zh-CN"/>
        </w:rPr>
        <w:t>镰湾河</w:t>
      </w:r>
      <w:r>
        <w:rPr>
          <w:rFonts w:hint="eastAsia"/>
          <w:color w:val="auto"/>
          <w:sz w:val="24"/>
          <w:highlight w:val="none"/>
        </w:rPr>
        <w:t>执行《地表水环境质量标准》(GB3838-2002)表1中的V类标准，</w:t>
      </w:r>
      <w:r>
        <w:rPr>
          <w:color w:val="auto"/>
          <w:sz w:val="24"/>
          <w:highlight w:val="none"/>
        </w:rPr>
        <w:t>具体见表1.</w:t>
      </w:r>
      <w:r>
        <w:rPr>
          <w:rFonts w:hint="eastAsia"/>
          <w:color w:val="auto"/>
          <w:sz w:val="24"/>
          <w:highlight w:val="none"/>
        </w:rPr>
        <w:t>4</w:t>
      </w:r>
      <w:r>
        <w:rPr>
          <w:color w:val="auto"/>
          <w:sz w:val="24"/>
          <w:highlight w:val="none"/>
        </w:rPr>
        <w:t>-</w:t>
      </w:r>
      <w:r>
        <w:rPr>
          <w:rFonts w:hint="eastAsia"/>
          <w:color w:val="auto"/>
          <w:sz w:val="24"/>
          <w:highlight w:val="none"/>
        </w:rPr>
        <w:t>2。</w:t>
      </w:r>
    </w:p>
    <w:p>
      <w:pPr>
        <w:keepNext w:val="0"/>
        <w:keepLines w:val="0"/>
        <w:pageBreakBefore w:val="0"/>
        <w:widowControl w:val="0"/>
        <w:kinsoku/>
        <w:wordWrap/>
        <w:overflowPunct/>
        <w:topLinePunct w:val="0"/>
        <w:autoSpaceDE/>
        <w:autoSpaceDN/>
        <w:bidi w:val="0"/>
        <w:adjustRightInd w:val="0"/>
        <w:snapToGrid w:val="0"/>
        <w:spacing w:line="240" w:lineRule="auto"/>
        <w:jc w:val="right"/>
        <w:textAlignment w:val="auto"/>
        <w:outlineLvl w:val="9"/>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 xml:space="preserve">表1.4-2 </w:t>
      </w:r>
      <w:r>
        <w:rPr>
          <w:rFonts w:hint="eastAsia" w:ascii="黑体" w:hAnsi="黑体" w:eastAsia="黑体" w:cs="黑体"/>
          <w:b w:val="0"/>
          <w:bCs w:val="0"/>
          <w:color w:val="auto"/>
          <w:sz w:val="24"/>
          <w:szCs w:val="24"/>
          <w:highlight w:val="none"/>
          <w:lang w:val="en-US" w:eastAsia="zh-CN"/>
        </w:rPr>
        <w:t xml:space="preserve"> </w:t>
      </w:r>
      <w:r>
        <w:rPr>
          <w:rFonts w:hint="eastAsia" w:ascii="黑体" w:hAnsi="黑体" w:eastAsia="黑体" w:cs="黑体"/>
          <w:b w:val="0"/>
          <w:bCs w:val="0"/>
          <w:color w:val="auto"/>
          <w:sz w:val="24"/>
          <w:szCs w:val="24"/>
          <w:highlight w:val="none"/>
        </w:rPr>
        <w:t xml:space="preserve">地表水环境质量标准 </w:t>
      </w:r>
      <w:r>
        <w:rPr>
          <w:rFonts w:hint="eastAsia" w:ascii="黑体" w:hAnsi="黑体" w:eastAsia="黑体" w:cs="黑体"/>
          <w:b w:val="0"/>
          <w:bCs w:val="0"/>
          <w:color w:val="auto"/>
          <w:sz w:val="24"/>
          <w:szCs w:val="24"/>
          <w:highlight w:val="none"/>
          <w:lang w:val="en-US" w:eastAsia="zh-CN"/>
        </w:rPr>
        <w:t xml:space="preserve">      </w:t>
      </w:r>
      <w:r>
        <w:rPr>
          <w:rFonts w:hint="eastAsia" w:ascii="黑体" w:hAnsi="黑体" w:eastAsia="黑体" w:cs="黑体"/>
          <w:b w:val="0"/>
          <w:bCs w:val="0"/>
          <w:color w:val="auto"/>
          <w:sz w:val="24"/>
          <w:szCs w:val="24"/>
          <w:highlight w:val="none"/>
        </w:rPr>
        <w:t xml:space="preserve"> </w:t>
      </w:r>
      <w:r>
        <w:rPr>
          <w:rFonts w:hint="eastAsia" w:ascii="黑体" w:hAnsi="黑体" w:eastAsia="黑体" w:cs="黑体"/>
          <w:b w:val="0"/>
          <w:bCs w:val="0"/>
          <w:color w:val="auto"/>
          <w:sz w:val="24"/>
          <w:szCs w:val="24"/>
          <w:highlight w:val="none"/>
          <w:lang w:val="en-US" w:eastAsia="zh-CN"/>
        </w:rPr>
        <w:t xml:space="preserve">  </w:t>
      </w:r>
      <w:r>
        <w:rPr>
          <w:rFonts w:hint="eastAsia" w:ascii="黑体" w:hAnsi="黑体" w:eastAsia="黑体" w:cs="黑体"/>
          <w:b w:val="0"/>
          <w:bCs w:val="0"/>
          <w:color w:val="auto"/>
          <w:sz w:val="24"/>
          <w:szCs w:val="24"/>
          <w:highlight w:val="none"/>
        </w:rPr>
        <w:t>单位：mg/L(pH除外)</w:t>
      </w:r>
    </w:p>
    <w:tbl>
      <w:tblPr>
        <w:tblStyle w:val="36"/>
        <w:tblW w:w="9287" w:type="dxa"/>
        <w:jc w:val="center"/>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378"/>
        <w:gridCol w:w="4924"/>
        <w:gridCol w:w="2985"/>
      </w:tblGrid>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1378" w:type="dxa"/>
            <w:noWrap w:val="0"/>
            <w:vAlign w:val="center"/>
          </w:tcPr>
          <w:p>
            <w:pPr>
              <w:jc w:val="center"/>
              <w:rPr>
                <w:b/>
                <w:color w:val="auto"/>
                <w:szCs w:val="21"/>
                <w:highlight w:val="none"/>
              </w:rPr>
            </w:pPr>
            <w:r>
              <w:rPr>
                <w:b/>
                <w:color w:val="auto"/>
                <w:szCs w:val="21"/>
                <w:highlight w:val="none"/>
              </w:rPr>
              <w:t>序号</w:t>
            </w:r>
          </w:p>
        </w:tc>
        <w:tc>
          <w:tcPr>
            <w:tcW w:w="4924" w:type="dxa"/>
            <w:noWrap w:val="0"/>
            <w:vAlign w:val="center"/>
          </w:tcPr>
          <w:p>
            <w:pPr>
              <w:jc w:val="center"/>
              <w:rPr>
                <w:b/>
                <w:color w:val="auto"/>
                <w:szCs w:val="21"/>
                <w:highlight w:val="none"/>
              </w:rPr>
            </w:pPr>
            <w:r>
              <w:rPr>
                <w:b/>
                <w:color w:val="auto"/>
                <w:szCs w:val="21"/>
                <w:highlight w:val="none"/>
              </w:rPr>
              <w:t>项目</w:t>
            </w:r>
          </w:p>
        </w:tc>
        <w:tc>
          <w:tcPr>
            <w:tcW w:w="2985" w:type="dxa"/>
            <w:noWrap w:val="0"/>
            <w:vAlign w:val="center"/>
          </w:tcPr>
          <w:p>
            <w:pPr>
              <w:jc w:val="center"/>
              <w:rPr>
                <w:b/>
                <w:color w:val="auto"/>
                <w:szCs w:val="21"/>
                <w:highlight w:val="none"/>
              </w:rPr>
            </w:pPr>
            <w:r>
              <w:rPr>
                <w:b/>
                <w:color w:val="auto"/>
                <w:szCs w:val="21"/>
                <w:highlight w:val="none"/>
              </w:rPr>
              <w:t>V类标准值</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1378" w:type="dxa"/>
            <w:noWrap w:val="0"/>
            <w:vAlign w:val="center"/>
          </w:tcPr>
          <w:p>
            <w:pPr>
              <w:jc w:val="center"/>
              <w:rPr>
                <w:color w:val="auto"/>
                <w:szCs w:val="21"/>
                <w:highlight w:val="none"/>
              </w:rPr>
            </w:pPr>
            <w:r>
              <w:rPr>
                <w:color w:val="auto"/>
                <w:szCs w:val="21"/>
                <w:highlight w:val="none"/>
              </w:rPr>
              <w:t>1</w:t>
            </w:r>
          </w:p>
        </w:tc>
        <w:tc>
          <w:tcPr>
            <w:tcW w:w="4924" w:type="dxa"/>
            <w:noWrap w:val="0"/>
            <w:vAlign w:val="center"/>
          </w:tcPr>
          <w:p>
            <w:pPr>
              <w:jc w:val="center"/>
              <w:rPr>
                <w:rFonts w:hint="eastAsia" w:eastAsia="宋体"/>
                <w:color w:val="auto"/>
                <w:szCs w:val="21"/>
                <w:highlight w:val="none"/>
                <w:lang w:eastAsia="zh-CN"/>
              </w:rPr>
            </w:pPr>
            <w:r>
              <w:rPr>
                <w:color w:val="auto"/>
                <w:szCs w:val="21"/>
                <w:highlight w:val="none"/>
              </w:rPr>
              <w:t>pH</w:t>
            </w:r>
            <w:r>
              <w:rPr>
                <w:rFonts w:hint="eastAsia"/>
                <w:color w:val="auto"/>
                <w:szCs w:val="21"/>
                <w:highlight w:val="none"/>
                <w:lang w:eastAsia="zh-CN"/>
              </w:rPr>
              <w:t>值(</w:t>
            </w:r>
            <w:r>
              <w:rPr>
                <w:color w:val="auto"/>
                <w:szCs w:val="21"/>
                <w:highlight w:val="none"/>
              </w:rPr>
              <w:t>无量纲</w:t>
            </w:r>
            <w:r>
              <w:rPr>
                <w:rFonts w:hint="eastAsia"/>
                <w:color w:val="auto"/>
                <w:szCs w:val="21"/>
                <w:highlight w:val="none"/>
                <w:lang w:eastAsia="zh-CN"/>
              </w:rPr>
              <w:t>)</w:t>
            </w:r>
          </w:p>
        </w:tc>
        <w:tc>
          <w:tcPr>
            <w:tcW w:w="2985" w:type="dxa"/>
            <w:noWrap w:val="0"/>
            <w:vAlign w:val="center"/>
          </w:tcPr>
          <w:p>
            <w:pPr>
              <w:jc w:val="center"/>
              <w:rPr>
                <w:b/>
                <w:color w:val="auto"/>
                <w:szCs w:val="21"/>
                <w:highlight w:val="none"/>
              </w:rPr>
            </w:pPr>
            <w:r>
              <w:rPr>
                <w:color w:val="auto"/>
                <w:szCs w:val="21"/>
                <w:highlight w:val="none"/>
              </w:rPr>
              <w:t>6～9</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1378" w:type="dxa"/>
            <w:noWrap w:val="0"/>
            <w:vAlign w:val="center"/>
          </w:tcPr>
          <w:p>
            <w:pPr>
              <w:jc w:val="center"/>
              <w:rPr>
                <w:color w:val="auto"/>
                <w:szCs w:val="21"/>
                <w:highlight w:val="none"/>
              </w:rPr>
            </w:pPr>
            <w:r>
              <w:rPr>
                <w:color w:val="auto"/>
                <w:szCs w:val="21"/>
                <w:highlight w:val="none"/>
              </w:rPr>
              <w:t>2</w:t>
            </w:r>
          </w:p>
        </w:tc>
        <w:tc>
          <w:tcPr>
            <w:tcW w:w="4924" w:type="dxa"/>
            <w:noWrap w:val="0"/>
            <w:vAlign w:val="center"/>
          </w:tcPr>
          <w:p>
            <w:pPr>
              <w:jc w:val="center"/>
              <w:rPr>
                <w:rFonts w:hint="eastAsia" w:eastAsia="宋体"/>
                <w:color w:val="auto"/>
                <w:szCs w:val="21"/>
                <w:highlight w:val="none"/>
                <w:lang w:eastAsia="zh-CN"/>
              </w:rPr>
            </w:pPr>
            <w:r>
              <w:rPr>
                <w:rFonts w:hint="eastAsia"/>
                <w:color w:val="auto"/>
                <w:szCs w:val="21"/>
                <w:highlight w:val="none"/>
                <w:lang w:eastAsia="zh-CN"/>
              </w:rPr>
              <w:t>溶解氧</w:t>
            </w:r>
          </w:p>
        </w:tc>
        <w:tc>
          <w:tcPr>
            <w:tcW w:w="2985" w:type="dxa"/>
            <w:noWrap w:val="0"/>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2</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1378" w:type="dxa"/>
            <w:noWrap w:val="0"/>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3</w:t>
            </w:r>
          </w:p>
        </w:tc>
        <w:tc>
          <w:tcPr>
            <w:tcW w:w="4924" w:type="dxa"/>
            <w:noWrap w:val="0"/>
            <w:vAlign w:val="center"/>
          </w:tcPr>
          <w:p>
            <w:pPr>
              <w:jc w:val="center"/>
              <w:rPr>
                <w:rFonts w:hint="eastAsia" w:eastAsia="宋体"/>
                <w:color w:val="auto"/>
                <w:szCs w:val="21"/>
                <w:highlight w:val="none"/>
                <w:lang w:eastAsia="zh-CN"/>
              </w:rPr>
            </w:pPr>
            <w:r>
              <w:rPr>
                <w:color w:val="auto"/>
                <w:szCs w:val="21"/>
                <w:highlight w:val="none"/>
              </w:rPr>
              <w:t>化学需氧量</w:t>
            </w:r>
            <w:r>
              <w:rPr>
                <w:rFonts w:hint="eastAsia"/>
                <w:color w:val="auto"/>
                <w:szCs w:val="21"/>
                <w:highlight w:val="none"/>
                <w:lang w:eastAsia="zh-CN"/>
              </w:rPr>
              <w:t>(</w:t>
            </w:r>
            <w:r>
              <w:rPr>
                <w:color w:val="auto"/>
                <w:szCs w:val="21"/>
                <w:highlight w:val="none"/>
              </w:rPr>
              <w:t>COD</w:t>
            </w:r>
            <w:r>
              <w:rPr>
                <w:rFonts w:hint="eastAsia"/>
                <w:color w:val="auto"/>
                <w:szCs w:val="21"/>
                <w:highlight w:val="none"/>
                <w:lang w:eastAsia="zh-CN"/>
              </w:rPr>
              <w:t>)</w:t>
            </w:r>
          </w:p>
        </w:tc>
        <w:tc>
          <w:tcPr>
            <w:tcW w:w="2985" w:type="dxa"/>
            <w:noWrap w:val="0"/>
            <w:vAlign w:val="center"/>
          </w:tcPr>
          <w:p>
            <w:pPr>
              <w:jc w:val="center"/>
              <w:rPr>
                <w:color w:val="auto"/>
                <w:szCs w:val="21"/>
                <w:highlight w:val="none"/>
              </w:rPr>
            </w:pPr>
            <w:r>
              <w:rPr>
                <w:color w:val="auto"/>
                <w:szCs w:val="21"/>
                <w:highlight w:val="none"/>
              </w:rPr>
              <w:t>40</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1378" w:type="dxa"/>
            <w:noWrap w:val="0"/>
            <w:vAlign w:val="center"/>
          </w:tcPr>
          <w:p>
            <w:pPr>
              <w:jc w:val="center"/>
              <w:rPr>
                <w:rFonts w:hint="eastAsia" w:eastAsia="宋体"/>
                <w:color w:val="auto"/>
                <w:szCs w:val="21"/>
                <w:highlight w:val="none"/>
                <w:lang w:eastAsia="zh-CN"/>
              </w:rPr>
            </w:pPr>
            <w:r>
              <w:rPr>
                <w:rFonts w:hint="eastAsia"/>
                <w:color w:val="auto"/>
                <w:szCs w:val="21"/>
                <w:highlight w:val="none"/>
                <w:lang w:val="en-US" w:eastAsia="zh-CN"/>
              </w:rPr>
              <w:t>4</w:t>
            </w:r>
          </w:p>
        </w:tc>
        <w:tc>
          <w:tcPr>
            <w:tcW w:w="4924" w:type="dxa"/>
            <w:noWrap w:val="0"/>
            <w:vAlign w:val="center"/>
          </w:tcPr>
          <w:p>
            <w:pPr>
              <w:jc w:val="center"/>
              <w:rPr>
                <w:rFonts w:hint="eastAsia" w:eastAsia="宋体"/>
                <w:color w:val="auto"/>
                <w:szCs w:val="21"/>
                <w:highlight w:val="none"/>
                <w:lang w:eastAsia="zh-CN"/>
              </w:rPr>
            </w:pPr>
            <w:r>
              <w:rPr>
                <w:color w:val="auto"/>
                <w:szCs w:val="21"/>
                <w:highlight w:val="none"/>
              </w:rPr>
              <w:t>五日生化需氧量</w:t>
            </w:r>
            <w:r>
              <w:rPr>
                <w:rFonts w:hint="eastAsia"/>
                <w:color w:val="auto"/>
                <w:szCs w:val="21"/>
                <w:highlight w:val="none"/>
                <w:lang w:eastAsia="zh-CN"/>
              </w:rPr>
              <w:t>(</w:t>
            </w:r>
            <w:r>
              <w:rPr>
                <w:rFonts w:hint="eastAsia"/>
                <w:color w:val="auto"/>
                <w:szCs w:val="21"/>
                <w:highlight w:val="none"/>
                <w:lang w:val="en-US" w:eastAsia="zh-CN"/>
              </w:rPr>
              <w:t>B</w:t>
            </w:r>
            <w:r>
              <w:rPr>
                <w:color w:val="auto"/>
                <w:szCs w:val="21"/>
                <w:highlight w:val="none"/>
              </w:rPr>
              <w:t>OD</w:t>
            </w:r>
            <w:r>
              <w:rPr>
                <w:rFonts w:hint="eastAsia"/>
                <w:color w:val="auto"/>
                <w:szCs w:val="21"/>
                <w:highlight w:val="none"/>
                <w:vertAlign w:val="subscript"/>
                <w:lang w:val="en-US" w:eastAsia="zh-CN"/>
              </w:rPr>
              <w:t>5</w:t>
            </w:r>
            <w:r>
              <w:rPr>
                <w:rFonts w:hint="eastAsia"/>
                <w:color w:val="auto"/>
                <w:szCs w:val="21"/>
                <w:highlight w:val="none"/>
                <w:lang w:eastAsia="zh-CN"/>
              </w:rPr>
              <w:t>)</w:t>
            </w:r>
          </w:p>
        </w:tc>
        <w:tc>
          <w:tcPr>
            <w:tcW w:w="2985" w:type="dxa"/>
            <w:noWrap w:val="0"/>
            <w:vAlign w:val="center"/>
          </w:tcPr>
          <w:p>
            <w:pPr>
              <w:jc w:val="center"/>
              <w:rPr>
                <w:color w:val="auto"/>
                <w:szCs w:val="21"/>
                <w:highlight w:val="none"/>
              </w:rPr>
            </w:pPr>
            <w:r>
              <w:rPr>
                <w:color w:val="auto"/>
                <w:szCs w:val="21"/>
                <w:highlight w:val="none"/>
              </w:rPr>
              <w:t>10</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1378" w:type="dxa"/>
            <w:noWrap w:val="0"/>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5</w:t>
            </w:r>
          </w:p>
        </w:tc>
        <w:tc>
          <w:tcPr>
            <w:tcW w:w="4924" w:type="dxa"/>
            <w:noWrap w:val="0"/>
            <w:vAlign w:val="center"/>
          </w:tcPr>
          <w:p>
            <w:pPr>
              <w:jc w:val="center"/>
              <w:rPr>
                <w:color w:val="auto"/>
                <w:szCs w:val="21"/>
                <w:highlight w:val="none"/>
              </w:rPr>
            </w:pPr>
            <w:r>
              <w:rPr>
                <w:rFonts w:hint="eastAsia"/>
                <w:color w:val="auto"/>
                <w:szCs w:val="21"/>
                <w:highlight w:val="none"/>
              </w:rPr>
              <w:t>高锰酸盐指数</w:t>
            </w:r>
          </w:p>
        </w:tc>
        <w:tc>
          <w:tcPr>
            <w:tcW w:w="2985" w:type="dxa"/>
            <w:noWrap w:val="0"/>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15</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1378" w:type="dxa"/>
            <w:noWrap w:val="0"/>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6</w:t>
            </w:r>
          </w:p>
        </w:tc>
        <w:tc>
          <w:tcPr>
            <w:tcW w:w="4924" w:type="dxa"/>
            <w:noWrap w:val="0"/>
            <w:vAlign w:val="center"/>
          </w:tcPr>
          <w:p>
            <w:pPr>
              <w:jc w:val="center"/>
              <w:rPr>
                <w:rFonts w:hint="eastAsia" w:eastAsia="宋体"/>
                <w:color w:val="auto"/>
                <w:szCs w:val="21"/>
                <w:highlight w:val="none"/>
                <w:lang w:eastAsia="zh-CN"/>
              </w:rPr>
            </w:pPr>
            <w:r>
              <w:rPr>
                <w:rFonts w:hint="eastAsia"/>
                <w:color w:val="auto"/>
                <w:szCs w:val="21"/>
                <w:highlight w:val="none"/>
                <w:lang w:eastAsia="zh-CN"/>
              </w:rPr>
              <w:t>硫酸盐</w:t>
            </w:r>
            <w:r>
              <w:rPr>
                <w:rFonts w:hint="eastAsia"/>
                <w:color w:val="auto"/>
                <w:sz w:val="18"/>
                <w:szCs w:val="18"/>
                <w:highlight w:val="none"/>
                <w:lang w:val="en-US" w:eastAsia="zh-CN"/>
              </w:rPr>
              <w:t>*</w:t>
            </w:r>
          </w:p>
        </w:tc>
        <w:tc>
          <w:tcPr>
            <w:tcW w:w="2985" w:type="dxa"/>
            <w:noWrap w:val="0"/>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250</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1378" w:type="dxa"/>
            <w:noWrap w:val="0"/>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7</w:t>
            </w:r>
          </w:p>
        </w:tc>
        <w:tc>
          <w:tcPr>
            <w:tcW w:w="4924" w:type="dxa"/>
            <w:noWrap w:val="0"/>
            <w:vAlign w:val="center"/>
          </w:tcPr>
          <w:p>
            <w:pPr>
              <w:jc w:val="center"/>
              <w:rPr>
                <w:rFonts w:hint="eastAsia"/>
                <w:color w:val="auto"/>
                <w:szCs w:val="21"/>
                <w:highlight w:val="none"/>
                <w:lang w:eastAsia="zh-CN"/>
              </w:rPr>
            </w:pPr>
            <w:r>
              <w:rPr>
                <w:rFonts w:hint="eastAsia"/>
                <w:color w:val="auto"/>
                <w:szCs w:val="21"/>
                <w:highlight w:val="none"/>
                <w:lang w:eastAsia="zh-CN"/>
              </w:rPr>
              <w:t>石油类</w:t>
            </w:r>
          </w:p>
        </w:tc>
        <w:tc>
          <w:tcPr>
            <w:tcW w:w="2985" w:type="dxa"/>
            <w:noWrap w:val="0"/>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1.0</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1378" w:type="dxa"/>
            <w:noWrap w:val="0"/>
            <w:vAlign w:val="center"/>
          </w:tcPr>
          <w:p>
            <w:pPr>
              <w:jc w:val="center"/>
              <w:rPr>
                <w:rFonts w:hint="eastAsia" w:eastAsia="宋体"/>
                <w:color w:val="auto"/>
                <w:szCs w:val="21"/>
                <w:highlight w:val="none"/>
                <w:lang w:eastAsia="zh-CN"/>
              </w:rPr>
            </w:pPr>
            <w:r>
              <w:rPr>
                <w:rFonts w:hint="eastAsia"/>
                <w:color w:val="auto"/>
                <w:szCs w:val="21"/>
                <w:highlight w:val="none"/>
                <w:lang w:val="en-US" w:eastAsia="zh-CN"/>
              </w:rPr>
              <w:t>8</w:t>
            </w:r>
          </w:p>
        </w:tc>
        <w:tc>
          <w:tcPr>
            <w:tcW w:w="4924" w:type="dxa"/>
            <w:noWrap w:val="0"/>
            <w:vAlign w:val="center"/>
          </w:tcPr>
          <w:p>
            <w:pPr>
              <w:jc w:val="center"/>
              <w:rPr>
                <w:rFonts w:hint="eastAsia" w:eastAsia="宋体"/>
                <w:color w:val="auto"/>
                <w:szCs w:val="21"/>
                <w:highlight w:val="none"/>
                <w:lang w:eastAsia="zh-CN"/>
              </w:rPr>
            </w:pPr>
            <w:r>
              <w:rPr>
                <w:color w:val="auto"/>
                <w:szCs w:val="21"/>
                <w:highlight w:val="none"/>
              </w:rPr>
              <w:t>氨氮</w:t>
            </w:r>
            <w:r>
              <w:rPr>
                <w:rFonts w:hint="eastAsia"/>
                <w:color w:val="auto"/>
                <w:szCs w:val="21"/>
                <w:highlight w:val="none"/>
                <w:lang w:eastAsia="zh-CN"/>
              </w:rPr>
              <w:t>(</w:t>
            </w:r>
            <w:r>
              <w:rPr>
                <w:color w:val="auto"/>
                <w:szCs w:val="21"/>
                <w:highlight w:val="none"/>
              </w:rPr>
              <w:t>NH</w:t>
            </w:r>
            <w:r>
              <w:rPr>
                <w:color w:val="auto"/>
                <w:szCs w:val="21"/>
                <w:highlight w:val="none"/>
                <w:vertAlign w:val="subscript"/>
              </w:rPr>
              <w:t>3</w:t>
            </w:r>
            <w:r>
              <w:rPr>
                <w:color w:val="auto"/>
                <w:szCs w:val="21"/>
                <w:highlight w:val="none"/>
              </w:rPr>
              <w:t>-N</w:t>
            </w:r>
            <w:r>
              <w:rPr>
                <w:rFonts w:hint="eastAsia"/>
                <w:color w:val="auto"/>
                <w:szCs w:val="21"/>
                <w:highlight w:val="none"/>
                <w:lang w:eastAsia="zh-CN"/>
              </w:rPr>
              <w:t>)</w:t>
            </w:r>
          </w:p>
        </w:tc>
        <w:tc>
          <w:tcPr>
            <w:tcW w:w="2985" w:type="dxa"/>
            <w:noWrap w:val="0"/>
            <w:vAlign w:val="center"/>
          </w:tcPr>
          <w:p>
            <w:pPr>
              <w:jc w:val="center"/>
              <w:rPr>
                <w:color w:val="auto"/>
                <w:szCs w:val="21"/>
                <w:highlight w:val="none"/>
              </w:rPr>
            </w:pPr>
            <w:r>
              <w:rPr>
                <w:color w:val="auto"/>
                <w:szCs w:val="21"/>
                <w:highlight w:val="none"/>
              </w:rPr>
              <w:t>2.0</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1378" w:type="dxa"/>
            <w:noWrap w:val="0"/>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10</w:t>
            </w:r>
          </w:p>
        </w:tc>
        <w:tc>
          <w:tcPr>
            <w:tcW w:w="4924" w:type="dxa"/>
            <w:noWrap w:val="0"/>
            <w:vAlign w:val="center"/>
          </w:tcPr>
          <w:p>
            <w:pPr>
              <w:jc w:val="center"/>
              <w:rPr>
                <w:rFonts w:hint="eastAsia" w:eastAsia="宋体"/>
                <w:color w:val="auto"/>
                <w:szCs w:val="21"/>
                <w:highlight w:val="none"/>
                <w:lang w:eastAsia="zh-CN"/>
              </w:rPr>
            </w:pPr>
            <w:r>
              <w:rPr>
                <w:color w:val="auto"/>
                <w:szCs w:val="21"/>
                <w:highlight w:val="none"/>
              </w:rPr>
              <w:t>总磷</w:t>
            </w:r>
            <w:r>
              <w:rPr>
                <w:rFonts w:hint="eastAsia"/>
                <w:color w:val="auto"/>
                <w:szCs w:val="21"/>
                <w:highlight w:val="none"/>
                <w:lang w:eastAsia="zh-CN"/>
              </w:rPr>
              <w:t>(</w:t>
            </w:r>
            <w:r>
              <w:rPr>
                <w:color w:val="auto"/>
                <w:szCs w:val="21"/>
                <w:highlight w:val="none"/>
              </w:rPr>
              <w:t>以P计</w:t>
            </w:r>
            <w:r>
              <w:rPr>
                <w:rFonts w:hint="eastAsia"/>
                <w:color w:val="auto"/>
                <w:szCs w:val="21"/>
                <w:highlight w:val="none"/>
                <w:lang w:eastAsia="zh-CN"/>
              </w:rPr>
              <w:t>)</w:t>
            </w:r>
          </w:p>
        </w:tc>
        <w:tc>
          <w:tcPr>
            <w:tcW w:w="2985" w:type="dxa"/>
            <w:noWrap w:val="0"/>
            <w:vAlign w:val="center"/>
          </w:tcPr>
          <w:p>
            <w:pPr>
              <w:jc w:val="center"/>
              <w:rPr>
                <w:color w:val="auto"/>
                <w:szCs w:val="21"/>
                <w:highlight w:val="none"/>
              </w:rPr>
            </w:pPr>
            <w:r>
              <w:rPr>
                <w:color w:val="auto"/>
                <w:szCs w:val="21"/>
                <w:highlight w:val="none"/>
              </w:rPr>
              <w:t>0.4</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1378" w:type="dxa"/>
            <w:noWrap w:val="0"/>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11</w:t>
            </w:r>
          </w:p>
        </w:tc>
        <w:tc>
          <w:tcPr>
            <w:tcW w:w="4924" w:type="dxa"/>
            <w:noWrap w:val="0"/>
            <w:vAlign w:val="center"/>
          </w:tcPr>
          <w:p>
            <w:pPr>
              <w:jc w:val="center"/>
              <w:rPr>
                <w:color w:val="auto"/>
                <w:szCs w:val="21"/>
                <w:highlight w:val="none"/>
              </w:rPr>
            </w:pPr>
            <w:r>
              <w:rPr>
                <w:color w:val="auto"/>
                <w:szCs w:val="21"/>
                <w:highlight w:val="none"/>
              </w:rPr>
              <w:t>锌</w:t>
            </w:r>
          </w:p>
        </w:tc>
        <w:tc>
          <w:tcPr>
            <w:tcW w:w="2985" w:type="dxa"/>
            <w:noWrap w:val="0"/>
            <w:vAlign w:val="center"/>
          </w:tcPr>
          <w:p>
            <w:pPr>
              <w:jc w:val="center"/>
              <w:rPr>
                <w:color w:val="auto"/>
                <w:szCs w:val="21"/>
                <w:highlight w:val="none"/>
              </w:rPr>
            </w:pPr>
            <w:r>
              <w:rPr>
                <w:color w:val="auto"/>
                <w:szCs w:val="21"/>
                <w:highlight w:val="none"/>
              </w:rPr>
              <w:t>2.0</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1378" w:type="dxa"/>
            <w:noWrap w:val="0"/>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12</w:t>
            </w:r>
          </w:p>
        </w:tc>
        <w:tc>
          <w:tcPr>
            <w:tcW w:w="4924" w:type="dxa"/>
            <w:noWrap w:val="0"/>
            <w:vAlign w:val="center"/>
          </w:tcPr>
          <w:p>
            <w:pPr>
              <w:jc w:val="center"/>
              <w:rPr>
                <w:color w:val="auto"/>
                <w:szCs w:val="21"/>
                <w:highlight w:val="none"/>
              </w:rPr>
            </w:pPr>
            <w:r>
              <w:rPr>
                <w:color w:val="auto"/>
                <w:szCs w:val="21"/>
                <w:highlight w:val="none"/>
              </w:rPr>
              <w:t>铜</w:t>
            </w:r>
          </w:p>
        </w:tc>
        <w:tc>
          <w:tcPr>
            <w:tcW w:w="2985" w:type="dxa"/>
            <w:noWrap w:val="0"/>
            <w:vAlign w:val="center"/>
          </w:tcPr>
          <w:p>
            <w:pPr>
              <w:jc w:val="center"/>
              <w:rPr>
                <w:color w:val="auto"/>
                <w:szCs w:val="21"/>
                <w:highlight w:val="none"/>
              </w:rPr>
            </w:pPr>
            <w:r>
              <w:rPr>
                <w:color w:val="auto"/>
                <w:szCs w:val="21"/>
                <w:highlight w:val="none"/>
              </w:rPr>
              <w:t>1.0</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1378" w:type="dxa"/>
            <w:noWrap w:val="0"/>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13</w:t>
            </w:r>
          </w:p>
        </w:tc>
        <w:tc>
          <w:tcPr>
            <w:tcW w:w="4924" w:type="dxa"/>
            <w:noWrap w:val="0"/>
            <w:vAlign w:val="center"/>
          </w:tcPr>
          <w:p>
            <w:pPr>
              <w:jc w:val="center"/>
              <w:rPr>
                <w:rFonts w:hint="eastAsia" w:eastAsia="宋体"/>
                <w:color w:val="auto"/>
                <w:szCs w:val="21"/>
                <w:highlight w:val="none"/>
                <w:lang w:eastAsia="zh-CN"/>
              </w:rPr>
            </w:pPr>
            <w:r>
              <w:rPr>
                <w:rFonts w:hint="eastAsia"/>
                <w:color w:val="auto"/>
                <w:szCs w:val="21"/>
                <w:highlight w:val="none"/>
                <w:lang w:eastAsia="zh-CN"/>
              </w:rPr>
              <w:t>镍</w:t>
            </w:r>
            <w:r>
              <w:rPr>
                <w:rFonts w:hint="eastAsia"/>
                <w:color w:val="auto"/>
                <w:sz w:val="18"/>
                <w:szCs w:val="18"/>
                <w:highlight w:val="none"/>
                <w:lang w:val="en-US" w:eastAsia="zh-CN"/>
              </w:rPr>
              <w:t>*</w:t>
            </w:r>
          </w:p>
        </w:tc>
        <w:tc>
          <w:tcPr>
            <w:tcW w:w="2985" w:type="dxa"/>
            <w:noWrap w:val="0"/>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0.02</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1378" w:type="dxa"/>
            <w:noWrap w:val="0"/>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14</w:t>
            </w:r>
          </w:p>
        </w:tc>
        <w:tc>
          <w:tcPr>
            <w:tcW w:w="4924" w:type="dxa"/>
            <w:noWrap w:val="0"/>
            <w:vAlign w:val="center"/>
          </w:tcPr>
          <w:p>
            <w:pPr>
              <w:jc w:val="center"/>
              <w:rPr>
                <w:rFonts w:hint="eastAsia" w:eastAsia="宋体"/>
                <w:color w:val="auto"/>
                <w:szCs w:val="21"/>
                <w:highlight w:val="none"/>
                <w:lang w:eastAsia="zh-CN"/>
              </w:rPr>
            </w:pPr>
            <w:r>
              <w:rPr>
                <w:color w:val="auto"/>
                <w:szCs w:val="21"/>
                <w:highlight w:val="none"/>
              </w:rPr>
              <w:t>铬</w:t>
            </w:r>
            <w:r>
              <w:rPr>
                <w:rFonts w:hint="eastAsia"/>
                <w:color w:val="auto"/>
                <w:szCs w:val="21"/>
                <w:highlight w:val="none"/>
                <w:lang w:eastAsia="zh-CN"/>
              </w:rPr>
              <w:t>(</w:t>
            </w:r>
            <w:r>
              <w:rPr>
                <w:color w:val="auto"/>
                <w:szCs w:val="21"/>
                <w:highlight w:val="none"/>
              </w:rPr>
              <w:t>六价</w:t>
            </w:r>
            <w:r>
              <w:rPr>
                <w:rFonts w:hint="eastAsia"/>
                <w:color w:val="auto"/>
                <w:szCs w:val="21"/>
                <w:highlight w:val="none"/>
                <w:lang w:eastAsia="zh-CN"/>
              </w:rPr>
              <w:t>)</w:t>
            </w:r>
          </w:p>
        </w:tc>
        <w:tc>
          <w:tcPr>
            <w:tcW w:w="2985" w:type="dxa"/>
            <w:noWrap w:val="0"/>
            <w:vAlign w:val="center"/>
          </w:tcPr>
          <w:p>
            <w:pPr>
              <w:jc w:val="center"/>
              <w:rPr>
                <w:color w:val="auto"/>
                <w:szCs w:val="21"/>
                <w:highlight w:val="none"/>
              </w:rPr>
            </w:pPr>
            <w:r>
              <w:rPr>
                <w:color w:val="auto"/>
                <w:szCs w:val="21"/>
                <w:highlight w:val="none"/>
              </w:rPr>
              <w:t>0.1</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1378" w:type="dxa"/>
            <w:noWrap w:val="0"/>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15</w:t>
            </w:r>
          </w:p>
        </w:tc>
        <w:tc>
          <w:tcPr>
            <w:tcW w:w="4924" w:type="dxa"/>
            <w:noWrap w:val="0"/>
            <w:vAlign w:val="center"/>
          </w:tcPr>
          <w:p>
            <w:pPr>
              <w:jc w:val="center"/>
              <w:rPr>
                <w:color w:val="auto"/>
                <w:szCs w:val="21"/>
                <w:highlight w:val="none"/>
              </w:rPr>
            </w:pPr>
            <w:r>
              <w:rPr>
                <w:rFonts w:hint="eastAsia"/>
                <w:color w:val="auto"/>
                <w:szCs w:val="21"/>
                <w:highlight w:val="none"/>
              </w:rPr>
              <w:t>阴离子表面活性剂</w:t>
            </w:r>
          </w:p>
        </w:tc>
        <w:tc>
          <w:tcPr>
            <w:tcW w:w="2985" w:type="dxa"/>
            <w:noWrap w:val="0"/>
            <w:vAlign w:val="center"/>
          </w:tcPr>
          <w:p>
            <w:pPr>
              <w:jc w:val="center"/>
              <w:rPr>
                <w:rFonts w:hint="eastAsia" w:eastAsia="宋体"/>
                <w:color w:val="auto"/>
                <w:szCs w:val="21"/>
                <w:highlight w:val="none"/>
                <w:lang w:eastAsia="zh-CN"/>
              </w:rPr>
            </w:pPr>
            <w:r>
              <w:rPr>
                <w:color w:val="auto"/>
                <w:szCs w:val="21"/>
                <w:highlight w:val="none"/>
              </w:rPr>
              <w:t>0.</w:t>
            </w:r>
            <w:r>
              <w:rPr>
                <w:rFonts w:hint="eastAsia"/>
                <w:color w:val="auto"/>
                <w:szCs w:val="21"/>
                <w:highlight w:val="none"/>
                <w:lang w:val="en-US" w:eastAsia="zh-CN"/>
              </w:rPr>
              <w:t>3</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1378" w:type="dxa"/>
            <w:noWrap w:val="0"/>
            <w:vAlign w:val="center"/>
          </w:tcPr>
          <w:p>
            <w:pPr>
              <w:jc w:val="center"/>
              <w:rPr>
                <w:rFonts w:hint="eastAsia" w:eastAsia="宋体"/>
                <w:color w:val="auto"/>
                <w:szCs w:val="21"/>
                <w:highlight w:val="none"/>
                <w:lang w:eastAsia="zh-CN"/>
              </w:rPr>
            </w:pPr>
            <w:r>
              <w:rPr>
                <w:color w:val="auto"/>
                <w:szCs w:val="21"/>
                <w:highlight w:val="none"/>
              </w:rPr>
              <w:t>1</w:t>
            </w:r>
            <w:r>
              <w:rPr>
                <w:rFonts w:hint="eastAsia"/>
                <w:color w:val="auto"/>
                <w:szCs w:val="21"/>
                <w:highlight w:val="none"/>
                <w:lang w:val="en-US" w:eastAsia="zh-CN"/>
              </w:rPr>
              <w:t>6</w:t>
            </w:r>
          </w:p>
        </w:tc>
        <w:tc>
          <w:tcPr>
            <w:tcW w:w="4924" w:type="dxa"/>
            <w:noWrap w:val="0"/>
            <w:vAlign w:val="center"/>
          </w:tcPr>
          <w:p>
            <w:pPr>
              <w:jc w:val="center"/>
              <w:rPr>
                <w:rFonts w:hint="eastAsia" w:eastAsia="宋体"/>
                <w:color w:val="auto"/>
                <w:szCs w:val="21"/>
                <w:highlight w:val="none"/>
                <w:lang w:val="en-US" w:eastAsia="zh-CN"/>
              </w:rPr>
            </w:pPr>
            <w:r>
              <w:rPr>
                <w:rFonts w:hint="eastAsia"/>
                <w:color w:val="auto"/>
                <w:szCs w:val="21"/>
                <w:highlight w:val="none"/>
              </w:rPr>
              <w:t>粪大肠菌群</w:t>
            </w:r>
            <w:r>
              <w:rPr>
                <w:rFonts w:hint="eastAsia"/>
                <w:color w:val="auto"/>
                <w:szCs w:val="21"/>
                <w:highlight w:val="none"/>
                <w:lang w:val="en-US" w:eastAsia="zh-CN"/>
              </w:rPr>
              <w:t>(个/L)</w:t>
            </w:r>
          </w:p>
        </w:tc>
        <w:tc>
          <w:tcPr>
            <w:tcW w:w="2985" w:type="dxa"/>
            <w:noWrap w:val="0"/>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40000</w:t>
            </w:r>
          </w:p>
        </w:tc>
      </w:tr>
    </w:tbl>
    <w:p>
      <w:pPr>
        <w:adjustRightInd w:val="0"/>
        <w:snapToGrid w:val="0"/>
        <w:spacing w:line="360" w:lineRule="auto"/>
        <w:rPr>
          <w:rFonts w:hint="eastAsia"/>
          <w:color w:val="auto"/>
          <w:sz w:val="24"/>
          <w:highlight w:val="none"/>
        </w:rPr>
      </w:pPr>
      <w:r>
        <w:rPr>
          <w:rFonts w:hint="eastAsia"/>
          <w:color w:val="auto"/>
          <w:sz w:val="18"/>
          <w:szCs w:val="18"/>
          <w:highlight w:val="none"/>
          <w:lang w:val="en-US" w:eastAsia="zh-CN"/>
        </w:rPr>
        <w:t>备注：*总镍、硫酸盐为集中式生活饮用水地表水源地特定项目</w:t>
      </w:r>
    </w:p>
    <w:p>
      <w:pPr>
        <w:adjustRightInd w:val="0"/>
        <w:snapToGrid w:val="0"/>
        <w:spacing w:line="360" w:lineRule="auto"/>
        <w:ind w:firstLine="480" w:firstLineChars="200"/>
        <w:rPr>
          <w:color w:val="auto"/>
          <w:sz w:val="24"/>
          <w:highlight w:val="none"/>
        </w:rPr>
      </w:pPr>
      <w:r>
        <w:rPr>
          <w:rFonts w:hint="eastAsia"/>
          <w:color w:val="auto"/>
          <w:sz w:val="24"/>
          <w:highlight w:val="none"/>
        </w:rPr>
        <w:t>3、</w:t>
      </w:r>
      <w:r>
        <w:rPr>
          <w:color w:val="auto"/>
          <w:sz w:val="24"/>
          <w:highlight w:val="none"/>
        </w:rPr>
        <w:t>地下水环境质量</w:t>
      </w:r>
    </w:p>
    <w:p>
      <w:pPr>
        <w:adjustRightInd w:val="0"/>
        <w:snapToGrid w:val="0"/>
        <w:spacing w:line="360" w:lineRule="auto"/>
        <w:ind w:firstLine="480" w:firstLineChars="200"/>
        <w:rPr>
          <w:color w:val="auto"/>
          <w:sz w:val="24"/>
          <w:highlight w:val="none"/>
        </w:rPr>
      </w:pPr>
      <w:r>
        <w:rPr>
          <w:color w:val="auto"/>
          <w:sz w:val="24"/>
          <w:highlight w:val="none"/>
        </w:rPr>
        <w:t>项目所在区域地下水水质执行《地下水质量标准》</w:t>
      </w:r>
      <w:r>
        <w:rPr>
          <w:rFonts w:hint="eastAsia"/>
          <w:color w:val="auto"/>
          <w:sz w:val="24"/>
          <w:highlight w:val="none"/>
        </w:rPr>
        <w:t>(</w:t>
      </w:r>
      <w:r>
        <w:rPr>
          <w:color w:val="auto"/>
          <w:sz w:val="24"/>
          <w:highlight w:val="none"/>
        </w:rPr>
        <w:t>GB/T14848</w:t>
      </w:r>
      <w:r>
        <w:rPr>
          <w:color w:val="auto"/>
          <w:sz w:val="24"/>
          <w:highlight w:val="none"/>
        </w:rPr>
        <w:t>-</w:t>
      </w:r>
      <w:r>
        <w:rPr>
          <w:rFonts w:hint="eastAsia"/>
          <w:color w:val="auto"/>
          <w:sz w:val="24"/>
          <w:highlight w:val="none"/>
        </w:rPr>
        <w:t>201</w:t>
      </w:r>
      <w:r>
        <w:rPr>
          <w:rFonts w:hint="eastAsia"/>
          <w:color w:val="auto"/>
          <w:sz w:val="24"/>
          <w:highlight w:val="none"/>
          <w:lang w:val="en-US" w:eastAsia="zh-CN"/>
        </w:rPr>
        <w:t>7</w:t>
      </w:r>
      <w:r>
        <w:rPr>
          <w:rFonts w:hint="eastAsia"/>
          <w:color w:val="auto"/>
          <w:sz w:val="24"/>
          <w:highlight w:val="none"/>
        </w:rPr>
        <w:t>)</w:t>
      </w:r>
      <w:r>
        <w:rPr>
          <w:color w:val="auto"/>
          <w:sz w:val="24"/>
          <w:highlight w:val="none"/>
        </w:rPr>
        <w:t>中的</w:t>
      </w:r>
      <w:r>
        <w:rPr>
          <w:rFonts w:hint="eastAsia"/>
          <w:color w:val="auto"/>
          <w:sz w:val="24"/>
          <w:highlight w:val="none"/>
        </w:rPr>
        <w:t>IV</w:t>
      </w:r>
      <w:r>
        <w:rPr>
          <w:color w:val="auto"/>
          <w:sz w:val="24"/>
          <w:highlight w:val="none"/>
        </w:rPr>
        <w:t>类标准，具体见表1.</w:t>
      </w:r>
      <w:r>
        <w:rPr>
          <w:rFonts w:hint="eastAsia"/>
          <w:color w:val="auto"/>
          <w:sz w:val="24"/>
          <w:highlight w:val="none"/>
        </w:rPr>
        <w:t>4</w:t>
      </w:r>
      <w:r>
        <w:rPr>
          <w:color w:val="auto"/>
          <w:sz w:val="24"/>
          <w:highlight w:val="none"/>
        </w:rPr>
        <w:t>-</w:t>
      </w:r>
      <w:r>
        <w:rPr>
          <w:rFonts w:hint="eastAsia"/>
          <w:color w:val="auto"/>
          <w:sz w:val="24"/>
          <w:highlight w:val="none"/>
        </w:rPr>
        <w:t>3</w:t>
      </w:r>
      <w:r>
        <w:rPr>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line="240" w:lineRule="auto"/>
        <w:jc w:val="right"/>
        <w:textAlignment w:val="auto"/>
        <w:outlineLvl w:val="9"/>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 xml:space="preserve">表1.4-3 </w:t>
      </w:r>
      <w:r>
        <w:rPr>
          <w:rFonts w:hint="eastAsia" w:ascii="黑体" w:hAnsi="黑体" w:eastAsia="黑体" w:cs="黑体"/>
          <w:b w:val="0"/>
          <w:bCs w:val="0"/>
          <w:color w:val="auto"/>
          <w:sz w:val="24"/>
          <w:szCs w:val="24"/>
          <w:highlight w:val="none"/>
          <w:lang w:val="en-US" w:eastAsia="zh-CN"/>
        </w:rPr>
        <w:t xml:space="preserve"> </w:t>
      </w:r>
      <w:r>
        <w:rPr>
          <w:rFonts w:hint="eastAsia" w:ascii="黑体" w:hAnsi="黑体" w:eastAsia="黑体" w:cs="黑体"/>
          <w:b w:val="0"/>
          <w:bCs w:val="0"/>
          <w:color w:val="auto"/>
          <w:sz w:val="24"/>
          <w:szCs w:val="24"/>
          <w:highlight w:val="none"/>
        </w:rPr>
        <w:t xml:space="preserve">地下水评价标准  </w:t>
      </w:r>
      <w:r>
        <w:rPr>
          <w:rFonts w:hint="eastAsia" w:ascii="黑体" w:hAnsi="黑体" w:eastAsia="黑体" w:cs="黑体"/>
          <w:b w:val="0"/>
          <w:bCs w:val="0"/>
          <w:color w:val="auto"/>
          <w:sz w:val="24"/>
          <w:szCs w:val="24"/>
          <w:highlight w:val="none"/>
          <w:lang w:val="en-US" w:eastAsia="zh-CN"/>
        </w:rPr>
        <w:t xml:space="preserve">        </w:t>
      </w:r>
      <w:r>
        <w:rPr>
          <w:rFonts w:hint="eastAsia" w:ascii="黑体" w:hAnsi="黑体" w:eastAsia="黑体" w:cs="黑体"/>
          <w:b w:val="0"/>
          <w:bCs w:val="0"/>
          <w:color w:val="auto"/>
          <w:sz w:val="24"/>
          <w:szCs w:val="24"/>
          <w:highlight w:val="none"/>
        </w:rPr>
        <w:t>单位：mg/l，pH无量纲</w:t>
      </w:r>
    </w:p>
    <w:tbl>
      <w:tblPr>
        <w:tblStyle w:val="36"/>
        <w:tblW w:w="9286" w:type="dxa"/>
        <w:tblInd w:w="0" w:type="dxa"/>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642"/>
        <w:gridCol w:w="2917"/>
        <w:gridCol w:w="1383"/>
        <w:gridCol w:w="734"/>
        <w:gridCol w:w="2650"/>
        <w:gridCol w:w="960"/>
      </w:tblGrid>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642" w:type="dxa"/>
            <w:noWrap w:val="0"/>
            <w:vAlign w:val="center"/>
          </w:tcPr>
          <w:p>
            <w:pPr>
              <w:jc w:val="center"/>
              <w:rPr>
                <w:b/>
                <w:color w:val="auto"/>
                <w:szCs w:val="21"/>
                <w:highlight w:val="none"/>
              </w:rPr>
            </w:pPr>
            <w:r>
              <w:rPr>
                <w:b/>
                <w:color w:val="auto"/>
                <w:szCs w:val="21"/>
                <w:highlight w:val="none"/>
              </w:rPr>
              <w:t>序号</w:t>
            </w:r>
          </w:p>
        </w:tc>
        <w:tc>
          <w:tcPr>
            <w:tcW w:w="2917" w:type="dxa"/>
            <w:noWrap w:val="0"/>
            <w:vAlign w:val="center"/>
          </w:tcPr>
          <w:p>
            <w:pPr>
              <w:jc w:val="center"/>
              <w:rPr>
                <w:b/>
                <w:color w:val="auto"/>
                <w:szCs w:val="21"/>
                <w:highlight w:val="none"/>
              </w:rPr>
            </w:pPr>
            <w:r>
              <w:rPr>
                <w:b/>
                <w:color w:val="auto"/>
                <w:szCs w:val="21"/>
                <w:highlight w:val="none"/>
              </w:rPr>
              <w:t>项目</w:t>
            </w:r>
          </w:p>
        </w:tc>
        <w:tc>
          <w:tcPr>
            <w:tcW w:w="1383" w:type="dxa"/>
            <w:noWrap w:val="0"/>
            <w:vAlign w:val="center"/>
          </w:tcPr>
          <w:p>
            <w:pPr>
              <w:jc w:val="center"/>
              <w:rPr>
                <w:b/>
                <w:color w:val="auto"/>
                <w:szCs w:val="21"/>
                <w:highlight w:val="none"/>
              </w:rPr>
            </w:pPr>
            <w:r>
              <w:rPr>
                <w:rFonts w:hint="eastAsia"/>
                <w:b/>
                <w:color w:val="auto"/>
                <w:szCs w:val="21"/>
                <w:highlight w:val="none"/>
              </w:rPr>
              <w:t>IV</w:t>
            </w:r>
            <w:r>
              <w:rPr>
                <w:b/>
                <w:color w:val="auto"/>
                <w:szCs w:val="21"/>
                <w:highlight w:val="none"/>
              </w:rPr>
              <w:t>类标准限值</w:t>
            </w:r>
          </w:p>
        </w:tc>
        <w:tc>
          <w:tcPr>
            <w:tcW w:w="734" w:type="dxa"/>
            <w:noWrap w:val="0"/>
            <w:vAlign w:val="center"/>
          </w:tcPr>
          <w:p>
            <w:pPr>
              <w:jc w:val="center"/>
              <w:rPr>
                <w:b/>
                <w:color w:val="auto"/>
                <w:szCs w:val="21"/>
                <w:highlight w:val="none"/>
              </w:rPr>
            </w:pPr>
            <w:r>
              <w:rPr>
                <w:b/>
                <w:color w:val="auto"/>
                <w:szCs w:val="21"/>
                <w:highlight w:val="none"/>
              </w:rPr>
              <w:t>序号</w:t>
            </w:r>
          </w:p>
        </w:tc>
        <w:tc>
          <w:tcPr>
            <w:tcW w:w="2650" w:type="dxa"/>
            <w:noWrap w:val="0"/>
            <w:vAlign w:val="center"/>
          </w:tcPr>
          <w:p>
            <w:pPr>
              <w:jc w:val="center"/>
              <w:rPr>
                <w:b/>
                <w:color w:val="auto"/>
                <w:szCs w:val="21"/>
                <w:highlight w:val="none"/>
              </w:rPr>
            </w:pPr>
            <w:r>
              <w:rPr>
                <w:b/>
                <w:color w:val="auto"/>
                <w:szCs w:val="21"/>
                <w:highlight w:val="none"/>
              </w:rPr>
              <w:t>项目</w:t>
            </w:r>
          </w:p>
        </w:tc>
        <w:tc>
          <w:tcPr>
            <w:tcW w:w="960" w:type="dxa"/>
            <w:noWrap w:val="0"/>
            <w:vAlign w:val="center"/>
          </w:tcPr>
          <w:p>
            <w:pPr>
              <w:jc w:val="center"/>
              <w:rPr>
                <w:b/>
                <w:color w:val="auto"/>
                <w:szCs w:val="21"/>
                <w:highlight w:val="none"/>
              </w:rPr>
            </w:pPr>
            <w:r>
              <w:rPr>
                <w:rFonts w:hint="eastAsia"/>
                <w:b/>
                <w:color w:val="auto"/>
                <w:szCs w:val="21"/>
                <w:highlight w:val="none"/>
              </w:rPr>
              <w:t>IV</w:t>
            </w:r>
            <w:r>
              <w:rPr>
                <w:b/>
                <w:color w:val="auto"/>
                <w:szCs w:val="21"/>
                <w:highlight w:val="none"/>
              </w:rPr>
              <w:t>类标准限值</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642" w:type="dxa"/>
            <w:noWrap w:val="0"/>
            <w:vAlign w:val="center"/>
          </w:tcPr>
          <w:p>
            <w:pPr>
              <w:jc w:val="center"/>
              <w:rPr>
                <w:color w:val="auto"/>
                <w:szCs w:val="21"/>
                <w:highlight w:val="none"/>
              </w:rPr>
            </w:pPr>
            <w:r>
              <w:rPr>
                <w:color w:val="auto"/>
                <w:szCs w:val="21"/>
                <w:highlight w:val="none"/>
              </w:rPr>
              <w:t>1</w:t>
            </w:r>
          </w:p>
        </w:tc>
        <w:tc>
          <w:tcPr>
            <w:tcW w:w="2917" w:type="dxa"/>
            <w:noWrap w:val="0"/>
            <w:vAlign w:val="center"/>
          </w:tcPr>
          <w:p>
            <w:pPr>
              <w:spacing w:line="300" w:lineRule="exact"/>
              <w:jc w:val="center"/>
              <w:rPr>
                <w:rFonts w:hint="eastAsia" w:eastAsia="宋体"/>
                <w:color w:val="auto"/>
                <w:highlight w:val="none"/>
                <w:lang w:eastAsia="zh-CN"/>
              </w:rPr>
            </w:pPr>
            <w:r>
              <w:rPr>
                <w:color w:val="auto"/>
                <w:highlight w:val="none"/>
              </w:rPr>
              <w:t>pH值</w:t>
            </w:r>
            <w:r>
              <w:rPr>
                <w:rFonts w:hint="eastAsia"/>
                <w:color w:val="auto"/>
                <w:kern w:val="0"/>
                <w:szCs w:val="21"/>
                <w:highlight w:val="none"/>
                <w:lang w:eastAsia="zh-CN"/>
              </w:rPr>
              <w:t>(</w:t>
            </w:r>
            <w:r>
              <w:rPr>
                <w:color w:val="auto"/>
                <w:kern w:val="0"/>
                <w:szCs w:val="21"/>
                <w:highlight w:val="none"/>
              </w:rPr>
              <w:t>无量纲</w:t>
            </w:r>
            <w:r>
              <w:rPr>
                <w:rFonts w:hint="eastAsia"/>
                <w:color w:val="auto"/>
                <w:kern w:val="0"/>
                <w:szCs w:val="21"/>
                <w:highlight w:val="none"/>
                <w:lang w:eastAsia="zh-CN"/>
              </w:rPr>
              <w:t>)</w:t>
            </w:r>
          </w:p>
        </w:tc>
        <w:tc>
          <w:tcPr>
            <w:tcW w:w="1383" w:type="dxa"/>
            <w:noWrap w:val="0"/>
            <w:vAlign w:val="center"/>
          </w:tcPr>
          <w:p>
            <w:pPr>
              <w:spacing w:line="300" w:lineRule="exact"/>
              <w:jc w:val="center"/>
              <w:rPr>
                <w:color w:val="auto"/>
                <w:highlight w:val="none"/>
              </w:rPr>
            </w:pPr>
            <w:r>
              <w:rPr>
                <w:rFonts w:hint="eastAsia"/>
                <w:color w:val="auto"/>
                <w:highlight w:val="none"/>
                <w:lang w:val="en-US" w:eastAsia="zh-CN"/>
              </w:rPr>
              <w:t>5</w:t>
            </w:r>
            <w:r>
              <w:rPr>
                <w:color w:val="auto"/>
                <w:highlight w:val="none"/>
              </w:rPr>
              <w:t>.5~</w:t>
            </w:r>
            <w:r>
              <w:rPr>
                <w:rFonts w:hint="eastAsia"/>
                <w:color w:val="auto"/>
                <w:highlight w:val="none"/>
                <w:lang w:val="en-US" w:eastAsia="zh-CN"/>
              </w:rPr>
              <w:t>6</w:t>
            </w:r>
            <w:r>
              <w:rPr>
                <w:color w:val="auto"/>
                <w:highlight w:val="none"/>
              </w:rPr>
              <w:t>.5</w:t>
            </w:r>
          </w:p>
          <w:p>
            <w:pPr>
              <w:pStyle w:val="35"/>
              <w:ind w:left="0" w:leftChars="0" w:firstLine="0" w:firstLineChars="0"/>
              <w:jc w:val="center"/>
              <w:rPr>
                <w:rFonts w:hint="default" w:eastAsia="宋体"/>
                <w:color w:val="auto"/>
                <w:highlight w:val="none"/>
                <w:lang w:val="en-US" w:eastAsia="zh-CN"/>
              </w:rPr>
            </w:pPr>
            <w:r>
              <w:rPr>
                <w:rFonts w:hint="eastAsia"/>
                <w:color w:val="auto"/>
                <w:szCs w:val="21"/>
                <w:highlight w:val="none"/>
                <w:lang w:val="en-US" w:eastAsia="zh-CN"/>
              </w:rPr>
              <w:t>8.5</w:t>
            </w:r>
            <w:r>
              <w:rPr>
                <w:color w:val="auto"/>
                <w:highlight w:val="none"/>
              </w:rPr>
              <w:t>~</w:t>
            </w:r>
            <w:r>
              <w:rPr>
                <w:rFonts w:hint="eastAsia"/>
                <w:color w:val="auto"/>
                <w:highlight w:val="none"/>
                <w:lang w:val="en-US" w:eastAsia="zh-CN"/>
              </w:rPr>
              <w:t>9.0</w:t>
            </w:r>
          </w:p>
        </w:tc>
        <w:tc>
          <w:tcPr>
            <w:tcW w:w="734" w:type="dxa"/>
            <w:noWrap w:val="0"/>
            <w:vAlign w:val="center"/>
          </w:tcPr>
          <w:p>
            <w:pPr>
              <w:jc w:val="center"/>
              <w:rPr>
                <w:color w:val="auto"/>
                <w:szCs w:val="21"/>
                <w:highlight w:val="none"/>
              </w:rPr>
            </w:pPr>
            <w:r>
              <w:rPr>
                <w:color w:val="auto"/>
                <w:szCs w:val="21"/>
                <w:highlight w:val="none"/>
              </w:rPr>
              <w:t>10</w:t>
            </w:r>
          </w:p>
        </w:tc>
        <w:tc>
          <w:tcPr>
            <w:tcW w:w="2650" w:type="dxa"/>
            <w:noWrap w:val="0"/>
            <w:vAlign w:val="center"/>
          </w:tcPr>
          <w:p>
            <w:pPr>
              <w:spacing w:line="300" w:lineRule="exact"/>
              <w:jc w:val="center"/>
              <w:rPr>
                <w:rFonts w:hint="eastAsia" w:eastAsia="宋体"/>
                <w:color w:val="auto"/>
                <w:highlight w:val="none"/>
                <w:lang w:eastAsia="zh-CN"/>
              </w:rPr>
            </w:pPr>
            <w:r>
              <w:rPr>
                <w:color w:val="auto"/>
                <w:highlight w:val="none"/>
              </w:rPr>
              <w:t>硝酸盐</w:t>
            </w:r>
            <w:r>
              <w:rPr>
                <w:rFonts w:hint="eastAsia"/>
                <w:color w:val="auto"/>
                <w:kern w:val="0"/>
                <w:szCs w:val="21"/>
                <w:highlight w:val="none"/>
                <w:lang w:eastAsia="zh-CN"/>
              </w:rPr>
              <w:t>(以</w:t>
            </w:r>
            <w:r>
              <w:rPr>
                <w:rFonts w:hint="eastAsia"/>
                <w:color w:val="auto"/>
                <w:kern w:val="0"/>
                <w:szCs w:val="21"/>
                <w:highlight w:val="none"/>
                <w:lang w:val="en-US" w:eastAsia="zh-CN"/>
              </w:rPr>
              <w:t>N计</w:t>
            </w:r>
            <w:r>
              <w:rPr>
                <w:rFonts w:hint="eastAsia"/>
                <w:color w:val="auto"/>
                <w:kern w:val="0"/>
                <w:szCs w:val="21"/>
                <w:highlight w:val="none"/>
                <w:lang w:eastAsia="zh-CN"/>
              </w:rPr>
              <w:t>)</w:t>
            </w:r>
          </w:p>
        </w:tc>
        <w:tc>
          <w:tcPr>
            <w:tcW w:w="960" w:type="dxa"/>
            <w:noWrap w:val="0"/>
            <w:vAlign w:val="center"/>
          </w:tcPr>
          <w:p>
            <w:pPr>
              <w:spacing w:line="300" w:lineRule="exact"/>
              <w:jc w:val="center"/>
              <w:rPr>
                <w:color w:val="auto"/>
                <w:szCs w:val="21"/>
                <w:highlight w:val="none"/>
              </w:rPr>
            </w:pPr>
            <w:r>
              <w:rPr>
                <w:rFonts w:hint="eastAsia"/>
                <w:color w:val="auto"/>
                <w:szCs w:val="21"/>
                <w:highlight w:val="none"/>
                <w:lang w:val="en-US" w:eastAsia="zh-CN"/>
              </w:rPr>
              <w:t>3</w:t>
            </w:r>
            <w:r>
              <w:rPr>
                <w:color w:val="auto"/>
                <w:szCs w:val="21"/>
                <w:highlight w:val="none"/>
              </w:rPr>
              <w:t>0</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47" w:hRule="atLeast"/>
        </w:trPr>
        <w:tc>
          <w:tcPr>
            <w:tcW w:w="642" w:type="dxa"/>
            <w:noWrap w:val="0"/>
            <w:vAlign w:val="center"/>
          </w:tcPr>
          <w:p>
            <w:pPr>
              <w:jc w:val="center"/>
              <w:rPr>
                <w:color w:val="auto"/>
                <w:szCs w:val="21"/>
                <w:highlight w:val="none"/>
              </w:rPr>
            </w:pPr>
            <w:r>
              <w:rPr>
                <w:color w:val="auto"/>
                <w:szCs w:val="21"/>
                <w:highlight w:val="none"/>
              </w:rPr>
              <w:t>2</w:t>
            </w:r>
          </w:p>
        </w:tc>
        <w:tc>
          <w:tcPr>
            <w:tcW w:w="2917" w:type="dxa"/>
            <w:noWrap w:val="0"/>
            <w:vAlign w:val="center"/>
          </w:tcPr>
          <w:p>
            <w:pPr>
              <w:spacing w:line="300" w:lineRule="exact"/>
              <w:jc w:val="center"/>
              <w:rPr>
                <w:color w:val="auto"/>
                <w:highlight w:val="none"/>
              </w:rPr>
            </w:pPr>
            <w:r>
              <w:rPr>
                <w:color w:val="auto"/>
                <w:highlight w:val="none"/>
              </w:rPr>
              <w:t>溶解性总固体</w:t>
            </w:r>
          </w:p>
        </w:tc>
        <w:tc>
          <w:tcPr>
            <w:tcW w:w="1383" w:type="dxa"/>
            <w:noWrap w:val="0"/>
            <w:vAlign w:val="center"/>
          </w:tcPr>
          <w:p>
            <w:pPr>
              <w:spacing w:line="300" w:lineRule="exact"/>
              <w:jc w:val="center"/>
              <w:rPr>
                <w:color w:val="auto"/>
                <w:szCs w:val="21"/>
                <w:highlight w:val="none"/>
              </w:rPr>
            </w:pPr>
            <w:r>
              <w:rPr>
                <w:rFonts w:hint="eastAsia"/>
                <w:color w:val="auto"/>
                <w:szCs w:val="21"/>
                <w:highlight w:val="none"/>
                <w:lang w:val="en-US" w:eastAsia="zh-CN"/>
              </w:rPr>
              <w:t>2</w:t>
            </w:r>
            <w:r>
              <w:rPr>
                <w:color w:val="auto"/>
                <w:szCs w:val="21"/>
                <w:highlight w:val="none"/>
              </w:rPr>
              <w:t>000</w:t>
            </w:r>
          </w:p>
        </w:tc>
        <w:tc>
          <w:tcPr>
            <w:tcW w:w="734" w:type="dxa"/>
            <w:noWrap w:val="0"/>
            <w:vAlign w:val="center"/>
          </w:tcPr>
          <w:p>
            <w:pPr>
              <w:jc w:val="center"/>
              <w:rPr>
                <w:color w:val="auto"/>
                <w:szCs w:val="21"/>
                <w:highlight w:val="none"/>
              </w:rPr>
            </w:pPr>
            <w:r>
              <w:rPr>
                <w:color w:val="auto"/>
                <w:szCs w:val="21"/>
                <w:highlight w:val="none"/>
              </w:rPr>
              <w:t>11</w:t>
            </w:r>
          </w:p>
        </w:tc>
        <w:tc>
          <w:tcPr>
            <w:tcW w:w="2650" w:type="dxa"/>
            <w:noWrap w:val="0"/>
            <w:vAlign w:val="center"/>
          </w:tcPr>
          <w:p>
            <w:pPr>
              <w:widowControl/>
              <w:spacing w:line="300" w:lineRule="exact"/>
              <w:jc w:val="center"/>
              <w:textAlignment w:val="center"/>
              <w:rPr>
                <w:color w:val="auto"/>
                <w:highlight w:val="none"/>
              </w:rPr>
            </w:pPr>
            <w:r>
              <w:rPr>
                <w:color w:val="auto"/>
                <w:kern w:val="0"/>
                <w:szCs w:val="21"/>
                <w:highlight w:val="none"/>
              </w:rPr>
              <w:t>硫酸盐</w:t>
            </w:r>
          </w:p>
        </w:tc>
        <w:tc>
          <w:tcPr>
            <w:tcW w:w="960" w:type="dxa"/>
            <w:noWrap w:val="0"/>
            <w:vAlign w:val="center"/>
          </w:tcPr>
          <w:p>
            <w:pPr>
              <w:spacing w:line="300" w:lineRule="exact"/>
              <w:jc w:val="center"/>
              <w:rPr>
                <w:b/>
                <w:color w:val="auto"/>
                <w:szCs w:val="21"/>
                <w:highlight w:val="none"/>
              </w:rPr>
            </w:pPr>
            <w:r>
              <w:rPr>
                <w:rFonts w:hint="eastAsia"/>
                <w:color w:val="auto"/>
                <w:szCs w:val="21"/>
                <w:highlight w:val="none"/>
                <w:lang w:val="en-US" w:eastAsia="zh-CN"/>
              </w:rPr>
              <w:t>3</w:t>
            </w:r>
            <w:r>
              <w:rPr>
                <w:color w:val="auto"/>
                <w:szCs w:val="21"/>
                <w:highlight w:val="none"/>
              </w:rPr>
              <w:t>50</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642" w:type="dxa"/>
            <w:noWrap w:val="0"/>
            <w:vAlign w:val="center"/>
          </w:tcPr>
          <w:p>
            <w:pPr>
              <w:jc w:val="center"/>
              <w:rPr>
                <w:color w:val="auto"/>
                <w:szCs w:val="21"/>
                <w:highlight w:val="none"/>
              </w:rPr>
            </w:pPr>
            <w:r>
              <w:rPr>
                <w:color w:val="auto"/>
                <w:szCs w:val="21"/>
                <w:highlight w:val="none"/>
              </w:rPr>
              <w:t>3</w:t>
            </w:r>
          </w:p>
        </w:tc>
        <w:tc>
          <w:tcPr>
            <w:tcW w:w="2917" w:type="dxa"/>
            <w:noWrap w:val="0"/>
            <w:vAlign w:val="center"/>
          </w:tcPr>
          <w:p>
            <w:pPr>
              <w:spacing w:line="300" w:lineRule="exact"/>
              <w:jc w:val="center"/>
              <w:rPr>
                <w:rFonts w:hint="eastAsia" w:eastAsia="宋体"/>
                <w:color w:val="auto"/>
                <w:highlight w:val="none"/>
                <w:lang w:eastAsia="zh-CN"/>
              </w:rPr>
            </w:pPr>
            <w:r>
              <w:rPr>
                <w:color w:val="auto"/>
                <w:highlight w:val="none"/>
              </w:rPr>
              <w:t>总硬度</w:t>
            </w:r>
            <w:r>
              <w:rPr>
                <w:rFonts w:hint="eastAsia"/>
                <w:color w:val="auto"/>
                <w:kern w:val="0"/>
                <w:szCs w:val="21"/>
                <w:highlight w:val="none"/>
                <w:lang w:eastAsia="zh-CN"/>
              </w:rPr>
              <w:t>(以</w:t>
            </w:r>
            <w:r>
              <w:rPr>
                <w:rFonts w:hint="eastAsia"/>
                <w:color w:val="auto"/>
                <w:kern w:val="0"/>
                <w:szCs w:val="21"/>
                <w:highlight w:val="none"/>
                <w:lang w:val="en-US" w:eastAsia="zh-CN"/>
              </w:rPr>
              <w:t>CaCO</w:t>
            </w:r>
            <w:r>
              <w:rPr>
                <w:rFonts w:hint="eastAsia"/>
                <w:color w:val="auto"/>
                <w:kern w:val="0"/>
                <w:szCs w:val="21"/>
                <w:highlight w:val="none"/>
                <w:vertAlign w:val="subscript"/>
                <w:lang w:val="en-US" w:eastAsia="zh-CN"/>
              </w:rPr>
              <w:t>3</w:t>
            </w:r>
            <w:r>
              <w:rPr>
                <w:rFonts w:hint="eastAsia"/>
                <w:color w:val="auto"/>
                <w:kern w:val="0"/>
                <w:szCs w:val="21"/>
                <w:highlight w:val="none"/>
                <w:lang w:val="en-US" w:eastAsia="zh-CN"/>
              </w:rPr>
              <w:t>计</w:t>
            </w:r>
            <w:r>
              <w:rPr>
                <w:rFonts w:hint="eastAsia"/>
                <w:color w:val="auto"/>
                <w:kern w:val="0"/>
                <w:szCs w:val="21"/>
                <w:highlight w:val="none"/>
                <w:lang w:eastAsia="zh-CN"/>
              </w:rPr>
              <w:t>)</w:t>
            </w:r>
          </w:p>
        </w:tc>
        <w:tc>
          <w:tcPr>
            <w:tcW w:w="1383" w:type="dxa"/>
            <w:noWrap w:val="0"/>
            <w:vAlign w:val="center"/>
          </w:tcPr>
          <w:p>
            <w:pPr>
              <w:spacing w:line="300" w:lineRule="exact"/>
              <w:jc w:val="center"/>
              <w:rPr>
                <w:color w:val="auto"/>
                <w:szCs w:val="21"/>
                <w:highlight w:val="none"/>
              </w:rPr>
            </w:pPr>
            <w:r>
              <w:rPr>
                <w:rFonts w:hint="eastAsia"/>
                <w:color w:val="auto"/>
                <w:szCs w:val="21"/>
                <w:highlight w:val="none"/>
                <w:lang w:val="en-US" w:eastAsia="zh-CN"/>
              </w:rPr>
              <w:t>6</w:t>
            </w:r>
            <w:r>
              <w:rPr>
                <w:color w:val="auto"/>
                <w:szCs w:val="21"/>
                <w:highlight w:val="none"/>
              </w:rPr>
              <w:t>50</w:t>
            </w:r>
          </w:p>
        </w:tc>
        <w:tc>
          <w:tcPr>
            <w:tcW w:w="734" w:type="dxa"/>
            <w:noWrap w:val="0"/>
            <w:vAlign w:val="center"/>
          </w:tcPr>
          <w:p>
            <w:pPr>
              <w:jc w:val="center"/>
              <w:rPr>
                <w:color w:val="auto"/>
                <w:szCs w:val="21"/>
                <w:highlight w:val="none"/>
              </w:rPr>
            </w:pPr>
            <w:r>
              <w:rPr>
                <w:color w:val="auto"/>
                <w:szCs w:val="21"/>
                <w:highlight w:val="none"/>
              </w:rPr>
              <w:t>12</w:t>
            </w:r>
          </w:p>
        </w:tc>
        <w:tc>
          <w:tcPr>
            <w:tcW w:w="2650" w:type="dxa"/>
            <w:noWrap w:val="0"/>
            <w:vAlign w:val="center"/>
          </w:tcPr>
          <w:p>
            <w:pPr>
              <w:widowControl/>
              <w:spacing w:line="300" w:lineRule="exact"/>
              <w:jc w:val="center"/>
              <w:textAlignment w:val="center"/>
              <w:rPr>
                <w:color w:val="auto"/>
                <w:highlight w:val="none"/>
              </w:rPr>
            </w:pPr>
            <w:r>
              <w:rPr>
                <w:color w:val="auto"/>
                <w:kern w:val="0"/>
                <w:szCs w:val="21"/>
                <w:highlight w:val="none"/>
              </w:rPr>
              <w:t>氯化物</w:t>
            </w:r>
          </w:p>
        </w:tc>
        <w:tc>
          <w:tcPr>
            <w:tcW w:w="960" w:type="dxa"/>
            <w:noWrap w:val="0"/>
            <w:vAlign w:val="center"/>
          </w:tcPr>
          <w:p>
            <w:pPr>
              <w:spacing w:line="300" w:lineRule="exact"/>
              <w:jc w:val="center"/>
              <w:rPr>
                <w:color w:val="auto"/>
                <w:szCs w:val="21"/>
                <w:highlight w:val="none"/>
              </w:rPr>
            </w:pPr>
            <w:r>
              <w:rPr>
                <w:rFonts w:hint="eastAsia"/>
                <w:color w:val="auto"/>
                <w:szCs w:val="21"/>
                <w:highlight w:val="none"/>
                <w:lang w:val="en-US" w:eastAsia="zh-CN"/>
              </w:rPr>
              <w:t>3</w:t>
            </w:r>
            <w:r>
              <w:rPr>
                <w:color w:val="auto"/>
                <w:szCs w:val="21"/>
                <w:highlight w:val="none"/>
              </w:rPr>
              <w:t>50</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642" w:type="dxa"/>
            <w:noWrap w:val="0"/>
            <w:vAlign w:val="center"/>
          </w:tcPr>
          <w:p>
            <w:pPr>
              <w:jc w:val="center"/>
              <w:rPr>
                <w:color w:val="auto"/>
                <w:szCs w:val="21"/>
                <w:highlight w:val="none"/>
              </w:rPr>
            </w:pPr>
            <w:r>
              <w:rPr>
                <w:color w:val="auto"/>
                <w:szCs w:val="21"/>
                <w:highlight w:val="none"/>
              </w:rPr>
              <w:t>4</w:t>
            </w:r>
          </w:p>
        </w:tc>
        <w:tc>
          <w:tcPr>
            <w:tcW w:w="2917" w:type="dxa"/>
            <w:noWrap w:val="0"/>
            <w:vAlign w:val="center"/>
          </w:tcPr>
          <w:p>
            <w:pPr>
              <w:spacing w:line="300" w:lineRule="exact"/>
              <w:jc w:val="center"/>
              <w:rPr>
                <w:rFonts w:hint="eastAsia" w:eastAsia="宋体"/>
                <w:color w:val="auto"/>
                <w:highlight w:val="none"/>
                <w:lang w:eastAsia="zh-CN"/>
              </w:rPr>
            </w:pPr>
            <w:r>
              <w:rPr>
                <w:color w:val="auto"/>
                <w:highlight w:val="none"/>
              </w:rPr>
              <w:t>氨氮</w:t>
            </w:r>
            <w:r>
              <w:rPr>
                <w:rFonts w:hint="eastAsia"/>
                <w:color w:val="auto"/>
                <w:kern w:val="0"/>
                <w:szCs w:val="21"/>
                <w:highlight w:val="none"/>
                <w:lang w:eastAsia="zh-CN"/>
              </w:rPr>
              <w:t>(以</w:t>
            </w:r>
            <w:r>
              <w:rPr>
                <w:rFonts w:hint="eastAsia"/>
                <w:color w:val="auto"/>
                <w:kern w:val="0"/>
                <w:szCs w:val="21"/>
                <w:highlight w:val="none"/>
                <w:lang w:val="en-US" w:eastAsia="zh-CN"/>
              </w:rPr>
              <w:t>N计</w:t>
            </w:r>
            <w:r>
              <w:rPr>
                <w:rFonts w:hint="eastAsia"/>
                <w:color w:val="auto"/>
                <w:kern w:val="0"/>
                <w:szCs w:val="21"/>
                <w:highlight w:val="none"/>
                <w:lang w:eastAsia="zh-CN"/>
              </w:rPr>
              <w:t>)</w:t>
            </w:r>
          </w:p>
        </w:tc>
        <w:tc>
          <w:tcPr>
            <w:tcW w:w="1383" w:type="dxa"/>
            <w:noWrap w:val="0"/>
            <w:vAlign w:val="center"/>
          </w:tcPr>
          <w:p>
            <w:pPr>
              <w:spacing w:line="300" w:lineRule="exact"/>
              <w:jc w:val="center"/>
              <w:rPr>
                <w:color w:val="auto"/>
                <w:szCs w:val="21"/>
                <w:highlight w:val="none"/>
              </w:rPr>
            </w:pPr>
            <w:r>
              <w:rPr>
                <w:rFonts w:hint="eastAsia"/>
                <w:color w:val="auto"/>
                <w:szCs w:val="21"/>
                <w:highlight w:val="none"/>
                <w:lang w:val="en-US" w:eastAsia="zh-CN"/>
              </w:rPr>
              <w:t>1</w:t>
            </w:r>
            <w:r>
              <w:rPr>
                <w:color w:val="auto"/>
                <w:szCs w:val="21"/>
                <w:highlight w:val="none"/>
              </w:rPr>
              <w:t>.5</w:t>
            </w:r>
          </w:p>
        </w:tc>
        <w:tc>
          <w:tcPr>
            <w:tcW w:w="734" w:type="dxa"/>
            <w:noWrap w:val="0"/>
            <w:vAlign w:val="center"/>
          </w:tcPr>
          <w:p>
            <w:pPr>
              <w:jc w:val="center"/>
              <w:rPr>
                <w:color w:val="auto"/>
                <w:szCs w:val="21"/>
                <w:highlight w:val="none"/>
              </w:rPr>
            </w:pPr>
            <w:r>
              <w:rPr>
                <w:color w:val="auto"/>
                <w:szCs w:val="21"/>
                <w:highlight w:val="none"/>
              </w:rPr>
              <w:t>13</w:t>
            </w:r>
          </w:p>
        </w:tc>
        <w:tc>
          <w:tcPr>
            <w:tcW w:w="2650" w:type="dxa"/>
            <w:noWrap w:val="0"/>
            <w:vAlign w:val="center"/>
          </w:tcPr>
          <w:p>
            <w:pPr>
              <w:spacing w:line="300" w:lineRule="exact"/>
              <w:jc w:val="center"/>
              <w:rPr>
                <w:color w:val="auto"/>
                <w:highlight w:val="none"/>
              </w:rPr>
            </w:pPr>
            <w:r>
              <w:rPr>
                <w:color w:val="auto"/>
                <w:highlight w:val="none"/>
              </w:rPr>
              <w:t>锰</w:t>
            </w:r>
          </w:p>
        </w:tc>
        <w:tc>
          <w:tcPr>
            <w:tcW w:w="960" w:type="dxa"/>
            <w:noWrap w:val="0"/>
            <w:vAlign w:val="center"/>
          </w:tcPr>
          <w:p>
            <w:pPr>
              <w:spacing w:line="300" w:lineRule="exact"/>
              <w:jc w:val="center"/>
              <w:rPr>
                <w:rFonts w:hint="default" w:eastAsia="宋体"/>
                <w:color w:val="auto"/>
                <w:szCs w:val="21"/>
                <w:highlight w:val="none"/>
                <w:lang w:val="en-US" w:eastAsia="zh-CN"/>
              </w:rPr>
            </w:pPr>
            <w:r>
              <w:rPr>
                <w:rFonts w:hint="eastAsia"/>
                <w:color w:val="auto"/>
                <w:szCs w:val="21"/>
                <w:highlight w:val="none"/>
                <w:lang w:val="en-US" w:eastAsia="zh-CN"/>
              </w:rPr>
              <w:t>1.5</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642" w:type="dxa"/>
            <w:noWrap w:val="0"/>
            <w:vAlign w:val="center"/>
          </w:tcPr>
          <w:p>
            <w:pPr>
              <w:jc w:val="center"/>
              <w:rPr>
                <w:color w:val="auto"/>
                <w:szCs w:val="21"/>
                <w:highlight w:val="none"/>
              </w:rPr>
            </w:pPr>
            <w:r>
              <w:rPr>
                <w:color w:val="auto"/>
                <w:szCs w:val="21"/>
                <w:highlight w:val="none"/>
              </w:rPr>
              <w:t>5</w:t>
            </w:r>
          </w:p>
        </w:tc>
        <w:tc>
          <w:tcPr>
            <w:tcW w:w="2917" w:type="dxa"/>
            <w:noWrap w:val="0"/>
            <w:vAlign w:val="center"/>
          </w:tcPr>
          <w:p>
            <w:pPr>
              <w:spacing w:line="300" w:lineRule="exact"/>
              <w:jc w:val="center"/>
              <w:rPr>
                <w:rFonts w:hint="eastAsia" w:eastAsia="宋体"/>
                <w:color w:val="auto"/>
                <w:highlight w:val="none"/>
                <w:lang w:eastAsia="zh-CN"/>
              </w:rPr>
            </w:pPr>
            <w:r>
              <w:rPr>
                <w:color w:val="auto"/>
                <w:highlight w:val="none"/>
              </w:rPr>
              <w:t>耗氧量</w:t>
            </w:r>
            <w:r>
              <w:rPr>
                <w:rFonts w:hint="eastAsia"/>
                <w:color w:val="auto"/>
                <w:kern w:val="0"/>
                <w:szCs w:val="21"/>
                <w:highlight w:val="none"/>
                <w:lang w:eastAsia="zh-CN"/>
              </w:rPr>
              <w:t>(</w:t>
            </w:r>
            <w:r>
              <w:rPr>
                <w:rFonts w:hint="eastAsia"/>
                <w:color w:val="auto"/>
                <w:kern w:val="0"/>
                <w:szCs w:val="21"/>
                <w:highlight w:val="none"/>
                <w:lang w:val="en-US" w:eastAsia="zh-CN"/>
              </w:rPr>
              <w:t>COD</w:t>
            </w:r>
            <w:r>
              <w:rPr>
                <w:rFonts w:hint="eastAsia"/>
                <w:color w:val="auto"/>
                <w:kern w:val="0"/>
                <w:szCs w:val="21"/>
                <w:highlight w:val="none"/>
                <w:vertAlign w:val="subscript"/>
                <w:lang w:val="en-US" w:eastAsia="zh-CN"/>
              </w:rPr>
              <w:t>Mn</w:t>
            </w:r>
            <w:r>
              <w:rPr>
                <w:rFonts w:hint="eastAsia"/>
                <w:color w:val="auto"/>
                <w:kern w:val="0"/>
                <w:szCs w:val="21"/>
                <w:highlight w:val="none"/>
                <w:lang w:val="en-US" w:eastAsia="zh-CN"/>
              </w:rPr>
              <w:t>法，</w:t>
            </w:r>
            <w:r>
              <w:rPr>
                <w:rFonts w:hint="eastAsia"/>
                <w:color w:val="auto"/>
                <w:kern w:val="0"/>
                <w:szCs w:val="21"/>
                <w:highlight w:val="none"/>
                <w:lang w:eastAsia="zh-CN"/>
              </w:rPr>
              <w:t>以</w:t>
            </w:r>
            <w:r>
              <w:rPr>
                <w:rFonts w:hint="eastAsia"/>
                <w:color w:val="auto"/>
                <w:kern w:val="0"/>
                <w:szCs w:val="21"/>
                <w:highlight w:val="none"/>
                <w:lang w:val="en-US" w:eastAsia="zh-CN"/>
              </w:rPr>
              <w:t>O</w:t>
            </w:r>
            <w:r>
              <w:rPr>
                <w:rFonts w:hint="eastAsia"/>
                <w:color w:val="auto"/>
                <w:kern w:val="0"/>
                <w:szCs w:val="21"/>
                <w:highlight w:val="none"/>
                <w:vertAlign w:val="subscript"/>
                <w:lang w:val="en-US" w:eastAsia="zh-CN"/>
              </w:rPr>
              <w:t>3</w:t>
            </w:r>
            <w:r>
              <w:rPr>
                <w:rFonts w:hint="eastAsia"/>
                <w:color w:val="auto"/>
                <w:kern w:val="0"/>
                <w:szCs w:val="21"/>
                <w:highlight w:val="none"/>
                <w:lang w:val="en-US" w:eastAsia="zh-CN"/>
              </w:rPr>
              <w:t>计</w:t>
            </w:r>
            <w:r>
              <w:rPr>
                <w:rFonts w:hint="eastAsia"/>
                <w:color w:val="auto"/>
                <w:kern w:val="0"/>
                <w:szCs w:val="21"/>
                <w:highlight w:val="none"/>
                <w:lang w:eastAsia="zh-CN"/>
              </w:rPr>
              <w:t>)</w:t>
            </w:r>
          </w:p>
        </w:tc>
        <w:tc>
          <w:tcPr>
            <w:tcW w:w="1383" w:type="dxa"/>
            <w:noWrap w:val="0"/>
            <w:vAlign w:val="center"/>
          </w:tcPr>
          <w:p>
            <w:pPr>
              <w:spacing w:line="300" w:lineRule="exact"/>
              <w:jc w:val="center"/>
              <w:rPr>
                <w:color w:val="auto"/>
                <w:szCs w:val="21"/>
                <w:highlight w:val="none"/>
              </w:rPr>
            </w:pPr>
            <w:r>
              <w:rPr>
                <w:rFonts w:hint="eastAsia"/>
                <w:color w:val="auto"/>
                <w:szCs w:val="21"/>
                <w:highlight w:val="none"/>
                <w:lang w:val="en-US" w:eastAsia="zh-CN"/>
              </w:rPr>
              <w:t>10</w:t>
            </w:r>
            <w:r>
              <w:rPr>
                <w:color w:val="auto"/>
                <w:szCs w:val="21"/>
                <w:highlight w:val="none"/>
              </w:rPr>
              <w:t>.0</w:t>
            </w:r>
          </w:p>
        </w:tc>
        <w:tc>
          <w:tcPr>
            <w:tcW w:w="734" w:type="dxa"/>
            <w:noWrap w:val="0"/>
            <w:vAlign w:val="center"/>
          </w:tcPr>
          <w:p>
            <w:pPr>
              <w:jc w:val="center"/>
              <w:rPr>
                <w:color w:val="auto"/>
                <w:szCs w:val="21"/>
                <w:highlight w:val="none"/>
              </w:rPr>
            </w:pPr>
            <w:r>
              <w:rPr>
                <w:color w:val="auto"/>
                <w:szCs w:val="21"/>
                <w:highlight w:val="none"/>
              </w:rPr>
              <w:t>14</w:t>
            </w:r>
          </w:p>
        </w:tc>
        <w:tc>
          <w:tcPr>
            <w:tcW w:w="2650" w:type="dxa"/>
            <w:noWrap w:val="0"/>
            <w:vAlign w:val="center"/>
          </w:tcPr>
          <w:p>
            <w:pPr>
              <w:spacing w:line="300" w:lineRule="exact"/>
              <w:jc w:val="center"/>
              <w:rPr>
                <w:color w:val="auto"/>
                <w:highlight w:val="none"/>
              </w:rPr>
            </w:pPr>
            <w:r>
              <w:rPr>
                <w:color w:val="auto"/>
                <w:highlight w:val="none"/>
              </w:rPr>
              <w:t>镍</w:t>
            </w:r>
          </w:p>
        </w:tc>
        <w:tc>
          <w:tcPr>
            <w:tcW w:w="960" w:type="dxa"/>
            <w:noWrap w:val="0"/>
            <w:vAlign w:val="center"/>
          </w:tcPr>
          <w:p>
            <w:pPr>
              <w:spacing w:line="300" w:lineRule="exact"/>
              <w:jc w:val="center"/>
              <w:rPr>
                <w:rFonts w:hint="default" w:eastAsia="宋体"/>
                <w:color w:val="auto"/>
                <w:szCs w:val="21"/>
                <w:highlight w:val="none"/>
                <w:lang w:val="en-US" w:eastAsia="zh-CN"/>
              </w:rPr>
            </w:pPr>
            <w:r>
              <w:rPr>
                <w:color w:val="auto"/>
                <w:szCs w:val="21"/>
                <w:highlight w:val="none"/>
              </w:rPr>
              <w:t>0.</w:t>
            </w:r>
            <w:r>
              <w:rPr>
                <w:rFonts w:hint="eastAsia"/>
                <w:color w:val="auto"/>
                <w:szCs w:val="21"/>
                <w:highlight w:val="none"/>
                <w:lang w:val="en-US" w:eastAsia="zh-CN"/>
              </w:rPr>
              <w:t>10</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642" w:type="dxa"/>
            <w:noWrap w:val="0"/>
            <w:vAlign w:val="center"/>
          </w:tcPr>
          <w:p>
            <w:pPr>
              <w:jc w:val="center"/>
              <w:rPr>
                <w:color w:val="auto"/>
                <w:szCs w:val="21"/>
                <w:highlight w:val="none"/>
              </w:rPr>
            </w:pPr>
            <w:r>
              <w:rPr>
                <w:color w:val="auto"/>
                <w:szCs w:val="21"/>
                <w:highlight w:val="none"/>
              </w:rPr>
              <w:t>6</w:t>
            </w:r>
          </w:p>
        </w:tc>
        <w:tc>
          <w:tcPr>
            <w:tcW w:w="2917" w:type="dxa"/>
            <w:noWrap w:val="0"/>
            <w:vAlign w:val="center"/>
          </w:tcPr>
          <w:p>
            <w:pPr>
              <w:spacing w:line="300" w:lineRule="exact"/>
              <w:jc w:val="center"/>
              <w:rPr>
                <w:rFonts w:hint="eastAsia" w:eastAsia="宋体"/>
                <w:color w:val="auto"/>
                <w:highlight w:val="none"/>
                <w:lang w:eastAsia="zh-CN"/>
              </w:rPr>
            </w:pPr>
            <w:r>
              <w:rPr>
                <w:color w:val="auto"/>
                <w:highlight w:val="none"/>
              </w:rPr>
              <w:t>挥发</w:t>
            </w:r>
            <w:r>
              <w:rPr>
                <w:rFonts w:hint="eastAsia"/>
                <w:color w:val="auto"/>
                <w:highlight w:val="none"/>
                <w:lang w:eastAsia="zh-CN"/>
              </w:rPr>
              <w:t>性</w:t>
            </w:r>
            <w:r>
              <w:rPr>
                <w:color w:val="auto"/>
                <w:highlight w:val="none"/>
              </w:rPr>
              <w:t>酚</w:t>
            </w:r>
            <w:r>
              <w:rPr>
                <w:rFonts w:hint="eastAsia"/>
                <w:color w:val="auto"/>
                <w:highlight w:val="none"/>
                <w:lang w:eastAsia="zh-CN"/>
              </w:rPr>
              <w:t>类</w:t>
            </w:r>
            <w:r>
              <w:rPr>
                <w:rFonts w:hint="eastAsia"/>
                <w:color w:val="auto"/>
                <w:kern w:val="0"/>
                <w:szCs w:val="21"/>
                <w:highlight w:val="none"/>
                <w:lang w:eastAsia="zh-CN"/>
              </w:rPr>
              <w:t>(以</w:t>
            </w:r>
            <w:r>
              <w:rPr>
                <w:rFonts w:hint="eastAsia"/>
                <w:color w:val="auto"/>
                <w:kern w:val="0"/>
                <w:szCs w:val="21"/>
                <w:highlight w:val="none"/>
                <w:lang w:val="en-US" w:eastAsia="zh-CN"/>
              </w:rPr>
              <w:t>苯酚计</w:t>
            </w:r>
            <w:r>
              <w:rPr>
                <w:rFonts w:hint="eastAsia"/>
                <w:color w:val="auto"/>
                <w:kern w:val="0"/>
                <w:szCs w:val="21"/>
                <w:highlight w:val="none"/>
                <w:lang w:eastAsia="zh-CN"/>
              </w:rPr>
              <w:t>)</w:t>
            </w:r>
          </w:p>
        </w:tc>
        <w:tc>
          <w:tcPr>
            <w:tcW w:w="1383" w:type="dxa"/>
            <w:noWrap w:val="0"/>
            <w:vAlign w:val="center"/>
          </w:tcPr>
          <w:p>
            <w:pPr>
              <w:spacing w:line="300" w:lineRule="exact"/>
              <w:jc w:val="center"/>
              <w:rPr>
                <w:rFonts w:hint="eastAsia" w:eastAsia="宋体"/>
                <w:color w:val="auto"/>
                <w:szCs w:val="21"/>
                <w:highlight w:val="none"/>
                <w:lang w:val="en-US" w:eastAsia="zh-CN"/>
              </w:rPr>
            </w:pPr>
            <w:r>
              <w:rPr>
                <w:color w:val="auto"/>
                <w:szCs w:val="21"/>
                <w:highlight w:val="none"/>
              </w:rPr>
              <w:t>0.0</w:t>
            </w:r>
            <w:r>
              <w:rPr>
                <w:rFonts w:hint="eastAsia"/>
                <w:color w:val="auto"/>
                <w:szCs w:val="21"/>
                <w:highlight w:val="none"/>
                <w:lang w:val="en-US" w:eastAsia="zh-CN"/>
              </w:rPr>
              <w:t>1</w:t>
            </w:r>
          </w:p>
        </w:tc>
        <w:tc>
          <w:tcPr>
            <w:tcW w:w="734" w:type="dxa"/>
            <w:noWrap w:val="0"/>
            <w:vAlign w:val="center"/>
          </w:tcPr>
          <w:p>
            <w:pPr>
              <w:jc w:val="center"/>
              <w:rPr>
                <w:color w:val="auto"/>
                <w:szCs w:val="21"/>
                <w:highlight w:val="none"/>
              </w:rPr>
            </w:pPr>
            <w:r>
              <w:rPr>
                <w:color w:val="auto"/>
                <w:szCs w:val="21"/>
                <w:highlight w:val="none"/>
              </w:rPr>
              <w:t>15</w:t>
            </w:r>
          </w:p>
        </w:tc>
        <w:tc>
          <w:tcPr>
            <w:tcW w:w="2650" w:type="dxa"/>
            <w:noWrap w:val="0"/>
            <w:vAlign w:val="center"/>
          </w:tcPr>
          <w:p>
            <w:pPr>
              <w:spacing w:line="300" w:lineRule="exact"/>
              <w:jc w:val="center"/>
              <w:rPr>
                <w:color w:val="auto"/>
                <w:highlight w:val="none"/>
              </w:rPr>
            </w:pPr>
            <w:r>
              <w:rPr>
                <w:color w:val="auto"/>
                <w:highlight w:val="none"/>
              </w:rPr>
              <w:t>铁</w:t>
            </w:r>
          </w:p>
        </w:tc>
        <w:tc>
          <w:tcPr>
            <w:tcW w:w="960" w:type="dxa"/>
            <w:noWrap w:val="0"/>
            <w:vAlign w:val="center"/>
          </w:tcPr>
          <w:p>
            <w:pPr>
              <w:spacing w:line="300" w:lineRule="exact"/>
              <w:jc w:val="center"/>
              <w:rPr>
                <w:rFonts w:hint="default" w:eastAsia="宋体"/>
                <w:color w:val="auto"/>
                <w:szCs w:val="21"/>
                <w:highlight w:val="none"/>
                <w:lang w:val="en-US" w:eastAsia="zh-CN"/>
              </w:rPr>
            </w:pPr>
            <w:r>
              <w:rPr>
                <w:rFonts w:hint="eastAsia"/>
                <w:color w:val="auto"/>
                <w:szCs w:val="21"/>
                <w:highlight w:val="none"/>
                <w:lang w:val="en-US" w:eastAsia="zh-CN"/>
              </w:rPr>
              <w:t>2.0</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642" w:type="dxa"/>
            <w:noWrap w:val="0"/>
            <w:vAlign w:val="center"/>
          </w:tcPr>
          <w:p>
            <w:pPr>
              <w:jc w:val="center"/>
              <w:rPr>
                <w:color w:val="auto"/>
                <w:szCs w:val="21"/>
                <w:highlight w:val="none"/>
              </w:rPr>
            </w:pPr>
            <w:r>
              <w:rPr>
                <w:color w:val="auto"/>
                <w:szCs w:val="21"/>
                <w:highlight w:val="none"/>
              </w:rPr>
              <w:t>7</w:t>
            </w:r>
          </w:p>
        </w:tc>
        <w:tc>
          <w:tcPr>
            <w:tcW w:w="2917" w:type="dxa"/>
            <w:noWrap w:val="0"/>
            <w:vAlign w:val="center"/>
          </w:tcPr>
          <w:p>
            <w:pPr>
              <w:spacing w:line="300" w:lineRule="exact"/>
              <w:jc w:val="center"/>
              <w:rPr>
                <w:rFonts w:hint="eastAsia" w:eastAsia="宋体"/>
                <w:color w:val="auto"/>
                <w:highlight w:val="none"/>
                <w:lang w:eastAsia="zh-CN"/>
              </w:rPr>
            </w:pPr>
            <w:r>
              <w:rPr>
                <w:color w:val="auto"/>
                <w:highlight w:val="none"/>
              </w:rPr>
              <w:t>铬</w:t>
            </w:r>
            <w:r>
              <w:rPr>
                <w:rFonts w:hint="eastAsia"/>
                <w:color w:val="auto"/>
                <w:highlight w:val="none"/>
                <w:lang w:eastAsia="zh-CN"/>
              </w:rPr>
              <w:t>(</w:t>
            </w:r>
            <w:r>
              <w:rPr>
                <w:color w:val="auto"/>
                <w:highlight w:val="none"/>
              </w:rPr>
              <w:t>六价</w:t>
            </w:r>
            <w:r>
              <w:rPr>
                <w:rFonts w:hint="eastAsia"/>
                <w:color w:val="auto"/>
                <w:highlight w:val="none"/>
                <w:lang w:eastAsia="zh-CN"/>
              </w:rPr>
              <w:t>)</w:t>
            </w:r>
          </w:p>
        </w:tc>
        <w:tc>
          <w:tcPr>
            <w:tcW w:w="1383" w:type="dxa"/>
            <w:noWrap w:val="0"/>
            <w:vAlign w:val="center"/>
          </w:tcPr>
          <w:p>
            <w:pPr>
              <w:spacing w:line="300" w:lineRule="exact"/>
              <w:jc w:val="center"/>
              <w:rPr>
                <w:rFonts w:hint="eastAsia" w:eastAsia="宋体"/>
                <w:color w:val="auto"/>
                <w:szCs w:val="21"/>
                <w:highlight w:val="none"/>
                <w:lang w:eastAsia="zh-CN"/>
              </w:rPr>
            </w:pPr>
            <w:r>
              <w:rPr>
                <w:color w:val="auto"/>
                <w:szCs w:val="21"/>
                <w:highlight w:val="none"/>
              </w:rPr>
              <w:t>0.</w:t>
            </w:r>
            <w:r>
              <w:rPr>
                <w:rFonts w:hint="eastAsia"/>
                <w:color w:val="auto"/>
                <w:szCs w:val="21"/>
                <w:highlight w:val="none"/>
                <w:lang w:val="en-US" w:eastAsia="zh-CN"/>
              </w:rPr>
              <w:t>1</w:t>
            </w:r>
          </w:p>
        </w:tc>
        <w:tc>
          <w:tcPr>
            <w:tcW w:w="734" w:type="dxa"/>
            <w:noWrap w:val="0"/>
            <w:vAlign w:val="center"/>
          </w:tcPr>
          <w:p>
            <w:pPr>
              <w:jc w:val="center"/>
              <w:rPr>
                <w:color w:val="auto"/>
                <w:szCs w:val="21"/>
                <w:highlight w:val="none"/>
              </w:rPr>
            </w:pPr>
            <w:r>
              <w:rPr>
                <w:color w:val="auto"/>
                <w:szCs w:val="21"/>
                <w:highlight w:val="none"/>
              </w:rPr>
              <w:t>16</w:t>
            </w:r>
          </w:p>
        </w:tc>
        <w:tc>
          <w:tcPr>
            <w:tcW w:w="2650" w:type="dxa"/>
            <w:noWrap w:val="0"/>
            <w:vAlign w:val="center"/>
          </w:tcPr>
          <w:p>
            <w:pPr>
              <w:spacing w:line="300" w:lineRule="exact"/>
              <w:jc w:val="center"/>
              <w:rPr>
                <w:color w:val="auto"/>
                <w:highlight w:val="none"/>
              </w:rPr>
            </w:pPr>
            <w:r>
              <w:rPr>
                <w:color w:val="auto"/>
                <w:highlight w:val="none"/>
              </w:rPr>
              <w:t>铜</w:t>
            </w:r>
          </w:p>
        </w:tc>
        <w:tc>
          <w:tcPr>
            <w:tcW w:w="960" w:type="dxa"/>
            <w:noWrap w:val="0"/>
            <w:vAlign w:val="center"/>
          </w:tcPr>
          <w:p>
            <w:pPr>
              <w:spacing w:line="300" w:lineRule="exact"/>
              <w:jc w:val="center"/>
              <w:rPr>
                <w:rFonts w:hint="eastAsia" w:eastAsia="宋体"/>
                <w:color w:val="auto"/>
                <w:szCs w:val="21"/>
                <w:highlight w:val="none"/>
                <w:lang w:eastAsia="zh-CN"/>
              </w:rPr>
            </w:pPr>
            <w:r>
              <w:rPr>
                <w:color w:val="auto"/>
                <w:szCs w:val="21"/>
                <w:highlight w:val="none"/>
              </w:rPr>
              <w:t>1.</w:t>
            </w:r>
            <w:r>
              <w:rPr>
                <w:rFonts w:hint="eastAsia"/>
                <w:color w:val="auto"/>
                <w:szCs w:val="21"/>
                <w:highlight w:val="none"/>
                <w:lang w:val="en-US" w:eastAsia="zh-CN"/>
              </w:rPr>
              <w:t>5</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642" w:type="dxa"/>
            <w:noWrap w:val="0"/>
            <w:vAlign w:val="center"/>
          </w:tcPr>
          <w:p>
            <w:pPr>
              <w:jc w:val="center"/>
              <w:rPr>
                <w:color w:val="auto"/>
                <w:szCs w:val="21"/>
                <w:highlight w:val="none"/>
              </w:rPr>
            </w:pPr>
            <w:r>
              <w:rPr>
                <w:color w:val="auto"/>
                <w:szCs w:val="21"/>
                <w:highlight w:val="none"/>
              </w:rPr>
              <w:t>8</w:t>
            </w:r>
          </w:p>
        </w:tc>
        <w:tc>
          <w:tcPr>
            <w:tcW w:w="2917" w:type="dxa"/>
            <w:noWrap w:val="0"/>
            <w:vAlign w:val="center"/>
          </w:tcPr>
          <w:p>
            <w:pPr>
              <w:spacing w:line="300" w:lineRule="exact"/>
              <w:jc w:val="center"/>
              <w:rPr>
                <w:rFonts w:hint="eastAsia" w:eastAsia="宋体"/>
                <w:color w:val="auto"/>
                <w:highlight w:val="none"/>
                <w:lang w:eastAsia="zh-CN"/>
              </w:rPr>
            </w:pPr>
            <w:r>
              <w:rPr>
                <w:color w:val="auto"/>
                <w:highlight w:val="none"/>
              </w:rPr>
              <w:t>亚硝酸盐</w:t>
            </w:r>
            <w:r>
              <w:rPr>
                <w:rFonts w:hint="eastAsia"/>
                <w:color w:val="auto"/>
                <w:kern w:val="0"/>
                <w:szCs w:val="21"/>
                <w:highlight w:val="none"/>
                <w:lang w:eastAsia="zh-CN"/>
              </w:rPr>
              <w:t>(以</w:t>
            </w:r>
            <w:r>
              <w:rPr>
                <w:rFonts w:hint="eastAsia"/>
                <w:color w:val="auto"/>
                <w:kern w:val="0"/>
                <w:szCs w:val="21"/>
                <w:highlight w:val="none"/>
                <w:lang w:val="en-US" w:eastAsia="zh-CN"/>
              </w:rPr>
              <w:t>N计</w:t>
            </w:r>
            <w:r>
              <w:rPr>
                <w:rFonts w:hint="eastAsia"/>
                <w:color w:val="auto"/>
                <w:kern w:val="0"/>
                <w:szCs w:val="21"/>
                <w:highlight w:val="none"/>
                <w:lang w:eastAsia="zh-CN"/>
              </w:rPr>
              <w:t>)</w:t>
            </w:r>
          </w:p>
        </w:tc>
        <w:tc>
          <w:tcPr>
            <w:tcW w:w="1383" w:type="dxa"/>
            <w:noWrap w:val="0"/>
            <w:vAlign w:val="center"/>
          </w:tcPr>
          <w:p>
            <w:pPr>
              <w:spacing w:line="300" w:lineRule="exact"/>
              <w:jc w:val="center"/>
              <w:rPr>
                <w:rFonts w:hint="default" w:eastAsia="宋体"/>
                <w:color w:val="auto"/>
                <w:szCs w:val="21"/>
                <w:highlight w:val="none"/>
                <w:lang w:val="en-US" w:eastAsia="zh-CN"/>
              </w:rPr>
            </w:pPr>
            <w:r>
              <w:rPr>
                <w:rFonts w:hint="eastAsia"/>
                <w:color w:val="auto"/>
                <w:szCs w:val="21"/>
                <w:highlight w:val="none"/>
                <w:lang w:val="en-US" w:eastAsia="zh-CN"/>
              </w:rPr>
              <w:t>4.8</w:t>
            </w:r>
          </w:p>
        </w:tc>
        <w:tc>
          <w:tcPr>
            <w:tcW w:w="734" w:type="dxa"/>
            <w:noWrap w:val="0"/>
            <w:vAlign w:val="center"/>
          </w:tcPr>
          <w:p>
            <w:pPr>
              <w:jc w:val="center"/>
              <w:rPr>
                <w:color w:val="auto"/>
                <w:szCs w:val="21"/>
                <w:highlight w:val="none"/>
              </w:rPr>
            </w:pPr>
            <w:r>
              <w:rPr>
                <w:color w:val="auto"/>
                <w:szCs w:val="21"/>
                <w:highlight w:val="none"/>
              </w:rPr>
              <w:t>17</w:t>
            </w:r>
          </w:p>
        </w:tc>
        <w:tc>
          <w:tcPr>
            <w:tcW w:w="2650" w:type="dxa"/>
            <w:noWrap w:val="0"/>
            <w:vAlign w:val="center"/>
          </w:tcPr>
          <w:p>
            <w:pPr>
              <w:spacing w:line="300" w:lineRule="exact"/>
              <w:jc w:val="center"/>
              <w:rPr>
                <w:color w:val="auto"/>
                <w:highlight w:val="none"/>
              </w:rPr>
            </w:pPr>
            <w:r>
              <w:rPr>
                <w:color w:val="auto"/>
                <w:highlight w:val="none"/>
              </w:rPr>
              <w:t>锌</w:t>
            </w:r>
          </w:p>
        </w:tc>
        <w:tc>
          <w:tcPr>
            <w:tcW w:w="960" w:type="dxa"/>
            <w:noWrap w:val="0"/>
            <w:vAlign w:val="center"/>
          </w:tcPr>
          <w:p>
            <w:pPr>
              <w:spacing w:line="300" w:lineRule="exact"/>
              <w:jc w:val="center"/>
              <w:rPr>
                <w:color w:val="auto"/>
                <w:szCs w:val="21"/>
                <w:highlight w:val="none"/>
              </w:rPr>
            </w:pPr>
            <w:r>
              <w:rPr>
                <w:rFonts w:hint="eastAsia"/>
                <w:color w:val="auto"/>
                <w:szCs w:val="21"/>
                <w:highlight w:val="none"/>
                <w:lang w:val="en-US" w:eastAsia="zh-CN"/>
              </w:rPr>
              <w:t>5</w:t>
            </w:r>
            <w:r>
              <w:rPr>
                <w:color w:val="auto"/>
                <w:szCs w:val="21"/>
                <w:highlight w:val="none"/>
              </w:rPr>
              <w:t>.0</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642" w:type="dxa"/>
            <w:noWrap w:val="0"/>
            <w:vAlign w:val="center"/>
          </w:tcPr>
          <w:p>
            <w:pPr>
              <w:jc w:val="center"/>
              <w:rPr>
                <w:color w:val="auto"/>
                <w:szCs w:val="21"/>
                <w:highlight w:val="none"/>
              </w:rPr>
            </w:pPr>
            <w:r>
              <w:rPr>
                <w:color w:val="auto"/>
                <w:szCs w:val="21"/>
                <w:highlight w:val="none"/>
              </w:rPr>
              <w:t>9</w:t>
            </w:r>
          </w:p>
        </w:tc>
        <w:tc>
          <w:tcPr>
            <w:tcW w:w="2917" w:type="dxa"/>
            <w:noWrap w:val="0"/>
            <w:vAlign w:val="center"/>
          </w:tcPr>
          <w:p>
            <w:pPr>
              <w:widowControl/>
              <w:spacing w:line="300" w:lineRule="exact"/>
              <w:jc w:val="center"/>
              <w:textAlignment w:val="center"/>
              <w:rPr>
                <w:rFonts w:hint="eastAsia" w:eastAsia="宋体"/>
                <w:color w:val="auto"/>
                <w:highlight w:val="none"/>
                <w:lang w:val="en-US" w:eastAsia="zh-CN"/>
              </w:rPr>
            </w:pPr>
            <w:r>
              <w:rPr>
                <w:rFonts w:hint="eastAsia"/>
                <w:color w:val="auto"/>
                <w:highlight w:val="none"/>
                <w:lang w:val="en-US" w:eastAsia="zh-CN"/>
              </w:rPr>
              <w:t>银</w:t>
            </w:r>
          </w:p>
        </w:tc>
        <w:tc>
          <w:tcPr>
            <w:tcW w:w="1383" w:type="dxa"/>
            <w:noWrap w:val="0"/>
            <w:vAlign w:val="center"/>
          </w:tcPr>
          <w:p>
            <w:pPr>
              <w:spacing w:line="300" w:lineRule="exact"/>
              <w:jc w:val="center"/>
              <w:rPr>
                <w:rFonts w:hint="default" w:eastAsia="宋体"/>
                <w:color w:val="auto"/>
                <w:szCs w:val="21"/>
                <w:highlight w:val="none"/>
                <w:lang w:val="en-US" w:eastAsia="zh-CN"/>
              </w:rPr>
            </w:pPr>
            <w:r>
              <w:rPr>
                <w:rFonts w:hint="eastAsia"/>
                <w:color w:val="auto"/>
                <w:szCs w:val="21"/>
                <w:highlight w:val="none"/>
                <w:lang w:val="en-US" w:eastAsia="zh-CN"/>
              </w:rPr>
              <w:t>0.10</w:t>
            </w:r>
          </w:p>
        </w:tc>
        <w:tc>
          <w:tcPr>
            <w:tcW w:w="734" w:type="dxa"/>
            <w:noWrap w:val="0"/>
            <w:vAlign w:val="center"/>
          </w:tcPr>
          <w:p>
            <w:pPr>
              <w:jc w:val="center"/>
              <w:rPr>
                <w:color w:val="auto"/>
                <w:szCs w:val="21"/>
                <w:highlight w:val="none"/>
              </w:rPr>
            </w:pPr>
            <w:r>
              <w:rPr>
                <w:color w:val="auto"/>
                <w:szCs w:val="21"/>
                <w:highlight w:val="none"/>
              </w:rPr>
              <w:t>18</w:t>
            </w:r>
          </w:p>
        </w:tc>
        <w:tc>
          <w:tcPr>
            <w:tcW w:w="2650" w:type="dxa"/>
            <w:noWrap w:val="0"/>
            <w:vAlign w:val="center"/>
          </w:tcPr>
          <w:p>
            <w:pPr>
              <w:spacing w:line="300" w:lineRule="exact"/>
              <w:jc w:val="center"/>
              <w:rPr>
                <w:rFonts w:hint="eastAsia" w:eastAsia="宋体"/>
                <w:color w:val="auto"/>
                <w:highlight w:val="none"/>
                <w:lang w:eastAsia="zh-CN"/>
              </w:rPr>
            </w:pPr>
            <w:r>
              <w:rPr>
                <w:rFonts w:hint="eastAsia"/>
                <w:color w:val="auto"/>
                <w:highlight w:val="none"/>
                <w:lang w:eastAsia="zh-CN"/>
              </w:rPr>
              <w:t>总大肠菌群</w:t>
            </w:r>
            <w:r>
              <w:rPr>
                <w:rFonts w:hint="eastAsia"/>
                <w:color w:val="auto"/>
                <w:kern w:val="0"/>
                <w:szCs w:val="21"/>
                <w:highlight w:val="none"/>
                <w:lang w:eastAsia="zh-CN"/>
              </w:rPr>
              <w:t>(</w:t>
            </w:r>
            <w:r>
              <w:rPr>
                <w:rFonts w:hint="eastAsia"/>
                <w:color w:val="auto"/>
                <w:kern w:val="0"/>
                <w:szCs w:val="21"/>
                <w:highlight w:val="none"/>
                <w:lang w:val="en-US" w:eastAsia="zh-CN"/>
              </w:rPr>
              <w:t>MPN</w:t>
            </w:r>
            <w:r>
              <w:rPr>
                <w:color w:val="auto"/>
                <w:kern w:val="0"/>
                <w:szCs w:val="21"/>
                <w:highlight w:val="none"/>
              </w:rPr>
              <w:t>/</w:t>
            </w:r>
            <w:r>
              <w:rPr>
                <w:rFonts w:hint="eastAsia"/>
                <w:color w:val="auto"/>
                <w:kern w:val="0"/>
                <w:szCs w:val="21"/>
                <w:highlight w:val="none"/>
                <w:lang w:val="en-US" w:eastAsia="zh-CN"/>
              </w:rPr>
              <w:t>100m</w:t>
            </w:r>
            <w:r>
              <w:rPr>
                <w:color w:val="auto"/>
                <w:kern w:val="0"/>
                <w:szCs w:val="21"/>
                <w:highlight w:val="none"/>
              </w:rPr>
              <w:t>L</w:t>
            </w:r>
            <w:r>
              <w:rPr>
                <w:rFonts w:hint="eastAsia"/>
                <w:color w:val="auto"/>
                <w:kern w:val="0"/>
                <w:szCs w:val="21"/>
                <w:highlight w:val="none"/>
                <w:lang w:eastAsia="zh-CN"/>
              </w:rPr>
              <w:t>或</w:t>
            </w:r>
            <w:r>
              <w:rPr>
                <w:rFonts w:hint="eastAsia"/>
                <w:color w:val="auto"/>
                <w:kern w:val="0"/>
                <w:szCs w:val="21"/>
                <w:highlight w:val="none"/>
                <w:lang w:val="en-US" w:eastAsia="zh-CN"/>
              </w:rPr>
              <w:t>CFU</w:t>
            </w:r>
            <w:r>
              <w:rPr>
                <w:color w:val="auto"/>
                <w:kern w:val="0"/>
                <w:szCs w:val="21"/>
                <w:highlight w:val="none"/>
              </w:rPr>
              <w:t>/</w:t>
            </w:r>
            <w:r>
              <w:rPr>
                <w:rFonts w:hint="eastAsia"/>
                <w:color w:val="auto"/>
                <w:kern w:val="0"/>
                <w:szCs w:val="21"/>
                <w:highlight w:val="none"/>
                <w:lang w:val="en-US" w:eastAsia="zh-CN"/>
              </w:rPr>
              <w:t>100m</w:t>
            </w:r>
            <w:r>
              <w:rPr>
                <w:color w:val="auto"/>
                <w:kern w:val="0"/>
                <w:szCs w:val="21"/>
                <w:highlight w:val="none"/>
              </w:rPr>
              <w:t>L</w:t>
            </w:r>
            <w:r>
              <w:rPr>
                <w:rFonts w:hint="eastAsia"/>
                <w:color w:val="auto"/>
                <w:kern w:val="0"/>
                <w:szCs w:val="21"/>
                <w:highlight w:val="none"/>
                <w:lang w:eastAsia="zh-CN"/>
              </w:rPr>
              <w:t>)</w:t>
            </w:r>
          </w:p>
        </w:tc>
        <w:tc>
          <w:tcPr>
            <w:tcW w:w="960" w:type="dxa"/>
            <w:noWrap w:val="0"/>
            <w:vAlign w:val="center"/>
          </w:tcPr>
          <w:p>
            <w:pPr>
              <w:spacing w:line="300" w:lineRule="exact"/>
              <w:jc w:val="center"/>
              <w:rPr>
                <w:rFonts w:hint="default" w:eastAsia="宋体"/>
                <w:color w:val="auto"/>
                <w:szCs w:val="21"/>
                <w:highlight w:val="none"/>
                <w:lang w:val="en-US" w:eastAsia="zh-CN"/>
              </w:rPr>
            </w:pPr>
            <w:r>
              <w:rPr>
                <w:rFonts w:hint="eastAsia"/>
                <w:color w:val="auto"/>
                <w:szCs w:val="21"/>
                <w:highlight w:val="none"/>
                <w:lang w:val="en-US" w:eastAsia="zh-CN"/>
              </w:rPr>
              <w:t>100</w:t>
            </w:r>
          </w:p>
        </w:tc>
      </w:tr>
    </w:tbl>
    <w:p>
      <w:pPr>
        <w:spacing w:line="360" w:lineRule="auto"/>
        <w:ind w:firstLine="480" w:firstLineChars="200"/>
        <w:rPr>
          <w:color w:val="auto"/>
          <w:sz w:val="24"/>
          <w:highlight w:val="none"/>
        </w:rPr>
      </w:pPr>
      <w:r>
        <w:rPr>
          <w:rFonts w:hint="eastAsia"/>
          <w:color w:val="auto"/>
          <w:sz w:val="24"/>
          <w:highlight w:val="none"/>
        </w:rPr>
        <w:t>4、声环境质量标准</w:t>
      </w:r>
    </w:p>
    <w:p>
      <w:pPr>
        <w:spacing w:line="360" w:lineRule="auto"/>
        <w:ind w:firstLine="480" w:firstLineChars="200"/>
        <w:rPr>
          <w:color w:val="auto"/>
          <w:sz w:val="24"/>
          <w:highlight w:val="none"/>
        </w:rPr>
      </w:pPr>
      <w:r>
        <w:rPr>
          <w:color w:val="auto"/>
          <w:sz w:val="24"/>
          <w:highlight w:val="none"/>
        </w:rPr>
        <w:t>项目所在区域声环境执行《声环境质量标准》</w:t>
      </w:r>
      <w:r>
        <w:rPr>
          <w:rFonts w:hint="eastAsia"/>
          <w:color w:val="auto"/>
          <w:sz w:val="24"/>
          <w:highlight w:val="none"/>
        </w:rPr>
        <w:t>(</w:t>
      </w:r>
      <w:r>
        <w:rPr>
          <w:color w:val="auto"/>
          <w:sz w:val="24"/>
          <w:highlight w:val="none"/>
        </w:rPr>
        <w:t>GB3096-2008</w:t>
      </w:r>
      <w:r>
        <w:rPr>
          <w:rFonts w:hint="eastAsia"/>
          <w:color w:val="auto"/>
          <w:sz w:val="24"/>
          <w:highlight w:val="none"/>
        </w:rPr>
        <w:t>)</w:t>
      </w:r>
      <w:r>
        <w:rPr>
          <w:color w:val="auto"/>
          <w:sz w:val="24"/>
          <w:highlight w:val="none"/>
        </w:rPr>
        <w:t>的</w:t>
      </w:r>
      <w:r>
        <w:rPr>
          <w:rFonts w:hint="eastAsia"/>
          <w:color w:val="auto"/>
          <w:sz w:val="24"/>
          <w:highlight w:val="none"/>
          <w:lang w:val="en-US" w:eastAsia="zh-CN"/>
        </w:rPr>
        <w:t>3</w:t>
      </w:r>
      <w:r>
        <w:rPr>
          <w:color w:val="auto"/>
          <w:sz w:val="24"/>
          <w:highlight w:val="none"/>
        </w:rPr>
        <w:t>类标准，标准值见表1.</w:t>
      </w:r>
      <w:r>
        <w:rPr>
          <w:rFonts w:hint="eastAsia"/>
          <w:color w:val="auto"/>
          <w:sz w:val="24"/>
          <w:highlight w:val="none"/>
        </w:rPr>
        <w:t>4</w:t>
      </w:r>
      <w:r>
        <w:rPr>
          <w:color w:val="auto"/>
          <w:sz w:val="24"/>
          <w:highlight w:val="none"/>
        </w:rPr>
        <w:t>-</w:t>
      </w:r>
      <w:r>
        <w:rPr>
          <w:rFonts w:hint="eastAsia"/>
          <w:color w:val="auto"/>
          <w:sz w:val="24"/>
          <w:highlight w:val="none"/>
        </w:rPr>
        <w:t>4</w:t>
      </w:r>
      <w:r>
        <w:rPr>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line="240" w:lineRule="auto"/>
        <w:jc w:val="right"/>
        <w:textAlignment w:val="auto"/>
        <w:outlineLvl w:val="9"/>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 xml:space="preserve">表1.4-4 </w:t>
      </w:r>
      <w:r>
        <w:rPr>
          <w:rFonts w:hint="eastAsia" w:ascii="黑体" w:hAnsi="黑体" w:eastAsia="黑体" w:cs="黑体"/>
          <w:b w:val="0"/>
          <w:bCs w:val="0"/>
          <w:color w:val="auto"/>
          <w:sz w:val="24"/>
          <w:szCs w:val="24"/>
          <w:highlight w:val="none"/>
          <w:lang w:val="en-US" w:eastAsia="zh-CN"/>
        </w:rPr>
        <w:t xml:space="preserve"> </w:t>
      </w:r>
      <w:r>
        <w:rPr>
          <w:rFonts w:hint="eastAsia" w:ascii="黑体" w:hAnsi="黑体" w:eastAsia="黑体" w:cs="黑体"/>
          <w:b w:val="0"/>
          <w:bCs w:val="0"/>
          <w:color w:val="auto"/>
          <w:sz w:val="24"/>
          <w:szCs w:val="24"/>
          <w:highlight w:val="none"/>
        </w:rPr>
        <w:t xml:space="preserve">声环境质量标准  </w:t>
      </w:r>
      <w:r>
        <w:rPr>
          <w:rFonts w:hint="eastAsia" w:ascii="黑体" w:hAnsi="黑体" w:eastAsia="黑体" w:cs="黑体"/>
          <w:b w:val="0"/>
          <w:bCs w:val="0"/>
          <w:color w:val="auto"/>
          <w:sz w:val="24"/>
          <w:szCs w:val="24"/>
          <w:highlight w:val="none"/>
          <w:lang w:val="en-US" w:eastAsia="zh-CN"/>
        </w:rPr>
        <w:t xml:space="preserve">              </w:t>
      </w:r>
      <w:r>
        <w:rPr>
          <w:rFonts w:hint="eastAsia" w:ascii="黑体" w:hAnsi="黑体" w:eastAsia="黑体" w:cs="黑体"/>
          <w:b w:val="0"/>
          <w:bCs w:val="0"/>
          <w:color w:val="auto"/>
          <w:sz w:val="24"/>
          <w:szCs w:val="24"/>
          <w:highlight w:val="none"/>
        </w:rPr>
        <w:t xml:space="preserve"> 单位：dB(A)</w:t>
      </w:r>
    </w:p>
    <w:tbl>
      <w:tblPr>
        <w:tblStyle w:val="36"/>
        <w:tblW w:w="9286" w:type="dxa"/>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3094"/>
        <w:gridCol w:w="3096"/>
        <w:gridCol w:w="3096"/>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3094" w:type="dxa"/>
            <w:vAlign w:val="center"/>
          </w:tcPr>
          <w:p>
            <w:pPr>
              <w:jc w:val="center"/>
              <w:rPr>
                <w:b/>
                <w:color w:val="auto"/>
                <w:szCs w:val="21"/>
                <w:highlight w:val="none"/>
              </w:rPr>
            </w:pPr>
            <w:r>
              <w:rPr>
                <w:b/>
                <w:color w:val="auto"/>
                <w:szCs w:val="21"/>
                <w:highlight w:val="none"/>
              </w:rPr>
              <w:t>类别</w:t>
            </w:r>
          </w:p>
        </w:tc>
        <w:tc>
          <w:tcPr>
            <w:tcW w:w="3096" w:type="dxa"/>
            <w:vAlign w:val="center"/>
          </w:tcPr>
          <w:p>
            <w:pPr>
              <w:jc w:val="center"/>
              <w:rPr>
                <w:b/>
                <w:color w:val="auto"/>
                <w:szCs w:val="21"/>
                <w:highlight w:val="none"/>
              </w:rPr>
            </w:pPr>
            <w:r>
              <w:rPr>
                <w:b/>
                <w:color w:val="auto"/>
                <w:szCs w:val="21"/>
                <w:highlight w:val="none"/>
              </w:rPr>
              <w:t>昼间</w:t>
            </w:r>
          </w:p>
        </w:tc>
        <w:tc>
          <w:tcPr>
            <w:tcW w:w="3096" w:type="dxa"/>
            <w:vAlign w:val="center"/>
          </w:tcPr>
          <w:p>
            <w:pPr>
              <w:jc w:val="center"/>
              <w:rPr>
                <w:b/>
                <w:color w:val="auto"/>
                <w:szCs w:val="21"/>
                <w:highlight w:val="none"/>
              </w:rPr>
            </w:pPr>
            <w:r>
              <w:rPr>
                <w:b/>
                <w:color w:val="auto"/>
                <w:szCs w:val="21"/>
                <w:highlight w:val="none"/>
              </w:rPr>
              <w:t>夜间</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3094"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3</w:t>
            </w:r>
          </w:p>
        </w:tc>
        <w:tc>
          <w:tcPr>
            <w:tcW w:w="3096" w:type="dxa"/>
            <w:vAlign w:val="center"/>
          </w:tcPr>
          <w:p>
            <w:pPr>
              <w:jc w:val="center"/>
              <w:rPr>
                <w:rFonts w:hint="eastAsia" w:eastAsia="宋体"/>
                <w:color w:val="auto"/>
                <w:szCs w:val="21"/>
                <w:highlight w:val="none"/>
                <w:lang w:eastAsia="zh-CN"/>
              </w:rPr>
            </w:pPr>
            <w:r>
              <w:rPr>
                <w:color w:val="auto"/>
                <w:szCs w:val="21"/>
                <w:highlight w:val="none"/>
              </w:rPr>
              <w:t>6</w:t>
            </w:r>
            <w:r>
              <w:rPr>
                <w:rFonts w:hint="eastAsia"/>
                <w:color w:val="auto"/>
                <w:szCs w:val="21"/>
                <w:highlight w:val="none"/>
                <w:lang w:val="en-US" w:eastAsia="zh-CN"/>
              </w:rPr>
              <w:t>5</w:t>
            </w:r>
          </w:p>
        </w:tc>
        <w:tc>
          <w:tcPr>
            <w:tcW w:w="3096" w:type="dxa"/>
            <w:vAlign w:val="center"/>
          </w:tcPr>
          <w:p>
            <w:pPr>
              <w:jc w:val="center"/>
              <w:rPr>
                <w:rFonts w:hint="eastAsia" w:eastAsia="宋体"/>
                <w:color w:val="auto"/>
                <w:szCs w:val="21"/>
                <w:highlight w:val="none"/>
                <w:lang w:eastAsia="zh-CN"/>
              </w:rPr>
            </w:pPr>
            <w:r>
              <w:rPr>
                <w:color w:val="auto"/>
                <w:szCs w:val="21"/>
                <w:highlight w:val="none"/>
              </w:rPr>
              <w:t>5</w:t>
            </w:r>
            <w:r>
              <w:rPr>
                <w:rFonts w:hint="eastAsia"/>
                <w:color w:val="auto"/>
                <w:szCs w:val="21"/>
                <w:highlight w:val="none"/>
                <w:lang w:val="en-US" w:eastAsia="zh-CN"/>
              </w:rPr>
              <w:t>5</w:t>
            </w:r>
          </w:p>
        </w:tc>
      </w:tr>
    </w:tbl>
    <w:p>
      <w:pPr>
        <w:spacing w:line="440" w:lineRule="exact"/>
        <w:ind w:firstLine="480" w:firstLineChars="200"/>
        <w:rPr>
          <w:color w:val="auto"/>
          <w:sz w:val="24"/>
          <w:highlight w:val="none"/>
        </w:rPr>
      </w:pPr>
      <w:r>
        <w:rPr>
          <w:color w:val="auto"/>
          <w:sz w:val="24"/>
          <w:highlight w:val="none"/>
        </w:rPr>
        <w:t>5、土壤</w:t>
      </w:r>
    </w:p>
    <w:p>
      <w:pPr>
        <w:pStyle w:val="125"/>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outlineLvl w:val="9"/>
        <w:rPr>
          <w:color w:val="auto"/>
          <w:highlight w:val="none"/>
          <w:lang w:eastAsia="zh-CN"/>
        </w:rPr>
      </w:pPr>
      <w:r>
        <w:rPr>
          <w:color w:val="auto"/>
          <w:highlight w:val="none"/>
          <w:lang w:eastAsia="zh-CN"/>
        </w:rPr>
        <w:t>区域</w:t>
      </w:r>
      <w:r>
        <w:rPr>
          <w:color w:val="auto"/>
          <w:highlight w:val="none"/>
        </w:rPr>
        <w:t>土壤</w:t>
      </w:r>
      <w:r>
        <w:rPr>
          <w:color w:val="auto"/>
          <w:highlight w:val="none"/>
          <w:lang w:eastAsia="zh-CN"/>
        </w:rPr>
        <w:t>环境质量</w:t>
      </w:r>
      <w:r>
        <w:rPr>
          <w:color w:val="auto"/>
          <w:highlight w:val="none"/>
        </w:rPr>
        <w:t>执行</w:t>
      </w:r>
      <w:r>
        <w:rPr>
          <w:color w:val="auto"/>
          <w:highlight w:val="none"/>
          <w:lang w:eastAsia="zh-CN"/>
        </w:rPr>
        <w:t>《土壤环境质量</w:t>
      </w:r>
      <w:r>
        <w:rPr>
          <w:rFonts w:hint="eastAsia"/>
          <w:color w:val="auto"/>
          <w:highlight w:val="none"/>
          <w:lang w:eastAsia="zh-CN"/>
        </w:rPr>
        <w:t xml:space="preserve"> </w:t>
      </w:r>
      <w:r>
        <w:rPr>
          <w:color w:val="auto"/>
          <w:highlight w:val="none"/>
          <w:lang w:eastAsia="zh-CN"/>
        </w:rPr>
        <w:t>建设用地土壤污染风险管控标准</w:t>
      </w:r>
      <w:r>
        <w:rPr>
          <w:rFonts w:hint="eastAsia"/>
          <w:color w:val="auto"/>
          <w:highlight w:val="none"/>
          <w:lang w:eastAsia="zh-CN"/>
        </w:rPr>
        <w:t>(</w:t>
      </w:r>
      <w:r>
        <w:rPr>
          <w:color w:val="auto"/>
          <w:highlight w:val="none"/>
          <w:lang w:eastAsia="zh-CN"/>
        </w:rPr>
        <w:t>试行</w:t>
      </w:r>
      <w:r>
        <w:rPr>
          <w:rFonts w:hint="eastAsia"/>
          <w:color w:val="auto"/>
          <w:highlight w:val="none"/>
          <w:lang w:eastAsia="zh-CN"/>
        </w:rPr>
        <w:t>)</w:t>
      </w:r>
      <w:r>
        <w:rPr>
          <w:color w:val="auto"/>
          <w:highlight w:val="none"/>
          <w:lang w:eastAsia="zh-CN"/>
        </w:rPr>
        <w:t>》</w:t>
      </w:r>
      <w:r>
        <w:rPr>
          <w:rFonts w:hint="eastAsia"/>
          <w:color w:val="auto"/>
          <w:highlight w:val="none"/>
          <w:lang w:eastAsia="zh-CN"/>
        </w:rPr>
        <w:t>(</w:t>
      </w:r>
      <w:r>
        <w:rPr>
          <w:color w:val="auto"/>
          <w:highlight w:val="none"/>
          <w:lang w:eastAsia="zh-CN"/>
        </w:rPr>
        <w:t>GB36600-2018</w:t>
      </w:r>
      <w:r>
        <w:rPr>
          <w:rFonts w:hint="eastAsia"/>
          <w:color w:val="auto"/>
          <w:highlight w:val="none"/>
          <w:lang w:eastAsia="zh-CN"/>
        </w:rPr>
        <w:t>)</w:t>
      </w:r>
      <w:r>
        <w:rPr>
          <w:color w:val="auto"/>
          <w:highlight w:val="none"/>
          <w:lang w:eastAsia="zh-CN"/>
        </w:rPr>
        <w:t>中表1基本项目中的第二类用地的筛选值，具体见表1.</w:t>
      </w:r>
      <w:r>
        <w:rPr>
          <w:rFonts w:hint="eastAsia"/>
          <w:color w:val="auto"/>
          <w:highlight w:val="none"/>
          <w:lang w:val="en-US" w:eastAsia="zh-CN"/>
        </w:rPr>
        <w:t>4</w:t>
      </w:r>
      <w:r>
        <w:rPr>
          <w:color w:val="auto"/>
          <w:highlight w:val="none"/>
          <w:lang w:eastAsia="zh-CN"/>
        </w:rPr>
        <w:t>-5。</w:t>
      </w:r>
    </w:p>
    <w:p>
      <w:pPr>
        <w:keepNext w:val="0"/>
        <w:keepLines w:val="0"/>
        <w:pageBreakBefore w:val="0"/>
        <w:widowControl w:val="0"/>
        <w:kinsoku/>
        <w:wordWrap/>
        <w:overflowPunct/>
        <w:topLinePunct w:val="0"/>
        <w:autoSpaceDE/>
        <w:autoSpaceDN/>
        <w:bidi w:val="0"/>
        <w:adjustRightInd w:val="0"/>
        <w:snapToGrid w:val="0"/>
        <w:spacing w:line="240" w:lineRule="auto"/>
        <w:jc w:val="right"/>
        <w:textAlignment w:val="auto"/>
        <w:outlineLvl w:val="9"/>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表1.</w:t>
      </w:r>
      <w:r>
        <w:rPr>
          <w:rFonts w:hint="eastAsia" w:ascii="黑体" w:hAnsi="黑体" w:eastAsia="黑体" w:cs="黑体"/>
          <w:b w:val="0"/>
          <w:bCs w:val="0"/>
          <w:color w:val="auto"/>
          <w:sz w:val="24"/>
          <w:szCs w:val="24"/>
          <w:highlight w:val="none"/>
          <w:lang w:val="en-US" w:eastAsia="zh-CN"/>
        </w:rPr>
        <w:t>4</w:t>
      </w:r>
      <w:r>
        <w:rPr>
          <w:rFonts w:hint="eastAsia" w:ascii="黑体" w:hAnsi="黑体" w:eastAsia="黑体" w:cs="黑体"/>
          <w:b w:val="0"/>
          <w:bCs w:val="0"/>
          <w:color w:val="auto"/>
          <w:sz w:val="24"/>
          <w:szCs w:val="24"/>
          <w:highlight w:val="none"/>
        </w:rPr>
        <w:t xml:space="preserve">-5  土壤环境质量建设用地土壤污染风险管控标准  </w:t>
      </w:r>
      <w:r>
        <w:rPr>
          <w:rFonts w:hint="eastAsia" w:ascii="黑体" w:hAnsi="黑体" w:eastAsia="黑体" w:cs="黑体"/>
          <w:b w:val="0"/>
          <w:bCs w:val="0"/>
          <w:color w:val="auto"/>
          <w:sz w:val="24"/>
          <w:szCs w:val="24"/>
          <w:highlight w:val="none"/>
          <w:lang w:val="en-US" w:eastAsia="zh-CN"/>
        </w:rPr>
        <w:t xml:space="preserve">   </w:t>
      </w:r>
      <w:r>
        <w:rPr>
          <w:rFonts w:hint="eastAsia" w:ascii="黑体" w:hAnsi="黑体" w:eastAsia="黑体" w:cs="黑体"/>
          <w:b w:val="0"/>
          <w:bCs w:val="0"/>
          <w:color w:val="auto"/>
          <w:sz w:val="24"/>
          <w:szCs w:val="24"/>
          <w:highlight w:val="none"/>
        </w:rPr>
        <w:t>单位：mg/kg</w:t>
      </w:r>
    </w:p>
    <w:tbl>
      <w:tblPr>
        <w:tblStyle w:val="36"/>
        <w:tblW w:w="9286" w:type="dxa"/>
        <w:tblInd w:w="0" w:type="dxa"/>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808"/>
        <w:gridCol w:w="2279"/>
        <w:gridCol w:w="1447"/>
        <w:gridCol w:w="911"/>
        <w:gridCol w:w="2288"/>
        <w:gridCol w:w="1553"/>
      </w:tblGrid>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808" w:type="dxa"/>
            <w:noWrap w:val="0"/>
            <w:vAlign w:val="center"/>
          </w:tcPr>
          <w:p>
            <w:pPr>
              <w:jc w:val="center"/>
              <w:rPr>
                <w:b/>
                <w:color w:val="auto"/>
                <w:szCs w:val="21"/>
                <w:highlight w:val="none"/>
              </w:rPr>
            </w:pPr>
            <w:r>
              <w:rPr>
                <w:b/>
                <w:color w:val="auto"/>
                <w:szCs w:val="21"/>
                <w:highlight w:val="none"/>
              </w:rPr>
              <w:t>序号</w:t>
            </w:r>
          </w:p>
        </w:tc>
        <w:tc>
          <w:tcPr>
            <w:tcW w:w="2279" w:type="dxa"/>
            <w:noWrap w:val="0"/>
            <w:vAlign w:val="center"/>
          </w:tcPr>
          <w:p>
            <w:pPr>
              <w:jc w:val="center"/>
              <w:rPr>
                <w:b/>
                <w:color w:val="auto"/>
                <w:szCs w:val="21"/>
                <w:highlight w:val="none"/>
              </w:rPr>
            </w:pPr>
            <w:r>
              <w:rPr>
                <w:b/>
                <w:color w:val="auto"/>
                <w:szCs w:val="21"/>
                <w:highlight w:val="none"/>
              </w:rPr>
              <w:t>项目</w:t>
            </w:r>
          </w:p>
        </w:tc>
        <w:tc>
          <w:tcPr>
            <w:tcW w:w="1447" w:type="dxa"/>
            <w:noWrap w:val="0"/>
            <w:vAlign w:val="center"/>
          </w:tcPr>
          <w:p>
            <w:pPr>
              <w:jc w:val="center"/>
              <w:rPr>
                <w:b/>
                <w:color w:val="auto"/>
                <w:szCs w:val="21"/>
                <w:highlight w:val="none"/>
              </w:rPr>
            </w:pPr>
            <w:r>
              <w:rPr>
                <w:b/>
                <w:color w:val="auto"/>
                <w:szCs w:val="21"/>
                <w:highlight w:val="none"/>
              </w:rPr>
              <w:t>筛选值</w:t>
            </w:r>
          </w:p>
        </w:tc>
        <w:tc>
          <w:tcPr>
            <w:tcW w:w="911" w:type="dxa"/>
            <w:noWrap w:val="0"/>
            <w:vAlign w:val="center"/>
          </w:tcPr>
          <w:p>
            <w:pPr>
              <w:jc w:val="center"/>
              <w:rPr>
                <w:b/>
                <w:color w:val="auto"/>
                <w:szCs w:val="21"/>
                <w:highlight w:val="none"/>
              </w:rPr>
            </w:pPr>
            <w:r>
              <w:rPr>
                <w:b/>
                <w:color w:val="auto"/>
                <w:szCs w:val="21"/>
                <w:highlight w:val="none"/>
              </w:rPr>
              <w:t>序号</w:t>
            </w:r>
          </w:p>
        </w:tc>
        <w:tc>
          <w:tcPr>
            <w:tcW w:w="2288" w:type="dxa"/>
            <w:noWrap w:val="0"/>
            <w:vAlign w:val="center"/>
          </w:tcPr>
          <w:p>
            <w:pPr>
              <w:jc w:val="center"/>
              <w:rPr>
                <w:b/>
                <w:color w:val="auto"/>
                <w:szCs w:val="21"/>
                <w:highlight w:val="none"/>
              </w:rPr>
            </w:pPr>
            <w:r>
              <w:rPr>
                <w:b/>
                <w:color w:val="auto"/>
                <w:szCs w:val="21"/>
                <w:highlight w:val="none"/>
              </w:rPr>
              <w:t>项目</w:t>
            </w:r>
          </w:p>
        </w:tc>
        <w:tc>
          <w:tcPr>
            <w:tcW w:w="1553" w:type="dxa"/>
            <w:noWrap w:val="0"/>
            <w:vAlign w:val="center"/>
          </w:tcPr>
          <w:p>
            <w:pPr>
              <w:jc w:val="center"/>
              <w:rPr>
                <w:b/>
                <w:color w:val="auto"/>
                <w:szCs w:val="21"/>
                <w:highlight w:val="none"/>
              </w:rPr>
            </w:pPr>
            <w:r>
              <w:rPr>
                <w:b/>
                <w:color w:val="auto"/>
                <w:szCs w:val="21"/>
                <w:highlight w:val="none"/>
              </w:rPr>
              <w:t>筛选值</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808" w:type="dxa"/>
            <w:noWrap w:val="0"/>
            <w:vAlign w:val="center"/>
          </w:tcPr>
          <w:p>
            <w:pPr>
              <w:jc w:val="center"/>
              <w:rPr>
                <w:color w:val="auto"/>
                <w:szCs w:val="21"/>
                <w:highlight w:val="none"/>
              </w:rPr>
            </w:pPr>
            <w:r>
              <w:rPr>
                <w:color w:val="auto"/>
                <w:szCs w:val="21"/>
                <w:highlight w:val="none"/>
              </w:rPr>
              <w:t>1</w:t>
            </w:r>
          </w:p>
        </w:tc>
        <w:tc>
          <w:tcPr>
            <w:tcW w:w="2279" w:type="dxa"/>
            <w:noWrap w:val="0"/>
            <w:vAlign w:val="center"/>
          </w:tcPr>
          <w:p>
            <w:pPr>
              <w:jc w:val="center"/>
              <w:rPr>
                <w:color w:val="auto"/>
                <w:szCs w:val="21"/>
                <w:highlight w:val="none"/>
              </w:rPr>
            </w:pPr>
            <w:r>
              <w:rPr>
                <w:color w:val="auto"/>
                <w:szCs w:val="21"/>
                <w:highlight w:val="none"/>
              </w:rPr>
              <w:t>砷</w:t>
            </w:r>
          </w:p>
        </w:tc>
        <w:tc>
          <w:tcPr>
            <w:tcW w:w="1447" w:type="dxa"/>
            <w:noWrap w:val="0"/>
            <w:vAlign w:val="center"/>
          </w:tcPr>
          <w:p>
            <w:pPr>
              <w:jc w:val="center"/>
              <w:rPr>
                <w:color w:val="auto"/>
                <w:szCs w:val="21"/>
                <w:highlight w:val="none"/>
              </w:rPr>
            </w:pPr>
            <w:r>
              <w:rPr>
                <w:color w:val="auto"/>
                <w:szCs w:val="21"/>
                <w:highlight w:val="none"/>
              </w:rPr>
              <w:t>60</w:t>
            </w:r>
          </w:p>
        </w:tc>
        <w:tc>
          <w:tcPr>
            <w:tcW w:w="911" w:type="dxa"/>
            <w:noWrap w:val="0"/>
            <w:vAlign w:val="center"/>
          </w:tcPr>
          <w:p>
            <w:pPr>
              <w:jc w:val="center"/>
              <w:rPr>
                <w:color w:val="auto"/>
                <w:szCs w:val="21"/>
                <w:highlight w:val="none"/>
              </w:rPr>
            </w:pPr>
            <w:r>
              <w:rPr>
                <w:color w:val="auto"/>
                <w:szCs w:val="21"/>
                <w:highlight w:val="none"/>
              </w:rPr>
              <w:t>24</w:t>
            </w:r>
          </w:p>
        </w:tc>
        <w:tc>
          <w:tcPr>
            <w:tcW w:w="2288" w:type="dxa"/>
            <w:noWrap w:val="0"/>
            <w:vAlign w:val="center"/>
          </w:tcPr>
          <w:p>
            <w:pPr>
              <w:jc w:val="center"/>
              <w:rPr>
                <w:color w:val="auto"/>
                <w:szCs w:val="21"/>
                <w:highlight w:val="none"/>
              </w:rPr>
            </w:pPr>
            <w:r>
              <w:rPr>
                <w:color w:val="auto"/>
                <w:szCs w:val="21"/>
                <w:highlight w:val="none"/>
              </w:rPr>
              <w:t>1,2,3-三氯丙烷</w:t>
            </w:r>
          </w:p>
        </w:tc>
        <w:tc>
          <w:tcPr>
            <w:tcW w:w="1553" w:type="dxa"/>
            <w:noWrap w:val="0"/>
            <w:vAlign w:val="center"/>
          </w:tcPr>
          <w:p>
            <w:pPr>
              <w:jc w:val="center"/>
              <w:rPr>
                <w:color w:val="auto"/>
                <w:szCs w:val="21"/>
                <w:highlight w:val="none"/>
              </w:rPr>
            </w:pPr>
            <w:r>
              <w:rPr>
                <w:color w:val="auto"/>
                <w:szCs w:val="21"/>
                <w:highlight w:val="none"/>
              </w:rPr>
              <w:t>0.5</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808" w:type="dxa"/>
            <w:noWrap w:val="0"/>
            <w:vAlign w:val="center"/>
          </w:tcPr>
          <w:p>
            <w:pPr>
              <w:jc w:val="center"/>
              <w:rPr>
                <w:color w:val="auto"/>
                <w:szCs w:val="21"/>
                <w:highlight w:val="none"/>
              </w:rPr>
            </w:pPr>
            <w:r>
              <w:rPr>
                <w:color w:val="auto"/>
                <w:szCs w:val="21"/>
                <w:highlight w:val="none"/>
              </w:rPr>
              <w:t>2</w:t>
            </w:r>
          </w:p>
        </w:tc>
        <w:tc>
          <w:tcPr>
            <w:tcW w:w="2279" w:type="dxa"/>
            <w:noWrap w:val="0"/>
            <w:vAlign w:val="center"/>
          </w:tcPr>
          <w:p>
            <w:pPr>
              <w:jc w:val="center"/>
              <w:rPr>
                <w:color w:val="auto"/>
                <w:szCs w:val="21"/>
                <w:highlight w:val="none"/>
              </w:rPr>
            </w:pPr>
            <w:r>
              <w:rPr>
                <w:color w:val="auto"/>
                <w:szCs w:val="21"/>
                <w:highlight w:val="none"/>
              </w:rPr>
              <w:t>镉</w:t>
            </w:r>
          </w:p>
        </w:tc>
        <w:tc>
          <w:tcPr>
            <w:tcW w:w="1447" w:type="dxa"/>
            <w:noWrap w:val="0"/>
            <w:vAlign w:val="center"/>
          </w:tcPr>
          <w:p>
            <w:pPr>
              <w:jc w:val="center"/>
              <w:rPr>
                <w:color w:val="auto"/>
                <w:szCs w:val="21"/>
                <w:highlight w:val="none"/>
              </w:rPr>
            </w:pPr>
            <w:r>
              <w:rPr>
                <w:color w:val="auto"/>
                <w:szCs w:val="21"/>
                <w:highlight w:val="none"/>
              </w:rPr>
              <w:t>65</w:t>
            </w:r>
          </w:p>
        </w:tc>
        <w:tc>
          <w:tcPr>
            <w:tcW w:w="911" w:type="dxa"/>
            <w:noWrap w:val="0"/>
            <w:vAlign w:val="center"/>
          </w:tcPr>
          <w:p>
            <w:pPr>
              <w:jc w:val="center"/>
              <w:rPr>
                <w:color w:val="auto"/>
                <w:szCs w:val="21"/>
                <w:highlight w:val="none"/>
              </w:rPr>
            </w:pPr>
            <w:r>
              <w:rPr>
                <w:color w:val="auto"/>
                <w:szCs w:val="21"/>
                <w:highlight w:val="none"/>
              </w:rPr>
              <w:t>25</w:t>
            </w:r>
          </w:p>
        </w:tc>
        <w:tc>
          <w:tcPr>
            <w:tcW w:w="2288" w:type="dxa"/>
            <w:noWrap w:val="0"/>
            <w:vAlign w:val="center"/>
          </w:tcPr>
          <w:p>
            <w:pPr>
              <w:jc w:val="center"/>
              <w:rPr>
                <w:color w:val="auto"/>
                <w:szCs w:val="21"/>
                <w:highlight w:val="none"/>
              </w:rPr>
            </w:pPr>
            <w:r>
              <w:rPr>
                <w:color w:val="auto"/>
                <w:szCs w:val="21"/>
                <w:highlight w:val="none"/>
              </w:rPr>
              <w:t>氯乙烯</w:t>
            </w:r>
          </w:p>
        </w:tc>
        <w:tc>
          <w:tcPr>
            <w:tcW w:w="1553" w:type="dxa"/>
            <w:noWrap w:val="0"/>
            <w:vAlign w:val="center"/>
          </w:tcPr>
          <w:p>
            <w:pPr>
              <w:jc w:val="center"/>
              <w:rPr>
                <w:color w:val="auto"/>
                <w:szCs w:val="21"/>
                <w:highlight w:val="none"/>
              </w:rPr>
            </w:pPr>
            <w:r>
              <w:rPr>
                <w:color w:val="auto"/>
                <w:szCs w:val="21"/>
                <w:highlight w:val="none"/>
              </w:rPr>
              <w:t>0.43</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808" w:type="dxa"/>
            <w:noWrap w:val="0"/>
            <w:vAlign w:val="center"/>
          </w:tcPr>
          <w:p>
            <w:pPr>
              <w:jc w:val="center"/>
              <w:rPr>
                <w:color w:val="auto"/>
                <w:szCs w:val="21"/>
                <w:highlight w:val="none"/>
              </w:rPr>
            </w:pPr>
            <w:r>
              <w:rPr>
                <w:color w:val="auto"/>
                <w:szCs w:val="21"/>
                <w:highlight w:val="none"/>
              </w:rPr>
              <w:t>3</w:t>
            </w:r>
          </w:p>
        </w:tc>
        <w:tc>
          <w:tcPr>
            <w:tcW w:w="2279" w:type="dxa"/>
            <w:noWrap w:val="0"/>
            <w:vAlign w:val="center"/>
          </w:tcPr>
          <w:p>
            <w:pPr>
              <w:jc w:val="center"/>
              <w:rPr>
                <w:rFonts w:hint="eastAsia" w:eastAsia="宋体"/>
                <w:color w:val="auto"/>
                <w:szCs w:val="21"/>
                <w:highlight w:val="none"/>
                <w:lang w:eastAsia="zh-CN"/>
              </w:rPr>
            </w:pPr>
            <w:r>
              <w:rPr>
                <w:color w:val="auto"/>
                <w:szCs w:val="21"/>
                <w:highlight w:val="none"/>
              </w:rPr>
              <w:t>铬</w:t>
            </w:r>
            <w:r>
              <w:rPr>
                <w:rFonts w:hint="eastAsia"/>
                <w:color w:val="auto"/>
                <w:szCs w:val="21"/>
                <w:highlight w:val="none"/>
                <w:lang w:eastAsia="zh-CN"/>
              </w:rPr>
              <w:t>(</w:t>
            </w:r>
            <w:r>
              <w:rPr>
                <w:color w:val="auto"/>
                <w:szCs w:val="21"/>
                <w:highlight w:val="none"/>
              </w:rPr>
              <w:t>六价</w:t>
            </w:r>
            <w:r>
              <w:rPr>
                <w:rFonts w:hint="eastAsia"/>
                <w:color w:val="auto"/>
                <w:szCs w:val="21"/>
                <w:highlight w:val="none"/>
                <w:lang w:eastAsia="zh-CN"/>
              </w:rPr>
              <w:t>)</w:t>
            </w:r>
          </w:p>
        </w:tc>
        <w:tc>
          <w:tcPr>
            <w:tcW w:w="1447" w:type="dxa"/>
            <w:noWrap w:val="0"/>
            <w:vAlign w:val="center"/>
          </w:tcPr>
          <w:p>
            <w:pPr>
              <w:jc w:val="center"/>
              <w:rPr>
                <w:color w:val="auto"/>
                <w:szCs w:val="21"/>
                <w:highlight w:val="none"/>
              </w:rPr>
            </w:pPr>
            <w:r>
              <w:rPr>
                <w:color w:val="auto"/>
                <w:szCs w:val="21"/>
                <w:highlight w:val="none"/>
              </w:rPr>
              <w:t>5.7</w:t>
            </w:r>
          </w:p>
        </w:tc>
        <w:tc>
          <w:tcPr>
            <w:tcW w:w="911" w:type="dxa"/>
            <w:noWrap w:val="0"/>
            <w:vAlign w:val="center"/>
          </w:tcPr>
          <w:p>
            <w:pPr>
              <w:jc w:val="center"/>
              <w:rPr>
                <w:color w:val="auto"/>
                <w:szCs w:val="21"/>
                <w:highlight w:val="none"/>
              </w:rPr>
            </w:pPr>
            <w:r>
              <w:rPr>
                <w:color w:val="auto"/>
                <w:szCs w:val="21"/>
                <w:highlight w:val="none"/>
              </w:rPr>
              <w:t>26</w:t>
            </w:r>
          </w:p>
        </w:tc>
        <w:tc>
          <w:tcPr>
            <w:tcW w:w="2288" w:type="dxa"/>
            <w:noWrap w:val="0"/>
            <w:vAlign w:val="center"/>
          </w:tcPr>
          <w:p>
            <w:pPr>
              <w:jc w:val="center"/>
              <w:rPr>
                <w:color w:val="auto"/>
                <w:szCs w:val="21"/>
                <w:highlight w:val="none"/>
              </w:rPr>
            </w:pPr>
            <w:r>
              <w:rPr>
                <w:color w:val="auto"/>
                <w:szCs w:val="21"/>
                <w:highlight w:val="none"/>
              </w:rPr>
              <w:t>苯</w:t>
            </w:r>
          </w:p>
        </w:tc>
        <w:tc>
          <w:tcPr>
            <w:tcW w:w="1553" w:type="dxa"/>
            <w:noWrap w:val="0"/>
            <w:vAlign w:val="center"/>
          </w:tcPr>
          <w:p>
            <w:pPr>
              <w:jc w:val="center"/>
              <w:rPr>
                <w:color w:val="auto"/>
                <w:szCs w:val="21"/>
                <w:highlight w:val="none"/>
              </w:rPr>
            </w:pPr>
            <w:r>
              <w:rPr>
                <w:color w:val="auto"/>
                <w:szCs w:val="21"/>
                <w:highlight w:val="none"/>
              </w:rPr>
              <w:t>4</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808" w:type="dxa"/>
            <w:noWrap w:val="0"/>
            <w:vAlign w:val="center"/>
          </w:tcPr>
          <w:p>
            <w:pPr>
              <w:jc w:val="center"/>
              <w:rPr>
                <w:color w:val="auto"/>
                <w:szCs w:val="21"/>
                <w:highlight w:val="none"/>
              </w:rPr>
            </w:pPr>
            <w:r>
              <w:rPr>
                <w:color w:val="auto"/>
                <w:szCs w:val="21"/>
                <w:highlight w:val="none"/>
              </w:rPr>
              <w:t>4</w:t>
            </w:r>
          </w:p>
        </w:tc>
        <w:tc>
          <w:tcPr>
            <w:tcW w:w="2279" w:type="dxa"/>
            <w:noWrap w:val="0"/>
            <w:vAlign w:val="center"/>
          </w:tcPr>
          <w:p>
            <w:pPr>
              <w:jc w:val="center"/>
              <w:rPr>
                <w:color w:val="auto"/>
                <w:szCs w:val="21"/>
                <w:highlight w:val="none"/>
              </w:rPr>
            </w:pPr>
            <w:r>
              <w:rPr>
                <w:color w:val="auto"/>
                <w:szCs w:val="21"/>
                <w:highlight w:val="none"/>
              </w:rPr>
              <w:t>铜</w:t>
            </w:r>
          </w:p>
        </w:tc>
        <w:tc>
          <w:tcPr>
            <w:tcW w:w="1447" w:type="dxa"/>
            <w:noWrap w:val="0"/>
            <w:vAlign w:val="center"/>
          </w:tcPr>
          <w:p>
            <w:pPr>
              <w:jc w:val="center"/>
              <w:rPr>
                <w:color w:val="auto"/>
                <w:szCs w:val="21"/>
                <w:highlight w:val="none"/>
              </w:rPr>
            </w:pPr>
            <w:r>
              <w:rPr>
                <w:color w:val="auto"/>
                <w:szCs w:val="21"/>
                <w:highlight w:val="none"/>
              </w:rPr>
              <w:t>18000</w:t>
            </w:r>
          </w:p>
        </w:tc>
        <w:tc>
          <w:tcPr>
            <w:tcW w:w="911" w:type="dxa"/>
            <w:noWrap w:val="0"/>
            <w:vAlign w:val="center"/>
          </w:tcPr>
          <w:p>
            <w:pPr>
              <w:jc w:val="center"/>
              <w:rPr>
                <w:color w:val="auto"/>
                <w:szCs w:val="21"/>
                <w:highlight w:val="none"/>
              </w:rPr>
            </w:pPr>
            <w:r>
              <w:rPr>
                <w:color w:val="auto"/>
                <w:szCs w:val="21"/>
                <w:highlight w:val="none"/>
              </w:rPr>
              <w:t>27</w:t>
            </w:r>
          </w:p>
        </w:tc>
        <w:tc>
          <w:tcPr>
            <w:tcW w:w="2288" w:type="dxa"/>
            <w:noWrap w:val="0"/>
            <w:vAlign w:val="center"/>
          </w:tcPr>
          <w:p>
            <w:pPr>
              <w:jc w:val="center"/>
              <w:rPr>
                <w:color w:val="auto"/>
                <w:szCs w:val="21"/>
                <w:highlight w:val="none"/>
              </w:rPr>
            </w:pPr>
            <w:r>
              <w:rPr>
                <w:color w:val="auto"/>
                <w:szCs w:val="21"/>
                <w:highlight w:val="none"/>
              </w:rPr>
              <w:t>氯苯</w:t>
            </w:r>
          </w:p>
        </w:tc>
        <w:tc>
          <w:tcPr>
            <w:tcW w:w="1553" w:type="dxa"/>
            <w:noWrap w:val="0"/>
            <w:vAlign w:val="center"/>
          </w:tcPr>
          <w:p>
            <w:pPr>
              <w:jc w:val="center"/>
              <w:rPr>
                <w:color w:val="auto"/>
                <w:szCs w:val="21"/>
                <w:highlight w:val="none"/>
              </w:rPr>
            </w:pPr>
            <w:r>
              <w:rPr>
                <w:color w:val="auto"/>
                <w:szCs w:val="21"/>
                <w:highlight w:val="none"/>
              </w:rPr>
              <w:t>270</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808" w:type="dxa"/>
            <w:noWrap w:val="0"/>
            <w:vAlign w:val="center"/>
          </w:tcPr>
          <w:p>
            <w:pPr>
              <w:jc w:val="center"/>
              <w:rPr>
                <w:color w:val="auto"/>
                <w:szCs w:val="21"/>
                <w:highlight w:val="none"/>
              </w:rPr>
            </w:pPr>
            <w:r>
              <w:rPr>
                <w:color w:val="auto"/>
                <w:szCs w:val="21"/>
                <w:highlight w:val="none"/>
              </w:rPr>
              <w:t>5</w:t>
            </w:r>
          </w:p>
        </w:tc>
        <w:tc>
          <w:tcPr>
            <w:tcW w:w="2279" w:type="dxa"/>
            <w:noWrap w:val="0"/>
            <w:vAlign w:val="center"/>
          </w:tcPr>
          <w:p>
            <w:pPr>
              <w:jc w:val="center"/>
              <w:rPr>
                <w:color w:val="auto"/>
                <w:szCs w:val="21"/>
                <w:highlight w:val="none"/>
              </w:rPr>
            </w:pPr>
            <w:r>
              <w:rPr>
                <w:color w:val="auto"/>
                <w:szCs w:val="21"/>
                <w:highlight w:val="none"/>
              </w:rPr>
              <w:t>铅</w:t>
            </w:r>
          </w:p>
        </w:tc>
        <w:tc>
          <w:tcPr>
            <w:tcW w:w="1447" w:type="dxa"/>
            <w:noWrap w:val="0"/>
            <w:vAlign w:val="center"/>
          </w:tcPr>
          <w:p>
            <w:pPr>
              <w:jc w:val="center"/>
              <w:rPr>
                <w:color w:val="auto"/>
                <w:szCs w:val="21"/>
                <w:highlight w:val="none"/>
              </w:rPr>
            </w:pPr>
            <w:r>
              <w:rPr>
                <w:color w:val="auto"/>
                <w:szCs w:val="21"/>
                <w:highlight w:val="none"/>
              </w:rPr>
              <w:t>800</w:t>
            </w:r>
          </w:p>
        </w:tc>
        <w:tc>
          <w:tcPr>
            <w:tcW w:w="911" w:type="dxa"/>
            <w:noWrap w:val="0"/>
            <w:vAlign w:val="center"/>
          </w:tcPr>
          <w:p>
            <w:pPr>
              <w:jc w:val="center"/>
              <w:rPr>
                <w:color w:val="auto"/>
                <w:szCs w:val="21"/>
                <w:highlight w:val="none"/>
              </w:rPr>
            </w:pPr>
            <w:r>
              <w:rPr>
                <w:color w:val="auto"/>
                <w:szCs w:val="21"/>
                <w:highlight w:val="none"/>
              </w:rPr>
              <w:t>28</w:t>
            </w:r>
          </w:p>
        </w:tc>
        <w:tc>
          <w:tcPr>
            <w:tcW w:w="2288" w:type="dxa"/>
            <w:noWrap w:val="0"/>
            <w:vAlign w:val="center"/>
          </w:tcPr>
          <w:p>
            <w:pPr>
              <w:jc w:val="center"/>
              <w:rPr>
                <w:color w:val="auto"/>
                <w:szCs w:val="21"/>
                <w:highlight w:val="none"/>
              </w:rPr>
            </w:pPr>
            <w:r>
              <w:rPr>
                <w:color w:val="auto"/>
                <w:szCs w:val="21"/>
                <w:highlight w:val="none"/>
              </w:rPr>
              <w:t>1,2-二氯苯</w:t>
            </w:r>
          </w:p>
        </w:tc>
        <w:tc>
          <w:tcPr>
            <w:tcW w:w="1553" w:type="dxa"/>
            <w:noWrap w:val="0"/>
            <w:vAlign w:val="center"/>
          </w:tcPr>
          <w:p>
            <w:pPr>
              <w:jc w:val="center"/>
              <w:rPr>
                <w:color w:val="auto"/>
                <w:szCs w:val="21"/>
                <w:highlight w:val="none"/>
              </w:rPr>
            </w:pPr>
            <w:r>
              <w:rPr>
                <w:color w:val="auto"/>
                <w:szCs w:val="21"/>
                <w:highlight w:val="none"/>
              </w:rPr>
              <w:t>560</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808" w:type="dxa"/>
            <w:noWrap w:val="0"/>
            <w:vAlign w:val="center"/>
          </w:tcPr>
          <w:p>
            <w:pPr>
              <w:jc w:val="center"/>
              <w:rPr>
                <w:color w:val="auto"/>
                <w:szCs w:val="21"/>
                <w:highlight w:val="none"/>
              </w:rPr>
            </w:pPr>
            <w:r>
              <w:rPr>
                <w:color w:val="auto"/>
                <w:szCs w:val="21"/>
                <w:highlight w:val="none"/>
              </w:rPr>
              <w:t>6</w:t>
            </w:r>
          </w:p>
        </w:tc>
        <w:tc>
          <w:tcPr>
            <w:tcW w:w="2279" w:type="dxa"/>
            <w:noWrap w:val="0"/>
            <w:vAlign w:val="center"/>
          </w:tcPr>
          <w:p>
            <w:pPr>
              <w:jc w:val="center"/>
              <w:rPr>
                <w:color w:val="auto"/>
                <w:kern w:val="0"/>
                <w:szCs w:val="21"/>
                <w:highlight w:val="none"/>
              </w:rPr>
            </w:pPr>
            <w:r>
              <w:rPr>
                <w:color w:val="auto"/>
                <w:kern w:val="0"/>
                <w:szCs w:val="21"/>
                <w:highlight w:val="none"/>
              </w:rPr>
              <w:t>汞</w:t>
            </w:r>
          </w:p>
        </w:tc>
        <w:tc>
          <w:tcPr>
            <w:tcW w:w="1447" w:type="dxa"/>
            <w:noWrap w:val="0"/>
            <w:vAlign w:val="center"/>
          </w:tcPr>
          <w:p>
            <w:pPr>
              <w:jc w:val="center"/>
              <w:rPr>
                <w:color w:val="auto"/>
                <w:szCs w:val="21"/>
                <w:highlight w:val="none"/>
              </w:rPr>
            </w:pPr>
            <w:r>
              <w:rPr>
                <w:color w:val="auto"/>
                <w:szCs w:val="21"/>
                <w:highlight w:val="none"/>
              </w:rPr>
              <w:t>38</w:t>
            </w:r>
          </w:p>
        </w:tc>
        <w:tc>
          <w:tcPr>
            <w:tcW w:w="911" w:type="dxa"/>
            <w:noWrap w:val="0"/>
            <w:vAlign w:val="center"/>
          </w:tcPr>
          <w:p>
            <w:pPr>
              <w:jc w:val="center"/>
              <w:rPr>
                <w:color w:val="auto"/>
                <w:szCs w:val="21"/>
                <w:highlight w:val="none"/>
              </w:rPr>
            </w:pPr>
            <w:r>
              <w:rPr>
                <w:color w:val="auto"/>
                <w:szCs w:val="21"/>
                <w:highlight w:val="none"/>
              </w:rPr>
              <w:t>29</w:t>
            </w:r>
          </w:p>
        </w:tc>
        <w:tc>
          <w:tcPr>
            <w:tcW w:w="2288" w:type="dxa"/>
            <w:noWrap w:val="0"/>
            <w:vAlign w:val="center"/>
          </w:tcPr>
          <w:p>
            <w:pPr>
              <w:jc w:val="center"/>
              <w:rPr>
                <w:color w:val="auto"/>
                <w:szCs w:val="21"/>
                <w:highlight w:val="none"/>
              </w:rPr>
            </w:pPr>
            <w:r>
              <w:rPr>
                <w:color w:val="auto"/>
                <w:szCs w:val="21"/>
                <w:highlight w:val="none"/>
              </w:rPr>
              <w:t>1,4-二氯苯</w:t>
            </w:r>
          </w:p>
        </w:tc>
        <w:tc>
          <w:tcPr>
            <w:tcW w:w="1553" w:type="dxa"/>
            <w:noWrap w:val="0"/>
            <w:vAlign w:val="center"/>
          </w:tcPr>
          <w:p>
            <w:pPr>
              <w:jc w:val="center"/>
              <w:rPr>
                <w:color w:val="auto"/>
                <w:szCs w:val="21"/>
                <w:highlight w:val="none"/>
              </w:rPr>
            </w:pPr>
            <w:r>
              <w:rPr>
                <w:color w:val="auto"/>
                <w:szCs w:val="21"/>
                <w:highlight w:val="none"/>
              </w:rPr>
              <w:t>20</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808" w:type="dxa"/>
            <w:noWrap w:val="0"/>
            <w:vAlign w:val="center"/>
          </w:tcPr>
          <w:p>
            <w:pPr>
              <w:jc w:val="center"/>
              <w:rPr>
                <w:color w:val="auto"/>
                <w:szCs w:val="21"/>
                <w:highlight w:val="none"/>
              </w:rPr>
            </w:pPr>
            <w:r>
              <w:rPr>
                <w:color w:val="auto"/>
                <w:szCs w:val="21"/>
                <w:highlight w:val="none"/>
              </w:rPr>
              <w:t>7</w:t>
            </w:r>
          </w:p>
        </w:tc>
        <w:tc>
          <w:tcPr>
            <w:tcW w:w="2279" w:type="dxa"/>
            <w:noWrap w:val="0"/>
            <w:vAlign w:val="center"/>
          </w:tcPr>
          <w:p>
            <w:pPr>
              <w:jc w:val="center"/>
              <w:rPr>
                <w:color w:val="auto"/>
                <w:szCs w:val="21"/>
                <w:highlight w:val="none"/>
              </w:rPr>
            </w:pPr>
            <w:r>
              <w:rPr>
                <w:color w:val="auto"/>
                <w:szCs w:val="21"/>
                <w:highlight w:val="none"/>
              </w:rPr>
              <w:t>镍</w:t>
            </w:r>
          </w:p>
        </w:tc>
        <w:tc>
          <w:tcPr>
            <w:tcW w:w="1447" w:type="dxa"/>
            <w:noWrap w:val="0"/>
            <w:vAlign w:val="center"/>
          </w:tcPr>
          <w:p>
            <w:pPr>
              <w:jc w:val="center"/>
              <w:rPr>
                <w:color w:val="auto"/>
                <w:szCs w:val="21"/>
                <w:highlight w:val="none"/>
              </w:rPr>
            </w:pPr>
            <w:r>
              <w:rPr>
                <w:color w:val="auto"/>
                <w:szCs w:val="21"/>
                <w:highlight w:val="none"/>
              </w:rPr>
              <w:t>900</w:t>
            </w:r>
          </w:p>
        </w:tc>
        <w:tc>
          <w:tcPr>
            <w:tcW w:w="911" w:type="dxa"/>
            <w:noWrap w:val="0"/>
            <w:vAlign w:val="center"/>
          </w:tcPr>
          <w:p>
            <w:pPr>
              <w:jc w:val="center"/>
              <w:rPr>
                <w:color w:val="auto"/>
                <w:szCs w:val="21"/>
                <w:highlight w:val="none"/>
              </w:rPr>
            </w:pPr>
            <w:r>
              <w:rPr>
                <w:color w:val="auto"/>
                <w:szCs w:val="21"/>
                <w:highlight w:val="none"/>
              </w:rPr>
              <w:t>30</w:t>
            </w:r>
          </w:p>
        </w:tc>
        <w:tc>
          <w:tcPr>
            <w:tcW w:w="2288" w:type="dxa"/>
            <w:noWrap w:val="0"/>
            <w:vAlign w:val="center"/>
          </w:tcPr>
          <w:p>
            <w:pPr>
              <w:jc w:val="center"/>
              <w:rPr>
                <w:color w:val="auto"/>
                <w:szCs w:val="21"/>
                <w:highlight w:val="none"/>
              </w:rPr>
            </w:pPr>
            <w:r>
              <w:rPr>
                <w:color w:val="auto"/>
                <w:szCs w:val="21"/>
                <w:highlight w:val="none"/>
              </w:rPr>
              <w:t>乙苯</w:t>
            </w:r>
          </w:p>
        </w:tc>
        <w:tc>
          <w:tcPr>
            <w:tcW w:w="1553" w:type="dxa"/>
            <w:noWrap w:val="0"/>
            <w:vAlign w:val="center"/>
          </w:tcPr>
          <w:p>
            <w:pPr>
              <w:jc w:val="center"/>
              <w:rPr>
                <w:color w:val="auto"/>
                <w:szCs w:val="21"/>
                <w:highlight w:val="none"/>
              </w:rPr>
            </w:pPr>
            <w:r>
              <w:rPr>
                <w:color w:val="auto"/>
                <w:szCs w:val="21"/>
                <w:highlight w:val="none"/>
              </w:rPr>
              <w:t>28</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808" w:type="dxa"/>
            <w:noWrap w:val="0"/>
            <w:vAlign w:val="center"/>
          </w:tcPr>
          <w:p>
            <w:pPr>
              <w:jc w:val="center"/>
              <w:rPr>
                <w:color w:val="auto"/>
                <w:szCs w:val="21"/>
                <w:highlight w:val="none"/>
              </w:rPr>
            </w:pPr>
            <w:r>
              <w:rPr>
                <w:color w:val="auto"/>
                <w:szCs w:val="21"/>
                <w:highlight w:val="none"/>
              </w:rPr>
              <w:t>8</w:t>
            </w:r>
          </w:p>
        </w:tc>
        <w:tc>
          <w:tcPr>
            <w:tcW w:w="2279" w:type="dxa"/>
            <w:noWrap w:val="0"/>
            <w:vAlign w:val="center"/>
          </w:tcPr>
          <w:p>
            <w:pPr>
              <w:jc w:val="center"/>
              <w:rPr>
                <w:color w:val="auto"/>
                <w:szCs w:val="21"/>
                <w:highlight w:val="none"/>
              </w:rPr>
            </w:pPr>
            <w:r>
              <w:rPr>
                <w:color w:val="auto"/>
                <w:szCs w:val="21"/>
                <w:highlight w:val="none"/>
              </w:rPr>
              <w:t>四氯化碳</w:t>
            </w:r>
          </w:p>
        </w:tc>
        <w:tc>
          <w:tcPr>
            <w:tcW w:w="1447" w:type="dxa"/>
            <w:noWrap w:val="0"/>
            <w:vAlign w:val="center"/>
          </w:tcPr>
          <w:p>
            <w:pPr>
              <w:jc w:val="center"/>
              <w:rPr>
                <w:color w:val="auto"/>
                <w:szCs w:val="21"/>
                <w:highlight w:val="none"/>
              </w:rPr>
            </w:pPr>
            <w:r>
              <w:rPr>
                <w:color w:val="auto"/>
                <w:szCs w:val="21"/>
                <w:highlight w:val="none"/>
              </w:rPr>
              <w:t>2.8</w:t>
            </w:r>
          </w:p>
        </w:tc>
        <w:tc>
          <w:tcPr>
            <w:tcW w:w="911" w:type="dxa"/>
            <w:noWrap w:val="0"/>
            <w:vAlign w:val="center"/>
          </w:tcPr>
          <w:p>
            <w:pPr>
              <w:jc w:val="center"/>
              <w:rPr>
                <w:color w:val="auto"/>
                <w:szCs w:val="21"/>
                <w:highlight w:val="none"/>
              </w:rPr>
            </w:pPr>
            <w:r>
              <w:rPr>
                <w:color w:val="auto"/>
                <w:szCs w:val="21"/>
                <w:highlight w:val="none"/>
              </w:rPr>
              <w:t>31</w:t>
            </w:r>
          </w:p>
        </w:tc>
        <w:tc>
          <w:tcPr>
            <w:tcW w:w="2288" w:type="dxa"/>
            <w:noWrap w:val="0"/>
            <w:vAlign w:val="center"/>
          </w:tcPr>
          <w:p>
            <w:pPr>
              <w:jc w:val="center"/>
              <w:rPr>
                <w:color w:val="auto"/>
                <w:szCs w:val="21"/>
                <w:highlight w:val="none"/>
              </w:rPr>
            </w:pPr>
            <w:r>
              <w:rPr>
                <w:color w:val="auto"/>
                <w:szCs w:val="21"/>
                <w:highlight w:val="none"/>
              </w:rPr>
              <w:t>苯乙烯</w:t>
            </w:r>
          </w:p>
        </w:tc>
        <w:tc>
          <w:tcPr>
            <w:tcW w:w="1553" w:type="dxa"/>
            <w:noWrap w:val="0"/>
            <w:vAlign w:val="center"/>
          </w:tcPr>
          <w:p>
            <w:pPr>
              <w:jc w:val="center"/>
              <w:rPr>
                <w:color w:val="auto"/>
                <w:szCs w:val="21"/>
                <w:highlight w:val="none"/>
              </w:rPr>
            </w:pPr>
            <w:r>
              <w:rPr>
                <w:color w:val="auto"/>
                <w:szCs w:val="21"/>
                <w:highlight w:val="none"/>
              </w:rPr>
              <w:t>1290</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808" w:type="dxa"/>
            <w:noWrap w:val="0"/>
            <w:vAlign w:val="center"/>
          </w:tcPr>
          <w:p>
            <w:pPr>
              <w:jc w:val="center"/>
              <w:rPr>
                <w:color w:val="auto"/>
                <w:szCs w:val="21"/>
                <w:highlight w:val="none"/>
              </w:rPr>
            </w:pPr>
            <w:r>
              <w:rPr>
                <w:color w:val="auto"/>
                <w:szCs w:val="21"/>
                <w:highlight w:val="none"/>
              </w:rPr>
              <w:t>9</w:t>
            </w:r>
          </w:p>
        </w:tc>
        <w:tc>
          <w:tcPr>
            <w:tcW w:w="2279" w:type="dxa"/>
            <w:noWrap w:val="0"/>
            <w:vAlign w:val="center"/>
          </w:tcPr>
          <w:p>
            <w:pPr>
              <w:jc w:val="center"/>
              <w:rPr>
                <w:color w:val="auto"/>
                <w:szCs w:val="21"/>
                <w:highlight w:val="none"/>
              </w:rPr>
            </w:pPr>
            <w:r>
              <w:rPr>
                <w:color w:val="auto"/>
                <w:szCs w:val="21"/>
                <w:highlight w:val="none"/>
              </w:rPr>
              <w:t>氯仿</w:t>
            </w:r>
          </w:p>
        </w:tc>
        <w:tc>
          <w:tcPr>
            <w:tcW w:w="1447" w:type="dxa"/>
            <w:noWrap w:val="0"/>
            <w:vAlign w:val="center"/>
          </w:tcPr>
          <w:p>
            <w:pPr>
              <w:jc w:val="center"/>
              <w:rPr>
                <w:color w:val="auto"/>
                <w:szCs w:val="21"/>
                <w:highlight w:val="none"/>
              </w:rPr>
            </w:pPr>
            <w:r>
              <w:rPr>
                <w:color w:val="auto"/>
                <w:szCs w:val="21"/>
                <w:highlight w:val="none"/>
              </w:rPr>
              <w:t>0.9</w:t>
            </w:r>
          </w:p>
        </w:tc>
        <w:tc>
          <w:tcPr>
            <w:tcW w:w="911" w:type="dxa"/>
            <w:noWrap w:val="0"/>
            <w:vAlign w:val="center"/>
          </w:tcPr>
          <w:p>
            <w:pPr>
              <w:jc w:val="center"/>
              <w:rPr>
                <w:color w:val="auto"/>
                <w:szCs w:val="21"/>
                <w:highlight w:val="none"/>
              </w:rPr>
            </w:pPr>
            <w:r>
              <w:rPr>
                <w:color w:val="auto"/>
                <w:szCs w:val="21"/>
                <w:highlight w:val="none"/>
              </w:rPr>
              <w:t>32</w:t>
            </w:r>
          </w:p>
        </w:tc>
        <w:tc>
          <w:tcPr>
            <w:tcW w:w="2288" w:type="dxa"/>
            <w:noWrap w:val="0"/>
            <w:vAlign w:val="center"/>
          </w:tcPr>
          <w:p>
            <w:pPr>
              <w:jc w:val="center"/>
              <w:rPr>
                <w:color w:val="auto"/>
                <w:szCs w:val="21"/>
                <w:highlight w:val="none"/>
              </w:rPr>
            </w:pPr>
            <w:r>
              <w:rPr>
                <w:color w:val="auto"/>
                <w:szCs w:val="21"/>
                <w:highlight w:val="none"/>
              </w:rPr>
              <w:t>甲苯</w:t>
            </w:r>
          </w:p>
        </w:tc>
        <w:tc>
          <w:tcPr>
            <w:tcW w:w="1553" w:type="dxa"/>
            <w:noWrap w:val="0"/>
            <w:vAlign w:val="center"/>
          </w:tcPr>
          <w:p>
            <w:pPr>
              <w:jc w:val="center"/>
              <w:rPr>
                <w:color w:val="auto"/>
                <w:szCs w:val="21"/>
                <w:highlight w:val="none"/>
              </w:rPr>
            </w:pPr>
            <w:r>
              <w:rPr>
                <w:color w:val="auto"/>
                <w:szCs w:val="21"/>
                <w:highlight w:val="none"/>
              </w:rPr>
              <w:t>1200</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808" w:type="dxa"/>
            <w:noWrap w:val="0"/>
            <w:vAlign w:val="center"/>
          </w:tcPr>
          <w:p>
            <w:pPr>
              <w:jc w:val="center"/>
              <w:rPr>
                <w:color w:val="auto"/>
                <w:szCs w:val="21"/>
                <w:highlight w:val="none"/>
              </w:rPr>
            </w:pPr>
            <w:r>
              <w:rPr>
                <w:color w:val="auto"/>
                <w:szCs w:val="21"/>
                <w:highlight w:val="none"/>
              </w:rPr>
              <w:t>10</w:t>
            </w:r>
          </w:p>
        </w:tc>
        <w:tc>
          <w:tcPr>
            <w:tcW w:w="2279" w:type="dxa"/>
            <w:noWrap w:val="0"/>
            <w:vAlign w:val="center"/>
          </w:tcPr>
          <w:p>
            <w:pPr>
              <w:jc w:val="center"/>
              <w:rPr>
                <w:color w:val="auto"/>
                <w:szCs w:val="21"/>
                <w:highlight w:val="none"/>
              </w:rPr>
            </w:pPr>
            <w:r>
              <w:rPr>
                <w:color w:val="auto"/>
                <w:szCs w:val="21"/>
                <w:highlight w:val="none"/>
              </w:rPr>
              <w:t>氯甲烷</w:t>
            </w:r>
          </w:p>
        </w:tc>
        <w:tc>
          <w:tcPr>
            <w:tcW w:w="1447" w:type="dxa"/>
            <w:noWrap w:val="0"/>
            <w:vAlign w:val="center"/>
          </w:tcPr>
          <w:p>
            <w:pPr>
              <w:jc w:val="center"/>
              <w:rPr>
                <w:color w:val="auto"/>
                <w:szCs w:val="21"/>
                <w:highlight w:val="none"/>
              </w:rPr>
            </w:pPr>
            <w:r>
              <w:rPr>
                <w:color w:val="auto"/>
                <w:szCs w:val="21"/>
                <w:highlight w:val="none"/>
              </w:rPr>
              <w:t>37</w:t>
            </w:r>
          </w:p>
        </w:tc>
        <w:tc>
          <w:tcPr>
            <w:tcW w:w="911" w:type="dxa"/>
            <w:noWrap w:val="0"/>
            <w:vAlign w:val="center"/>
          </w:tcPr>
          <w:p>
            <w:pPr>
              <w:jc w:val="center"/>
              <w:rPr>
                <w:color w:val="auto"/>
                <w:szCs w:val="21"/>
                <w:highlight w:val="none"/>
              </w:rPr>
            </w:pPr>
            <w:r>
              <w:rPr>
                <w:color w:val="auto"/>
                <w:szCs w:val="21"/>
                <w:highlight w:val="none"/>
              </w:rPr>
              <w:t>33</w:t>
            </w:r>
          </w:p>
        </w:tc>
        <w:tc>
          <w:tcPr>
            <w:tcW w:w="2288" w:type="dxa"/>
            <w:noWrap w:val="0"/>
            <w:vAlign w:val="center"/>
          </w:tcPr>
          <w:p>
            <w:pPr>
              <w:jc w:val="center"/>
              <w:rPr>
                <w:color w:val="auto"/>
                <w:szCs w:val="21"/>
                <w:highlight w:val="none"/>
              </w:rPr>
            </w:pPr>
            <w:r>
              <w:rPr>
                <w:color w:val="auto"/>
                <w:szCs w:val="21"/>
                <w:highlight w:val="none"/>
              </w:rPr>
              <w:t>间二甲苯+对二甲苯</w:t>
            </w:r>
          </w:p>
        </w:tc>
        <w:tc>
          <w:tcPr>
            <w:tcW w:w="1553" w:type="dxa"/>
            <w:noWrap w:val="0"/>
            <w:vAlign w:val="center"/>
          </w:tcPr>
          <w:p>
            <w:pPr>
              <w:jc w:val="center"/>
              <w:rPr>
                <w:color w:val="auto"/>
                <w:szCs w:val="21"/>
                <w:highlight w:val="none"/>
              </w:rPr>
            </w:pPr>
            <w:r>
              <w:rPr>
                <w:color w:val="auto"/>
                <w:szCs w:val="21"/>
                <w:highlight w:val="none"/>
              </w:rPr>
              <w:t>570</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808" w:type="dxa"/>
            <w:noWrap w:val="0"/>
            <w:vAlign w:val="center"/>
          </w:tcPr>
          <w:p>
            <w:pPr>
              <w:jc w:val="center"/>
              <w:rPr>
                <w:color w:val="auto"/>
                <w:szCs w:val="21"/>
                <w:highlight w:val="none"/>
              </w:rPr>
            </w:pPr>
            <w:r>
              <w:rPr>
                <w:color w:val="auto"/>
                <w:szCs w:val="21"/>
                <w:highlight w:val="none"/>
              </w:rPr>
              <w:t>11</w:t>
            </w:r>
          </w:p>
        </w:tc>
        <w:tc>
          <w:tcPr>
            <w:tcW w:w="2279" w:type="dxa"/>
            <w:noWrap w:val="0"/>
            <w:vAlign w:val="center"/>
          </w:tcPr>
          <w:p>
            <w:pPr>
              <w:jc w:val="center"/>
              <w:rPr>
                <w:color w:val="auto"/>
                <w:szCs w:val="21"/>
                <w:highlight w:val="none"/>
              </w:rPr>
            </w:pPr>
            <w:r>
              <w:rPr>
                <w:color w:val="auto"/>
                <w:szCs w:val="21"/>
                <w:highlight w:val="none"/>
              </w:rPr>
              <w:t>1,1-二氯乙烷</w:t>
            </w:r>
          </w:p>
        </w:tc>
        <w:tc>
          <w:tcPr>
            <w:tcW w:w="1447" w:type="dxa"/>
            <w:noWrap w:val="0"/>
            <w:vAlign w:val="center"/>
          </w:tcPr>
          <w:p>
            <w:pPr>
              <w:jc w:val="center"/>
              <w:rPr>
                <w:color w:val="auto"/>
                <w:szCs w:val="21"/>
                <w:highlight w:val="none"/>
              </w:rPr>
            </w:pPr>
            <w:r>
              <w:rPr>
                <w:color w:val="auto"/>
                <w:szCs w:val="21"/>
                <w:highlight w:val="none"/>
              </w:rPr>
              <w:t>9</w:t>
            </w:r>
          </w:p>
        </w:tc>
        <w:tc>
          <w:tcPr>
            <w:tcW w:w="911" w:type="dxa"/>
            <w:noWrap w:val="0"/>
            <w:vAlign w:val="center"/>
          </w:tcPr>
          <w:p>
            <w:pPr>
              <w:jc w:val="center"/>
              <w:rPr>
                <w:color w:val="auto"/>
                <w:szCs w:val="21"/>
                <w:highlight w:val="none"/>
              </w:rPr>
            </w:pPr>
            <w:r>
              <w:rPr>
                <w:color w:val="auto"/>
                <w:szCs w:val="21"/>
                <w:highlight w:val="none"/>
              </w:rPr>
              <w:t>34</w:t>
            </w:r>
          </w:p>
        </w:tc>
        <w:tc>
          <w:tcPr>
            <w:tcW w:w="2288" w:type="dxa"/>
            <w:noWrap w:val="0"/>
            <w:vAlign w:val="center"/>
          </w:tcPr>
          <w:p>
            <w:pPr>
              <w:jc w:val="center"/>
              <w:rPr>
                <w:color w:val="auto"/>
                <w:szCs w:val="21"/>
                <w:highlight w:val="none"/>
              </w:rPr>
            </w:pPr>
            <w:r>
              <w:rPr>
                <w:color w:val="auto"/>
                <w:szCs w:val="21"/>
                <w:highlight w:val="none"/>
              </w:rPr>
              <w:t>邻二甲苯</w:t>
            </w:r>
          </w:p>
        </w:tc>
        <w:tc>
          <w:tcPr>
            <w:tcW w:w="1553" w:type="dxa"/>
            <w:noWrap w:val="0"/>
            <w:vAlign w:val="center"/>
          </w:tcPr>
          <w:p>
            <w:pPr>
              <w:jc w:val="center"/>
              <w:rPr>
                <w:color w:val="auto"/>
                <w:szCs w:val="21"/>
                <w:highlight w:val="none"/>
              </w:rPr>
            </w:pPr>
            <w:r>
              <w:rPr>
                <w:color w:val="auto"/>
                <w:szCs w:val="21"/>
                <w:highlight w:val="none"/>
              </w:rPr>
              <w:t>640</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808" w:type="dxa"/>
            <w:noWrap w:val="0"/>
            <w:vAlign w:val="center"/>
          </w:tcPr>
          <w:p>
            <w:pPr>
              <w:jc w:val="center"/>
              <w:rPr>
                <w:color w:val="auto"/>
                <w:szCs w:val="21"/>
                <w:highlight w:val="none"/>
              </w:rPr>
            </w:pPr>
            <w:r>
              <w:rPr>
                <w:color w:val="auto"/>
                <w:szCs w:val="21"/>
                <w:highlight w:val="none"/>
              </w:rPr>
              <w:t>12</w:t>
            </w:r>
          </w:p>
        </w:tc>
        <w:tc>
          <w:tcPr>
            <w:tcW w:w="2279" w:type="dxa"/>
            <w:noWrap w:val="0"/>
            <w:vAlign w:val="center"/>
          </w:tcPr>
          <w:p>
            <w:pPr>
              <w:jc w:val="center"/>
              <w:rPr>
                <w:color w:val="auto"/>
                <w:szCs w:val="21"/>
                <w:highlight w:val="none"/>
              </w:rPr>
            </w:pPr>
            <w:r>
              <w:rPr>
                <w:color w:val="auto"/>
                <w:szCs w:val="21"/>
                <w:highlight w:val="none"/>
              </w:rPr>
              <w:t>1,2-二氯乙烷</w:t>
            </w:r>
          </w:p>
        </w:tc>
        <w:tc>
          <w:tcPr>
            <w:tcW w:w="1447" w:type="dxa"/>
            <w:noWrap w:val="0"/>
            <w:vAlign w:val="center"/>
          </w:tcPr>
          <w:p>
            <w:pPr>
              <w:jc w:val="center"/>
              <w:rPr>
                <w:color w:val="auto"/>
                <w:szCs w:val="21"/>
                <w:highlight w:val="none"/>
              </w:rPr>
            </w:pPr>
            <w:r>
              <w:rPr>
                <w:color w:val="auto"/>
                <w:szCs w:val="21"/>
                <w:highlight w:val="none"/>
              </w:rPr>
              <w:t>5</w:t>
            </w:r>
          </w:p>
        </w:tc>
        <w:tc>
          <w:tcPr>
            <w:tcW w:w="911" w:type="dxa"/>
            <w:noWrap w:val="0"/>
            <w:vAlign w:val="center"/>
          </w:tcPr>
          <w:p>
            <w:pPr>
              <w:jc w:val="center"/>
              <w:rPr>
                <w:color w:val="auto"/>
                <w:szCs w:val="21"/>
                <w:highlight w:val="none"/>
              </w:rPr>
            </w:pPr>
            <w:r>
              <w:rPr>
                <w:color w:val="auto"/>
                <w:szCs w:val="21"/>
                <w:highlight w:val="none"/>
              </w:rPr>
              <w:t>35</w:t>
            </w:r>
          </w:p>
        </w:tc>
        <w:tc>
          <w:tcPr>
            <w:tcW w:w="2288" w:type="dxa"/>
            <w:noWrap w:val="0"/>
            <w:vAlign w:val="center"/>
          </w:tcPr>
          <w:p>
            <w:pPr>
              <w:jc w:val="center"/>
              <w:rPr>
                <w:color w:val="auto"/>
                <w:szCs w:val="21"/>
                <w:highlight w:val="none"/>
              </w:rPr>
            </w:pPr>
            <w:r>
              <w:rPr>
                <w:color w:val="auto"/>
                <w:szCs w:val="21"/>
                <w:highlight w:val="none"/>
              </w:rPr>
              <w:t>硝基苯</w:t>
            </w:r>
          </w:p>
        </w:tc>
        <w:tc>
          <w:tcPr>
            <w:tcW w:w="1553" w:type="dxa"/>
            <w:noWrap w:val="0"/>
            <w:vAlign w:val="center"/>
          </w:tcPr>
          <w:p>
            <w:pPr>
              <w:jc w:val="center"/>
              <w:rPr>
                <w:color w:val="auto"/>
                <w:szCs w:val="21"/>
                <w:highlight w:val="none"/>
              </w:rPr>
            </w:pPr>
            <w:r>
              <w:rPr>
                <w:color w:val="auto"/>
                <w:szCs w:val="21"/>
                <w:highlight w:val="none"/>
              </w:rPr>
              <w:t>76</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808" w:type="dxa"/>
            <w:noWrap w:val="0"/>
            <w:vAlign w:val="center"/>
          </w:tcPr>
          <w:p>
            <w:pPr>
              <w:jc w:val="center"/>
              <w:rPr>
                <w:color w:val="auto"/>
                <w:szCs w:val="21"/>
                <w:highlight w:val="none"/>
              </w:rPr>
            </w:pPr>
            <w:r>
              <w:rPr>
                <w:color w:val="auto"/>
                <w:szCs w:val="21"/>
                <w:highlight w:val="none"/>
              </w:rPr>
              <w:t>13</w:t>
            </w:r>
          </w:p>
        </w:tc>
        <w:tc>
          <w:tcPr>
            <w:tcW w:w="2279" w:type="dxa"/>
            <w:noWrap w:val="0"/>
            <w:vAlign w:val="center"/>
          </w:tcPr>
          <w:p>
            <w:pPr>
              <w:jc w:val="center"/>
              <w:rPr>
                <w:color w:val="auto"/>
                <w:szCs w:val="21"/>
                <w:highlight w:val="none"/>
              </w:rPr>
            </w:pPr>
            <w:r>
              <w:rPr>
                <w:color w:val="auto"/>
                <w:szCs w:val="21"/>
                <w:highlight w:val="none"/>
              </w:rPr>
              <w:t>1,1-二氯乙烯</w:t>
            </w:r>
          </w:p>
        </w:tc>
        <w:tc>
          <w:tcPr>
            <w:tcW w:w="1447" w:type="dxa"/>
            <w:noWrap w:val="0"/>
            <w:vAlign w:val="center"/>
          </w:tcPr>
          <w:p>
            <w:pPr>
              <w:jc w:val="center"/>
              <w:rPr>
                <w:color w:val="auto"/>
                <w:szCs w:val="21"/>
                <w:highlight w:val="none"/>
              </w:rPr>
            </w:pPr>
            <w:r>
              <w:rPr>
                <w:color w:val="auto"/>
                <w:szCs w:val="21"/>
                <w:highlight w:val="none"/>
              </w:rPr>
              <w:t>66</w:t>
            </w:r>
          </w:p>
        </w:tc>
        <w:tc>
          <w:tcPr>
            <w:tcW w:w="911" w:type="dxa"/>
            <w:noWrap w:val="0"/>
            <w:vAlign w:val="center"/>
          </w:tcPr>
          <w:p>
            <w:pPr>
              <w:jc w:val="center"/>
              <w:rPr>
                <w:color w:val="auto"/>
                <w:szCs w:val="21"/>
                <w:highlight w:val="none"/>
              </w:rPr>
            </w:pPr>
            <w:r>
              <w:rPr>
                <w:color w:val="auto"/>
                <w:szCs w:val="21"/>
                <w:highlight w:val="none"/>
              </w:rPr>
              <w:t>36</w:t>
            </w:r>
          </w:p>
        </w:tc>
        <w:tc>
          <w:tcPr>
            <w:tcW w:w="2288" w:type="dxa"/>
            <w:noWrap w:val="0"/>
            <w:vAlign w:val="center"/>
          </w:tcPr>
          <w:p>
            <w:pPr>
              <w:jc w:val="center"/>
              <w:rPr>
                <w:color w:val="auto"/>
                <w:szCs w:val="21"/>
                <w:highlight w:val="none"/>
              </w:rPr>
            </w:pPr>
            <w:r>
              <w:rPr>
                <w:color w:val="auto"/>
                <w:szCs w:val="21"/>
                <w:highlight w:val="none"/>
              </w:rPr>
              <w:t>苯胺</w:t>
            </w:r>
          </w:p>
        </w:tc>
        <w:tc>
          <w:tcPr>
            <w:tcW w:w="1553" w:type="dxa"/>
            <w:noWrap w:val="0"/>
            <w:vAlign w:val="center"/>
          </w:tcPr>
          <w:p>
            <w:pPr>
              <w:jc w:val="center"/>
              <w:rPr>
                <w:color w:val="auto"/>
                <w:szCs w:val="21"/>
                <w:highlight w:val="none"/>
              </w:rPr>
            </w:pPr>
            <w:r>
              <w:rPr>
                <w:color w:val="auto"/>
                <w:szCs w:val="21"/>
                <w:highlight w:val="none"/>
              </w:rPr>
              <w:t>260</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808" w:type="dxa"/>
            <w:noWrap w:val="0"/>
            <w:vAlign w:val="center"/>
          </w:tcPr>
          <w:p>
            <w:pPr>
              <w:jc w:val="center"/>
              <w:rPr>
                <w:color w:val="auto"/>
                <w:szCs w:val="21"/>
                <w:highlight w:val="none"/>
              </w:rPr>
            </w:pPr>
            <w:r>
              <w:rPr>
                <w:color w:val="auto"/>
                <w:szCs w:val="21"/>
                <w:highlight w:val="none"/>
              </w:rPr>
              <w:t>14</w:t>
            </w:r>
          </w:p>
        </w:tc>
        <w:tc>
          <w:tcPr>
            <w:tcW w:w="2279" w:type="dxa"/>
            <w:noWrap w:val="0"/>
            <w:vAlign w:val="center"/>
          </w:tcPr>
          <w:p>
            <w:pPr>
              <w:jc w:val="center"/>
              <w:rPr>
                <w:color w:val="auto"/>
                <w:szCs w:val="21"/>
                <w:highlight w:val="none"/>
              </w:rPr>
            </w:pPr>
            <w:r>
              <w:rPr>
                <w:color w:val="auto"/>
                <w:szCs w:val="21"/>
                <w:highlight w:val="none"/>
              </w:rPr>
              <w:t>顺-1,2二氯乙烯</w:t>
            </w:r>
          </w:p>
        </w:tc>
        <w:tc>
          <w:tcPr>
            <w:tcW w:w="1447" w:type="dxa"/>
            <w:noWrap w:val="0"/>
            <w:vAlign w:val="center"/>
          </w:tcPr>
          <w:p>
            <w:pPr>
              <w:jc w:val="center"/>
              <w:rPr>
                <w:color w:val="auto"/>
                <w:szCs w:val="21"/>
                <w:highlight w:val="none"/>
              </w:rPr>
            </w:pPr>
            <w:r>
              <w:rPr>
                <w:color w:val="auto"/>
                <w:szCs w:val="21"/>
                <w:highlight w:val="none"/>
              </w:rPr>
              <w:t>596</w:t>
            </w:r>
          </w:p>
        </w:tc>
        <w:tc>
          <w:tcPr>
            <w:tcW w:w="911" w:type="dxa"/>
            <w:noWrap w:val="0"/>
            <w:vAlign w:val="center"/>
          </w:tcPr>
          <w:p>
            <w:pPr>
              <w:jc w:val="center"/>
              <w:rPr>
                <w:color w:val="auto"/>
                <w:szCs w:val="21"/>
                <w:highlight w:val="none"/>
              </w:rPr>
            </w:pPr>
            <w:r>
              <w:rPr>
                <w:color w:val="auto"/>
                <w:szCs w:val="21"/>
                <w:highlight w:val="none"/>
              </w:rPr>
              <w:t>37</w:t>
            </w:r>
          </w:p>
        </w:tc>
        <w:tc>
          <w:tcPr>
            <w:tcW w:w="2288" w:type="dxa"/>
            <w:noWrap w:val="0"/>
            <w:vAlign w:val="center"/>
          </w:tcPr>
          <w:p>
            <w:pPr>
              <w:jc w:val="center"/>
              <w:rPr>
                <w:color w:val="auto"/>
                <w:szCs w:val="21"/>
                <w:highlight w:val="none"/>
              </w:rPr>
            </w:pPr>
            <w:r>
              <w:rPr>
                <w:color w:val="auto"/>
                <w:szCs w:val="21"/>
                <w:highlight w:val="none"/>
              </w:rPr>
              <w:t>2-氯酚</w:t>
            </w:r>
          </w:p>
        </w:tc>
        <w:tc>
          <w:tcPr>
            <w:tcW w:w="1553" w:type="dxa"/>
            <w:noWrap w:val="0"/>
            <w:vAlign w:val="center"/>
          </w:tcPr>
          <w:p>
            <w:pPr>
              <w:jc w:val="center"/>
              <w:rPr>
                <w:color w:val="auto"/>
                <w:szCs w:val="21"/>
                <w:highlight w:val="none"/>
              </w:rPr>
            </w:pPr>
            <w:r>
              <w:rPr>
                <w:color w:val="auto"/>
                <w:szCs w:val="21"/>
                <w:highlight w:val="none"/>
              </w:rPr>
              <w:t>2256</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808" w:type="dxa"/>
            <w:noWrap w:val="0"/>
            <w:vAlign w:val="center"/>
          </w:tcPr>
          <w:p>
            <w:pPr>
              <w:jc w:val="center"/>
              <w:rPr>
                <w:color w:val="auto"/>
                <w:szCs w:val="21"/>
                <w:highlight w:val="none"/>
              </w:rPr>
            </w:pPr>
            <w:r>
              <w:rPr>
                <w:color w:val="auto"/>
                <w:szCs w:val="21"/>
                <w:highlight w:val="none"/>
              </w:rPr>
              <w:t>15</w:t>
            </w:r>
          </w:p>
        </w:tc>
        <w:tc>
          <w:tcPr>
            <w:tcW w:w="2279" w:type="dxa"/>
            <w:noWrap w:val="0"/>
            <w:vAlign w:val="center"/>
          </w:tcPr>
          <w:p>
            <w:pPr>
              <w:jc w:val="center"/>
              <w:rPr>
                <w:color w:val="auto"/>
                <w:szCs w:val="21"/>
                <w:highlight w:val="none"/>
              </w:rPr>
            </w:pPr>
            <w:r>
              <w:rPr>
                <w:color w:val="auto"/>
                <w:szCs w:val="21"/>
                <w:highlight w:val="none"/>
              </w:rPr>
              <w:t>反-1,2二氯乙烯</w:t>
            </w:r>
          </w:p>
        </w:tc>
        <w:tc>
          <w:tcPr>
            <w:tcW w:w="1447" w:type="dxa"/>
            <w:noWrap w:val="0"/>
            <w:vAlign w:val="center"/>
          </w:tcPr>
          <w:p>
            <w:pPr>
              <w:jc w:val="center"/>
              <w:rPr>
                <w:color w:val="auto"/>
                <w:szCs w:val="21"/>
                <w:highlight w:val="none"/>
              </w:rPr>
            </w:pPr>
            <w:r>
              <w:rPr>
                <w:color w:val="auto"/>
                <w:szCs w:val="21"/>
                <w:highlight w:val="none"/>
              </w:rPr>
              <w:t>54</w:t>
            </w:r>
          </w:p>
        </w:tc>
        <w:tc>
          <w:tcPr>
            <w:tcW w:w="911" w:type="dxa"/>
            <w:noWrap w:val="0"/>
            <w:vAlign w:val="center"/>
          </w:tcPr>
          <w:p>
            <w:pPr>
              <w:jc w:val="center"/>
              <w:rPr>
                <w:color w:val="auto"/>
                <w:szCs w:val="21"/>
                <w:highlight w:val="none"/>
              </w:rPr>
            </w:pPr>
            <w:r>
              <w:rPr>
                <w:color w:val="auto"/>
                <w:szCs w:val="21"/>
                <w:highlight w:val="none"/>
              </w:rPr>
              <w:t>38</w:t>
            </w:r>
          </w:p>
        </w:tc>
        <w:tc>
          <w:tcPr>
            <w:tcW w:w="2288" w:type="dxa"/>
            <w:noWrap w:val="0"/>
            <w:vAlign w:val="center"/>
          </w:tcPr>
          <w:p>
            <w:pPr>
              <w:jc w:val="center"/>
              <w:rPr>
                <w:color w:val="auto"/>
                <w:szCs w:val="21"/>
                <w:highlight w:val="none"/>
              </w:rPr>
            </w:pPr>
            <w:r>
              <w:rPr>
                <w:color w:val="auto"/>
                <w:szCs w:val="21"/>
                <w:highlight w:val="none"/>
              </w:rPr>
              <w:t>苯并[a]蒽</w:t>
            </w:r>
          </w:p>
        </w:tc>
        <w:tc>
          <w:tcPr>
            <w:tcW w:w="1553" w:type="dxa"/>
            <w:noWrap w:val="0"/>
            <w:vAlign w:val="center"/>
          </w:tcPr>
          <w:p>
            <w:pPr>
              <w:jc w:val="center"/>
              <w:rPr>
                <w:color w:val="auto"/>
                <w:szCs w:val="21"/>
                <w:highlight w:val="none"/>
              </w:rPr>
            </w:pPr>
            <w:r>
              <w:rPr>
                <w:color w:val="auto"/>
                <w:szCs w:val="21"/>
                <w:highlight w:val="none"/>
              </w:rPr>
              <w:t>15</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808" w:type="dxa"/>
            <w:noWrap w:val="0"/>
            <w:vAlign w:val="center"/>
          </w:tcPr>
          <w:p>
            <w:pPr>
              <w:jc w:val="center"/>
              <w:rPr>
                <w:color w:val="auto"/>
                <w:szCs w:val="21"/>
                <w:highlight w:val="none"/>
              </w:rPr>
            </w:pPr>
            <w:r>
              <w:rPr>
                <w:color w:val="auto"/>
                <w:szCs w:val="21"/>
                <w:highlight w:val="none"/>
              </w:rPr>
              <w:t>16</w:t>
            </w:r>
          </w:p>
        </w:tc>
        <w:tc>
          <w:tcPr>
            <w:tcW w:w="2279" w:type="dxa"/>
            <w:noWrap w:val="0"/>
            <w:vAlign w:val="center"/>
          </w:tcPr>
          <w:p>
            <w:pPr>
              <w:jc w:val="center"/>
              <w:rPr>
                <w:color w:val="auto"/>
                <w:szCs w:val="21"/>
                <w:highlight w:val="none"/>
              </w:rPr>
            </w:pPr>
            <w:r>
              <w:rPr>
                <w:color w:val="auto"/>
                <w:szCs w:val="21"/>
                <w:highlight w:val="none"/>
              </w:rPr>
              <w:t>二氯甲烷</w:t>
            </w:r>
          </w:p>
        </w:tc>
        <w:tc>
          <w:tcPr>
            <w:tcW w:w="1447" w:type="dxa"/>
            <w:noWrap w:val="0"/>
            <w:vAlign w:val="center"/>
          </w:tcPr>
          <w:p>
            <w:pPr>
              <w:jc w:val="center"/>
              <w:rPr>
                <w:color w:val="auto"/>
                <w:szCs w:val="21"/>
                <w:highlight w:val="none"/>
              </w:rPr>
            </w:pPr>
            <w:r>
              <w:rPr>
                <w:color w:val="auto"/>
                <w:szCs w:val="21"/>
                <w:highlight w:val="none"/>
              </w:rPr>
              <w:t>616</w:t>
            </w:r>
          </w:p>
        </w:tc>
        <w:tc>
          <w:tcPr>
            <w:tcW w:w="911" w:type="dxa"/>
            <w:noWrap w:val="0"/>
            <w:vAlign w:val="center"/>
          </w:tcPr>
          <w:p>
            <w:pPr>
              <w:jc w:val="center"/>
              <w:rPr>
                <w:color w:val="auto"/>
                <w:szCs w:val="21"/>
                <w:highlight w:val="none"/>
              </w:rPr>
            </w:pPr>
            <w:r>
              <w:rPr>
                <w:color w:val="auto"/>
                <w:szCs w:val="21"/>
                <w:highlight w:val="none"/>
              </w:rPr>
              <w:t>39</w:t>
            </w:r>
          </w:p>
        </w:tc>
        <w:tc>
          <w:tcPr>
            <w:tcW w:w="2288" w:type="dxa"/>
            <w:noWrap w:val="0"/>
            <w:vAlign w:val="center"/>
          </w:tcPr>
          <w:p>
            <w:pPr>
              <w:jc w:val="center"/>
              <w:rPr>
                <w:color w:val="auto"/>
                <w:szCs w:val="21"/>
                <w:highlight w:val="none"/>
              </w:rPr>
            </w:pPr>
            <w:r>
              <w:rPr>
                <w:color w:val="auto"/>
                <w:szCs w:val="21"/>
                <w:highlight w:val="none"/>
              </w:rPr>
              <w:t>苯并[a]芘</w:t>
            </w:r>
          </w:p>
        </w:tc>
        <w:tc>
          <w:tcPr>
            <w:tcW w:w="1553" w:type="dxa"/>
            <w:noWrap w:val="0"/>
            <w:vAlign w:val="center"/>
          </w:tcPr>
          <w:p>
            <w:pPr>
              <w:jc w:val="center"/>
              <w:rPr>
                <w:color w:val="auto"/>
                <w:szCs w:val="21"/>
                <w:highlight w:val="none"/>
              </w:rPr>
            </w:pPr>
            <w:r>
              <w:rPr>
                <w:color w:val="auto"/>
                <w:szCs w:val="21"/>
                <w:highlight w:val="none"/>
              </w:rPr>
              <w:t>1.5</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808" w:type="dxa"/>
            <w:noWrap w:val="0"/>
            <w:vAlign w:val="center"/>
          </w:tcPr>
          <w:p>
            <w:pPr>
              <w:jc w:val="center"/>
              <w:rPr>
                <w:color w:val="auto"/>
                <w:szCs w:val="21"/>
                <w:highlight w:val="none"/>
              </w:rPr>
            </w:pPr>
            <w:r>
              <w:rPr>
                <w:color w:val="auto"/>
                <w:szCs w:val="21"/>
                <w:highlight w:val="none"/>
              </w:rPr>
              <w:t>17</w:t>
            </w:r>
          </w:p>
        </w:tc>
        <w:tc>
          <w:tcPr>
            <w:tcW w:w="2279" w:type="dxa"/>
            <w:noWrap w:val="0"/>
            <w:vAlign w:val="center"/>
          </w:tcPr>
          <w:p>
            <w:pPr>
              <w:jc w:val="center"/>
              <w:rPr>
                <w:color w:val="auto"/>
                <w:szCs w:val="21"/>
                <w:highlight w:val="none"/>
              </w:rPr>
            </w:pPr>
            <w:r>
              <w:rPr>
                <w:color w:val="auto"/>
                <w:szCs w:val="21"/>
                <w:highlight w:val="none"/>
              </w:rPr>
              <w:t>1,2-二氯丙烷</w:t>
            </w:r>
          </w:p>
        </w:tc>
        <w:tc>
          <w:tcPr>
            <w:tcW w:w="1447" w:type="dxa"/>
            <w:noWrap w:val="0"/>
            <w:vAlign w:val="center"/>
          </w:tcPr>
          <w:p>
            <w:pPr>
              <w:jc w:val="center"/>
              <w:rPr>
                <w:color w:val="auto"/>
                <w:szCs w:val="21"/>
                <w:highlight w:val="none"/>
              </w:rPr>
            </w:pPr>
            <w:r>
              <w:rPr>
                <w:color w:val="auto"/>
                <w:szCs w:val="21"/>
                <w:highlight w:val="none"/>
              </w:rPr>
              <w:t>5</w:t>
            </w:r>
          </w:p>
        </w:tc>
        <w:tc>
          <w:tcPr>
            <w:tcW w:w="911" w:type="dxa"/>
            <w:noWrap w:val="0"/>
            <w:vAlign w:val="center"/>
          </w:tcPr>
          <w:p>
            <w:pPr>
              <w:jc w:val="center"/>
              <w:rPr>
                <w:color w:val="auto"/>
                <w:szCs w:val="21"/>
                <w:highlight w:val="none"/>
              </w:rPr>
            </w:pPr>
            <w:r>
              <w:rPr>
                <w:color w:val="auto"/>
                <w:szCs w:val="21"/>
                <w:highlight w:val="none"/>
              </w:rPr>
              <w:t>40</w:t>
            </w:r>
          </w:p>
        </w:tc>
        <w:tc>
          <w:tcPr>
            <w:tcW w:w="2288" w:type="dxa"/>
            <w:noWrap w:val="0"/>
            <w:vAlign w:val="center"/>
          </w:tcPr>
          <w:p>
            <w:pPr>
              <w:jc w:val="center"/>
              <w:rPr>
                <w:color w:val="auto"/>
                <w:szCs w:val="21"/>
                <w:highlight w:val="none"/>
              </w:rPr>
            </w:pPr>
            <w:r>
              <w:rPr>
                <w:color w:val="auto"/>
                <w:szCs w:val="21"/>
                <w:highlight w:val="none"/>
              </w:rPr>
              <w:t>苯并[b]荧蒽</w:t>
            </w:r>
          </w:p>
        </w:tc>
        <w:tc>
          <w:tcPr>
            <w:tcW w:w="1553" w:type="dxa"/>
            <w:noWrap w:val="0"/>
            <w:vAlign w:val="center"/>
          </w:tcPr>
          <w:p>
            <w:pPr>
              <w:jc w:val="center"/>
              <w:rPr>
                <w:color w:val="auto"/>
                <w:szCs w:val="21"/>
                <w:highlight w:val="none"/>
              </w:rPr>
            </w:pPr>
            <w:r>
              <w:rPr>
                <w:color w:val="auto"/>
                <w:szCs w:val="21"/>
                <w:highlight w:val="none"/>
              </w:rPr>
              <w:t>15</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808" w:type="dxa"/>
            <w:noWrap w:val="0"/>
            <w:vAlign w:val="center"/>
          </w:tcPr>
          <w:p>
            <w:pPr>
              <w:jc w:val="center"/>
              <w:rPr>
                <w:color w:val="auto"/>
                <w:szCs w:val="21"/>
                <w:highlight w:val="none"/>
              </w:rPr>
            </w:pPr>
            <w:r>
              <w:rPr>
                <w:color w:val="auto"/>
                <w:szCs w:val="21"/>
                <w:highlight w:val="none"/>
              </w:rPr>
              <w:t>18</w:t>
            </w:r>
          </w:p>
        </w:tc>
        <w:tc>
          <w:tcPr>
            <w:tcW w:w="2279" w:type="dxa"/>
            <w:noWrap w:val="0"/>
            <w:vAlign w:val="center"/>
          </w:tcPr>
          <w:p>
            <w:pPr>
              <w:jc w:val="center"/>
              <w:rPr>
                <w:color w:val="auto"/>
                <w:szCs w:val="21"/>
                <w:highlight w:val="none"/>
              </w:rPr>
            </w:pPr>
            <w:r>
              <w:rPr>
                <w:color w:val="auto"/>
                <w:szCs w:val="21"/>
                <w:highlight w:val="none"/>
              </w:rPr>
              <w:t>1,1,1,2-四氯乙烷</w:t>
            </w:r>
          </w:p>
        </w:tc>
        <w:tc>
          <w:tcPr>
            <w:tcW w:w="1447" w:type="dxa"/>
            <w:noWrap w:val="0"/>
            <w:vAlign w:val="center"/>
          </w:tcPr>
          <w:p>
            <w:pPr>
              <w:jc w:val="center"/>
              <w:rPr>
                <w:color w:val="auto"/>
                <w:szCs w:val="21"/>
                <w:highlight w:val="none"/>
              </w:rPr>
            </w:pPr>
            <w:r>
              <w:rPr>
                <w:color w:val="auto"/>
                <w:szCs w:val="21"/>
                <w:highlight w:val="none"/>
              </w:rPr>
              <w:t>10</w:t>
            </w:r>
          </w:p>
        </w:tc>
        <w:tc>
          <w:tcPr>
            <w:tcW w:w="911" w:type="dxa"/>
            <w:noWrap w:val="0"/>
            <w:vAlign w:val="center"/>
          </w:tcPr>
          <w:p>
            <w:pPr>
              <w:jc w:val="center"/>
              <w:rPr>
                <w:color w:val="auto"/>
                <w:szCs w:val="21"/>
                <w:highlight w:val="none"/>
              </w:rPr>
            </w:pPr>
            <w:r>
              <w:rPr>
                <w:color w:val="auto"/>
                <w:szCs w:val="21"/>
                <w:highlight w:val="none"/>
              </w:rPr>
              <w:t>41</w:t>
            </w:r>
          </w:p>
        </w:tc>
        <w:tc>
          <w:tcPr>
            <w:tcW w:w="2288" w:type="dxa"/>
            <w:noWrap w:val="0"/>
            <w:vAlign w:val="center"/>
          </w:tcPr>
          <w:p>
            <w:pPr>
              <w:jc w:val="center"/>
              <w:rPr>
                <w:color w:val="auto"/>
                <w:szCs w:val="21"/>
                <w:highlight w:val="none"/>
              </w:rPr>
            </w:pPr>
            <w:r>
              <w:rPr>
                <w:color w:val="auto"/>
                <w:szCs w:val="21"/>
                <w:highlight w:val="none"/>
              </w:rPr>
              <w:t>苯并[k]荧蒽</w:t>
            </w:r>
          </w:p>
        </w:tc>
        <w:tc>
          <w:tcPr>
            <w:tcW w:w="1553" w:type="dxa"/>
            <w:noWrap w:val="0"/>
            <w:vAlign w:val="center"/>
          </w:tcPr>
          <w:p>
            <w:pPr>
              <w:jc w:val="center"/>
              <w:rPr>
                <w:color w:val="auto"/>
                <w:szCs w:val="21"/>
                <w:highlight w:val="none"/>
              </w:rPr>
            </w:pPr>
            <w:r>
              <w:rPr>
                <w:color w:val="auto"/>
                <w:szCs w:val="21"/>
                <w:highlight w:val="none"/>
              </w:rPr>
              <w:t>151</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808" w:type="dxa"/>
            <w:noWrap w:val="0"/>
            <w:vAlign w:val="center"/>
          </w:tcPr>
          <w:p>
            <w:pPr>
              <w:jc w:val="center"/>
              <w:rPr>
                <w:color w:val="auto"/>
                <w:szCs w:val="21"/>
                <w:highlight w:val="none"/>
              </w:rPr>
            </w:pPr>
            <w:r>
              <w:rPr>
                <w:color w:val="auto"/>
                <w:szCs w:val="21"/>
                <w:highlight w:val="none"/>
              </w:rPr>
              <w:t>19</w:t>
            </w:r>
          </w:p>
        </w:tc>
        <w:tc>
          <w:tcPr>
            <w:tcW w:w="2279" w:type="dxa"/>
            <w:noWrap w:val="0"/>
            <w:vAlign w:val="center"/>
          </w:tcPr>
          <w:p>
            <w:pPr>
              <w:jc w:val="center"/>
              <w:rPr>
                <w:color w:val="auto"/>
                <w:szCs w:val="21"/>
                <w:highlight w:val="none"/>
              </w:rPr>
            </w:pPr>
            <w:r>
              <w:rPr>
                <w:color w:val="auto"/>
                <w:szCs w:val="21"/>
                <w:highlight w:val="none"/>
              </w:rPr>
              <w:t>1,1,2,2-四氯乙烷</w:t>
            </w:r>
          </w:p>
        </w:tc>
        <w:tc>
          <w:tcPr>
            <w:tcW w:w="1447" w:type="dxa"/>
            <w:noWrap w:val="0"/>
            <w:vAlign w:val="center"/>
          </w:tcPr>
          <w:p>
            <w:pPr>
              <w:jc w:val="center"/>
              <w:rPr>
                <w:color w:val="auto"/>
                <w:szCs w:val="21"/>
                <w:highlight w:val="none"/>
              </w:rPr>
            </w:pPr>
            <w:r>
              <w:rPr>
                <w:color w:val="auto"/>
                <w:szCs w:val="21"/>
                <w:highlight w:val="none"/>
              </w:rPr>
              <w:t>6.8</w:t>
            </w:r>
          </w:p>
        </w:tc>
        <w:tc>
          <w:tcPr>
            <w:tcW w:w="911" w:type="dxa"/>
            <w:noWrap w:val="0"/>
            <w:vAlign w:val="center"/>
          </w:tcPr>
          <w:p>
            <w:pPr>
              <w:jc w:val="center"/>
              <w:rPr>
                <w:color w:val="auto"/>
                <w:szCs w:val="21"/>
                <w:highlight w:val="none"/>
              </w:rPr>
            </w:pPr>
            <w:r>
              <w:rPr>
                <w:color w:val="auto"/>
                <w:szCs w:val="21"/>
                <w:highlight w:val="none"/>
              </w:rPr>
              <w:t>42</w:t>
            </w:r>
          </w:p>
        </w:tc>
        <w:tc>
          <w:tcPr>
            <w:tcW w:w="2288" w:type="dxa"/>
            <w:noWrap w:val="0"/>
            <w:vAlign w:val="center"/>
          </w:tcPr>
          <w:p>
            <w:pPr>
              <w:jc w:val="center"/>
              <w:rPr>
                <w:color w:val="auto"/>
                <w:szCs w:val="21"/>
                <w:highlight w:val="none"/>
              </w:rPr>
            </w:pPr>
            <w:r>
              <w:rPr>
                <w:color w:val="auto"/>
                <w:szCs w:val="21"/>
                <w:highlight w:val="none"/>
              </w:rPr>
              <w:t>䓛</w:t>
            </w:r>
          </w:p>
        </w:tc>
        <w:tc>
          <w:tcPr>
            <w:tcW w:w="1553" w:type="dxa"/>
            <w:noWrap w:val="0"/>
            <w:vAlign w:val="center"/>
          </w:tcPr>
          <w:p>
            <w:pPr>
              <w:jc w:val="center"/>
              <w:rPr>
                <w:color w:val="auto"/>
                <w:szCs w:val="21"/>
                <w:highlight w:val="none"/>
              </w:rPr>
            </w:pPr>
            <w:r>
              <w:rPr>
                <w:color w:val="auto"/>
                <w:szCs w:val="21"/>
                <w:highlight w:val="none"/>
              </w:rPr>
              <w:t>1293</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808" w:type="dxa"/>
            <w:noWrap w:val="0"/>
            <w:vAlign w:val="center"/>
          </w:tcPr>
          <w:p>
            <w:pPr>
              <w:jc w:val="center"/>
              <w:rPr>
                <w:color w:val="auto"/>
                <w:szCs w:val="21"/>
                <w:highlight w:val="none"/>
              </w:rPr>
            </w:pPr>
            <w:r>
              <w:rPr>
                <w:color w:val="auto"/>
                <w:szCs w:val="21"/>
                <w:highlight w:val="none"/>
              </w:rPr>
              <w:t>20</w:t>
            </w:r>
          </w:p>
        </w:tc>
        <w:tc>
          <w:tcPr>
            <w:tcW w:w="2279" w:type="dxa"/>
            <w:noWrap w:val="0"/>
            <w:vAlign w:val="center"/>
          </w:tcPr>
          <w:p>
            <w:pPr>
              <w:jc w:val="center"/>
              <w:rPr>
                <w:color w:val="auto"/>
                <w:szCs w:val="21"/>
                <w:highlight w:val="none"/>
              </w:rPr>
            </w:pPr>
            <w:r>
              <w:rPr>
                <w:color w:val="auto"/>
                <w:szCs w:val="21"/>
                <w:highlight w:val="none"/>
              </w:rPr>
              <w:t>四氯乙烯</w:t>
            </w:r>
          </w:p>
        </w:tc>
        <w:tc>
          <w:tcPr>
            <w:tcW w:w="1447" w:type="dxa"/>
            <w:noWrap w:val="0"/>
            <w:vAlign w:val="center"/>
          </w:tcPr>
          <w:p>
            <w:pPr>
              <w:jc w:val="center"/>
              <w:rPr>
                <w:color w:val="auto"/>
                <w:szCs w:val="21"/>
                <w:highlight w:val="none"/>
              </w:rPr>
            </w:pPr>
            <w:r>
              <w:rPr>
                <w:color w:val="auto"/>
                <w:szCs w:val="21"/>
                <w:highlight w:val="none"/>
              </w:rPr>
              <w:t>53</w:t>
            </w:r>
          </w:p>
        </w:tc>
        <w:tc>
          <w:tcPr>
            <w:tcW w:w="911" w:type="dxa"/>
            <w:noWrap w:val="0"/>
            <w:vAlign w:val="center"/>
          </w:tcPr>
          <w:p>
            <w:pPr>
              <w:jc w:val="center"/>
              <w:rPr>
                <w:color w:val="auto"/>
                <w:szCs w:val="21"/>
                <w:highlight w:val="none"/>
              </w:rPr>
            </w:pPr>
            <w:r>
              <w:rPr>
                <w:color w:val="auto"/>
                <w:szCs w:val="21"/>
                <w:highlight w:val="none"/>
              </w:rPr>
              <w:t>43</w:t>
            </w:r>
          </w:p>
        </w:tc>
        <w:tc>
          <w:tcPr>
            <w:tcW w:w="2288" w:type="dxa"/>
            <w:noWrap w:val="0"/>
            <w:vAlign w:val="center"/>
          </w:tcPr>
          <w:p>
            <w:pPr>
              <w:jc w:val="center"/>
              <w:rPr>
                <w:color w:val="auto"/>
                <w:szCs w:val="21"/>
                <w:highlight w:val="none"/>
              </w:rPr>
            </w:pPr>
            <w:r>
              <w:rPr>
                <w:color w:val="auto"/>
                <w:szCs w:val="21"/>
                <w:highlight w:val="none"/>
              </w:rPr>
              <w:t>二苯并[a,h]蒽</w:t>
            </w:r>
          </w:p>
        </w:tc>
        <w:tc>
          <w:tcPr>
            <w:tcW w:w="1553" w:type="dxa"/>
            <w:noWrap w:val="0"/>
            <w:vAlign w:val="center"/>
          </w:tcPr>
          <w:p>
            <w:pPr>
              <w:jc w:val="center"/>
              <w:rPr>
                <w:color w:val="auto"/>
                <w:szCs w:val="21"/>
                <w:highlight w:val="none"/>
              </w:rPr>
            </w:pPr>
            <w:r>
              <w:rPr>
                <w:color w:val="auto"/>
                <w:szCs w:val="21"/>
                <w:highlight w:val="none"/>
              </w:rPr>
              <w:t>1.5</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808" w:type="dxa"/>
            <w:noWrap w:val="0"/>
            <w:vAlign w:val="center"/>
          </w:tcPr>
          <w:p>
            <w:pPr>
              <w:jc w:val="center"/>
              <w:rPr>
                <w:color w:val="auto"/>
                <w:szCs w:val="21"/>
                <w:highlight w:val="none"/>
              </w:rPr>
            </w:pPr>
            <w:r>
              <w:rPr>
                <w:color w:val="auto"/>
                <w:szCs w:val="21"/>
                <w:highlight w:val="none"/>
              </w:rPr>
              <w:t>21</w:t>
            </w:r>
          </w:p>
        </w:tc>
        <w:tc>
          <w:tcPr>
            <w:tcW w:w="2279" w:type="dxa"/>
            <w:noWrap w:val="0"/>
            <w:vAlign w:val="center"/>
          </w:tcPr>
          <w:p>
            <w:pPr>
              <w:jc w:val="center"/>
              <w:rPr>
                <w:color w:val="auto"/>
                <w:szCs w:val="21"/>
                <w:highlight w:val="none"/>
              </w:rPr>
            </w:pPr>
            <w:r>
              <w:rPr>
                <w:color w:val="auto"/>
                <w:szCs w:val="21"/>
                <w:highlight w:val="none"/>
              </w:rPr>
              <w:t>1,1,1-三氯乙烷</w:t>
            </w:r>
          </w:p>
        </w:tc>
        <w:tc>
          <w:tcPr>
            <w:tcW w:w="1447" w:type="dxa"/>
            <w:noWrap w:val="0"/>
            <w:vAlign w:val="center"/>
          </w:tcPr>
          <w:p>
            <w:pPr>
              <w:jc w:val="center"/>
              <w:rPr>
                <w:color w:val="auto"/>
                <w:szCs w:val="21"/>
                <w:highlight w:val="none"/>
              </w:rPr>
            </w:pPr>
            <w:r>
              <w:rPr>
                <w:color w:val="auto"/>
                <w:szCs w:val="21"/>
                <w:highlight w:val="none"/>
              </w:rPr>
              <w:t>840</w:t>
            </w:r>
          </w:p>
        </w:tc>
        <w:tc>
          <w:tcPr>
            <w:tcW w:w="911" w:type="dxa"/>
            <w:noWrap w:val="0"/>
            <w:vAlign w:val="center"/>
          </w:tcPr>
          <w:p>
            <w:pPr>
              <w:jc w:val="center"/>
              <w:rPr>
                <w:color w:val="auto"/>
                <w:szCs w:val="21"/>
                <w:highlight w:val="none"/>
              </w:rPr>
            </w:pPr>
            <w:r>
              <w:rPr>
                <w:color w:val="auto"/>
                <w:szCs w:val="21"/>
                <w:highlight w:val="none"/>
              </w:rPr>
              <w:t>44</w:t>
            </w:r>
          </w:p>
        </w:tc>
        <w:tc>
          <w:tcPr>
            <w:tcW w:w="2288" w:type="dxa"/>
            <w:noWrap w:val="0"/>
            <w:vAlign w:val="center"/>
          </w:tcPr>
          <w:p>
            <w:pPr>
              <w:jc w:val="center"/>
              <w:rPr>
                <w:color w:val="auto"/>
                <w:szCs w:val="21"/>
                <w:highlight w:val="none"/>
              </w:rPr>
            </w:pPr>
            <w:r>
              <w:rPr>
                <w:color w:val="auto"/>
                <w:szCs w:val="21"/>
                <w:highlight w:val="none"/>
              </w:rPr>
              <w:t>茚并[1,2,3-cd]芘</w:t>
            </w:r>
          </w:p>
        </w:tc>
        <w:tc>
          <w:tcPr>
            <w:tcW w:w="1553" w:type="dxa"/>
            <w:noWrap w:val="0"/>
            <w:vAlign w:val="center"/>
          </w:tcPr>
          <w:p>
            <w:pPr>
              <w:jc w:val="center"/>
              <w:rPr>
                <w:color w:val="auto"/>
                <w:szCs w:val="21"/>
                <w:highlight w:val="none"/>
              </w:rPr>
            </w:pPr>
            <w:r>
              <w:rPr>
                <w:color w:val="auto"/>
                <w:szCs w:val="21"/>
                <w:highlight w:val="none"/>
              </w:rPr>
              <w:t>15</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808" w:type="dxa"/>
            <w:noWrap w:val="0"/>
            <w:vAlign w:val="center"/>
          </w:tcPr>
          <w:p>
            <w:pPr>
              <w:jc w:val="center"/>
              <w:rPr>
                <w:color w:val="auto"/>
                <w:szCs w:val="21"/>
                <w:highlight w:val="none"/>
              </w:rPr>
            </w:pPr>
            <w:r>
              <w:rPr>
                <w:color w:val="auto"/>
                <w:szCs w:val="21"/>
                <w:highlight w:val="none"/>
              </w:rPr>
              <w:t>22</w:t>
            </w:r>
          </w:p>
        </w:tc>
        <w:tc>
          <w:tcPr>
            <w:tcW w:w="2279" w:type="dxa"/>
            <w:noWrap w:val="0"/>
            <w:vAlign w:val="center"/>
          </w:tcPr>
          <w:p>
            <w:pPr>
              <w:jc w:val="center"/>
              <w:rPr>
                <w:color w:val="auto"/>
                <w:szCs w:val="21"/>
                <w:highlight w:val="none"/>
              </w:rPr>
            </w:pPr>
            <w:r>
              <w:rPr>
                <w:color w:val="auto"/>
                <w:szCs w:val="21"/>
                <w:highlight w:val="none"/>
              </w:rPr>
              <w:t>1,1,2-三氯乙烷</w:t>
            </w:r>
          </w:p>
        </w:tc>
        <w:tc>
          <w:tcPr>
            <w:tcW w:w="1447" w:type="dxa"/>
            <w:noWrap w:val="0"/>
            <w:vAlign w:val="center"/>
          </w:tcPr>
          <w:p>
            <w:pPr>
              <w:jc w:val="center"/>
              <w:rPr>
                <w:color w:val="auto"/>
                <w:szCs w:val="21"/>
                <w:highlight w:val="none"/>
              </w:rPr>
            </w:pPr>
            <w:r>
              <w:rPr>
                <w:color w:val="auto"/>
                <w:szCs w:val="21"/>
                <w:highlight w:val="none"/>
              </w:rPr>
              <w:t>2.8</w:t>
            </w:r>
          </w:p>
        </w:tc>
        <w:tc>
          <w:tcPr>
            <w:tcW w:w="911" w:type="dxa"/>
            <w:noWrap w:val="0"/>
            <w:vAlign w:val="center"/>
          </w:tcPr>
          <w:p>
            <w:pPr>
              <w:jc w:val="center"/>
              <w:rPr>
                <w:color w:val="auto"/>
                <w:szCs w:val="21"/>
                <w:highlight w:val="none"/>
              </w:rPr>
            </w:pPr>
            <w:r>
              <w:rPr>
                <w:color w:val="auto"/>
                <w:szCs w:val="21"/>
                <w:highlight w:val="none"/>
              </w:rPr>
              <w:t>45</w:t>
            </w:r>
          </w:p>
        </w:tc>
        <w:tc>
          <w:tcPr>
            <w:tcW w:w="2288" w:type="dxa"/>
            <w:noWrap w:val="0"/>
            <w:vAlign w:val="center"/>
          </w:tcPr>
          <w:p>
            <w:pPr>
              <w:jc w:val="center"/>
              <w:rPr>
                <w:color w:val="auto"/>
                <w:szCs w:val="21"/>
                <w:highlight w:val="none"/>
              </w:rPr>
            </w:pPr>
            <w:r>
              <w:rPr>
                <w:color w:val="auto"/>
                <w:szCs w:val="21"/>
                <w:highlight w:val="none"/>
              </w:rPr>
              <w:t>萘</w:t>
            </w:r>
          </w:p>
        </w:tc>
        <w:tc>
          <w:tcPr>
            <w:tcW w:w="1553" w:type="dxa"/>
            <w:noWrap w:val="0"/>
            <w:vAlign w:val="center"/>
          </w:tcPr>
          <w:p>
            <w:pPr>
              <w:jc w:val="center"/>
              <w:rPr>
                <w:color w:val="auto"/>
                <w:szCs w:val="21"/>
                <w:highlight w:val="none"/>
              </w:rPr>
            </w:pPr>
            <w:r>
              <w:rPr>
                <w:color w:val="auto"/>
                <w:szCs w:val="21"/>
                <w:highlight w:val="none"/>
              </w:rPr>
              <w:t>70</w:t>
            </w: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808" w:type="dxa"/>
            <w:noWrap w:val="0"/>
            <w:vAlign w:val="center"/>
          </w:tcPr>
          <w:p>
            <w:pPr>
              <w:jc w:val="center"/>
              <w:rPr>
                <w:color w:val="auto"/>
                <w:szCs w:val="21"/>
                <w:highlight w:val="none"/>
              </w:rPr>
            </w:pPr>
            <w:r>
              <w:rPr>
                <w:color w:val="auto"/>
                <w:szCs w:val="21"/>
                <w:highlight w:val="none"/>
              </w:rPr>
              <w:t>23</w:t>
            </w:r>
          </w:p>
        </w:tc>
        <w:tc>
          <w:tcPr>
            <w:tcW w:w="2279" w:type="dxa"/>
            <w:noWrap w:val="0"/>
            <w:vAlign w:val="center"/>
          </w:tcPr>
          <w:p>
            <w:pPr>
              <w:jc w:val="center"/>
              <w:rPr>
                <w:color w:val="auto"/>
                <w:szCs w:val="21"/>
                <w:highlight w:val="none"/>
              </w:rPr>
            </w:pPr>
            <w:r>
              <w:rPr>
                <w:color w:val="auto"/>
                <w:szCs w:val="21"/>
                <w:highlight w:val="none"/>
              </w:rPr>
              <w:t>三氯乙烯</w:t>
            </w:r>
          </w:p>
        </w:tc>
        <w:tc>
          <w:tcPr>
            <w:tcW w:w="1447" w:type="dxa"/>
            <w:noWrap w:val="0"/>
            <w:vAlign w:val="center"/>
          </w:tcPr>
          <w:p>
            <w:pPr>
              <w:jc w:val="center"/>
              <w:rPr>
                <w:color w:val="auto"/>
                <w:szCs w:val="21"/>
                <w:highlight w:val="none"/>
              </w:rPr>
            </w:pPr>
            <w:r>
              <w:rPr>
                <w:color w:val="auto"/>
                <w:szCs w:val="21"/>
                <w:highlight w:val="none"/>
              </w:rPr>
              <w:t>2.8</w:t>
            </w:r>
          </w:p>
        </w:tc>
        <w:tc>
          <w:tcPr>
            <w:tcW w:w="911" w:type="dxa"/>
            <w:noWrap w:val="0"/>
            <w:vAlign w:val="center"/>
          </w:tcPr>
          <w:p>
            <w:pPr>
              <w:jc w:val="center"/>
              <w:rPr>
                <w:color w:val="auto"/>
                <w:szCs w:val="21"/>
                <w:highlight w:val="none"/>
              </w:rPr>
            </w:pPr>
          </w:p>
        </w:tc>
        <w:tc>
          <w:tcPr>
            <w:tcW w:w="2288" w:type="dxa"/>
            <w:noWrap w:val="0"/>
            <w:vAlign w:val="center"/>
          </w:tcPr>
          <w:p>
            <w:pPr>
              <w:jc w:val="center"/>
              <w:rPr>
                <w:color w:val="auto"/>
                <w:szCs w:val="21"/>
                <w:highlight w:val="none"/>
              </w:rPr>
            </w:pPr>
          </w:p>
        </w:tc>
        <w:tc>
          <w:tcPr>
            <w:tcW w:w="1553" w:type="dxa"/>
            <w:noWrap w:val="0"/>
            <w:vAlign w:val="center"/>
          </w:tcPr>
          <w:p>
            <w:pPr>
              <w:jc w:val="center"/>
              <w:rPr>
                <w:color w:val="auto"/>
                <w:szCs w:val="21"/>
                <w:highlight w:val="none"/>
              </w:rPr>
            </w:pPr>
          </w:p>
        </w:tc>
      </w:tr>
      <w:tr>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9286" w:type="dxa"/>
            <w:gridSpan w:val="6"/>
            <w:noWrap w:val="0"/>
            <w:vAlign w:val="center"/>
          </w:tcPr>
          <w:p>
            <w:pPr>
              <w:autoSpaceDE w:val="0"/>
              <w:autoSpaceDN w:val="0"/>
              <w:spacing w:line="300" w:lineRule="exact"/>
              <w:rPr>
                <w:color w:val="auto"/>
                <w:szCs w:val="21"/>
                <w:highlight w:val="none"/>
              </w:rPr>
            </w:pPr>
            <w:r>
              <w:rPr>
                <w:color w:val="auto"/>
                <w:sz w:val="18"/>
                <w:szCs w:val="18"/>
                <w:highlight w:val="none"/>
              </w:rPr>
              <w:t>筛选值：指在特定土地利用方式下，建设用地土壤中污染物含量低于或等于该值的，对人体健康的风险可以忽略，超过该值的，对人体健康可能存在风险。</w:t>
            </w:r>
          </w:p>
        </w:tc>
      </w:tr>
    </w:tbl>
    <w:p>
      <w:pPr>
        <w:adjustRightInd w:val="0"/>
        <w:snapToGrid w:val="0"/>
        <w:spacing w:line="360" w:lineRule="auto"/>
        <w:outlineLvl w:val="2"/>
        <w:rPr>
          <w:rFonts w:eastAsia="黑体"/>
          <w:color w:val="auto"/>
          <w:sz w:val="24"/>
          <w:highlight w:val="none"/>
        </w:rPr>
      </w:pPr>
      <w:r>
        <w:rPr>
          <w:rFonts w:eastAsia="黑体"/>
          <w:color w:val="auto"/>
          <w:sz w:val="24"/>
          <w:highlight w:val="none"/>
        </w:rPr>
        <w:t xml:space="preserve">1.4.2 </w:t>
      </w:r>
      <w:r>
        <w:rPr>
          <w:rFonts w:hint="eastAsia" w:eastAsia="黑体"/>
          <w:color w:val="auto"/>
          <w:sz w:val="24"/>
          <w:highlight w:val="none"/>
          <w:lang w:val="en-US" w:eastAsia="zh-CN"/>
        </w:rPr>
        <w:t>污染物</w:t>
      </w:r>
      <w:r>
        <w:rPr>
          <w:rFonts w:eastAsia="黑体"/>
          <w:color w:val="auto"/>
          <w:sz w:val="24"/>
          <w:highlight w:val="none"/>
        </w:rPr>
        <w:t>排放标准</w:t>
      </w:r>
    </w:p>
    <w:p>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1、大气污染物排放标准</w:t>
      </w:r>
    </w:p>
    <w:p>
      <w:pPr>
        <w:spacing w:line="360" w:lineRule="auto"/>
        <w:ind w:firstLine="480" w:firstLineChars="200"/>
        <w:rPr>
          <w:color w:val="auto"/>
          <w:sz w:val="24"/>
          <w:highlight w:val="none"/>
        </w:rPr>
      </w:pPr>
      <w:bookmarkStart w:id="29" w:name="_Toc257792334"/>
      <w:r>
        <w:rPr>
          <w:rFonts w:hint="default" w:ascii="Times New Roman" w:hAnsi="Times New Roman" w:cs="Times New Roman"/>
          <w:color w:val="auto"/>
          <w:sz w:val="24"/>
          <w:highlight w:val="none"/>
        </w:rPr>
        <w:t>项目工程电镀废气氯化氢、硫酸雾、铬酸雾</w:t>
      </w:r>
      <w:r>
        <w:rPr>
          <w:rFonts w:hint="eastAsia" w:ascii="Times New Roman" w:hAnsi="Times New Roman" w:cs="Times New Roman"/>
          <w:color w:val="auto"/>
          <w:sz w:val="24"/>
          <w:highlight w:val="none"/>
          <w:lang w:eastAsia="zh-CN"/>
        </w:rPr>
        <w:t>、</w:t>
      </w:r>
      <w:r>
        <w:rPr>
          <w:rFonts w:ascii="Times New Roman" w:hAnsi="Times New Roman"/>
          <w:color w:val="auto"/>
          <w:sz w:val="24"/>
          <w:szCs w:val="24"/>
          <w:highlight w:val="none"/>
        </w:rPr>
        <w:t>NOx</w:t>
      </w:r>
      <w:r>
        <w:rPr>
          <w:rFonts w:hint="default" w:ascii="Times New Roman" w:hAnsi="Times New Roman" w:cs="Times New Roman"/>
          <w:color w:val="auto"/>
          <w:sz w:val="24"/>
          <w:highlight w:val="none"/>
        </w:rPr>
        <w:t>排放浓度执行《电镀污染物排放标准》</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GB21900-2008</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表5及表6标准。</w:t>
      </w:r>
      <w:r>
        <w:rPr>
          <w:rFonts w:ascii="Times New Roman" w:hAnsi="Times New Roman"/>
          <w:color w:val="auto"/>
          <w:sz w:val="24"/>
          <w:szCs w:val="24"/>
          <w:highlight w:val="none"/>
        </w:rPr>
        <w:t>NOx</w:t>
      </w:r>
      <w:r>
        <w:rPr>
          <w:rFonts w:hint="default" w:ascii="Times New Roman" w:hAnsi="Times New Roman" w:cs="Times New Roman"/>
          <w:color w:val="auto"/>
          <w:sz w:val="24"/>
          <w:highlight w:val="none"/>
        </w:rPr>
        <w:t>排放浓度执行《区域性大气污染物综合排放标准》(DB37/2376-2019)表1中“重点控制区”的排放浓度限值</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锅炉废气执行《锅炉大气污染物排放标准》</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DB37/2374-2018</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表2“重点控制区”浓度限值。</w:t>
      </w:r>
      <w:r>
        <w:rPr>
          <w:color w:val="auto"/>
          <w:sz w:val="24"/>
          <w:highlight w:val="none"/>
        </w:rPr>
        <w:t>氯化氢、硫酸雾、铬酸雾</w:t>
      </w:r>
      <w:r>
        <w:rPr>
          <w:rFonts w:hint="eastAsia"/>
          <w:color w:val="auto"/>
          <w:sz w:val="24"/>
          <w:highlight w:val="none"/>
          <w:lang w:eastAsia="zh-CN"/>
        </w:rPr>
        <w:t>、</w:t>
      </w:r>
      <w:r>
        <w:rPr>
          <w:rFonts w:ascii="Times New Roman" w:hAnsi="Times New Roman"/>
          <w:color w:val="auto"/>
          <w:sz w:val="24"/>
          <w:szCs w:val="24"/>
          <w:highlight w:val="none"/>
        </w:rPr>
        <w:t>NOx</w:t>
      </w:r>
      <w:r>
        <w:rPr>
          <w:color w:val="auto"/>
          <w:sz w:val="24"/>
          <w:highlight w:val="none"/>
        </w:rPr>
        <w:t>无组织排放监控浓度限值执行《大气污染物综合排放标准》</w:t>
      </w:r>
      <w:r>
        <w:rPr>
          <w:rFonts w:hint="eastAsia"/>
          <w:color w:val="auto"/>
          <w:sz w:val="24"/>
          <w:highlight w:val="none"/>
          <w:lang w:eastAsia="zh-CN"/>
        </w:rPr>
        <w:t>(</w:t>
      </w:r>
      <w:r>
        <w:rPr>
          <w:color w:val="auto"/>
          <w:sz w:val="24"/>
          <w:highlight w:val="none"/>
        </w:rPr>
        <w:t>GB16297-1996</w:t>
      </w:r>
      <w:r>
        <w:rPr>
          <w:rFonts w:hint="eastAsia"/>
          <w:color w:val="auto"/>
          <w:sz w:val="24"/>
          <w:highlight w:val="none"/>
          <w:lang w:eastAsia="zh-CN"/>
        </w:rPr>
        <w:t>)</w:t>
      </w:r>
      <w:r>
        <w:rPr>
          <w:color w:val="auto"/>
          <w:sz w:val="24"/>
          <w:highlight w:val="none"/>
        </w:rPr>
        <w:t>二级标准。</w:t>
      </w:r>
      <w:r>
        <w:rPr>
          <w:rFonts w:hint="eastAsia"/>
          <w:color w:val="auto"/>
          <w:sz w:val="24"/>
          <w:highlight w:val="none"/>
          <w:lang w:eastAsia="zh-CN"/>
        </w:rPr>
        <w:t>氨</w:t>
      </w:r>
      <w:r>
        <w:rPr>
          <w:rFonts w:hint="eastAsia"/>
          <w:color w:val="auto"/>
          <w:sz w:val="24"/>
          <w:highlight w:val="none"/>
          <w:lang w:val="en-US" w:eastAsia="zh-CN"/>
        </w:rPr>
        <w:t>厂界无组织废气浓度</w:t>
      </w:r>
      <w:r>
        <w:rPr>
          <w:rFonts w:hint="eastAsia"/>
          <w:color w:val="auto"/>
          <w:sz w:val="24"/>
          <w:highlight w:val="none"/>
        </w:rPr>
        <w:t>执行《恶臭污染物排放标准》(GB14554-93)表1厂界二级限值</w:t>
      </w:r>
      <w:r>
        <w:rPr>
          <w:rFonts w:hint="eastAsia"/>
          <w:color w:val="auto"/>
          <w:sz w:val="24"/>
          <w:highlight w:val="none"/>
          <w:lang w:eastAsia="zh-CN"/>
        </w:rPr>
        <w:t>和表</w:t>
      </w:r>
      <w:r>
        <w:rPr>
          <w:rFonts w:hint="eastAsia"/>
          <w:color w:val="auto"/>
          <w:sz w:val="24"/>
          <w:highlight w:val="none"/>
          <w:lang w:val="en-US" w:eastAsia="zh-CN"/>
        </w:rPr>
        <w:t>2排放标准限值</w:t>
      </w:r>
      <w:r>
        <w:rPr>
          <w:rFonts w:hint="eastAsia"/>
          <w:color w:val="auto"/>
          <w:sz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 xml:space="preserve">表1.4-5 </w:t>
      </w:r>
      <w:r>
        <w:rPr>
          <w:rFonts w:hint="eastAsia" w:ascii="黑体" w:hAnsi="黑体" w:eastAsia="黑体" w:cs="黑体"/>
          <w:b w:val="0"/>
          <w:bCs w:val="0"/>
          <w:color w:val="auto"/>
          <w:sz w:val="24"/>
          <w:szCs w:val="24"/>
          <w:highlight w:val="none"/>
          <w:lang w:val="en-US" w:eastAsia="zh-CN"/>
        </w:rPr>
        <w:t xml:space="preserve"> </w:t>
      </w:r>
      <w:r>
        <w:rPr>
          <w:rFonts w:hint="eastAsia" w:ascii="黑体" w:hAnsi="黑体" w:eastAsia="黑体" w:cs="黑体"/>
          <w:b w:val="0"/>
          <w:bCs w:val="0"/>
          <w:color w:val="auto"/>
          <w:sz w:val="24"/>
          <w:szCs w:val="24"/>
          <w:highlight w:val="none"/>
        </w:rPr>
        <w:t>大气污染物排放标准限值</w:t>
      </w:r>
    </w:p>
    <w:tbl>
      <w:tblPr>
        <w:tblStyle w:val="36"/>
        <w:tblW w:w="9287" w:type="dxa"/>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357"/>
        <w:gridCol w:w="1359"/>
        <w:gridCol w:w="1221"/>
        <w:gridCol w:w="1139"/>
        <w:gridCol w:w="2186"/>
        <w:gridCol w:w="2025"/>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69" w:hRule="atLeast"/>
          <w:jc w:val="center"/>
        </w:trPr>
        <w:tc>
          <w:tcPr>
            <w:tcW w:w="1357" w:type="dxa"/>
            <w:noWrap w:val="0"/>
            <w:vAlign w:val="center"/>
          </w:tcPr>
          <w:p>
            <w:pPr>
              <w:spacing w:line="300" w:lineRule="exact"/>
              <w:jc w:val="center"/>
              <w:rPr>
                <w:b/>
                <w:color w:val="auto"/>
                <w:sz w:val="21"/>
                <w:szCs w:val="21"/>
                <w:highlight w:val="none"/>
              </w:rPr>
            </w:pPr>
            <w:r>
              <w:rPr>
                <w:b/>
                <w:color w:val="auto"/>
                <w:sz w:val="21"/>
                <w:szCs w:val="21"/>
                <w:highlight w:val="none"/>
              </w:rPr>
              <w:t>污 染 物</w:t>
            </w:r>
          </w:p>
        </w:tc>
        <w:tc>
          <w:tcPr>
            <w:tcW w:w="1359" w:type="dxa"/>
            <w:noWrap w:val="0"/>
            <w:vAlign w:val="center"/>
          </w:tcPr>
          <w:p>
            <w:pPr>
              <w:spacing w:line="300" w:lineRule="exact"/>
              <w:jc w:val="center"/>
              <w:rPr>
                <w:b/>
                <w:color w:val="auto"/>
                <w:sz w:val="21"/>
                <w:szCs w:val="21"/>
                <w:highlight w:val="none"/>
              </w:rPr>
            </w:pPr>
            <w:r>
              <w:rPr>
                <w:b/>
                <w:color w:val="auto"/>
                <w:sz w:val="21"/>
                <w:szCs w:val="21"/>
                <w:highlight w:val="none"/>
              </w:rPr>
              <w:t>排放高度</w:t>
            </w:r>
          </w:p>
          <w:p>
            <w:pPr>
              <w:spacing w:line="300" w:lineRule="exact"/>
              <w:jc w:val="center"/>
              <w:rPr>
                <w:b/>
                <w:color w:val="auto"/>
                <w:sz w:val="21"/>
                <w:szCs w:val="21"/>
                <w:highlight w:val="none"/>
              </w:rPr>
            </w:pPr>
            <w:r>
              <w:rPr>
                <w:b/>
                <w:color w:val="auto"/>
                <w:sz w:val="21"/>
                <w:szCs w:val="21"/>
                <w:highlight w:val="none"/>
              </w:rPr>
              <w:t>(m)</w:t>
            </w:r>
          </w:p>
        </w:tc>
        <w:tc>
          <w:tcPr>
            <w:tcW w:w="1221" w:type="dxa"/>
            <w:noWrap w:val="0"/>
            <w:vAlign w:val="center"/>
          </w:tcPr>
          <w:p>
            <w:pPr>
              <w:spacing w:line="300" w:lineRule="exact"/>
              <w:jc w:val="center"/>
              <w:rPr>
                <w:b/>
                <w:color w:val="auto"/>
                <w:sz w:val="21"/>
                <w:szCs w:val="21"/>
                <w:highlight w:val="none"/>
              </w:rPr>
            </w:pPr>
            <w:r>
              <w:rPr>
                <w:b/>
                <w:color w:val="auto"/>
                <w:sz w:val="21"/>
                <w:szCs w:val="21"/>
                <w:highlight w:val="none"/>
              </w:rPr>
              <w:t>排放浓度</w:t>
            </w:r>
          </w:p>
          <w:p>
            <w:pPr>
              <w:spacing w:line="300" w:lineRule="exact"/>
              <w:jc w:val="center"/>
              <w:rPr>
                <w:rFonts w:hint="eastAsia" w:eastAsia="宋体"/>
                <w:b/>
                <w:color w:val="auto"/>
                <w:sz w:val="21"/>
                <w:szCs w:val="21"/>
                <w:highlight w:val="none"/>
                <w:lang w:eastAsia="zh-CN"/>
              </w:rPr>
            </w:pPr>
            <w:r>
              <w:rPr>
                <w:rFonts w:hint="eastAsia"/>
                <w:b/>
                <w:color w:val="auto"/>
                <w:sz w:val="21"/>
                <w:szCs w:val="21"/>
                <w:highlight w:val="none"/>
                <w:lang w:eastAsia="zh-CN"/>
              </w:rPr>
              <w:t>(</w:t>
            </w:r>
            <w:r>
              <w:rPr>
                <w:b/>
                <w:color w:val="auto"/>
                <w:sz w:val="21"/>
                <w:szCs w:val="21"/>
                <w:highlight w:val="none"/>
              </w:rPr>
              <w:t>mg/m</w:t>
            </w:r>
            <w:r>
              <w:rPr>
                <w:b/>
                <w:color w:val="auto"/>
                <w:sz w:val="21"/>
                <w:szCs w:val="21"/>
                <w:highlight w:val="none"/>
                <w:vertAlign w:val="superscript"/>
              </w:rPr>
              <w:t>3</w:t>
            </w:r>
            <w:r>
              <w:rPr>
                <w:rFonts w:hint="eastAsia"/>
                <w:b/>
                <w:color w:val="auto"/>
                <w:sz w:val="21"/>
                <w:szCs w:val="21"/>
                <w:highlight w:val="none"/>
                <w:lang w:eastAsia="zh-CN"/>
              </w:rPr>
              <w:t>)</w:t>
            </w:r>
          </w:p>
        </w:tc>
        <w:tc>
          <w:tcPr>
            <w:tcW w:w="1139" w:type="dxa"/>
            <w:noWrap w:val="0"/>
            <w:vAlign w:val="center"/>
          </w:tcPr>
          <w:p>
            <w:pPr>
              <w:jc w:val="center"/>
              <w:rPr>
                <w:b/>
                <w:color w:val="auto"/>
                <w:sz w:val="21"/>
                <w:szCs w:val="21"/>
                <w:highlight w:val="none"/>
              </w:rPr>
            </w:pPr>
            <w:r>
              <w:rPr>
                <w:b/>
                <w:color w:val="auto"/>
                <w:sz w:val="21"/>
                <w:szCs w:val="21"/>
                <w:highlight w:val="none"/>
              </w:rPr>
              <w:t>排放速率</w:t>
            </w:r>
          </w:p>
          <w:p>
            <w:pPr>
              <w:spacing w:line="300" w:lineRule="exact"/>
              <w:jc w:val="center"/>
              <w:rPr>
                <w:rFonts w:hint="eastAsia" w:eastAsia="宋体"/>
                <w:b/>
                <w:color w:val="auto"/>
                <w:sz w:val="21"/>
                <w:szCs w:val="21"/>
                <w:highlight w:val="none"/>
                <w:lang w:eastAsia="zh-CN"/>
              </w:rPr>
            </w:pPr>
            <w:r>
              <w:rPr>
                <w:rFonts w:hint="eastAsia"/>
                <w:b/>
                <w:color w:val="auto"/>
                <w:sz w:val="21"/>
                <w:szCs w:val="21"/>
                <w:highlight w:val="none"/>
                <w:lang w:eastAsia="zh-CN"/>
              </w:rPr>
              <w:t>(</w:t>
            </w:r>
            <w:r>
              <w:rPr>
                <w:b/>
                <w:color w:val="auto"/>
                <w:sz w:val="21"/>
                <w:szCs w:val="21"/>
                <w:highlight w:val="none"/>
              </w:rPr>
              <w:t>kg/h</w:t>
            </w:r>
            <w:r>
              <w:rPr>
                <w:rFonts w:hint="eastAsia"/>
                <w:b/>
                <w:color w:val="auto"/>
                <w:sz w:val="21"/>
                <w:szCs w:val="21"/>
                <w:highlight w:val="none"/>
                <w:lang w:eastAsia="zh-CN"/>
              </w:rPr>
              <w:t>)</w:t>
            </w:r>
          </w:p>
        </w:tc>
        <w:tc>
          <w:tcPr>
            <w:tcW w:w="2186" w:type="dxa"/>
            <w:noWrap w:val="0"/>
            <w:vAlign w:val="center"/>
          </w:tcPr>
          <w:p>
            <w:pPr>
              <w:spacing w:line="300" w:lineRule="exact"/>
              <w:jc w:val="center"/>
              <w:rPr>
                <w:rFonts w:hint="eastAsia" w:eastAsia="宋体"/>
                <w:b/>
                <w:color w:val="auto"/>
                <w:sz w:val="21"/>
                <w:szCs w:val="21"/>
                <w:highlight w:val="none"/>
                <w:lang w:eastAsia="zh-CN"/>
              </w:rPr>
            </w:pPr>
            <w:r>
              <w:rPr>
                <w:b/>
                <w:color w:val="auto"/>
                <w:sz w:val="21"/>
                <w:szCs w:val="21"/>
                <w:highlight w:val="none"/>
              </w:rPr>
              <w:t>无组织排放监控浓度</w:t>
            </w:r>
            <w:r>
              <w:rPr>
                <w:rFonts w:hint="eastAsia"/>
                <w:b/>
                <w:color w:val="auto"/>
                <w:sz w:val="21"/>
                <w:szCs w:val="21"/>
                <w:highlight w:val="none"/>
                <w:lang w:eastAsia="zh-CN"/>
              </w:rPr>
              <w:t>(</w:t>
            </w:r>
            <w:r>
              <w:rPr>
                <w:b/>
                <w:color w:val="auto"/>
                <w:sz w:val="21"/>
                <w:szCs w:val="21"/>
                <w:highlight w:val="none"/>
              </w:rPr>
              <w:t>mg/m</w:t>
            </w:r>
            <w:r>
              <w:rPr>
                <w:b/>
                <w:color w:val="auto"/>
                <w:sz w:val="21"/>
                <w:szCs w:val="21"/>
                <w:highlight w:val="none"/>
                <w:vertAlign w:val="superscript"/>
              </w:rPr>
              <w:t>3</w:t>
            </w:r>
            <w:r>
              <w:rPr>
                <w:rFonts w:hint="eastAsia"/>
                <w:b/>
                <w:color w:val="auto"/>
                <w:sz w:val="21"/>
                <w:szCs w:val="21"/>
                <w:highlight w:val="none"/>
                <w:lang w:eastAsia="zh-CN"/>
              </w:rPr>
              <w:t>)</w:t>
            </w:r>
          </w:p>
        </w:tc>
        <w:tc>
          <w:tcPr>
            <w:tcW w:w="2025" w:type="dxa"/>
            <w:noWrap w:val="0"/>
            <w:vAlign w:val="center"/>
          </w:tcPr>
          <w:p>
            <w:pPr>
              <w:spacing w:line="300" w:lineRule="exact"/>
              <w:jc w:val="center"/>
              <w:rPr>
                <w:b/>
                <w:color w:val="auto"/>
                <w:sz w:val="21"/>
                <w:szCs w:val="21"/>
                <w:highlight w:val="none"/>
              </w:rPr>
            </w:pPr>
            <w:r>
              <w:rPr>
                <w:b/>
                <w:color w:val="auto"/>
                <w:sz w:val="21"/>
                <w:szCs w:val="21"/>
                <w:highlight w:val="none"/>
              </w:rPr>
              <w:t>单位产品基准排气量</w:t>
            </w:r>
            <w:r>
              <w:rPr>
                <w:color w:val="auto"/>
                <w:sz w:val="21"/>
                <w:szCs w:val="21"/>
                <w:highlight w:val="none"/>
              </w:rPr>
              <w:t>m</w:t>
            </w:r>
            <w:r>
              <w:rPr>
                <w:color w:val="auto"/>
                <w:sz w:val="21"/>
                <w:szCs w:val="21"/>
                <w:highlight w:val="none"/>
                <w:vertAlign w:val="superscript"/>
              </w:rPr>
              <w:t>3</w:t>
            </w:r>
            <w:r>
              <w:rPr>
                <w:color w:val="auto"/>
                <w:sz w:val="21"/>
                <w:szCs w:val="21"/>
                <w:highlight w:val="none"/>
              </w:rPr>
              <w:t>/m</w:t>
            </w:r>
            <w:r>
              <w:rPr>
                <w:color w:val="auto"/>
                <w:sz w:val="21"/>
                <w:szCs w:val="21"/>
                <w:highlight w:val="none"/>
                <w:vertAlign w:val="superscript"/>
              </w:rPr>
              <w:t>2</w:t>
            </w:r>
            <w:r>
              <w:rPr>
                <w:color w:val="auto"/>
                <w:sz w:val="21"/>
                <w:szCs w:val="21"/>
                <w:highlight w:val="none"/>
              </w:rPr>
              <w:t>(镀件镀层)</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69" w:hRule="atLeast"/>
          <w:jc w:val="center"/>
        </w:trPr>
        <w:tc>
          <w:tcPr>
            <w:tcW w:w="1357" w:type="dxa"/>
            <w:noWrap w:val="0"/>
            <w:vAlign w:val="center"/>
          </w:tcPr>
          <w:p>
            <w:pPr>
              <w:spacing w:line="300" w:lineRule="exact"/>
              <w:jc w:val="center"/>
              <w:rPr>
                <w:color w:val="auto"/>
                <w:sz w:val="21"/>
                <w:szCs w:val="21"/>
                <w:highlight w:val="none"/>
              </w:rPr>
            </w:pPr>
            <w:r>
              <w:rPr>
                <w:color w:val="auto"/>
                <w:sz w:val="21"/>
                <w:szCs w:val="21"/>
                <w:highlight w:val="none"/>
              </w:rPr>
              <w:t>氯化氢</w:t>
            </w:r>
          </w:p>
        </w:tc>
        <w:tc>
          <w:tcPr>
            <w:tcW w:w="1359" w:type="dxa"/>
            <w:noWrap w:val="0"/>
            <w:vAlign w:val="center"/>
          </w:tcPr>
          <w:p>
            <w:pPr>
              <w:spacing w:line="300" w:lineRule="exact"/>
              <w:jc w:val="center"/>
              <w:rPr>
                <w:color w:val="auto"/>
                <w:sz w:val="21"/>
                <w:szCs w:val="21"/>
                <w:highlight w:val="none"/>
              </w:rPr>
            </w:pPr>
            <w:r>
              <w:rPr>
                <w:color w:val="auto"/>
                <w:sz w:val="21"/>
                <w:szCs w:val="21"/>
                <w:highlight w:val="none"/>
              </w:rPr>
              <w:t>15</w:t>
            </w:r>
          </w:p>
        </w:tc>
        <w:tc>
          <w:tcPr>
            <w:tcW w:w="1221" w:type="dxa"/>
            <w:noWrap w:val="0"/>
            <w:vAlign w:val="center"/>
          </w:tcPr>
          <w:p>
            <w:pPr>
              <w:spacing w:line="300" w:lineRule="exact"/>
              <w:jc w:val="center"/>
              <w:rPr>
                <w:color w:val="auto"/>
                <w:sz w:val="21"/>
                <w:szCs w:val="21"/>
                <w:highlight w:val="none"/>
              </w:rPr>
            </w:pPr>
            <w:r>
              <w:rPr>
                <w:color w:val="auto"/>
                <w:sz w:val="21"/>
                <w:szCs w:val="21"/>
                <w:highlight w:val="none"/>
              </w:rPr>
              <w:t>30</w:t>
            </w:r>
          </w:p>
        </w:tc>
        <w:tc>
          <w:tcPr>
            <w:tcW w:w="1139" w:type="dxa"/>
            <w:noWrap w:val="0"/>
            <w:vAlign w:val="center"/>
          </w:tcPr>
          <w:p>
            <w:pPr>
              <w:spacing w:line="300" w:lineRule="exact"/>
              <w:jc w:val="center"/>
              <w:rPr>
                <w:color w:val="auto"/>
                <w:sz w:val="21"/>
                <w:szCs w:val="21"/>
                <w:highlight w:val="none"/>
              </w:rPr>
            </w:pPr>
            <w:r>
              <w:rPr>
                <w:color w:val="auto"/>
                <w:sz w:val="21"/>
                <w:szCs w:val="21"/>
                <w:highlight w:val="none"/>
              </w:rPr>
              <w:t>/</w:t>
            </w:r>
          </w:p>
        </w:tc>
        <w:tc>
          <w:tcPr>
            <w:tcW w:w="2186" w:type="dxa"/>
            <w:noWrap w:val="0"/>
            <w:vAlign w:val="center"/>
          </w:tcPr>
          <w:p>
            <w:pPr>
              <w:spacing w:line="300" w:lineRule="exact"/>
              <w:jc w:val="center"/>
              <w:rPr>
                <w:color w:val="auto"/>
                <w:sz w:val="21"/>
                <w:szCs w:val="21"/>
                <w:highlight w:val="none"/>
              </w:rPr>
            </w:pPr>
            <w:r>
              <w:rPr>
                <w:color w:val="auto"/>
                <w:sz w:val="21"/>
                <w:szCs w:val="21"/>
                <w:highlight w:val="none"/>
              </w:rPr>
              <w:t>周界外最高点0.20</w:t>
            </w:r>
          </w:p>
        </w:tc>
        <w:tc>
          <w:tcPr>
            <w:tcW w:w="2025" w:type="dxa"/>
            <w:vMerge w:val="restart"/>
            <w:noWrap w:val="0"/>
            <w:vAlign w:val="center"/>
          </w:tcPr>
          <w:p>
            <w:pPr>
              <w:spacing w:line="300" w:lineRule="exact"/>
              <w:jc w:val="center"/>
              <w:rPr>
                <w:color w:val="auto"/>
                <w:sz w:val="21"/>
                <w:szCs w:val="21"/>
                <w:highlight w:val="none"/>
              </w:rPr>
            </w:pPr>
            <w:r>
              <w:rPr>
                <w:color w:val="auto"/>
                <w:sz w:val="21"/>
                <w:szCs w:val="21"/>
                <w:highlight w:val="none"/>
              </w:rPr>
              <w:t>镀锌：18.6；</w:t>
            </w:r>
          </w:p>
          <w:p>
            <w:pPr>
              <w:spacing w:line="300" w:lineRule="exact"/>
              <w:jc w:val="center"/>
              <w:rPr>
                <w:color w:val="auto"/>
                <w:sz w:val="21"/>
                <w:szCs w:val="21"/>
                <w:highlight w:val="none"/>
              </w:rPr>
            </w:pPr>
            <w:r>
              <w:rPr>
                <w:color w:val="auto"/>
                <w:sz w:val="21"/>
                <w:szCs w:val="21"/>
                <w:highlight w:val="none"/>
              </w:rPr>
              <w:t>镀铬：74.4；</w:t>
            </w:r>
          </w:p>
          <w:p>
            <w:pPr>
              <w:spacing w:line="300" w:lineRule="exact"/>
              <w:jc w:val="center"/>
              <w:rPr>
                <w:color w:val="auto"/>
                <w:sz w:val="21"/>
                <w:szCs w:val="21"/>
                <w:highlight w:val="none"/>
              </w:rPr>
            </w:pPr>
            <w:r>
              <w:rPr>
                <w:color w:val="auto"/>
                <w:sz w:val="21"/>
                <w:szCs w:val="21"/>
                <w:highlight w:val="none"/>
              </w:rPr>
              <w:t>其他镀种</w:t>
            </w:r>
            <w:r>
              <w:rPr>
                <w:rFonts w:hint="eastAsia"/>
                <w:color w:val="auto"/>
                <w:sz w:val="21"/>
                <w:szCs w:val="21"/>
                <w:highlight w:val="none"/>
                <w:lang w:eastAsia="zh-CN"/>
              </w:rPr>
              <w:t>(</w:t>
            </w:r>
            <w:r>
              <w:rPr>
                <w:color w:val="auto"/>
                <w:sz w:val="21"/>
                <w:szCs w:val="21"/>
                <w:highlight w:val="none"/>
              </w:rPr>
              <w:t>镀铜、镍等</w:t>
            </w:r>
            <w:r>
              <w:rPr>
                <w:rFonts w:hint="eastAsia"/>
                <w:color w:val="auto"/>
                <w:sz w:val="21"/>
                <w:szCs w:val="21"/>
                <w:highlight w:val="none"/>
                <w:lang w:eastAsia="zh-CN"/>
              </w:rPr>
              <w:t>)</w:t>
            </w:r>
            <w:r>
              <w:rPr>
                <w:color w:val="auto"/>
                <w:sz w:val="21"/>
                <w:szCs w:val="21"/>
                <w:highlight w:val="none"/>
              </w:rPr>
              <w:t>：37.3</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69" w:hRule="atLeast"/>
          <w:jc w:val="center"/>
        </w:trPr>
        <w:tc>
          <w:tcPr>
            <w:tcW w:w="1357" w:type="dxa"/>
            <w:noWrap w:val="0"/>
            <w:vAlign w:val="center"/>
          </w:tcPr>
          <w:p>
            <w:pPr>
              <w:spacing w:line="300" w:lineRule="exact"/>
              <w:jc w:val="center"/>
              <w:rPr>
                <w:color w:val="auto"/>
                <w:sz w:val="21"/>
                <w:szCs w:val="21"/>
                <w:highlight w:val="none"/>
              </w:rPr>
            </w:pPr>
            <w:r>
              <w:rPr>
                <w:color w:val="auto"/>
                <w:sz w:val="21"/>
                <w:szCs w:val="21"/>
                <w:highlight w:val="none"/>
              </w:rPr>
              <w:t>硫酸雾</w:t>
            </w:r>
          </w:p>
        </w:tc>
        <w:tc>
          <w:tcPr>
            <w:tcW w:w="1359" w:type="dxa"/>
            <w:noWrap w:val="0"/>
            <w:vAlign w:val="center"/>
          </w:tcPr>
          <w:p>
            <w:pPr>
              <w:spacing w:line="300" w:lineRule="exact"/>
              <w:jc w:val="center"/>
              <w:rPr>
                <w:color w:val="auto"/>
                <w:sz w:val="21"/>
                <w:szCs w:val="21"/>
                <w:highlight w:val="none"/>
              </w:rPr>
            </w:pPr>
            <w:r>
              <w:rPr>
                <w:color w:val="auto"/>
                <w:sz w:val="21"/>
                <w:szCs w:val="21"/>
                <w:highlight w:val="none"/>
              </w:rPr>
              <w:t>15</w:t>
            </w:r>
          </w:p>
        </w:tc>
        <w:tc>
          <w:tcPr>
            <w:tcW w:w="1221" w:type="dxa"/>
            <w:noWrap w:val="0"/>
            <w:vAlign w:val="center"/>
          </w:tcPr>
          <w:p>
            <w:pPr>
              <w:spacing w:line="300" w:lineRule="exact"/>
              <w:jc w:val="center"/>
              <w:rPr>
                <w:color w:val="auto"/>
                <w:sz w:val="21"/>
                <w:szCs w:val="21"/>
                <w:highlight w:val="none"/>
              </w:rPr>
            </w:pPr>
            <w:r>
              <w:rPr>
                <w:color w:val="auto"/>
                <w:sz w:val="21"/>
                <w:szCs w:val="21"/>
                <w:highlight w:val="none"/>
              </w:rPr>
              <w:t>30</w:t>
            </w:r>
          </w:p>
        </w:tc>
        <w:tc>
          <w:tcPr>
            <w:tcW w:w="1139" w:type="dxa"/>
            <w:noWrap w:val="0"/>
            <w:vAlign w:val="center"/>
          </w:tcPr>
          <w:p>
            <w:pPr>
              <w:spacing w:line="300" w:lineRule="exact"/>
              <w:jc w:val="center"/>
              <w:rPr>
                <w:color w:val="auto"/>
                <w:sz w:val="21"/>
                <w:szCs w:val="21"/>
                <w:highlight w:val="none"/>
              </w:rPr>
            </w:pPr>
            <w:r>
              <w:rPr>
                <w:color w:val="auto"/>
                <w:sz w:val="21"/>
                <w:szCs w:val="21"/>
                <w:highlight w:val="none"/>
              </w:rPr>
              <w:t>/</w:t>
            </w:r>
          </w:p>
        </w:tc>
        <w:tc>
          <w:tcPr>
            <w:tcW w:w="2186" w:type="dxa"/>
            <w:noWrap w:val="0"/>
            <w:vAlign w:val="center"/>
          </w:tcPr>
          <w:p>
            <w:pPr>
              <w:spacing w:line="300" w:lineRule="exact"/>
              <w:jc w:val="center"/>
              <w:rPr>
                <w:color w:val="auto"/>
                <w:sz w:val="21"/>
                <w:szCs w:val="21"/>
                <w:highlight w:val="none"/>
              </w:rPr>
            </w:pPr>
            <w:r>
              <w:rPr>
                <w:color w:val="auto"/>
                <w:sz w:val="21"/>
                <w:szCs w:val="21"/>
                <w:highlight w:val="none"/>
              </w:rPr>
              <w:t>周界外最高点1.2</w:t>
            </w:r>
          </w:p>
        </w:tc>
        <w:tc>
          <w:tcPr>
            <w:tcW w:w="2025" w:type="dxa"/>
            <w:vMerge w:val="continue"/>
            <w:noWrap w:val="0"/>
            <w:vAlign w:val="center"/>
          </w:tcPr>
          <w:p>
            <w:pPr>
              <w:spacing w:line="300" w:lineRule="exact"/>
              <w:jc w:val="center"/>
              <w:rPr>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69" w:hRule="atLeast"/>
          <w:jc w:val="center"/>
        </w:trPr>
        <w:tc>
          <w:tcPr>
            <w:tcW w:w="1357" w:type="dxa"/>
            <w:noWrap w:val="0"/>
            <w:vAlign w:val="center"/>
          </w:tcPr>
          <w:p>
            <w:pPr>
              <w:spacing w:line="300" w:lineRule="exact"/>
              <w:jc w:val="center"/>
              <w:rPr>
                <w:color w:val="auto"/>
                <w:sz w:val="21"/>
                <w:szCs w:val="21"/>
                <w:highlight w:val="none"/>
              </w:rPr>
            </w:pPr>
            <w:r>
              <w:rPr>
                <w:color w:val="auto"/>
                <w:sz w:val="21"/>
                <w:szCs w:val="21"/>
                <w:highlight w:val="none"/>
              </w:rPr>
              <w:t>铬酸雾</w:t>
            </w:r>
          </w:p>
        </w:tc>
        <w:tc>
          <w:tcPr>
            <w:tcW w:w="1359" w:type="dxa"/>
            <w:noWrap w:val="0"/>
            <w:vAlign w:val="center"/>
          </w:tcPr>
          <w:p>
            <w:pPr>
              <w:spacing w:line="300" w:lineRule="exact"/>
              <w:jc w:val="center"/>
              <w:rPr>
                <w:color w:val="auto"/>
                <w:sz w:val="21"/>
                <w:szCs w:val="21"/>
                <w:highlight w:val="none"/>
              </w:rPr>
            </w:pPr>
            <w:r>
              <w:rPr>
                <w:color w:val="auto"/>
                <w:sz w:val="21"/>
                <w:szCs w:val="21"/>
                <w:highlight w:val="none"/>
              </w:rPr>
              <w:t>15</w:t>
            </w:r>
          </w:p>
        </w:tc>
        <w:tc>
          <w:tcPr>
            <w:tcW w:w="1221" w:type="dxa"/>
            <w:noWrap w:val="0"/>
            <w:vAlign w:val="center"/>
          </w:tcPr>
          <w:p>
            <w:pPr>
              <w:spacing w:line="300" w:lineRule="exact"/>
              <w:jc w:val="center"/>
              <w:rPr>
                <w:color w:val="auto"/>
                <w:sz w:val="21"/>
                <w:szCs w:val="21"/>
                <w:highlight w:val="none"/>
              </w:rPr>
            </w:pPr>
            <w:r>
              <w:rPr>
                <w:color w:val="auto"/>
                <w:sz w:val="21"/>
                <w:szCs w:val="21"/>
                <w:highlight w:val="none"/>
              </w:rPr>
              <w:t>0.05</w:t>
            </w:r>
          </w:p>
        </w:tc>
        <w:tc>
          <w:tcPr>
            <w:tcW w:w="1139" w:type="dxa"/>
            <w:noWrap w:val="0"/>
            <w:vAlign w:val="center"/>
          </w:tcPr>
          <w:p>
            <w:pPr>
              <w:spacing w:line="300" w:lineRule="exact"/>
              <w:jc w:val="center"/>
              <w:rPr>
                <w:color w:val="auto"/>
                <w:sz w:val="21"/>
                <w:szCs w:val="21"/>
                <w:highlight w:val="none"/>
              </w:rPr>
            </w:pPr>
            <w:r>
              <w:rPr>
                <w:color w:val="auto"/>
                <w:sz w:val="21"/>
                <w:szCs w:val="21"/>
                <w:highlight w:val="none"/>
              </w:rPr>
              <w:t>/</w:t>
            </w:r>
          </w:p>
        </w:tc>
        <w:tc>
          <w:tcPr>
            <w:tcW w:w="2186" w:type="dxa"/>
            <w:noWrap w:val="0"/>
            <w:vAlign w:val="center"/>
          </w:tcPr>
          <w:p>
            <w:pPr>
              <w:spacing w:line="300" w:lineRule="exact"/>
              <w:jc w:val="center"/>
              <w:rPr>
                <w:color w:val="auto"/>
                <w:sz w:val="21"/>
                <w:szCs w:val="21"/>
                <w:highlight w:val="none"/>
              </w:rPr>
            </w:pPr>
            <w:r>
              <w:rPr>
                <w:color w:val="auto"/>
                <w:sz w:val="21"/>
                <w:szCs w:val="21"/>
                <w:highlight w:val="none"/>
              </w:rPr>
              <w:t>0.006</w:t>
            </w:r>
          </w:p>
        </w:tc>
        <w:tc>
          <w:tcPr>
            <w:tcW w:w="2025" w:type="dxa"/>
            <w:vMerge w:val="continue"/>
            <w:noWrap w:val="0"/>
            <w:vAlign w:val="center"/>
          </w:tcPr>
          <w:p>
            <w:pPr>
              <w:spacing w:line="300" w:lineRule="exact"/>
              <w:jc w:val="center"/>
              <w:rPr>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69" w:hRule="atLeast"/>
          <w:jc w:val="center"/>
        </w:trPr>
        <w:tc>
          <w:tcPr>
            <w:tcW w:w="1357" w:type="dxa"/>
            <w:noWrap w:val="0"/>
            <w:vAlign w:val="center"/>
          </w:tcPr>
          <w:p>
            <w:pPr>
              <w:spacing w:line="300" w:lineRule="exact"/>
              <w:jc w:val="center"/>
              <w:rPr>
                <w:rFonts w:hint="eastAsia" w:eastAsia="宋体"/>
                <w:color w:val="auto"/>
                <w:sz w:val="21"/>
                <w:szCs w:val="21"/>
                <w:highlight w:val="none"/>
                <w:lang w:eastAsia="zh-CN"/>
              </w:rPr>
            </w:pPr>
            <w:r>
              <w:rPr>
                <w:rFonts w:hint="eastAsia"/>
                <w:color w:val="auto"/>
                <w:sz w:val="21"/>
                <w:szCs w:val="21"/>
                <w:highlight w:val="none"/>
                <w:lang w:eastAsia="zh-CN"/>
              </w:rPr>
              <w:t>氨</w:t>
            </w:r>
          </w:p>
        </w:tc>
        <w:tc>
          <w:tcPr>
            <w:tcW w:w="1359" w:type="dxa"/>
            <w:noWrap w:val="0"/>
            <w:vAlign w:val="center"/>
          </w:tcPr>
          <w:p>
            <w:pPr>
              <w:spacing w:line="300" w:lineRule="exact"/>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15</w:t>
            </w:r>
          </w:p>
        </w:tc>
        <w:tc>
          <w:tcPr>
            <w:tcW w:w="1221" w:type="dxa"/>
            <w:noWrap w:val="0"/>
            <w:vAlign w:val="center"/>
          </w:tcPr>
          <w:p>
            <w:pPr>
              <w:spacing w:line="300" w:lineRule="exact"/>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c>
          <w:tcPr>
            <w:tcW w:w="1139" w:type="dxa"/>
            <w:noWrap w:val="0"/>
            <w:vAlign w:val="center"/>
          </w:tcPr>
          <w:p>
            <w:pPr>
              <w:spacing w:line="300" w:lineRule="exact"/>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4.9</w:t>
            </w:r>
          </w:p>
        </w:tc>
        <w:tc>
          <w:tcPr>
            <w:tcW w:w="2186" w:type="dxa"/>
            <w:noWrap w:val="0"/>
            <w:vAlign w:val="center"/>
          </w:tcPr>
          <w:p>
            <w:pPr>
              <w:spacing w:line="300" w:lineRule="exact"/>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2.0</w:t>
            </w:r>
          </w:p>
        </w:tc>
        <w:tc>
          <w:tcPr>
            <w:tcW w:w="2025" w:type="dxa"/>
            <w:noWrap w:val="0"/>
            <w:vAlign w:val="center"/>
          </w:tcPr>
          <w:p>
            <w:pPr>
              <w:spacing w:line="300" w:lineRule="exact"/>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69" w:hRule="atLeast"/>
          <w:jc w:val="center"/>
        </w:trPr>
        <w:tc>
          <w:tcPr>
            <w:tcW w:w="1357" w:type="dxa"/>
            <w:noWrap w:val="0"/>
            <w:vAlign w:val="center"/>
          </w:tcPr>
          <w:p>
            <w:pPr>
              <w:spacing w:line="300" w:lineRule="exact"/>
              <w:jc w:val="center"/>
              <w:rPr>
                <w:rFonts w:hint="eastAsia"/>
                <w:color w:val="auto"/>
                <w:sz w:val="21"/>
                <w:szCs w:val="21"/>
                <w:highlight w:val="none"/>
                <w:lang w:val="en-US" w:eastAsia="zh-CN"/>
              </w:rPr>
            </w:pPr>
            <w:r>
              <w:rPr>
                <w:rFonts w:hint="eastAsia"/>
                <w:color w:val="auto"/>
                <w:sz w:val="21"/>
                <w:szCs w:val="21"/>
                <w:highlight w:val="none"/>
                <w:lang w:val="en-US" w:eastAsia="zh-CN"/>
              </w:rPr>
              <w:t>颗粒物</w:t>
            </w:r>
          </w:p>
        </w:tc>
        <w:tc>
          <w:tcPr>
            <w:tcW w:w="1359" w:type="dxa"/>
            <w:noWrap w:val="0"/>
            <w:vAlign w:val="center"/>
          </w:tcPr>
          <w:p>
            <w:pPr>
              <w:spacing w:line="300" w:lineRule="exact"/>
              <w:jc w:val="center"/>
              <w:rPr>
                <w:rFonts w:hint="eastAsia"/>
                <w:color w:val="auto"/>
                <w:sz w:val="21"/>
                <w:szCs w:val="21"/>
                <w:highlight w:val="none"/>
                <w:lang w:val="en-US" w:eastAsia="zh-CN"/>
              </w:rPr>
            </w:pPr>
            <w:r>
              <w:rPr>
                <w:color w:val="auto"/>
                <w:sz w:val="21"/>
                <w:szCs w:val="21"/>
                <w:highlight w:val="none"/>
              </w:rPr>
              <w:t>/</w:t>
            </w:r>
          </w:p>
        </w:tc>
        <w:tc>
          <w:tcPr>
            <w:tcW w:w="1221" w:type="dxa"/>
            <w:noWrap w:val="0"/>
            <w:vAlign w:val="center"/>
          </w:tcPr>
          <w:p>
            <w:pPr>
              <w:spacing w:line="300" w:lineRule="exact"/>
              <w:jc w:val="center"/>
              <w:rPr>
                <w:rFonts w:hint="eastAsia"/>
                <w:color w:val="auto"/>
                <w:sz w:val="21"/>
                <w:szCs w:val="21"/>
                <w:highlight w:val="none"/>
                <w:lang w:val="en-US" w:eastAsia="zh-CN"/>
              </w:rPr>
            </w:pPr>
            <w:r>
              <w:rPr>
                <w:color w:val="auto"/>
                <w:sz w:val="21"/>
                <w:szCs w:val="21"/>
                <w:highlight w:val="none"/>
              </w:rPr>
              <w:t>/</w:t>
            </w:r>
          </w:p>
        </w:tc>
        <w:tc>
          <w:tcPr>
            <w:tcW w:w="1139" w:type="dxa"/>
            <w:noWrap w:val="0"/>
            <w:vAlign w:val="center"/>
          </w:tcPr>
          <w:p>
            <w:pPr>
              <w:spacing w:line="300" w:lineRule="exact"/>
              <w:jc w:val="center"/>
              <w:rPr>
                <w:rFonts w:hint="eastAsia"/>
                <w:color w:val="auto"/>
                <w:sz w:val="21"/>
                <w:szCs w:val="21"/>
                <w:highlight w:val="none"/>
                <w:lang w:val="en-US" w:eastAsia="zh-CN"/>
              </w:rPr>
            </w:pPr>
            <w:r>
              <w:rPr>
                <w:color w:val="auto"/>
                <w:sz w:val="21"/>
                <w:szCs w:val="21"/>
                <w:highlight w:val="none"/>
              </w:rPr>
              <w:t>/</w:t>
            </w:r>
          </w:p>
        </w:tc>
        <w:tc>
          <w:tcPr>
            <w:tcW w:w="2186" w:type="dxa"/>
            <w:noWrap w:val="0"/>
            <w:vAlign w:val="center"/>
          </w:tcPr>
          <w:p>
            <w:pPr>
              <w:spacing w:line="300" w:lineRule="exact"/>
              <w:jc w:val="center"/>
              <w:rPr>
                <w:rFonts w:hint="eastAsia"/>
                <w:color w:val="auto"/>
                <w:sz w:val="21"/>
                <w:szCs w:val="21"/>
                <w:highlight w:val="none"/>
                <w:lang w:val="en-US" w:eastAsia="zh-CN"/>
              </w:rPr>
            </w:pPr>
            <w:r>
              <w:rPr>
                <w:rFonts w:hint="eastAsia"/>
                <w:color w:val="auto"/>
                <w:sz w:val="21"/>
                <w:szCs w:val="21"/>
                <w:highlight w:val="none"/>
                <w:lang w:val="en-US" w:eastAsia="zh-CN"/>
              </w:rPr>
              <w:t>1.0</w:t>
            </w:r>
          </w:p>
        </w:tc>
        <w:tc>
          <w:tcPr>
            <w:tcW w:w="2025" w:type="dxa"/>
            <w:noWrap w:val="0"/>
            <w:vAlign w:val="center"/>
          </w:tcPr>
          <w:p>
            <w:pPr>
              <w:spacing w:line="300" w:lineRule="exact"/>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69" w:hRule="atLeast"/>
          <w:jc w:val="center"/>
        </w:trPr>
        <w:tc>
          <w:tcPr>
            <w:tcW w:w="1357" w:type="dxa"/>
            <w:noWrap w:val="0"/>
            <w:vAlign w:val="center"/>
          </w:tcPr>
          <w:p>
            <w:pPr>
              <w:pStyle w:val="19"/>
              <w:snapToGrid w:val="0"/>
              <w:spacing w:line="320" w:lineRule="exact"/>
              <w:jc w:val="center"/>
              <w:rPr>
                <w:rFonts w:ascii="Times New Roman" w:hAnsi="Times New Roman"/>
                <w:color w:val="auto"/>
                <w:sz w:val="21"/>
                <w:szCs w:val="21"/>
                <w:highlight w:val="none"/>
              </w:rPr>
            </w:pPr>
            <w:r>
              <w:rPr>
                <w:rFonts w:ascii="Times New Roman" w:hAnsi="Times New Roman"/>
                <w:color w:val="auto"/>
                <w:sz w:val="21"/>
                <w:szCs w:val="21"/>
                <w:highlight w:val="none"/>
              </w:rPr>
              <w:t>SO</w:t>
            </w:r>
            <w:r>
              <w:rPr>
                <w:rFonts w:ascii="Times New Roman" w:hAnsi="Times New Roman"/>
                <w:color w:val="auto"/>
                <w:sz w:val="21"/>
                <w:szCs w:val="21"/>
                <w:highlight w:val="none"/>
                <w:vertAlign w:val="subscript"/>
              </w:rPr>
              <w:t>2</w:t>
            </w:r>
          </w:p>
        </w:tc>
        <w:tc>
          <w:tcPr>
            <w:tcW w:w="1359" w:type="dxa"/>
            <w:vMerge w:val="restart"/>
            <w:noWrap w:val="0"/>
            <w:vAlign w:val="center"/>
          </w:tcPr>
          <w:p>
            <w:pPr>
              <w:spacing w:line="300" w:lineRule="exact"/>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15</w:t>
            </w:r>
          </w:p>
        </w:tc>
        <w:tc>
          <w:tcPr>
            <w:tcW w:w="1221" w:type="dxa"/>
            <w:noWrap w:val="0"/>
            <w:vAlign w:val="center"/>
          </w:tcPr>
          <w:p>
            <w:pPr>
              <w:spacing w:line="300" w:lineRule="exact"/>
              <w:jc w:val="center"/>
              <w:rPr>
                <w:color w:val="auto"/>
                <w:sz w:val="21"/>
                <w:szCs w:val="21"/>
                <w:highlight w:val="none"/>
              </w:rPr>
            </w:pPr>
            <w:r>
              <w:rPr>
                <w:color w:val="auto"/>
                <w:sz w:val="21"/>
                <w:szCs w:val="21"/>
                <w:highlight w:val="none"/>
              </w:rPr>
              <w:t>50</w:t>
            </w:r>
          </w:p>
        </w:tc>
        <w:tc>
          <w:tcPr>
            <w:tcW w:w="1139" w:type="dxa"/>
            <w:noWrap w:val="0"/>
            <w:vAlign w:val="center"/>
          </w:tcPr>
          <w:p>
            <w:pPr>
              <w:spacing w:line="300" w:lineRule="exact"/>
              <w:jc w:val="center"/>
              <w:rPr>
                <w:color w:val="auto"/>
                <w:sz w:val="21"/>
                <w:szCs w:val="21"/>
                <w:highlight w:val="none"/>
              </w:rPr>
            </w:pPr>
            <w:r>
              <w:rPr>
                <w:color w:val="auto"/>
                <w:sz w:val="21"/>
                <w:szCs w:val="21"/>
                <w:highlight w:val="none"/>
              </w:rPr>
              <w:t>/</w:t>
            </w:r>
          </w:p>
        </w:tc>
        <w:tc>
          <w:tcPr>
            <w:tcW w:w="2186" w:type="dxa"/>
            <w:noWrap w:val="0"/>
            <w:vAlign w:val="center"/>
          </w:tcPr>
          <w:p>
            <w:pPr>
              <w:spacing w:line="300" w:lineRule="exact"/>
              <w:jc w:val="center"/>
              <w:rPr>
                <w:color w:val="auto"/>
                <w:sz w:val="21"/>
                <w:szCs w:val="21"/>
                <w:highlight w:val="none"/>
              </w:rPr>
            </w:pPr>
            <w:r>
              <w:rPr>
                <w:color w:val="auto"/>
                <w:sz w:val="21"/>
                <w:szCs w:val="21"/>
                <w:highlight w:val="none"/>
              </w:rPr>
              <w:t>/</w:t>
            </w:r>
          </w:p>
        </w:tc>
        <w:tc>
          <w:tcPr>
            <w:tcW w:w="2025" w:type="dxa"/>
            <w:vMerge w:val="restart"/>
            <w:noWrap w:val="0"/>
            <w:vAlign w:val="center"/>
          </w:tcPr>
          <w:p>
            <w:pPr>
              <w:spacing w:line="300" w:lineRule="exact"/>
              <w:jc w:val="center"/>
              <w:rPr>
                <w:color w:val="auto"/>
                <w:sz w:val="21"/>
                <w:szCs w:val="21"/>
                <w:highlight w:val="none"/>
              </w:rPr>
            </w:pPr>
            <w:r>
              <w:rPr>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357" w:type="dxa"/>
            <w:noWrap w:val="0"/>
            <w:vAlign w:val="center"/>
          </w:tcPr>
          <w:p>
            <w:pPr>
              <w:pStyle w:val="19"/>
              <w:snapToGrid w:val="0"/>
              <w:spacing w:line="320" w:lineRule="exact"/>
              <w:jc w:val="center"/>
              <w:rPr>
                <w:rFonts w:ascii="Times New Roman" w:hAnsi="Times New Roman"/>
                <w:color w:val="auto"/>
                <w:sz w:val="21"/>
                <w:szCs w:val="21"/>
                <w:highlight w:val="none"/>
              </w:rPr>
            </w:pPr>
            <w:r>
              <w:rPr>
                <w:rFonts w:ascii="Times New Roman" w:hAnsi="Times New Roman"/>
                <w:color w:val="auto"/>
                <w:sz w:val="21"/>
                <w:szCs w:val="21"/>
                <w:highlight w:val="none"/>
              </w:rPr>
              <w:t>NOx</w:t>
            </w:r>
          </w:p>
        </w:tc>
        <w:tc>
          <w:tcPr>
            <w:tcW w:w="1359" w:type="dxa"/>
            <w:vMerge w:val="continue"/>
            <w:noWrap w:val="0"/>
            <w:vAlign w:val="center"/>
          </w:tcPr>
          <w:p>
            <w:pPr>
              <w:spacing w:line="300" w:lineRule="exact"/>
              <w:jc w:val="center"/>
              <w:rPr>
                <w:color w:val="auto"/>
                <w:sz w:val="21"/>
                <w:szCs w:val="21"/>
                <w:highlight w:val="none"/>
              </w:rPr>
            </w:pPr>
          </w:p>
        </w:tc>
        <w:tc>
          <w:tcPr>
            <w:tcW w:w="1221" w:type="dxa"/>
            <w:noWrap w:val="0"/>
            <w:vAlign w:val="center"/>
          </w:tcPr>
          <w:p>
            <w:pPr>
              <w:spacing w:line="300" w:lineRule="exact"/>
              <w:jc w:val="center"/>
              <w:rPr>
                <w:color w:val="auto"/>
                <w:sz w:val="21"/>
                <w:szCs w:val="21"/>
                <w:highlight w:val="none"/>
              </w:rPr>
            </w:pPr>
            <w:r>
              <w:rPr>
                <w:color w:val="auto"/>
                <w:sz w:val="21"/>
                <w:szCs w:val="21"/>
                <w:highlight w:val="none"/>
              </w:rPr>
              <w:t>100</w:t>
            </w:r>
          </w:p>
        </w:tc>
        <w:tc>
          <w:tcPr>
            <w:tcW w:w="1139" w:type="dxa"/>
            <w:noWrap w:val="0"/>
            <w:vAlign w:val="center"/>
          </w:tcPr>
          <w:p>
            <w:pPr>
              <w:spacing w:line="300" w:lineRule="exact"/>
              <w:jc w:val="center"/>
              <w:rPr>
                <w:color w:val="auto"/>
                <w:sz w:val="21"/>
                <w:szCs w:val="21"/>
                <w:highlight w:val="none"/>
              </w:rPr>
            </w:pPr>
            <w:r>
              <w:rPr>
                <w:color w:val="auto"/>
                <w:sz w:val="21"/>
                <w:szCs w:val="21"/>
                <w:highlight w:val="none"/>
              </w:rPr>
              <w:t>/</w:t>
            </w:r>
          </w:p>
        </w:tc>
        <w:tc>
          <w:tcPr>
            <w:tcW w:w="2186" w:type="dxa"/>
            <w:noWrap w:val="0"/>
            <w:vAlign w:val="center"/>
          </w:tcPr>
          <w:p>
            <w:pPr>
              <w:spacing w:line="300" w:lineRule="exact"/>
              <w:jc w:val="center"/>
              <w:rPr>
                <w:color w:val="auto"/>
                <w:sz w:val="21"/>
                <w:szCs w:val="21"/>
                <w:highlight w:val="none"/>
              </w:rPr>
            </w:pPr>
            <w:r>
              <w:rPr>
                <w:color w:val="auto"/>
                <w:sz w:val="21"/>
                <w:szCs w:val="21"/>
                <w:highlight w:val="none"/>
              </w:rPr>
              <w:t>周界外最高点</w:t>
            </w:r>
            <w:r>
              <w:rPr>
                <w:rFonts w:hint="eastAsia"/>
                <w:color w:val="auto"/>
                <w:sz w:val="21"/>
                <w:szCs w:val="21"/>
                <w:highlight w:val="none"/>
                <w:lang w:val="en-US" w:eastAsia="zh-CN"/>
              </w:rPr>
              <w:t>0.12</w:t>
            </w:r>
          </w:p>
        </w:tc>
        <w:tc>
          <w:tcPr>
            <w:tcW w:w="2025" w:type="dxa"/>
            <w:vMerge w:val="continue"/>
            <w:noWrap w:val="0"/>
            <w:vAlign w:val="center"/>
          </w:tcPr>
          <w:p>
            <w:pPr>
              <w:spacing w:line="300" w:lineRule="exact"/>
              <w:jc w:val="center"/>
              <w:rPr>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69" w:hRule="atLeast"/>
          <w:jc w:val="center"/>
        </w:trPr>
        <w:tc>
          <w:tcPr>
            <w:tcW w:w="1357" w:type="dxa"/>
            <w:noWrap w:val="0"/>
            <w:vAlign w:val="center"/>
          </w:tcPr>
          <w:p>
            <w:pPr>
              <w:pStyle w:val="19"/>
              <w:snapToGrid w:val="0"/>
              <w:spacing w:line="320" w:lineRule="exact"/>
              <w:jc w:val="center"/>
              <w:rPr>
                <w:rFonts w:ascii="Times New Roman" w:hAnsi="Times New Roman"/>
                <w:color w:val="auto"/>
                <w:sz w:val="21"/>
                <w:szCs w:val="21"/>
                <w:highlight w:val="none"/>
              </w:rPr>
            </w:pPr>
            <w:r>
              <w:rPr>
                <w:rFonts w:ascii="Times New Roman" w:hAnsi="Times New Roman"/>
                <w:color w:val="auto"/>
                <w:sz w:val="21"/>
                <w:szCs w:val="21"/>
                <w:highlight w:val="none"/>
              </w:rPr>
              <w:t>烟尘</w:t>
            </w:r>
          </w:p>
        </w:tc>
        <w:tc>
          <w:tcPr>
            <w:tcW w:w="1359" w:type="dxa"/>
            <w:vMerge w:val="continue"/>
            <w:noWrap w:val="0"/>
            <w:vAlign w:val="center"/>
          </w:tcPr>
          <w:p>
            <w:pPr>
              <w:spacing w:line="300" w:lineRule="exact"/>
              <w:jc w:val="center"/>
              <w:rPr>
                <w:color w:val="auto"/>
                <w:sz w:val="21"/>
                <w:szCs w:val="21"/>
                <w:highlight w:val="none"/>
              </w:rPr>
            </w:pPr>
          </w:p>
        </w:tc>
        <w:tc>
          <w:tcPr>
            <w:tcW w:w="1221" w:type="dxa"/>
            <w:noWrap w:val="0"/>
            <w:vAlign w:val="center"/>
          </w:tcPr>
          <w:p>
            <w:pPr>
              <w:spacing w:line="300" w:lineRule="exact"/>
              <w:jc w:val="center"/>
              <w:rPr>
                <w:color w:val="auto"/>
                <w:sz w:val="21"/>
                <w:szCs w:val="21"/>
                <w:highlight w:val="none"/>
              </w:rPr>
            </w:pPr>
            <w:r>
              <w:rPr>
                <w:color w:val="auto"/>
                <w:sz w:val="21"/>
                <w:szCs w:val="21"/>
                <w:highlight w:val="none"/>
              </w:rPr>
              <w:t>10</w:t>
            </w:r>
          </w:p>
        </w:tc>
        <w:tc>
          <w:tcPr>
            <w:tcW w:w="1139" w:type="dxa"/>
            <w:noWrap w:val="0"/>
            <w:vAlign w:val="center"/>
          </w:tcPr>
          <w:p>
            <w:pPr>
              <w:spacing w:line="300" w:lineRule="exact"/>
              <w:jc w:val="center"/>
              <w:rPr>
                <w:color w:val="auto"/>
                <w:sz w:val="21"/>
                <w:szCs w:val="21"/>
                <w:highlight w:val="none"/>
              </w:rPr>
            </w:pPr>
            <w:r>
              <w:rPr>
                <w:color w:val="auto"/>
                <w:sz w:val="21"/>
                <w:szCs w:val="21"/>
                <w:highlight w:val="none"/>
              </w:rPr>
              <w:t>/</w:t>
            </w:r>
          </w:p>
        </w:tc>
        <w:tc>
          <w:tcPr>
            <w:tcW w:w="2186" w:type="dxa"/>
            <w:noWrap w:val="0"/>
            <w:vAlign w:val="center"/>
          </w:tcPr>
          <w:p>
            <w:pPr>
              <w:spacing w:line="300" w:lineRule="exact"/>
              <w:jc w:val="center"/>
              <w:rPr>
                <w:color w:val="auto"/>
                <w:sz w:val="21"/>
                <w:szCs w:val="21"/>
                <w:highlight w:val="none"/>
              </w:rPr>
            </w:pPr>
            <w:r>
              <w:rPr>
                <w:color w:val="auto"/>
                <w:sz w:val="21"/>
                <w:szCs w:val="21"/>
                <w:highlight w:val="none"/>
              </w:rPr>
              <w:t>/</w:t>
            </w:r>
          </w:p>
        </w:tc>
        <w:tc>
          <w:tcPr>
            <w:tcW w:w="2025" w:type="dxa"/>
            <w:vMerge w:val="continue"/>
            <w:noWrap w:val="0"/>
            <w:vAlign w:val="center"/>
          </w:tcPr>
          <w:p>
            <w:pPr>
              <w:spacing w:line="300" w:lineRule="exact"/>
              <w:jc w:val="center"/>
              <w:rPr>
                <w:color w:val="auto"/>
                <w:sz w:val="21"/>
                <w:szCs w:val="21"/>
                <w:highlight w:val="none"/>
              </w:rPr>
            </w:pPr>
          </w:p>
        </w:tc>
      </w:tr>
      <w:bookmarkEnd w:id="29"/>
    </w:tbl>
    <w:p>
      <w:pPr>
        <w:spacing w:line="360" w:lineRule="auto"/>
        <w:ind w:firstLine="480" w:firstLineChars="200"/>
        <w:rPr>
          <w:color w:val="auto"/>
          <w:sz w:val="24"/>
          <w:highlight w:val="none"/>
        </w:rPr>
      </w:pPr>
      <w:r>
        <w:rPr>
          <w:rFonts w:hint="eastAsia"/>
          <w:color w:val="auto"/>
          <w:sz w:val="24"/>
          <w:highlight w:val="none"/>
        </w:rPr>
        <w:t>2、废水排放标准</w:t>
      </w:r>
    </w:p>
    <w:p>
      <w:pPr>
        <w:spacing w:line="360" w:lineRule="auto"/>
        <w:ind w:firstLine="480" w:firstLineChars="200"/>
        <w:rPr>
          <w:rFonts w:hint="eastAsia"/>
          <w:color w:val="auto"/>
          <w:sz w:val="24"/>
          <w:highlight w:val="none"/>
        </w:rPr>
      </w:pPr>
      <w:r>
        <w:rPr>
          <w:rFonts w:hint="eastAsia"/>
          <w:color w:val="auto"/>
          <w:sz w:val="24"/>
          <w:highlight w:val="none"/>
        </w:rPr>
        <w:t>项目废水包括生产废水与生活污水。</w:t>
      </w:r>
    </w:p>
    <w:p>
      <w:pPr>
        <w:spacing w:line="360" w:lineRule="auto"/>
        <w:ind w:firstLine="480" w:firstLineChars="200"/>
        <w:rPr>
          <w:color w:val="auto"/>
          <w:sz w:val="24"/>
          <w:highlight w:val="none"/>
        </w:rPr>
      </w:pPr>
      <w:r>
        <w:rPr>
          <w:rFonts w:hint="eastAsia"/>
          <w:color w:val="auto"/>
          <w:sz w:val="24"/>
          <w:highlight w:val="none"/>
        </w:rPr>
        <w:t>生产废水包括综合废水、含铬废水及含镍废水，各类废水分类收集经相应的综合废水管道、含铬废水管道、含镍废水管道排入电镀工业园污水处理站，项目</w:t>
      </w:r>
      <w:r>
        <w:rPr>
          <w:rFonts w:hint="eastAsia"/>
          <w:color w:val="auto"/>
          <w:sz w:val="24"/>
          <w:highlight w:val="none"/>
          <w:lang w:eastAsia="zh-CN"/>
        </w:rPr>
        <w:t>生产</w:t>
      </w:r>
      <w:r>
        <w:rPr>
          <w:rFonts w:hint="eastAsia"/>
          <w:color w:val="auto"/>
          <w:sz w:val="24"/>
          <w:highlight w:val="none"/>
        </w:rPr>
        <w:t>废水</w:t>
      </w:r>
      <w:r>
        <w:rPr>
          <w:rFonts w:hint="eastAsia"/>
          <w:color w:val="auto"/>
          <w:sz w:val="24"/>
          <w:highlight w:val="none"/>
          <w:lang w:val="en-US" w:eastAsia="zh-CN"/>
        </w:rPr>
        <w:t>一类</w:t>
      </w:r>
      <w:r>
        <w:rPr>
          <w:rFonts w:hint="eastAsia"/>
          <w:color w:val="auto"/>
          <w:sz w:val="24"/>
          <w:highlight w:val="none"/>
        </w:rPr>
        <w:t>污染物排放执行《电镀污染物排放标准》(GB21900-2008)表2标准</w:t>
      </w:r>
      <w:r>
        <w:rPr>
          <w:rFonts w:hint="eastAsia"/>
          <w:color w:val="auto"/>
          <w:sz w:val="24"/>
          <w:highlight w:val="none"/>
          <w:lang w:eastAsia="zh-CN"/>
        </w:rPr>
        <w:t>，</w:t>
      </w:r>
      <w:r>
        <w:rPr>
          <w:rFonts w:hint="eastAsia"/>
          <w:color w:val="auto"/>
          <w:sz w:val="24"/>
          <w:highlight w:val="none"/>
          <w:lang w:val="en-US" w:eastAsia="zh-CN"/>
        </w:rPr>
        <w:t>其他污染物执行</w:t>
      </w:r>
      <w:r>
        <w:rPr>
          <w:rFonts w:hint="eastAsia"/>
          <w:color w:val="auto"/>
          <w:sz w:val="24"/>
          <w:highlight w:val="none"/>
        </w:rPr>
        <w:t>《污水排入城镇下水道水质标准》(GB/T31962-2015)表1中B级标准限值要求。处理达标后与生活污水一起经总排污口排入市政污水管网进入镰湾河水质净化厂。</w:t>
      </w:r>
    </w:p>
    <w:p>
      <w:pPr>
        <w:spacing w:line="360" w:lineRule="auto"/>
        <w:ind w:firstLine="480" w:firstLineChars="200"/>
        <w:rPr>
          <w:color w:val="auto"/>
          <w:kern w:val="0"/>
          <w:sz w:val="24"/>
          <w:highlight w:val="none"/>
        </w:rPr>
      </w:pPr>
      <w:r>
        <w:rPr>
          <w:rFonts w:hint="eastAsia"/>
          <w:color w:val="auto"/>
          <w:sz w:val="24"/>
          <w:highlight w:val="none"/>
        </w:rPr>
        <w:t>生活污水排放执行《污水排入城镇下水道水质标准》(GB/T31962-2015)表1中B级标准限值要求。总锡参照执行《上海市地方标准》</w:t>
      </w:r>
      <w:r>
        <w:rPr>
          <w:rFonts w:hint="eastAsia"/>
          <w:color w:val="auto"/>
          <w:sz w:val="24"/>
          <w:highlight w:val="none"/>
          <w:lang w:eastAsia="zh-CN"/>
        </w:rPr>
        <w:t>(</w:t>
      </w:r>
      <w:r>
        <w:rPr>
          <w:rFonts w:hint="eastAsia"/>
          <w:color w:val="auto"/>
          <w:sz w:val="24"/>
          <w:highlight w:val="none"/>
        </w:rPr>
        <w:t>DB31/199-2009</w:t>
      </w:r>
      <w:r>
        <w:rPr>
          <w:rFonts w:hint="eastAsia"/>
          <w:color w:val="auto"/>
          <w:sz w:val="24"/>
          <w:highlight w:val="none"/>
          <w:lang w:eastAsia="zh-CN"/>
        </w:rPr>
        <w:t>)</w:t>
      </w:r>
      <w:r>
        <w:rPr>
          <w:rFonts w:hint="eastAsia"/>
          <w:color w:val="auto"/>
          <w:sz w:val="24"/>
          <w:highlight w:val="none"/>
        </w:rPr>
        <w:t>表2标准</w:t>
      </w:r>
      <w:r>
        <w:rPr>
          <w:rFonts w:hint="eastAsia"/>
          <w:color w:val="auto"/>
          <w:sz w:val="24"/>
          <w:highlight w:val="none"/>
          <w:lang w:eastAsia="zh-CN"/>
        </w:rPr>
        <w:t>。</w:t>
      </w:r>
      <w:r>
        <w:rPr>
          <w:color w:val="auto"/>
          <w:sz w:val="24"/>
          <w:highlight w:val="none"/>
        </w:rPr>
        <w:t>具体</w:t>
      </w:r>
      <w:r>
        <w:rPr>
          <w:rFonts w:hint="eastAsia"/>
          <w:color w:val="auto"/>
          <w:sz w:val="24"/>
          <w:highlight w:val="none"/>
        </w:rPr>
        <w:t>标准值详见</w:t>
      </w:r>
      <w:r>
        <w:rPr>
          <w:color w:val="auto"/>
          <w:sz w:val="24"/>
          <w:highlight w:val="none"/>
        </w:rPr>
        <w:t>表</w:t>
      </w:r>
      <w:r>
        <w:rPr>
          <w:color w:val="auto"/>
          <w:kern w:val="0"/>
          <w:sz w:val="24"/>
          <w:highlight w:val="none"/>
        </w:rPr>
        <w:t>1.</w:t>
      </w:r>
      <w:r>
        <w:rPr>
          <w:rFonts w:hint="eastAsia"/>
          <w:color w:val="auto"/>
          <w:kern w:val="0"/>
          <w:sz w:val="24"/>
          <w:highlight w:val="none"/>
        </w:rPr>
        <w:t>4</w:t>
      </w:r>
      <w:r>
        <w:rPr>
          <w:color w:val="auto"/>
          <w:kern w:val="0"/>
          <w:sz w:val="24"/>
          <w:highlight w:val="none"/>
        </w:rPr>
        <w:t>-</w:t>
      </w:r>
      <w:r>
        <w:rPr>
          <w:rFonts w:hint="eastAsia"/>
          <w:color w:val="auto"/>
          <w:kern w:val="0"/>
          <w:sz w:val="24"/>
          <w:highlight w:val="none"/>
        </w:rPr>
        <w:t>6</w:t>
      </w:r>
      <w:r>
        <w:rPr>
          <w:color w:val="auto"/>
          <w:kern w:val="0"/>
          <w:sz w:val="24"/>
          <w:highlight w:val="none"/>
        </w:rPr>
        <w:t>。</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 xml:space="preserve">表1.4-6 </w:t>
      </w:r>
      <w:r>
        <w:rPr>
          <w:rFonts w:hint="eastAsia" w:ascii="黑体" w:hAnsi="黑体" w:eastAsia="黑体" w:cs="黑体"/>
          <w:b w:val="0"/>
          <w:bCs w:val="0"/>
          <w:color w:val="auto"/>
          <w:sz w:val="24"/>
          <w:szCs w:val="24"/>
          <w:highlight w:val="none"/>
          <w:lang w:val="en-US" w:eastAsia="zh-CN"/>
        </w:rPr>
        <w:t xml:space="preserve"> </w:t>
      </w:r>
      <w:r>
        <w:rPr>
          <w:rFonts w:hint="eastAsia" w:ascii="黑体" w:hAnsi="黑体" w:eastAsia="黑体" w:cs="黑体"/>
          <w:b w:val="0"/>
          <w:bCs w:val="0"/>
          <w:color w:val="auto"/>
          <w:sz w:val="24"/>
          <w:szCs w:val="24"/>
          <w:highlight w:val="none"/>
        </w:rPr>
        <w:t>废水接管排放标准</w:t>
      </w:r>
    </w:p>
    <w:tbl>
      <w:tblPr>
        <w:tblStyle w:val="36"/>
        <w:tblW w:w="9287" w:type="dxa"/>
        <w:jc w:val="center"/>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209"/>
        <w:gridCol w:w="1083"/>
        <w:gridCol w:w="933"/>
        <w:gridCol w:w="1034"/>
        <w:gridCol w:w="1900"/>
        <w:gridCol w:w="3128"/>
      </w:tblGrid>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2292" w:type="dxa"/>
            <w:gridSpan w:val="2"/>
            <w:tcBorders>
              <w:tl2br w:val="nil"/>
              <w:tr2bl w:val="nil"/>
            </w:tcBorders>
            <w:vAlign w:val="center"/>
          </w:tcPr>
          <w:p>
            <w:pPr>
              <w:jc w:val="center"/>
              <w:rPr>
                <w:b/>
                <w:color w:val="auto"/>
                <w:szCs w:val="21"/>
                <w:highlight w:val="none"/>
              </w:rPr>
            </w:pPr>
            <w:r>
              <w:rPr>
                <w:b/>
                <w:color w:val="auto"/>
                <w:szCs w:val="21"/>
                <w:highlight w:val="none"/>
              </w:rPr>
              <w:t>项目</w:t>
            </w:r>
          </w:p>
        </w:tc>
        <w:tc>
          <w:tcPr>
            <w:tcW w:w="933" w:type="dxa"/>
            <w:tcBorders>
              <w:tl2br w:val="nil"/>
              <w:tr2bl w:val="nil"/>
            </w:tcBorders>
            <w:vAlign w:val="center"/>
          </w:tcPr>
          <w:p>
            <w:pPr>
              <w:jc w:val="center"/>
              <w:rPr>
                <w:b/>
                <w:color w:val="auto"/>
                <w:szCs w:val="21"/>
                <w:highlight w:val="none"/>
              </w:rPr>
            </w:pPr>
            <w:r>
              <w:rPr>
                <w:b/>
                <w:color w:val="auto"/>
                <w:szCs w:val="21"/>
                <w:highlight w:val="none"/>
              </w:rPr>
              <w:t>标准值</w:t>
            </w:r>
          </w:p>
        </w:tc>
        <w:tc>
          <w:tcPr>
            <w:tcW w:w="1034" w:type="dxa"/>
            <w:tcBorders>
              <w:tl2br w:val="nil"/>
              <w:tr2bl w:val="nil"/>
            </w:tcBorders>
            <w:vAlign w:val="center"/>
          </w:tcPr>
          <w:p>
            <w:pPr>
              <w:jc w:val="center"/>
              <w:rPr>
                <w:b/>
                <w:color w:val="auto"/>
                <w:szCs w:val="21"/>
                <w:highlight w:val="none"/>
              </w:rPr>
            </w:pPr>
            <w:r>
              <w:rPr>
                <w:b/>
                <w:color w:val="auto"/>
                <w:szCs w:val="21"/>
                <w:highlight w:val="none"/>
              </w:rPr>
              <w:t>单位</w:t>
            </w:r>
          </w:p>
        </w:tc>
        <w:tc>
          <w:tcPr>
            <w:tcW w:w="1900" w:type="dxa"/>
            <w:tcBorders>
              <w:tl2br w:val="nil"/>
              <w:tr2bl w:val="nil"/>
            </w:tcBorders>
            <w:vAlign w:val="center"/>
          </w:tcPr>
          <w:p>
            <w:pPr>
              <w:jc w:val="center"/>
              <w:rPr>
                <w:b/>
                <w:color w:val="auto"/>
                <w:szCs w:val="21"/>
                <w:highlight w:val="none"/>
              </w:rPr>
            </w:pPr>
            <w:r>
              <w:rPr>
                <w:b/>
                <w:color w:val="auto"/>
                <w:szCs w:val="21"/>
                <w:highlight w:val="none"/>
              </w:rPr>
              <w:t>标准来源</w:t>
            </w:r>
          </w:p>
        </w:tc>
        <w:tc>
          <w:tcPr>
            <w:tcW w:w="3128" w:type="dxa"/>
            <w:tcBorders>
              <w:tl2br w:val="nil"/>
              <w:tr2bl w:val="nil"/>
            </w:tcBorders>
            <w:vAlign w:val="center"/>
          </w:tcPr>
          <w:p>
            <w:pPr>
              <w:jc w:val="center"/>
              <w:rPr>
                <w:b/>
                <w:color w:val="auto"/>
                <w:szCs w:val="21"/>
                <w:highlight w:val="none"/>
              </w:rPr>
            </w:pPr>
            <w:r>
              <w:rPr>
                <w:b/>
                <w:color w:val="auto"/>
                <w:szCs w:val="21"/>
                <w:highlight w:val="none"/>
              </w:rPr>
              <w:t>监控位置</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PrEx>
        <w:trPr>
          <w:trHeight w:val="340" w:hRule="atLeast"/>
          <w:jc w:val="center"/>
        </w:trPr>
        <w:tc>
          <w:tcPr>
            <w:tcW w:w="1209" w:type="dxa"/>
            <w:vMerge w:val="restart"/>
            <w:tcBorders>
              <w:tl2br w:val="nil"/>
              <w:tr2bl w:val="nil"/>
            </w:tcBorders>
            <w:vAlign w:val="center"/>
          </w:tcPr>
          <w:p>
            <w:pPr>
              <w:jc w:val="center"/>
              <w:rPr>
                <w:color w:val="auto"/>
                <w:szCs w:val="21"/>
                <w:highlight w:val="none"/>
              </w:rPr>
            </w:pPr>
            <w:r>
              <w:rPr>
                <w:rFonts w:hint="eastAsia"/>
                <w:color w:val="auto"/>
                <w:szCs w:val="21"/>
                <w:highlight w:val="none"/>
              </w:rPr>
              <w:t>生产废水</w:t>
            </w:r>
          </w:p>
        </w:tc>
        <w:tc>
          <w:tcPr>
            <w:tcW w:w="1083" w:type="dxa"/>
            <w:tcBorders>
              <w:tl2br w:val="nil"/>
              <w:tr2bl w:val="nil"/>
            </w:tcBorders>
            <w:vAlign w:val="center"/>
          </w:tcPr>
          <w:p>
            <w:pPr>
              <w:spacing w:line="320" w:lineRule="exact"/>
              <w:jc w:val="center"/>
              <w:rPr>
                <w:color w:val="auto"/>
                <w:szCs w:val="21"/>
                <w:highlight w:val="none"/>
              </w:rPr>
            </w:pPr>
            <w:r>
              <w:rPr>
                <w:color w:val="auto"/>
                <w:szCs w:val="21"/>
                <w:highlight w:val="none"/>
              </w:rPr>
              <w:t>pH</w:t>
            </w:r>
          </w:p>
        </w:tc>
        <w:tc>
          <w:tcPr>
            <w:tcW w:w="933" w:type="dxa"/>
            <w:tcBorders>
              <w:tl2br w:val="nil"/>
              <w:tr2bl w:val="nil"/>
            </w:tcBorders>
            <w:vAlign w:val="center"/>
          </w:tcPr>
          <w:p>
            <w:pPr>
              <w:spacing w:line="320" w:lineRule="exact"/>
              <w:jc w:val="center"/>
              <w:rPr>
                <w:rFonts w:hint="default" w:eastAsia="宋体"/>
                <w:color w:val="auto"/>
                <w:szCs w:val="21"/>
                <w:highlight w:val="none"/>
                <w:lang w:val="en-US" w:eastAsia="zh-CN"/>
              </w:rPr>
            </w:pPr>
            <w:r>
              <w:rPr>
                <w:rFonts w:hint="eastAsia"/>
                <w:color w:val="auto"/>
                <w:szCs w:val="21"/>
                <w:highlight w:val="none"/>
              </w:rPr>
              <w:t>6</w:t>
            </w:r>
            <w:r>
              <w:rPr>
                <w:rFonts w:hint="eastAsia"/>
                <w:color w:val="auto"/>
                <w:szCs w:val="21"/>
                <w:highlight w:val="none"/>
                <w:lang w:val="en-US" w:eastAsia="zh-CN"/>
              </w:rPr>
              <w:t>.5</w:t>
            </w:r>
            <w:r>
              <w:rPr>
                <w:rFonts w:hint="eastAsia"/>
                <w:color w:val="auto"/>
                <w:szCs w:val="21"/>
                <w:highlight w:val="none"/>
              </w:rPr>
              <w:t>-9</w:t>
            </w:r>
            <w:r>
              <w:rPr>
                <w:rFonts w:hint="eastAsia"/>
                <w:color w:val="auto"/>
                <w:szCs w:val="21"/>
                <w:highlight w:val="none"/>
                <w:lang w:val="en-US" w:eastAsia="zh-CN"/>
              </w:rPr>
              <w:t>.5</w:t>
            </w:r>
          </w:p>
        </w:tc>
        <w:tc>
          <w:tcPr>
            <w:tcW w:w="1034" w:type="dxa"/>
            <w:tcBorders>
              <w:tl2br w:val="nil"/>
              <w:tr2bl w:val="nil"/>
            </w:tcBorders>
            <w:vAlign w:val="center"/>
          </w:tcPr>
          <w:p>
            <w:pPr>
              <w:jc w:val="center"/>
              <w:rPr>
                <w:color w:val="auto"/>
                <w:szCs w:val="21"/>
                <w:highlight w:val="none"/>
              </w:rPr>
            </w:pPr>
            <w:r>
              <w:rPr>
                <w:rFonts w:hint="eastAsia"/>
                <w:color w:val="auto"/>
                <w:szCs w:val="21"/>
                <w:highlight w:val="none"/>
              </w:rPr>
              <w:t>/</w:t>
            </w:r>
          </w:p>
        </w:tc>
        <w:tc>
          <w:tcPr>
            <w:tcW w:w="1900" w:type="dxa"/>
            <w:vMerge w:val="restart"/>
            <w:tcBorders>
              <w:tl2br w:val="nil"/>
              <w:tr2bl w:val="nil"/>
            </w:tcBorders>
            <w:vAlign w:val="center"/>
          </w:tcPr>
          <w:p>
            <w:pPr>
              <w:jc w:val="center"/>
              <w:rPr>
                <w:color w:val="auto"/>
                <w:highlight w:val="none"/>
              </w:rPr>
            </w:pPr>
            <w:r>
              <w:rPr>
                <w:rFonts w:hint="eastAsia"/>
                <w:color w:val="auto"/>
                <w:highlight w:val="none"/>
              </w:rPr>
              <w:t>GB/T31962-2015表1中的B级</w:t>
            </w:r>
          </w:p>
        </w:tc>
        <w:tc>
          <w:tcPr>
            <w:tcW w:w="3128" w:type="dxa"/>
            <w:vMerge w:val="restart"/>
            <w:tcBorders>
              <w:tl2br w:val="nil"/>
              <w:tr2bl w:val="nil"/>
            </w:tcBorders>
            <w:vAlign w:val="center"/>
          </w:tcPr>
          <w:p>
            <w:pPr>
              <w:jc w:val="center"/>
              <w:rPr>
                <w:color w:val="auto"/>
                <w:szCs w:val="21"/>
                <w:highlight w:val="none"/>
              </w:rPr>
            </w:pPr>
            <w:r>
              <w:rPr>
                <w:rFonts w:hint="eastAsia"/>
                <w:color w:val="auto"/>
                <w:szCs w:val="21"/>
                <w:highlight w:val="none"/>
                <w:lang w:eastAsia="zh-CN"/>
              </w:rPr>
              <w:t>园区</w:t>
            </w:r>
            <w:r>
              <w:rPr>
                <w:rFonts w:hint="eastAsia"/>
                <w:color w:val="auto"/>
                <w:szCs w:val="21"/>
                <w:highlight w:val="none"/>
                <w:lang w:val="en-US" w:eastAsia="zh-CN"/>
              </w:rPr>
              <w:t>总排口</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1209" w:type="dxa"/>
            <w:vMerge w:val="continue"/>
            <w:tcBorders>
              <w:tl2br w:val="nil"/>
              <w:tr2bl w:val="nil"/>
            </w:tcBorders>
            <w:vAlign w:val="center"/>
          </w:tcPr>
          <w:p>
            <w:pPr>
              <w:jc w:val="center"/>
              <w:rPr>
                <w:color w:val="auto"/>
                <w:szCs w:val="21"/>
                <w:highlight w:val="none"/>
              </w:rPr>
            </w:pPr>
          </w:p>
        </w:tc>
        <w:tc>
          <w:tcPr>
            <w:tcW w:w="1083" w:type="dxa"/>
            <w:tcBorders>
              <w:tl2br w:val="nil"/>
              <w:tr2bl w:val="nil"/>
            </w:tcBorders>
            <w:vAlign w:val="center"/>
          </w:tcPr>
          <w:p>
            <w:pPr>
              <w:jc w:val="center"/>
              <w:rPr>
                <w:color w:val="auto"/>
                <w:szCs w:val="21"/>
                <w:highlight w:val="none"/>
              </w:rPr>
            </w:pPr>
            <w:r>
              <w:rPr>
                <w:rFonts w:hint="eastAsia"/>
                <w:color w:val="auto"/>
                <w:szCs w:val="21"/>
                <w:highlight w:val="none"/>
              </w:rPr>
              <w:t>COD</w:t>
            </w:r>
            <w:r>
              <w:rPr>
                <w:rFonts w:hint="eastAsia"/>
                <w:color w:val="auto"/>
                <w:szCs w:val="21"/>
                <w:highlight w:val="none"/>
                <w:vertAlign w:val="subscript"/>
              </w:rPr>
              <w:t>cr</w:t>
            </w:r>
          </w:p>
        </w:tc>
        <w:tc>
          <w:tcPr>
            <w:tcW w:w="933"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500</w:t>
            </w:r>
          </w:p>
        </w:tc>
        <w:tc>
          <w:tcPr>
            <w:tcW w:w="1034" w:type="dxa"/>
            <w:tcBorders>
              <w:tl2br w:val="nil"/>
              <w:tr2bl w:val="nil"/>
            </w:tcBorders>
            <w:vAlign w:val="center"/>
          </w:tcPr>
          <w:p>
            <w:pPr>
              <w:jc w:val="center"/>
              <w:rPr>
                <w:color w:val="auto"/>
                <w:szCs w:val="21"/>
                <w:highlight w:val="none"/>
              </w:rPr>
            </w:pPr>
            <w:r>
              <w:rPr>
                <w:color w:val="auto"/>
                <w:szCs w:val="21"/>
                <w:highlight w:val="none"/>
              </w:rPr>
              <w:t>mg/L</w:t>
            </w:r>
          </w:p>
        </w:tc>
        <w:tc>
          <w:tcPr>
            <w:tcW w:w="1900" w:type="dxa"/>
            <w:vMerge w:val="continue"/>
            <w:tcBorders>
              <w:tl2br w:val="nil"/>
              <w:tr2bl w:val="nil"/>
            </w:tcBorders>
            <w:vAlign w:val="center"/>
          </w:tcPr>
          <w:p>
            <w:pPr>
              <w:jc w:val="center"/>
              <w:rPr>
                <w:b/>
                <w:color w:val="auto"/>
                <w:szCs w:val="21"/>
                <w:highlight w:val="none"/>
              </w:rPr>
            </w:pPr>
          </w:p>
        </w:tc>
        <w:tc>
          <w:tcPr>
            <w:tcW w:w="3128" w:type="dxa"/>
            <w:vMerge w:val="continue"/>
            <w:tcBorders>
              <w:tl2br w:val="nil"/>
              <w:tr2bl w:val="nil"/>
            </w:tcBorders>
            <w:vAlign w:val="center"/>
          </w:tcPr>
          <w:p>
            <w:pPr>
              <w:jc w:val="center"/>
              <w:rPr>
                <w:b/>
                <w:color w:val="auto"/>
                <w:szCs w:val="21"/>
                <w:highlight w:val="none"/>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1209" w:type="dxa"/>
            <w:vMerge w:val="continue"/>
            <w:tcBorders>
              <w:tl2br w:val="nil"/>
              <w:tr2bl w:val="nil"/>
            </w:tcBorders>
            <w:vAlign w:val="center"/>
          </w:tcPr>
          <w:p>
            <w:pPr>
              <w:jc w:val="center"/>
              <w:rPr>
                <w:color w:val="auto"/>
                <w:szCs w:val="21"/>
                <w:highlight w:val="none"/>
              </w:rPr>
            </w:pPr>
          </w:p>
        </w:tc>
        <w:tc>
          <w:tcPr>
            <w:tcW w:w="1083" w:type="dxa"/>
            <w:tcBorders>
              <w:tl2br w:val="nil"/>
              <w:tr2bl w:val="nil"/>
            </w:tcBorders>
            <w:vAlign w:val="center"/>
          </w:tcPr>
          <w:p>
            <w:pPr>
              <w:jc w:val="center"/>
              <w:rPr>
                <w:rFonts w:hint="eastAsia"/>
                <w:color w:val="auto"/>
                <w:szCs w:val="21"/>
                <w:highlight w:val="none"/>
              </w:rPr>
            </w:pPr>
            <w:r>
              <w:rPr>
                <w:rFonts w:hint="eastAsia"/>
                <w:color w:val="auto"/>
                <w:szCs w:val="21"/>
                <w:highlight w:val="none"/>
              </w:rPr>
              <w:t>石油类</w:t>
            </w:r>
          </w:p>
        </w:tc>
        <w:tc>
          <w:tcPr>
            <w:tcW w:w="933"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15</w:t>
            </w:r>
          </w:p>
        </w:tc>
        <w:tc>
          <w:tcPr>
            <w:tcW w:w="1034" w:type="dxa"/>
            <w:tcBorders>
              <w:tl2br w:val="nil"/>
              <w:tr2bl w:val="nil"/>
            </w:tcBorders>
            <w:vAlign w:val="center"/>
          </w:tcPr>
          <w:p>
            <w:pPr>
              <w:jc w:val="center"/>
              <w:rPr>
                <w:color w:val="auto"/>
                <w:szCs w:val="21"/>
                <w:highlight w:val="none"/>
              </w:rPr>
            </w:pPr>
            <w:r>
              <w:rPr>
                <w:color w:val="auto"/>
                <w:szCs w:val="21"/>
                <w:highlight w:val="none"/>
              </w:rPr>
              <w:t>mg/L</w:t>
            </w:r>
          </w:p>
        </w:tc>
        <w:tc>
          <w:tcPr>
            <w:tcW w:w="1900" w:type="dxa"/>
            <w:vMerge w:val="continue"/>
            <w:tcBorders>
              <w:tl2br w:val="nil"/>
              <w:tr2bl w:val="nil"/>
            </w:tcBorders>
            <w:vAlign w:val="center"/>
          </w:tcPr>
          <w:p>
            <w:pPr>
              <w:jc w:val="center"/>
              <w:rPr>
                <w:b/>
                <w:color w:val="auto"/>
                <w:szCs w:val="21"/>
                <w:highlight w:val="none"/>
              </w:rPr>
            </w:pPr>
          </w:p>
        </w:tc>
        <w:tc>
          <w:tcPr>
            <w:tcW w:w="3128" w:type="dxa"/>
            <w:vMerge w:val="continue"/>
            <w:tcBorders>
              <w:tl2br w:val="nil"/>
              <w:tr2bl w:val="nil"/>
            </w:tcBorders>
            <w:vAlign w:val="center"/>
          </w:tcPr>
          <w:p>
            <w:pPr>
              <w:jc w:val="center"/>
              <w:rPr>
                <w:b/>
                <w:color w:val="auto"/>
                <w:szCs w:val="21"/>
                <w:highlight w:val="none"/>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1209" w:type="dxa"/>
            <w:vMerge w:val="continue"/>
            <w:tcBorders>
              <w:tl2br w:val="nil"/>
              <w:tr2bl w:val="nil"/>
            </w:tcBorders>
            <w:vAlign w:val="center"/>
          </w:tcPr>
          <w:p>
            <w:pPr>
              <w:jc w:val="center"/>
              <w:rPr>
                <w:color w:val="auto"/>
                <w:szCs w:val="21"/>
                <w:highlight w:val="none"/>
              </w:rPr>
            </w:pPr>
          </w:p>
        </w:tc>
        <w:tc>
          <w:tcPr>
            <w:tcW w:w="1083" w:type="dxa"/>
            <w:tcBorders>
              <w:tl2br w:val="nil"/>
              <w:tr2bl w:val="nil"/>
            </w:tcBorders>
            <w:vAlign w:val="center"/>
          </w:tcPr>
          <w:p>
            <w:pPr>
              <w:jc w:val="center"/>
              <w:rPr>
                <w:rFonts w:hint="eastAsia" w:eastAsia="宋体"/>
                <w:color w:val="auto"/>
                <w:szCs w:val="21"/>
                <w:highlight w:val="none"/>
                <w:lang w:eastAsia="zh-CN"/>
              </w:rPr>
            </w:pPr>
            <w:r>
              <w:rPr>
                <w:rFonts w:hint="eastAsia"/>
                <w:color w:val="auto"/>
                <w:szCs w:val="21"/>
                <w:highlight w:val="none"/>
              </w:rPr>
              <w:t>总</w:t>
            </w:r>
            <w:r>
              <w:rPr>
                <w:rFonts w:hint="eastAsia"/>
                <w:color w:val="auto"/>
                <w:szCs w:val="21"/>
                <w:highlight w:val="none"/>
                <w:lang w:eastAsia="zh-CN"/>
              </w:rPr>
              <w:t>氮</w:t>
            </w:r>
          </w:p>
        </w:tc>
        <w:tc>
          <w:tcPr>
            <w:tcW w:w="933" w:type="dxa"/>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70</w:t>
            </w:r>
          </w:p>
        </w:tc>
        <w:tc>
          <w:tcPr>
            <w:tcW w:w="1034" w:type="dxa"/>
            <w:tcBorders>
              <w:tl2br w:val="nil"/>
              <w:tr2bl w:val="nil"/>
            </w:tcBorders>
            <w:vAlign w:val="center"/>
          </w:tcPr>
          <w:p>
            <w:pPr>
              <w:jc w:val="center"/>
              <w:rPr>
                <w:color w:val="auto"/>
                <w:szCs w:val="21"/>
                <w:highlight w:val="none"/>
              </w:rPr>
            </w:pPr>
            <w:r>
              <w:rPr>
                <w:color w:val="auto"/>
                <w:szCs w:val="21"/>
                <w:highlight w:val="none"/>
              </w:rPr>
              <w:t>mg/L</w:t>
            </w:r>
          </w:p>
        </w:tc>
        <w:tc>
          <w:tcPr>
            <w:tcW w:w="1900" w:type="dxa"/>
            <w:vMerge w:val="continue"/>
            <w:tcBorders>
              <w:tl2br w:val="nil"/>
              <w:tr2bl w:val="nil"/>
            </w:tcBorders>
            <w:vAlign w:val="center"/>
          </w:tcPr>
          <w:p>
            <w:pPr>
              <w:jc w:val="center"/>
              <w:rPr>
                <w:b/>
                <w:color w:val="auto"/>
                <w:szCs w:val="21"/>
                <w:highlight w:val="none"/>
              </w:rPr>
            </w:pPr>
          </w:p>
        </w:tc>
        <w:tc>
          <w:tcPr>
            <w:tcW w:w="3128" w:type="dxa"/>
            <w:vMerge w:val="continue"/>
            <w:tcBorders>
              <w:tl2br w:val="nil"/>
              <w:tr2bl w:val="nil"/>
            </w:tcBorders>
            <w:vAlign w:val="center"/>
          </w:tcPr>
          <w:p>
            <w:pPr>
              <w:jc w:val="center"/>
              <w:rPr>
                <w:b/>
                <w:color w:val="auto"/>
                <w:szCs w:val="21"/>
                <w:highlight w:val="none"/>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1209" w:type="dxa"/>
            <w:vMerge w:val="continue"/>
            <w:tcBorders>
              <w:tl2br w:val="nil"/>
              <w:tr2bl w:val="nil"/>
            </w:tcBorders>
            <w:vAlign w:val="center"/>
          </w:tcPr>
          <w:p>
            <w:pPr>
              <w:jc w:val="center"/>
              <w:rPr>
                <w:color w:val="auto"/>
                <w:szCs w:val="21"/>
                <w:highlight w:val="none"/>
              </w:rPr>
            </w:pPr>
          </w:p>
        </w:tc>
        <w:tc>
          <w:tcPr>
            <w:tcW w:w="1083" w:type="dxa"/>
            <w:tcBorders>
              <w:tl2br w:val="nil"/>
              <w:tr2bl w:val="nil"/>
            </w:tcBorders>
            <w:vAlign w:val="center"/>
          </w:tcPr>
          <w:p>
            <w:pPr>
              <w:jc w:val="center"/>
              <w:rPr>
                <w:rFonts w:hint="eastAsia"/>
                <w:color w:val="auto"/>
                <w:szCs w:val="21"/>
                <w:highlight w:val="none"/>
              </w:rPr>
            </w:pPr>
            <w:r>
              <w:rPr>
                <w:rFonts w:hint="eastAsia"/>
                <w:color w:val="auto"/>
                <w:szCs w:val="21"/>
                <w:highlight w:val="none"/>
              </w:rPr>
              <w:t>总</w:t>
            </w:r>
            <w:r>
              <w:rPr>
                <w:rFonts w:hint="eastAsia"/>
                <w:color w:val="auto"/>
                <w:szCs w:val="21"/>
                <w:highlight w:val="none"/>
                <w:lang w:eastAsia="zh-CN"/>
              </w:rPr>
              <w:t>铜</w:t>
            </w:r>
          </w:p>
        </w:tc>
        <w:tc>
          <w:tcPr>
            <w:tcW w:w="933" w:type="dxa"/>
            <w:tcBorders>
              <w:tl2br w:val="nil"/>
              <w:tr2bl w:val="nil"/>
            </w:tcBorders>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2</w:t>
            </w:r>
          </w:p>
        </w:tc>
        <w:tc>
          <w:tcPr>
            <w:tcW w:w="1034" w:type="dxa"/>
            <w:tcBorders>
              <w:tl2br w:val="nil"/>
              <w:tr2bl w:val="nil"/>
            </w:tcBorders>
            <w:vAlign w:val="center"/>
          </w:tcPr>
          <w:p>
            <w:pPr>
              <w:jc w:val="center"/>
              <w:rPr>
                <w:color w:val="auto"/>
                <w:szCs w:val="21"/>
                <w:highlight w:val="none"/>
              </w:rPr>
            </w:pPr>
            <w:r>
              <w:rPr>
                <w:color w:val="auto"/>
                <w:szCs w:val="21"/>
                <w:highlight w:val="none"/>
              </w:rPr>
              <w:t>mg/L</w:t>
            </w:r>
          </w:p>
        </w:tc>
        <w:tc>
          <w:tcPr>
            <w:tcW w:w="1900" w:type="dxa"/>
            <w:vMerge w:val="continue"/>
            <w:tcBorders>
              <w:tl2br w:val="nil"/>
              <w:tr2bl w:val="nil"/>
            </w:tcBorders>
            <w:vAlign w:val="center"/>
          </w:tcPr>
          <w:p>
            <w:pPr>
              <w:jc w:val="center"/>
              <w:rPr>
                <w:b/>
                <w:color w:val="auto"/>
                <w:szCs w:val="21"/>
                <w:highlight w:val="none"/>
              </w:rPr>
            </w:pPr>
          </w:p>
        </w:tc>
        <w:tc>
          <w:tcPr>
            <w:tcW w:w="3128" w:type="dxa"/>
            <w:vMerge w:val="continue"/>
            <w:tcBorders>
              <w:tl2br w:val="nil"/>
              <w:tr2bl w:val="nil"/>
            </w:tcBorders>
            <w:vAlign w:val="center"/>
          </w:tcPr>
          <w:p>
            <w:pPr>
              <w:jc w:val="center"/>
              <w:rPr>
                <w:b/>
                <w:color w:val="auto"/>
                <w:szCs w:val="21"/>
                <w:highlight w:val="none"/>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1209" w:type="dxa"/>
            <w:vMerge w:val="continue"/>
            <w:tcBorders>
              <w:tl2br w:val="nil"/>
              <w:tr2bl w:val="nil"/>
            </w:tcBorders>
            <w:vAlign w:val="center"/>
          </w:tcPr>
          <w:p>
            <w:pPr>
              <w:jc w:val="center"/>
              <w:rPr>
                <w:color w:val="auto"/>
                <w:szCs w:val="21"/>
                <w:highlight w:val="none"/>
              </w:rPr>
            </w:pPr>
          </w:p>
        </w:tc>
        <w:tc>
          <w:tcPr>
            <w:tcW w:w="1083" w:type="dxa"/>
            <w:tcBorders>
              <w:tl2br w:val="nil"/>
              <w:tr2bl w:val="nil"/>
            </w:tcBorders>
            <w:vAlign w:val="center"/>
          </w:tcPr>
          <w:p>
            <w:pPr>
              <w:jc w:val="center"/>
              <w:rPr>
                <w:rFonts w:hint="eastAsia" w:eastAsia="宋体"/>
                <w:color w:val="auto"/>
                <w:szCs w:val="21"/>
                <w:highlight w:val="none"/>
                <w:lang w:val="en-US" w:eastAsia="zh-CN"/>
              </w:rPr>
            </w:pPr>
            <w:r>
              <w:rPr>
                <w:rFonts w:hint="eastAsia"/>
                <w:color w:val="auto"/>
                <w:szCs w:val="21"/>
                <w:highlight w:val="none"/>
              </w:rPr>
              <w:t>总</w:t>
            </w:r>
            <w:r>
              <w:rPr>
                <w:rFonts w:hint="eastAsia"/>
                <w:color w:val="auto"/>
                <w:szCs w:val="21"/>
                <w:highlight w:val="none"/>
                <w:lang w:eastAsia="zh-CN"/>
              </w:rPr>
              <w:t>锌</w:t>
            </w:r>
          </w:p>
        </w:tc>
        <w:tc>
          <w:tcPr>
            <w:tcW w:w="933" w:type="dxa"/>
            <w:tcBorders>
              <w:tl2br w:val="nil"/>
              <w:tr2bl w:val="nil"/>
            </w:tcBorders>
            <w:vAlign w:val="center"/>
          </w:tcPr>
          <w:p>
            <w:pPr>
              <w:jc w:val="center"/>
              <w:rPr>
                <w:rFonts w:hint="eastAsia" w:eastAsia="宋体"/>
                <w:color w:val="auto"/>
                <w:szCs w:val="21"/>
                <w:highlight w:val="none"/>
                <w:lang w:eastAsia="zh-CN"/>
              </w:rPr>
            </w:pPr>
            <w:r>
              <w:rPr>
                <w:rFonts w:hint="eastAsia"/>
                <w:color w:val="auto"/>
                <w:szCs w:val="21"/>
                <w:highlight w:val="none"/>
                <w:lang w:val="en-US" w:eastAsia="zh-CN"/>
              </w:rPr>
              <w:t>5</w:t>
            </w:r>
          </w:p>
        </w:tc>
        <w:tc>
          <w:tcPr>
            <w:tcW w:w="1034" w:type="dxa"/>
            <w:tcBorders>
              <w:tl2br w:val="nil"/>
              <w:tr2bl w:val="nil"/>
            </w:tcBorders>
            <w:vAlign w:val="center"/>
          </w:tcPr>
          <w:p>
            <w:pPr>
              <w:jc w:val="center"/>
              <w:rPr>
                <w:color w:val="auto"/>
                <w:szCs w:val="21"/>
                <w:highlight w:val="none"/>
              </w:rPr>
            </w:pPr>
            <w:r>
              <w:rPr>
                <w:color w:val="auto"/>
                <w:szCs w:val="21"/>
                <w:highlight w:val="none"/>
              </w:rPr>
              <w:t>mg/L</w:t>
            </w:r>
          </w:p>
        </w:tc>
        <w:tc>
          <w:tcPr>
            <w:tcW w:w="1900" w:type="dxa"/>
            <w:vMerge w:val="continue"/>
            <w:tcBorders>
              <w:tl2br w:val="nil"/>
              <w:tr2bl w:val="nil"/>
            </w:tcBorders>
            <w:vAlign w:val="center"/>
          </w:tcPr>
          <w:p>
            <w:pPr>
              <w:jc w:val="center"/>
              <w:rPr>
                <w:b/>
                <w:color w:val="auto"/>
                <w:szCs w:val="21"/>
                <w:highlight w:val="none"/>
              </w:rPr>
            </w:pPr>
          </w:p>
        </w:tc>
        <w:tc>
          <w:tcPr>
            <w:tcW w:w="3128" w:type="dxa"/>
            <w:vMerge w:val="continue"/>
            <w:tcBorders>
              <w:tl2br w:val="nil"/>
              <w:tr2bl w:val="nil"/>
            </w:tcBorders>
            <w:vAlign w:val="center"/>
          </w:tcPr>
          <w:p>
            <w:pPr>
              <w:jc w:val="center"/>
              <w:rPr>
                <w:b/>
                <w:color w:val="auto"/>
                <w:szCs w:val="21"/>
                <w:highlight w:val="none"/>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1209" w:type="dxa"/>
            <w:vMerge w:val="continue"/>
            <w:tcBorders>
              <w:tl2br w:val="nil"/>
              <w:tr2bl w:val="nil"/>
            </w:tcBorders>
            <w:vAlign w:val="center"/>
          </w:tcPr>
          <w:p>
            <w:pPr>
              <w:jc w:val="center"/>
              <w:rPr>
                <w:color w:val="auto"/>
                <w:szCs w:val="21"/>
                <w:highlight w:val="none"/>
              </w:rPr>
            </w:pPr>
          </w:p>
        </w:tc>
        <w:tc>
          <w:tcPr>
            <w:tcW w:w="1083" w:type="dxa"/>
            <w:tcBorders>
              <w:tl2br w:val="nil"/>
              <w:tr2bl w:val="nil"/>
            </w:tcBorders>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eastAsia="zh-CN"/>
              </w:rPr>
              <w:t>总银</w:t>
            </w:r>
          </w:p>
        </w:tc>
        <w:tc>
          <w:tcPr>
            <w:tcW w:w="933" w:type="dxa"/>
            <w:tcBorders>
              <w:tl2br w:val="nil"/>
              <w:tr2bl w:val="nil"/>
            </w:tcBorders>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0.3</w:t>
            </w:r>
          </w:p>
        </w:tc>
        <w:tc>
          <w:tcPr>
            <w:tcW w:w="1034" w:type="dxa"/>
            <w:tcBorders>
              <w:tl2br w:val="nil"/>
              <w:tr2bl w:val="nil"/>
            </w:tcBorders>
            <w:vAlign w:val="center"/>
          </w:tcPr>
          <w:p>
            <w:pPr>
              <w:jc w:val="center"/>
              <w:rPr>
                <w:rFonts w:ascii="Times New Roman" w:hAnsi="Times New Roman" w:eastAsia="宋体" w:cs="Times New Roman"/>
                <w:color w:val="auto"/>
                <w:kern w:val="2"/>
                <w:sz w:val="21"/>
                <w:szCs w:val="21"/>
                <w:highlight w:val="none"/>
                <w:lang w:val="en-US" w:eastAsia="zh-CN" w:bidi="ar-SA"/>
              </w:rPr>
            </w:pPr>
            <w:r>
              <w:rPr>
                <w:color w:val="auto"/>
                <w:szCs w:val="21"/>
                <w:highlight w:val="none"/>
              </w:rPr>
              <w:t>mg/L</w:t>
            </w:r>
          </w:p>
        </w:tc>
        <w:tc>
          <w:tcPr>
            <w:tcW w:w="1900" w:type="dxa"/>
            <w:tcBorders>
              <w:tl2br w:val="nil"/>
              <w:tr2bl w:val="nil"/>
            </w:tcBorders>
            <w:vAlign w:val="center"/>
          </w:tcPr>
          <w:p>
            <w:pPr>
              <w:jc w:val="center"/>
              <w:rPr>
                <w:b/>
                <w:color w:val="auto"/>
                <w:szCs w:val="21"/>
                <w:highlight w:val="none"/>
              </w:rPr>
            </w:pPr>
            <w:r>
              <w:rPr>
                <w:rFonts w:hint="eastAsia"/>
                <w:color w:val="auto"/>
                <w:highlight w:val="none"/>
              </w:rPr>
              <w:t>GB21900-2008表2</w:t>
            </w:r>
          </w:p>
        </w:tc>
        <w:tc>
          <w:tcPr>
            <w:tcW w:w="3128" w:type="dxa"/>
            <w:vMerge w:val="restart"/>
            <w:tcBorders>
              <w:tl2br w:val="nil"/>
              <w:tr2bl w:val="nil"/>
            </w:tcBorders>
            <w:vAlign w:val="center"/>
          </w:tcPr>
          <w:p>
            <w:pPr>
              <w:jc w:val="center"/>
              <w:rPr>
                <w:b/>
                <w:color w:val="auto"/>
                <w:szCs w:val="21"/>
                <w:highlight w:val="none"/>
              </w:rPr>
            </w:pPr>
            <w:r>
              <w:rPr>
                <w:rFonts w:hint="eastAsia"/>
                <w:color w:val="auto"/>
                <w:szCs w:val="21"/>
                <w:highlight w:val="none"/>
                <w:lang w:val="en-US" w:eastAsia="zh-CN"/>
              </w:rPr>
              <w:t>园区综合</w:t>
            </w:r>
            <w:r>
              <w:rPr>
                <w:color w:val="auto"/>
                <w:szCs w:val="21"/>
                <w:highlight w:val="none"/>
              </w:rPr>
              <w:t>废水处理设施排放口</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1209" w:type="dxa"/>
            <w:vMerge w:val="continue"/>
            <w:tcBorders>
              <w:tl2br w:val="nil"/>
              <w:tr2bl w:val="nil"/>
            </w:tcBorders>
            <w:vAlign w:val="center"/>
          </w:tcPr>
          <w:p>
            <w:pPr>
              <w:jc w:val="center"/>
              <w:rPr>
                <w:color w:val="auto"/>
                <w:szCs w:val="21"/>
                <w:highlight w:val="none"/>
              </w:rPr>
            </w:pPr>
          </w:p>
        </w:tc>
        <w:tc>
          <w:tcPr>
            <w:tcW w:w="1083" w:type="dxa"/>
            <w:tcBorders>
              <w:tl2br w:val="nil"/>
              <w:tr2bl w:val="nil"/>
            </w:tcBorders>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eastAsia="zh-CN"/>
              </w:rPr>
              <w:t>总锡</w:t>
            </w:r>
          </w:p>
        </w:tc>
        <w:tc>
          <w:tcPr>
            <w:tcW w:w="933" w:type="dxa"/>
            <w:tcBorders>
              <w:tl2br w:val="nil"/>
              <w:tr2bl w:val="nil"/>
            </w:tcBorders>
            <w:vAlign w:val="center"/>
          </w:tcPr>
          <w:p>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5.0</w:t>
            </w:r>
          </w:p>
        </w:tc>
        <w:tc>
          <w:tcPr>
            <w:tcW w:w="1034" w:type="dxa"/>
            <w:tcBorders>
              <w:tl2br w:val="nil"/>
              <w:tr2bl w:val="nil"/>
            </w:tcBorders>
            <w:vAlign w:val="center"/>
          </w:tcPr>
          <w:p>
            <w:pPr>
              <w:jc w:val="center"/>
              <w:rPr>
                <w:rFonts w:ascii="Times New Roman" w:hAnsi="Times New Roman" w:eastAsia="宋体" w:cs="Times New Roman"/>
                <w:color w:val="auto"/>
                <w:kern w:val="2"/>
                <w:sz w:val="21"/>
                <w:szCs w:val="21"/>
                <w:highlight w:val="none"/>
                <w:lang w:val="en-US" w:eastAsia="zh-CN" w:bidi="ar-SA"/>
              </w:rPr>
            </w:pPr>
            <w:r>
              <w:rPr>
                <w:color w:val="auto"/>
                <w:szCs w:val="21"/>
                <w:highlight w:val="none"/>
              </w:rPr>
              <w:t>mg/L</w:t>
            </w:r>
          </w:p>
        </w:tc>
        <w:tc>
          <w:tcPr>
            <w:tcW w:w="1900" w:type="dxa"/>
            <w:tcBorders>
              <w:tl2br w:val="nil"/>
              <w:tr2bl w:val="nil"/>
            </w:tcBorders>
            <w:vAlign w:val="center"/>
          </w:tcPr>
          <w:p>
            <w:pPr>
              <w:jc w:val="center"/>
              <w:rPr>
                <w:rFonts w:hint="eastAsia" w:ascii="Times New Roman" w:hAnsi="Times New Roman" w:eastAsia="宋体" w:cs="Times New Roman"/>
                <w:b/>
                <w:color w:val="auto"/>
                <w:kern w:val="2"/>
                <w:sz w:val="21"/>
                <w:szCs w:val="21"/>
                <w:highlight w:val="none"/>
                <w:lang w:val="en-US" w:eastAsia="zh-CN" w:bidi="ar-SA"/>
              </w:rPr>
            </w:pPr>
            <w:r>
              <w:rPr>
                <w:rFonts w:hint="eastAsia"/>
                <w:color w:val="auto"/>
                <w:szCs w:val="21"/>
                <w:highlight w:val="none"/>
              </w:rPr>
              <w:t>DB31/199-2009</w:t>
            </w:r>
          </w:p>
        </w:tc>
        <w:tc>
          <w:tcPr>
            <w:tcW w:w="3128" w:type="dxa"/>
            <w:vMerge w:val="continue"/>
            <w:tcBorders>
              <w:tl2br w:val="nil"/>
              <w:tr2bl w:val="nil"/>
            </w:tcBorders>
            <w:vAlign w:val="center"/>
          </w:tcPr>
          <w:p>
            <w:pPr>
              <w:jc w:val="center"/>
              <w:rPr>
                <w:rFonts w:hint="eastAsia" w:ascii="Times New Roman" w:hAnsi="Times New Roman" w:eastAsia="宋体" w:cs="Times New Roman"/>
                <w:color w:val="auto"/>
                <w:kern w:val="2"/>
                <w:sz w:val="21"/>
                <w:szCs w:val="21"/>
                <w:highlight w:val="none"/>
                <w:lang w:val="en-US" w:eastAsia="zh-CN" w:bidi="ar-SA"/>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1209" w:type="dxa"/>
            <w:vMerge w:val="continue"/>
            <w:tcBorders>
              <w:tl2br w:val="nil"/>
              <w:tr2bl w:val="nil"/>
            </w:tcBorders>
            <w:vAlign w:val="center"/>
          </w:tcPr>
          <w:p>
            <w:pPr>
              <w:jc w:val="center"/>
              <w:rPr>
                <w:color w:val="auto"/>
                <w:szCs w:val="21"/>
                <w:highlight w:val="none"/>
              </w:rPr>
            </w:pPr>
          </w:p>
        </w:tc>
        <w:tc>
          <w:tcPr>
            <w:tcW w:w="1083" w:type="dxa"/>
            <w:tcBorders>
              <w:tl2br w:val="nil"/>
              <w:tr2bl w:val="nil"/>
            </w:tcBorders>
            <w:vAlign w:val="center"/>
          </w:tcPr>
          <w:p>
            <w:pPr>
              <w:jc w:val="center"/>
              <w:rPr>
                <w:color w:val="auto"/>
                <w:szCs w:val="21"/>
                <w:highlight w:val="none"/>
              </w:rPr>
            </w:pPr>
            <w:r>
              <w:rPr>
                <w:rFonts w:hint="eastAsia"/>
                <w:color w:val="auto"/>
                <w:szCs w:val="21"/>
                <w:highlight w:val="none"/>
              </w:rPr>
              <w:t>总铬</w:t>
            </w:r>
          </w:p>
        </w:tc>
        <w:tc>
          <w:tcPr>
            <w:tcW w:w="933" w:type="dxa"/>
            <w:tcBorders>
              <w:tl2br w:val="nil"/>
              <w:tr2bl w:val="nil"/>
            </w:tcBorders>
            <w:vAlign w:val="center"/>
          </w:tcPr>
          <w:p>
            <w:pPr>
              <w:jc w:val="center"/>
              <w:rPr>
                <w:color w:val="auto"/>
                <w:szCs w:val="21"/>
                <w:highlight w:val="none"/>
              </w:rPr>
            </w:pPr>
            <w:r>
              <w:rPr>
                <w:rFonts w:hint="eastAsia"/>
                <w:color w:val="auto"/>
                <w:szCs w:val="21"/>
                <w:highlight w:val="none"/>
              </w:rPr>
              <w:t>1.0</w:t>
            </w:r>
          </w:p>
        </w:tc>
        <w:tc>
          <w:tcPr>
            <w:tcW w:w="1034" w:type="dxa"/>
            <w:tcBorders>
              <w:tl2br w:val="nil"/>
              <w:tr2bl w:val="nil"/>
            </w:tcBorders>
            <w:vAlign w:val="center"/>
          </w:tcPr>
          <w:p>
            <w:pPr>
              <w:jc w:val="center"/>
              <w:rPr>
                <w:color w:val="auto"/>
                <w:szCs w:val="21"/>
                <w:highlight w:val="none"/>
              </w:rPr>
            </w:pPr>
            <w:r>
              <w:rPr>
                <w:color w:val="auto"/>
                <w:szCs w:val="21"/>
                <w:highlight w:val="none"/>
              </w:rPr>
              <w:t>mg/L</w:t>
            </w:r>
          </w:p>
        </w:tc>
        <w:tc>
          <w:tcPr>
            <w:tcW w:w="1900" w:type="dxa"/>
            <w:vMerge w:val="restart"/>
            <w:tcBorders>
              <w:tl2br w:val="nil"/>
              <w:tr2bl w:val="nil"/>
            </w:tcBorders>
            <w:vAlign w:val="center"/>
          </w:tcPr>
          <w:p>
            <w:pPr>
              <w:jc w:val="center"/>
              <w:rPr>
                <w:b/>
                <w:color w:val="auto"/>
                <w:szCs w:val="21"/>
                <w:highlight w:val="none"/>
              </w:rPr>
            </w:pPr>
            <w:r>
              <w:rPr>
                <w:rFonts w:hint="eastAsia"/>
                <w:color w:val="auto"/>
                <w:highlight w:val="none"/>
              </w:rPr>
              <w:t>GB21900-2008表2</w:t>
            </w:r>
          </w:p>
        </w:tc>
        <w:tc>
          <w:tcPr>
            <w:tcW w:w="3128" w:type="dxa"/>
            <w:vMerge w:val="restart"/>
            <w:tcBorders>
              <w:tl2br w:val="nil"/>
              <w:tr2bl w:val="nil"/>
            </w:tcBorders>
            <w:vAlign w:val="center"/>
          </w:tcPr>
          <w:p>
            <w:pPr>
              <w:jc w:val="center"/>
              <w:rPr>
                <w:color w:val="auto"/>
                <w:szCs w:val="21"/>
                <w:highlight w:val="none"/>
              </w:rPr>
            </w:pPr>
            <w:r>
              <w:rPr>
                <w:rFonts w:hint="eastAsia"/>
                <w:color w:val="auto"/>
                <w:szCs w:val="21"/>
                <w:highlight w:val="none"/>
                <w:lang w:val="en-US" w:eastAsia="zh-CN"/>
              </w:rPr>
              <w:t>园区</w:t>
            </w:r>
            <w:r>
              <w:rPr>
                <w:color w:val="auto"/>
                <w:szCs w:val="21"/>
                <w:highlight w:val="none"/>
              </w:rPr>
              <w:t>含</w:t>
            </w:r>
            <w:r>
              <w:rPr>
                <w:rFonts w:hint="eastAsia"/>
                <w:color w:val="auto"/>
                <w:szCs w:val="21"/>
                <w:highlight w:val="none"/>
                <w:lang w:val="en-US" w:eastAsia="zh-CN"/>
              </w:rPr>
              <w:t>铬</w:t>
            </w:r>
            <w:r>
              <w:rPr>
                <w:color w:val="auto"/>
                <w:szCs w:val="21"/>
                <w:highlight w:val="none"/>
              </w:rPr>
              <w:t>废水处理设施排放口</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1209" w:type="dxa"/>
            <w:vMerge w:val="continue"/>
            <w:tcBorders>
              <w:tl2br w:val="nil"/>
              <w:tr2bl w:val="nil"/>
            </w:tcBorders>
            <w:vAlign w:val="center"/>
          </w:tcPr>
          <w:p>
            <w:pPr>
              <w:jc w:val="center"/>
              <w:rPr>
                <w:color w:val="auto"/>
                <w:szCs w:val="21"/>
                <w:highlight w:val="none"/>
              </w:rPr>
            </w:pPr>
          </w:p>
        </w:tc>
        <w:tc>
          <w:tcPr>
            <w:tcW w:w="1083" w:type="dxa"/>
            <w:tcBorders>
              <w:tl2br w:val="nil"/>
              <w:tr2bl w:val="nil"/>
            </w:tcBorders>
            <w:vAlign w:val="center"/>
          </w:tcPr>
          <w:p>
            <w:pPr>
              <w:jc w:val="center"/>
              <w:rPr>
                <w:rFonts w:hint="eastAsia"/>
                <w:color w:val="auto"/>
                <w:szCs w:val="21"/>
                <w:highlight w:val="none"/>
              </w:rPr>
            </w:pPr>
            <w:r>
              <w:rPr>
                <w:rFonts w:hint="eastAsia"/>
                <w:color w:val="auto"/>
                <w:szCs w:val="21"/>
                <w:highlight w:val="none"/>
              </w:rPr>
              <w:t>六价铬</w:t>
            </w:r>
          </w:p>
        </w:tc>
        <w:tc>
          <w:tcPr>
            <w:tcW w:w="933" w:type="dxa"/>
            <w:tcBorders>
              <w:tl2br w:val="nil"/>
              <w:tr2bl w:val="nil"/>
            </w:tcBorders>
            <w:vAlign w:val="center"/>
          </w:tcPr>
          <w:p>
            <w:pPr>
              <w:jc w:val="center"/>
              <w:rPr>
                <w:rFonts w:hint="eastAsia"/>
                <w:color w:val="auto"/>
                <w:szCs w:val="21"/>
                <w:highlight w:val="none"/>
              </w:rPr>
            </w:pPr>
            <w:r>
              <w:rPr>
                <w:rFonts w:hint="eastAsia"/>
                <w:color w:val="auto"/>
                <w:szCs w:val="21"/>
                <w:highlight w:val="none"/>
              </w:rPr>
              <w:t>0.2</w:t>
            </w:r>
          </w:p>
        </w:tc>
        <w:tc>
          <w:tcPr>
            <w:tcW w:w="1034" w:type="dxa"/>
            <w:tcBorders>
              <w:tl2br w:val="nil"/>
              <w:tr2bl w:val="nil"/>
            </w:tcBorders>
            <w:vAlign w:val="center"/>
          </w:tcPr>
          <w:p>
            <w:pPr>
              <w:jc w:val="center"/>
              <w:rPr>
                <w:color w:val="auto"/>
                <w:szCs w:val="21"/>
                <w:highlight w:val="none"/>
              </w:rPr>
            </w:pPr>
            <w:r>
              <w:rPr>
                <w:color w:val="auto"/>
                <w:szCs w:val="21"/>
                <w:highlight w:val="none"/>
              </w:rPr>
              <w:t>mg/L</w:t>
            </w:r>
          </w:p>
        </w:tc>
        <w:tc>
          <w:tcPr>
            <w:tcW w:w="1900" w:type="dxa"/>
            <w:vMerge w:val="continue"/>
            <w:tcBorders>
              <w:tl2br w:val="nil"/>
              <w:tr2bl w:val="nil"/>
            </w:tcBorders>
            <w:vAlign w:val="center"/>
          </w:tcPr>
          <w:p>
            <w:pPr>
              <w:jc w:val="center"/>
              <w:rPr>
                <w:color w:val="auto"/>
                <w:szCs w:val="21"/>
                <w:highlight w:val="none"/>
              </w:rPr>
            </w:pPr>
          </w:p>
        </w:tc>
        <w:tc>
          <w:tcPr>
            <w:tcW w:w="3128" w:type="dxa"/>
            <w:vMerge w:val="continue"/>
            <w:tcBorders>
              <w:tl2br w:val="nil"/>
              <w:tr2bl w:val="nil"/>
            </w:tcBorders>
            <w:vAlign w:val="center"/>
          </w:tcPr>
          <w:p>
            <w:pPr>
              <w:jc w:val="center"/>
              <w:rPr>
                <w:color w:val="auto"/>
                <w:szCs w:val="21"/>
                <w:highlight w:val="none"/>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209" w:type="dxa"/>
            <w:vMerge w:val="continue"/>
            <w:tcBorders>
              <w:tl2br w:val="nil"/>
              <w:tr2bl w:val="nil"/>
            </w:tcBorders>
            <w:vAlign w:val="center"/>
          </w:tcPr>
          <w:p>
            <w:pPr>
              <w:jc w:val="center"/>
              <w:rPr>
                <w:color w:val="auto"/>
                <w:szCs w:val="21"/>
                <w:highlight w:val="none"/>
              </w:rPr>
            </w:pPr>
          </w:p>
        </w:tc>
        <w:tc>
          <w:tcPr>
            <w:tcW w:w="1083" w:type="dxa"/>
            <w:tcBorders>
              <w:tl2br w:val="nil"/>
              <w:tr2bl w:val="nil"/>
            </w:tcBorders>
            <w:vAlign w:val="center"/>
          </w:tcPr>
          <w:p>
            <w:pPr>
              <w:jc w:val="center"/>
              <w:rPr>
                <w:rFonts w:hint="eastAsia" w:eastAsia="宋体"/>
                <w:color w:val="auto"/>
                <w:szCs w:val="21"/>
                <w:highlight w:val="none"/>
                <w:lang w:eastAsia="zh-CN"/>
              </w:rPr>
            </w:pPr>
            <w:r>
              <w:rPr>
                <w:rFonts w:hint="eastAsia"/>
                <w:color w:val="auto"/>
                <w:szCs w:val="21"/>
                <w:highlight w:val="none"/>
                <w:lang w:eastAsia="zh-CN"/>
              </w:rPr>
              <w:t>总镍</w:t>
            </w:r>
          </w:p>
        </w:tc>
        <w:tc>
          <w:tcPr>
            <w:tcW w:w="933" w:type="dxa"/>
            <w:tcBorders>
              <w:tl2br w:val="nil"/>
              <w:tr2bl w:val="nil"/>
            </w:tcBorders>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0.5</w:t>
            </w:r>
          </w:p>
        </w:tc>
        <w:tc>
          <w:tcPr>
            <w:tcW w:w="1034" w:type="dxa"/>
            <w:tcBorders>
              <w:tl2br w:val="nil"/>
              <w:tr2bl w:val="nil"/>
            </w:tcBorders>
            <w:vAlign w:val="center"/>
          </w:tcPr>
          <w:p>
            <w:pPr>
              <w:jc w:val="center"/>
              <w:rPr>
                <w:color w:val="auto"/>
                <w:szCs w:val="21"/>
                <w:highlight w:val="none"/>
              </w:rPr>
            </w:pPr>
            <w:r>
              <w:rPr>
                <w:color w:val="auto"/>
                <w:szCs w:val="21"/>
                <w:highlight w:val="none"/>
              </w:rPr>
              <w:t>mg/L</w:t>
            </w:r>
          </w:p>
        </w:tc>
        <w:tc>
          <w:tcPr>
            <w:tcW w:w="1900" w:type="dxa"/>
            <w:tcBorders>
              <w:tl2br w:val="nil"/>
              <w:tr2bl w:val="nil"/>
            </w:tcBorders>
            <w:vAlign w:val="center"/>
          </w:tcPr>
          <w:p>
            <w:pPr>
              <w:jc w:val="center"/>
              <w:rPr>
                <w:color w:val="auto"/>
                <w:szCs w:val="21"/>
                <w:highlight w:val="none"/>
              </w:rPr>
            </w:pPr>
            <w:r>
              <w:rPr>
                <w:rFonts w:hint="eastAsia"/>
                <w:color w:val="auto"/>
                <w:highlight w:val="none"/>
              </w:rPr>
              <w:t>GB21900-2008表2</w:t>
            </w:r>
          </w:p>
        </w:tc>
        <w:tc>
          <w:tcPr>
            <w:tcW w:w="3128" w:type="dxa"/>
            <w:tcBorders>
              <w:tl2br w:val="nil"/>
              <w:tr2bl w:val="nil"/>
            </w:tcBorders>
            <w:vAlign w:val="center"/>
          </w:tcPr>
          <w:p>
            <w:pPr>
              <w:jc w:val="center"/>
              <w:rPr>
                <w:color w:val="auto"/>
                <w:szCs w:val="21"/>
                <w:highlight w:val="none"/>
              </w:rPr>
            </w:pPr>
            <w:r>
              <w:rPr>
                <w:rFonts w:hint="eastAsia"/>
                <w:color w:val="auto"/>
                <w:szCs w:val="21"/>
                <w:highlight w:val="none"/>
                <w:lang w:val="en-US" w:eastAsia="zh-CN"/>
              </w:rPr>
              <w:t>园区</w:t>
            </w:r>
            <w:r>
              <w:rPr>
                <w:color w:val="auto"/>
                <w:szCs w:val="21"/>
                <w:highlight w:val="none"/>
              </w:rPr>
              <w:t>含镍废水处理设施排放口</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1209" w:type="dxa"/>
            <w:vMerge w:val="restart"/>
            <w:tcBorders>
              <w:tl2br w:val="nil"/>
              <w:tr2bl w:val="nil"/>
            </w:tcBorders>
            <w:vAlign w:val="center"/>
          </w:tcPr>
          <w:p>
            <w:pPr>
              <w:jc w:val="center"/>
              <w:rPr>
                <w:color w:val="auto"/>
                <w:szCs w:val="21"/>
                <w:highlight w:val="none"/>
              </w:rPr>
            </w:pPr>
            <w:r>
              <w:rPr>
                <w:rFonts w:hint="eastAsia"/>
                <w:color w:val="auto"/>
                <w:szCs w:val="21"/>
                <w:highlight w:val="none"/>
              </w:rPr>
              <w:t>单位产品基准排水量</w:t>
            </w:r>
          </w:p>
        </w:tc>
        <w:tc>
          <w:tcPr>
            <w:tcW w:w="1083" w:type="dxa"/>
            <w:tcBorders>
              <w:tl2br w:val="nil"/>
              <w:tr2bl w:val="nil"/>
            </w:tcBorders>
            <w:vAlign w:val="center"/>
          </w:tcPr>
          <w:p>
            <w:pPr>
              <w:jc w:val="center"/>
              <w:rPr>
                <w:color w:val="auto"/>
                <w:szCs w:val="21"/>
                <w:highlight w:val="none"/>
              </w:rPr>
            </w:pPr>
            <w:r>
              <w:rPr>
                <w:rFonts w:hint="eastAsia"/>
                <w:color w:val="auto"/>
                <w:szCs w:val="21"/>
                <w:highlight w:val="none"/>
              </w:rPr>
              <w:t>单层镀</w:t>
            </w:r>
          </w:p>
        </w:tc>
        <w:tc>
          <w:tcPr>
            <w:tcW w:w="933" w:type="dxa"/>
            <w:tcBorders>
              <w:tl2br w:val="nil"/>
              <w:tr2bl w:val="nil"/>
            </w:tcBorders>
            <w:vAlign w:val="center"/>
          </w:tcPr>
          <w:p>
            <w:pPr>
              <w:jc w:val="center"/>
              <w:rPr>
                <w:color w:val="auto"/>
                <w:szCs w:val="21"/>
                <w:highlight w:val="none"/>
              </w:rPr>
            </w:pPr>
            <w:r>
              <w:rPr>
                <w:rFonts w:hint="eastAsia"/>
                <w:color w:val="auto"/>
                <w:szCs w:val="21"/>
                <w:highlight w:val="none"/>
              </w:rPr>
              <w:t>200</w:t>
            </w:r>
          </w:p>
        </w:tc>
        <w:tc>
          <w:tcPr>
            <w:tcW w:w="1034" w:type="dxa"/>
            <w:tcBorders>
              <w:tl2br w:val="nil"/>
              <w:tr2bl w:val="nil"/>
            </w:tcBorders>
            <w:vAlign w:val="center"/>
          </w:tcPr>
          <w:p>
            <w:pPr>
              <w:jc w:val="center"/>
              <w:rPr>
                <w:color w:val="auto"/>
                <w:szCs w:val="21"/>
                <w:highlight w:val="none"/>
              </w:rPr>
            </w:pPr>
            <w:r>
              <w:rPr>
                <w:rFonts w:hint="eastAsia"/>
                <w:color w:val="auto"/>
                <w:szCs w:val="21"/>
                <w:highlight w:val="none"/>
              </w:rPr>
              <w:t>L/m</w:t>
            </w:r>
            <w:r>
              <w:rPr>
                <w:rFonts w:hint="eastAsia"/>
                <w:color w:val="auto"/>
                <w:szCs w:val="21"/>
                <w:highlight w:val="none"/>
                <w:vertAlign w:val="superscript"/>
              </w:rPr>
              <w:t>2</w:t>
            </w:r>
          </w:p>
        </w:tc>
        <w:tc>
          <w:tcPr>
            <w:tcW w:w="1900" w:type="dxa"/>
            <w:vMerge w:val="restart"/>
            <w:tcBorders>
              <w:tl2br w:val="nil"/>
              <w:tr2bl w:val="nil"/>
            </w:tcBorders>
            <w:vAlign w:val="center"/>
          </w:tcPr>
          <w:p>
            <w:pPr>
              <w:jc w:val="center"/>
              <w:rPr>
                <w:b/>
                <w:color w:val="auto"/>
                <w:szCs w:val="21"/>
                <w:highlight w:val="none"/>
              </w:rPr>
            </w:pPr>
            <w:r>
              <w:rPr>
                <w:color w:val="auto"/>
                <w:szCs w:val="21"/>
                <w:highlight w:val="none"/>
              </w:rPr>
              <w:t>GB21900-2008</w:t>
            </w:r>
            <w:r>
              <w:rPr>
                <w:rFonts w:hint="eastAsia"/>
                <w:color w:val="auto"/>
                <w:szCs w:val="21"/>
                <w:highlight w:val="none"/>
              </w:rPr>
              <w:t>表2</w:t>
            </w:r>
          </w:p>
        </w:tc>
        <w:tc>
          <w:tcPr>
            <w:tcW w:w="3128" w:type="dxa"/>
            <w:vMerge w:val="restart"/>
            <w:tcBorders>
              <w:tl2br w:val="nil"/>
              <w:tr2bl w:val="nil"/>
            </w:tcBorders>
            <w:vAlign w:val="center"/>
          </w:tcPr>
          <w:p>
            <w:pPr>
              <w:jc w:val="center"/>
              <w:rPr>
                <w:color w:val="auto"/>
                <w:szCs w:val="21"/>
                <w:highlight w:val="none"/>
              </w:rPr>
            </w:pPr>
            <w:r>
              <w:rPr>
                <w:color w:val="auto"/>
                <w:szCs w:val="21"/>
                <w:highlight w:val="none"/>
              </w:rPr>
              <w:t>排水量计量位置与污染物排放监控位置一致</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1209" w:type="dxa"/>
            <w:vMerge w:val="continue"/>
            <w:tcBorders>
              <w:tl2br w:val="nil"/>
              <w:tr2bl w:val="nil"/>
            </w:tcBorders>
            <w:vAlign w:val="center"/>
          </w:tcPr>
          <w:p>
            <w:pPr>
              <w:jc w:val="center"/>
              <w:rPr>
                <w:color w:val="auto"/>
                <w:szCs w:val="21"/>
                <w:highlight w:val="none"/>
              </w:rPr>
            </w:pPr>
          </w:p>
        </w:tc>
        <w:tc>
          <w:tcPr>
            <w:tcW w:w="1083" w:type="dxa"/>
            <w:tcBorders>
              <w:tl2br w:val="nil"/>
              <w:tr2bl w:val="nil"/>
            </w:tcBorders>
            <w:vAlign w:val="center"/>
          </w:tcPr>
          <w:p>
            <w:pPr>
              <w:jc w:val="center"/>
              <w:rPr>
                <w:color w:val="auto"/>
                <w:szCs w:val="21"/>
                <w:highlight w:val="none"/>
              </w:rPr>
            </w:pPr>
            <w:r>
              <w:rPr>
                <w:rFonts w:hint="eastAsia"/>
                <w:color w:val="auto"/>
                <w:szCs w:val="21"/>
                <w:highlight w:val="none"/>
              </w:rPr>
              <w:t>多层镀</w:t>
            </w:r>
          </w:p>
        </w:tc>
        <w:tc>
          <w:tcPr>
            <w:tcW w:w="933" w:type="dxa"/>
            <w:tcBorders>
              <w:tl2br w:val="nil"/>
              <w:tr2bl w:val="nil"/>
            </w:tcBorders>
            <w:vAlign w:val="center"/>
          </w:tcPr>
          <w:p>
            <w:pPr>
              <w:jc w:val="center"/>
              <w:rPr>
                <w:color w:val="auto"/>
                <w:szCs w:val="21"/>
                <w:highlight w:val="none"/>
              </w:rPr>
            </w:pPr>
            <w:r>
              <w:rPr>
                <w:rFonts w:hint="eastAsia"/>
                <w:color w:val="auto"/>
                <w:szCs w:val="21"/>
                <w:highlight w:val="none"/>
              </w:rPr>
              <w:t>500</w:t>
            </w:r>
          </w:p>
        </w:tc>
        <w:tc>
          <w:tcPr>
            <w:tcW w:w="1034" w:type="dxa"/>
            <w:tcBorders>
              <w:tl2br w:val="nil"/>
              <w:tr2bl w:val="nil"/>
            </w:tcBorders>
            <w:vAlign w:val="center"/>
          </w:tcPr>
          <w:p>
            <w:pPr>
              <w:jc w:val="center"/>
              <w:rPr>
                <w:color w:val="auto"/>
                <w:szCs w:val="21"/>
                <w:highlight w:val="none"/>
              </w:rPr>
            </w:pPr>
            <w:r>
              <w:rPr>
                <w:rFonts w:hint="eastAsia"/>
                <w:color w:val="auto"/>
                <w:szCs w:val="21"/>
                <w:highlight w:val="none"/>
              </w:rPr>
              <w:t>L/m</w:t>
            </w:r>
            <w:r>
              <w:rPr>
                <w:rFonts w:hint="eastAsia"/>
                <w:color w:val="auto"/>
                <w:szCs w:val="21"/>
                <w:highlight w:val="none"/>
                <w:vertAlign w:val="superscript"/>
              </w:rPr>
              <w:t>2</w:t>
            </w:r>
          </w:p>
        </w:tc>
        <w:tc>
          <w:tcPr>
            <w:tcW w:w="1900" w:type="dxa"/>
            <w:vMerge w:val="continue"/>
            <w:tcBorders>
              <w:tl2br w:val="nil"/>
              <w:tr2bl w:val="nil"/>
            </w:tcBorders>
            <w:vAlign w:val="center"/>
          </w:tcPr>
          <w:p>
            <w:pPr>
              <w:jc w:val="center"/>
              <w:rPr>
                <w:color w:val="auto"/>
                <w:szCs w:val="21"/>
                <w:highlight w:val="none"/>
              </w:rPr>
            </w:pPr>
          </w:p>
        </w:tc>
        <w:tc>
          <w:tcPr>
            <w:tcW w:w="3128" w:type="dxa"/>
            <w:vMerge w:val="continue"/>
            <w:tcBorders>
              <w:tl2br w:val="nil"/>
              <w:tr2bl w:val="nil"/>
            </w:tcBorders>
            <w:vAlign w:val="center"/>
          </w:tcPr>
          <w:p>
            <w:pPr>
              <w:jc w:val="center"/>
              <w:rPr>
                <w:color w:val="auto"/>
                <w:szCs w:val="21"/>
                <w:highlight w:val="none"/>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1209" w:type="dxa"/>
            <w:vMerge w:val="restart"/>
            <w:tcBorders>
              <w:tl2br w:val="nil"/>
              <w:tr2bl w:val="nil"/>
            </w:tcBorders>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生活污水</w:t>
            </w:r>
          </w:p>
        </w:tc>
        <w:tc>
          <w:tcPr>
            <w:tcW w:w="1083" w:type="dxa"/>
            <w:tcBorders>
              <w:tl2br w:val="nil"/>
              <w:tr2bl w:val="nil"/>
            </w:tcBorders>
            <w:vAlign w:val="center"/>
          </w:tcPr>
          <w:p>
            <w:pPr>
              <w:jc w:val="center"/>
              <w:rPr>
                <w:rFonts w:hint="eastAsia"/>
                <w:color w:val="auto"/>
                <w:szCs w:val="21"/>
                <w:highlight w:val="none"/>
              </w:rPr>
            </w:pPr>
            <w:r>
              <w:rPr>
                <w:rFonts w:hint="eastAsia"/>
                <w:color w:val="auto"/>
                <w:szCs w:val="21"/>
                <w:highlight w:val="none"/>
              </w:rPr>
              <w:t>COD</w:t>
            </w:r>
            <w:r>
              <w:rPr>
                <w:rFonts w:hint="eastAsia"/>
                <w:color w:val="auto"/>
                <w:szCs w:val="21"/>
                <w:highlight w:val="none"/>
                <w:vertAlign w:val="subscript"/>
              </w:rPr>
              <w:t>cr</w:t>
            </w:r>
          </w:p>
        </w:tc>
        <w:tc>
          <w:tcPr>
            <w:tcW w:w="933" w:type="dxa"/>
            <w:tcBorders>
              <w:tl2br w:val="nil"/>
              <w:tr2bl w:val="nil"/>
            </w:tcBorders>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500</w:t>
            </w:r>
          </w:p>
        </w:tc>
        <w:tc>
          <w:tcPr>
            <w:tcW w:w="1034" w:type="dxa"/>
            <w:tcBorders>
              <w:tl2br w:val="nil"/>
              <w:tr2bl w:val="nil"/>
            </w:tcBorders>
            <w:vAlign w:val="center"/>
          </w:tcPr>
          <w:p>
            <w:pPr>
              <w:jc w:val="center"/>
              <w:rPr>
                <w:rFonts w:hint="eastAsia"/>
                <w:color w:val="auto"/>
                <w:szCs w:val="21"/>
                <w:highlight w:val="none"/>
              </w:rPr>
            </w:pPr>
            <w:r>
              <w:rPr>
                <w:color w:val="auto"/>
                <w:szCs w:val="21"/>
                <w:highlight w:val="none"/>
              </w:rPr>
              <w:t>mg/L</w:t>
            </w:r>
          </w:p>
        </w:tc>
        <w:tc>
          <w:tcPr>
            <w:tcW w:w="1900" w:type="dxa"/>
            <w:vMerge w:val="restart"/>
            <w:tcBorders>
              <w:tl2br w:val="nil"/>
              <w:tr2bl w:val="nil"/>
            </w:tcBorders>
            <w:vAlign w:val="center"/>
          </w:tcPr>
          <w:p>
            <w:pPr>
              <w:jc w:val="center"/>
              <w:rPr>
                <w:color w:val="auto"/>
                <w:szCs w:val="21"/>
                <w:highlight w:val="none"/>
              </w:rPr>
            </w:pPr>
            <w:r>
              <w:rPr>
                <w:rFonts w:hint="eastAsia"/>
                <w:color w:val="auto"/>
                <w:highlight w:val="none"/>
              </w:rPr>
              <w:t>GB/T31962-2015表1中的B级</w:t>
            </w:r>
          </w:p>
        </w:tc>
        <w:tc>
          <w:tcPr>
            <w:tcW w:w="3128" w:type="dxa"/>
            <w:vMerge w:val="restart"/>
            <w:tcBorders>
              <w:tl2br w:val="nil"/>
              <w:tr2bl w:val="nil"/>
            </w:tcBorders>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园区总排口</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1209" w:type="dxa"/>
            <w:vMerge w:val="continue"/>
            <w:tcBorders>
              <w:tl2br w:val="nil"/>
              <w:tr2bl w:val="nil"/>
            </w:tcBorders>
            <w:vAlign w:val="center"/>
          </w:tcPr>
          <w:p>
            <w:pPr>
              <w:jc w:val="center"/>
              <w:rPr>
                <w:color w:val="auto"/>
                <w:szCs w:val="21"/>
                <w:highlight w:val="none"/>
              </w:rPr>
            </w:pPr>
          </w:p>
        </w:tc>
        <w:tc>
          <w:tcPr>
            <w:tcW w:w="1083" w:type="dxa"/>
            <w:tcBorders>
              <w:tl2br w:val="nil"/>
              <w:tr2bl w:val="nil"/>
            </w:tcBorders>
            <w:vAlign w:val="center"/>
          </w:tcPr>
          <w:p>
            <w:pPr>
              <w:jc w:val="center"/>
              <w:rPr>
                <w:rFonts w:hint="eastAsia"/>
                <w:color w:val="auto"/>
                <w:szCs w:val="21"/>
                <w:highlight w:val="none"/>
              </w:rPr>
            </w:pPr>
            <w:r>
              <w:rPr>
                <w:rFonts w:hint="eastAsia"/>
                <w:color w:val="auto"/>
                <w:szCs w:val="21"/>
                <w:highlight w:val="none"/>
              </w:rPr>
              <w:t>氨氮</w:t>
            </w:r>
          </w:p>
        </w:tc>
        <w:tc>
          <w:tcPr>
            <w:tcW w:w="933" w:type="dxa"/>
            <w:tcBorders>
              <w:tl2br w:val="nil"/>
              <w:tr2bl w:val="nil"/>
            </w:tcBorders>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45</w:t>
            </w:r>
          </w:p>
        </w:tc>
        <w:tc>
          <w:tcPr>
            <w:tcW w:w="1034" w:type="dxa"/>
            <w:tcBorders>
              <w:tl2br w:val="nil"/>
              <w:tr2bl w:val="nil"/>
            </w:tcBorders>
            <w:vAlign w:val="center"/>
          </w:tcPr>
          <w:p>
            <w:pPr>
              <w:jc w:val="center"/>
              <w:rPr>
                <w:rFonts w:hint="eastAsia"/>
                <w:color w:val="auto"/>
                <w:szCs w:val="21"/>
                <w:highlight w:val="none"/>
              </w:rPr>
            </w:pPr>
            <w:r>
              <w:rPr>
                <w:color w:val="auto"/>
                <w:szCs w:val="21"/>
                <w:highlight w:val="none"/>
              </w:rPr>
              <w:t>mg/L</w:t>
            </w:r>
          </w:p>
        </w:tc>
        <w:tc>
          <w:tcPr>
            <w:tcW w:w="1900" w:type="dxa"/>
            <w:vMerge w:val="continue"/>
            <w:tcBorders>
              <w:tl2br w:val="nil"/>
              <w:tr2bl w:val="nil"/>
            </w:tcBorders>
            <w:vAlign w:val="center"/>
          </w:tcPr>
          <w:p>
            <w:pPr>
              <w:jc w:val="center"/>
              <w:rPr>
                <w:color w:val="auto"/>
                <w:szCs w:val="21"/>
                <w:highlight w:val="none"/>
              </w:rPr>
            </w:pPr>
          </w:p>
        </w:tc>
        <w:tc>
          <w:tcPr>
            <w:tcW w:w="3128" w:type="dxa"/>
            <w:vMerge w:val="continue"/>
            <w:tcBorders>
              <w:tl2br w:val="nil"/>
              <w:tr2bl w:val="nil"/>
            </w:tcBorders>
            <w:vAlign w:val="center"/>
          </w:tcPr>
          <w:p>
            <w:pPr>
              <w:jc w:val="center"/>
              <w:rPr>
                <w:color w:val="auto"/>
                <w:szCs w:val="21"/>
                <w:highlight w:val="none"/>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1209" w:type="dxa"/>
            <w:vMerge w:val="continue"/>
            <w:tcBorders>
              <w:tl2br w:val="nil"/>
              <w:tr2bl w:val="nil"/>
            </w:tcBorders>
            <w:vAlign w:val="center"/>
          </w:tcPr>
          <w:p>
            <w:pPr>
              <w:jc w:val="center"/>
              <w:rPr>
                <w:color w:val="auto"/>
                <w:szCs w:val="21"/>
                <w:highlight w:val="none"/>
              </w:rPr>
            </w:pPr>
          </w:p>
        </w:tc>
        <w:tc>
          <w:tcPr>
            <w:tcW w:w="1083" w:type="dxa"/>
            <w:tcBorders>
              <w:tl2br w:val="nil"/>
              <w:tr2bl w:val="nil"/>
            </w:tcBorders>
            <w:vAlign w:val="center"/>
          </w:tcPr>
          <w:p>
            <w:pPr>
              <w:jc w:val="center"/>
              <w:rPr>
                <w:rFonts w:hint="eastAsia"/>
                <w:color w:val="auto"/>
                <w:szCs w:val="21"/>
                <w:highlight w:val="none"/>
              </w:rPr>
            </w:pPr>
            <w:r>
              <w:rPr>
                <w:rFonts w:hint="eastAsia"/>
                <w:color w:val="auto"/>
                <w:szCs w:val="21"/>
                <w:highlight w:val="none"/>
              </w:rPr>
              <w:t>BOD</w:t>
            </w:r>
            <w:r>
              <w:rPr>
                <w:rFonts w:hint="eastAsia"/>
                <w:color w:val="auto"/>
                <w:szCs w:val="21"/>
                <w:highlight w:val="none"/>
                <w:vertAlign w:val="subscript"/>
              </w:rPr>
              <w:t>5</w:t>
            </w:r>
          </w:p>
        </w:tc>
        <w:tc>
          <w:tcPr>
            <w:tcW w:w="933" w:type="dxa"/>
            <w:tcBorders>
              <w:tl2br w:val="nil"/>
              <w:tr2bl w:val="nil"/>
            </w:tcBorders>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350</w:t>
            </w:r>
          </w:p>
        </w:tc>
        <w:tc>
          <w:tcPr>
            <w:tcW w:w="1034" w:type="dxa"/>
            <w:tcBorders>
              <w:tl2br w:val="nil"/>
              <w:tr2bl w:val="nil"/>
            </w:tcBorders>
            <w:vAlign w:val="center"/>
          </w:tcPr>
          <w:p>
            <w:pPr>
              <w:jc w:val="center"/>
              <w:rPr>
                <w:rFonts w:hint="eastAsia"/>
                <w:color w:val="auto"/>
                <w:szCs w:val="21"/>
                <w:highlight w:val="none"/>
              </w:rPr>
            </w:pPr>
            <w:r>
              <w:rPr>
                <w:color w:val="auto"/>
                <w:szCs w:val="21"/>
                <w:highlight w:val="none"/>
              </w:rPr>
              <w:t>mg/L</w:t>
            </w:r>
          </w:p>
        </w:tc>
        <w:tc>
          <w:tcPr>
            <w:tcW w:w="1900" w:type="dxa"/>
            <w:vMerge w:val="continue"/>
            <w:tcBorders>
              <w:tl2br w:val="nil"/>
              <w:tr2bl w:val="nil"/>
            </w:tcBorders>
            <w:vAlign w:val="center"/>
          </w:tcPr>
          <w:p>
            <w:pPr>
              <w:jc w:val="center"/>
              <w:rPr>
                <w:color w:val="auto"/>
                <w:szCs w:val="21"/>
                <w:highlight w:val="none"/>
              </w:rPr>
            </w:pPr>
          </w:p>
        </w:tc>
        <w:tc>
          <w:tcPr>
            <w:tcW w:w="3128" w:type="dxa"/>
            <w:vMerge w:val="continue"/>
            <w:tcBorders>
              <w:tl2br w:val="nil"/>
              <w:tr2bl w:val="nil"/>
            </w:tcBorders>
            <w:vAlign w:val="center"/>
          </w:tcPr>
          <w:p>
            <w:pPr>
              <w:jc w:val="center"/>
              <w:rPr>
                <w:color w:val="auto"/>
                <w:szCs w:val="21"/>
                <w:highlight w:val="none"/>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1209" w:type="dxa"/>
            <w:vMerge w:val="continue"/>
            <w:tcBorders>
              <w:tl2br w:val="nil"/>
              <w:tr2bl w:val="nil"/>
            </w:tcBorders>
            <w:vAlign w:val="center"/>
          </w:tcPr>
          <w:p>
            <w:pPr>
              <w:jc w:val="center"/>
              <w:rPr>
                <w:color w:val="auto"/>
                <w:szCs w:val="21"/>
                <w:highlight w:val="none"/>
              </w:rPr>
            </w:pPr>
          </w:p>
        </w:tc>
        <w:tc>
          <w:tcPr>
            <w:tcW w:w="1083" w:type="dxa"/>
            <w:tcBorders>
              <w:tl2br w:val="nil"/>
              <w:tr2bl w:val="nil"/>
            </w:tcBorders>
            <w:vAlign w:val="center"/>
          </w:tcPr>
          <w:p>
            <w:pPr>
              <w:jc w:val="center"/>
              <w:rPr>
                <w:rFonts w:hint="eastAsia"/>
                <w:color w:val="auto"/>
                <w:szCs w:val="21"/>
                <w:highlight w:val="none"/>
              </w:rPr>
            </w:pPr>
            <w:r>
              <w:rPr>
                <w:rFonts w:hint="eastAsia"/>
                <w:color w:val="auto"/>
                <w:szCs w:val="21"/>
                <w:highlight w:val="none"/>
              </w:rPr>
              <w:t>SS</w:t>
            </w:r>
          </w:p>
        </w:tc>
        <w:tc>
          <w:tcPr>
            <w:tcW w:w="933" w:type="dxa"/>
            <w:tcBorders>
              <w:tl2br w:val="nil"/>
              <w:tr2bl w:val="nil"/>
            </w:tcBorders>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400</w:t>
            </w:r>
          </w:p>
        </w:tc>
        <w:tc>
          <w:tcPr>
            <w:tcW w:w="1034" w:type="dxa"/>
            <w:tcBorders>
              <w:tl2br w:val="nil"/>
              <w:tr2bl w:val="nil"/>
            </w:tcBorders>
            <w:vAlign w:val="center"/>
          </w:tcPr>
          <w:p>
            <w:pPr>
              <w:jc w:val="center"/>
              <w:rPr>
                <w:rFonts w:hint="eastAsia"/>
                <w:color w:val="auto"/>
                <w:szCs w:val="21"/>
                <w:highlight w:val="none"/>
              </w:rPr>
            </w:pPr>
            <w:r>
              <w:rPr>
                <w:color w:val="auto"/>
                <w:szCs w:val="21"/>
                <w:highlight w:val="none"/>
              </w:rPr>
              <w:t>mg/L</w:t>
            </w:r>
          </w:p>
        </w:tc>
        <w:tc>
          <w:tcPr>
            <w:tcW w:w="1900" w:type="dxa"/>
            <w:vMerge w:val="continue"/>
            <w:tcBorders>
              <w:tl2br w:val="nil"/>
              <w:tr2bl w:val="nil"/>
            </w:tcBorders>
            <w:vAlign w:val="center"/>
          </w:tcPr>
          <w:p>
            <w:pPr>
              <w:jc w:val="center"/>
              <w:rPr>
                <w:color w:val="auto"/>
                <w:szCs w:val="21"/>
                <w:highlight w:val="none"/>
              </w:rPr>
            </w:pPr>
          </w:p>
        </w:tc>
        <w:tc>
          <w:tcPr>
            <w:tcW w:w="3128" w:type="dxa"/>
            <w:vMerge w:val="continue"/>
            <w:tcBorders>
              <w:tl2br w:val="nil"/>
              <w:tr2bl w:val="nil"/>
            </w:tcBorders>
            <w:vAlign w:val="center"/>
          </w:tcPr>
          <w:p>
            <w:pPr>
              <w:jc w:val="center"/>
              <w:rPr>
                <w:color w:val="auto"/>
                <w:szCs w:val="21"/>
                <w:highlight w:val="none"/>
              </w:rPr>
            </w:pPr>
          </w:p>
        </w:tc>
      </w:tr>
    </w:tbl>
    <w:p>
      <w:pPr>
        <w:spacing w:line="360" w:lineRule="auto"/>
        <w:ind w:firstLine="480" w:firstLineChars="200"/>
        <w:rPr>
          <w:color w:val="auto"/>
          <w:sz w:val="24"/>
          <w:highlight w:val="none"/>
        </w:rPr>
      </w:pPr>
      <w:r>
        <w:rPr>
          <w:rFonts w:hint="eastAsia"/>
          <w:color w:val="auto"/>
          <w:sz w:val="24"/>
          <w:highlight w:val="none"/>
        </w:rPr>
        <w:t>3、</w:t>
      </w:r>
      <w:r>
        <w:rPr>
          <w:color w:val="auto"/>
          <w:sz w:val="24"/>
          <w:highlight w:val="none"/>
        </w:rPr>
        <w:t>噪声排放标准</w:t>
      </w:r>
    </w:p>
    <w:p>
      <w:pPr>
        <w:spacing w:line="360" w:lineRule="auto"/>
        <w:ind w:firstLine="480" w:firstLineChars="200"/>
        <w:rPr>
          <w:color w:val="auto"/>
          <w:sz w:val="24"/>
          <w:highlight w:val="none"/>
        </w:rPr>
      </w:pPr>
      <w:r>
        <w:rPr>
          <w:color w:val="auto"/>
          <w:sz w:val="24"/>
          <w:highlight w:val="none"/>
        </w:rPr>
        <w:t>本项目厂界噪声应执行GB12348-2008《工业企业厂界环境噪声排放标准》</w:t>
      </w:r>
      <w:r>
        <w:rPr>
          <w:rFonts w:hint="eastAsia"/>
          <w:color w:val="auto"/>
          <w:sz w:val="24"/>
          <w:highlight w:val="none"/>
        </w:rPr>
        <w:t>3</w:t>
      </w:r>
      <w:r>
        <w:rPr>
          <w:color w:val="auto"/>
          <w:sz w:val="24"/>
          <w:highlight w:val="none"/>
        </w:rPr>
        <w:t>类标准，具体数值见表1.</w:t>
      </w:r>
      <w:r>
        <w:rPr>
          <w:rFonts w:hint="eastAsia"/>
          <w:color w:val="auto"/>
          <w:sz w:val="24"/>
          <w:highlight w:val="none"/>
        </w:rPr>
        <w:t>4</w:t>
      </w:r>
      <w:r>
        <w:rPr>
          <w:color w:val="auto"/>
          <w:sz w:val="24"/>
          <w:highlight w:val="none"/>
        </w:rPr>
        <w:t>-</w:t>
      </w:r>
      <w:r>
        <w:rPr>
          <w:rFonts w:hint="eastAsia"/>
          <w:color w:val="auto"/>
          <w:sz w:val="24"/>
          <w:highlight w:val="none"/>
        </w:rPr>
        <w:t>7</w:t>
      </w:r>
      <w:r>
        <w:rPr>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 xml:space="preserve">表1.4-7 </w:t>
      </w:r>
      <w:r>
        <w:rPr>
          <w:rFonts w:hint="eastAsia" w:ascii="黑体" w:hAnsi="黑体" w:eastAsia="黑体" w:cs="黑体"/>
          <w:b w:val="0"/>
          <w:bCs w:val="0"/>
          <w:color w:val="auto"/>
          <w:sz w:val="24"/>
          <w:szCs w:val="24"/>
          <w:highlight w:val="none"/>
          <w:lang w:val="en-US" w:eastAsia="zh-CN"/>
        </w:rPr>
        <w:t xml:space="preserve"> </w:t>
      </w:r>
      <w:r>
        <w:rPr>
          <w:rFonts w:hint="eastAsia" w:ascii="黑体" w:hAnsi="黑体" w:eastAsia="黑体" w:cs="黑体"/>
          <w:b w:val="0"/>
          <w:bCs w:val="0"/>
          <w:color w:val="auto"/>
          <w:sz w:val="24"/>
          <w:szCs w:val="24"/>
          <w:highlight w:val="none"/>
        </w:rPr>
        <w:t>工业企业厂界环境噪声排放标准  单位：dB(A)</w:t>
      </w:r>
    </w:p>
    <w:tbl>
      <w:tblPr>
        <w:tblStyle w:val="36"/>
        <w:tblW w:w="9286" w:type="dxa"/>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5371"/>
        <w:gridCol w:w="1224"/>
        <w:gridCol w:w="1566"/>
        <w:gridCol w:w="1125"/>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80" w:hRule="atLeast"/>
          <w:jc w:val="center"/>
        </w:trPr>
        <w:tc>
          <w:tcPr>
            <w:tcW w:w="5371" w:type="dxa"/>
            <w:vMerge w:val="restart"/>
            <w:vAlign w:val="center"/>
          </w:tcPr>
          <w:p>
            <w:pPr>
              <w:jc w:val="center"/>
              <w:rPr>
                <w:b/>
                <w:color w:val="auto"/>
                <w:szCs w:val="21"/>
                <w:highlight w:val="none"/>
              </w:rPr>
            </w:pPr>
            <w:r>
              <w:rPr>
                <w:b/>
                <w:color w:val="auto"/>
                <w:szCs w:val="21"/>
                <w:highlight w:val="none"/>
              </w:rPr>
              <w:t>标准名称</w:t>
            </w:r>
          </w:p>
        </w:tc>
        <w:tc>
          <w:tcPr>
            <w:tcW w:w="1224" w:type="dxa"/>
            <w:vMerge w:val="restart"/>
            <w:vAlign w:val="center"/>
          </w:tcPr>
          <w:p>
            <w:pPr>
              <w:jc w:val="center"/>
              <w:rPr>
                <w:b/>
                <w:color w:val="auto"/>
                <w:szCs w:val="21"/>
                <w:highlight w:val="none"/>
              </w:rPr>
            </w:pPr>
            <w:r>
              <w:rPr>
                <w:b/>
                <w:color w:val="auto"/>
                <w:szCs w:val="21"/>
                <w:highlight w:val="none"/>
              </w:rPr>
              <w:t>功能区类别</w:t>
            </w:r>
          </w:p>
        </w:tc>
        <w:tc>
          <w:tcPr>
            <w:tcW w:w="2691" w:type="dxa"/>
            <w:gridSpan w:val="2"/>
            <w:vAlign w:val="center"/>
          </w:tcPr>
          <w:p>
            <w:pPr>
              <w:jc w:val="center"/>
              <w:rPr>
                <w:b/>
                <w:color w:val="auto"/>
                <w:szCs w:val="21"/>
                <w:highlight w:val="none"/>
              </w:rPr>
            </w:pPr>
            <w:r>
              <w:rPr>
                <w:b/>
                <w:color w:val="auto"/>
                <w:szCs w:val="21"/>
                <w:highlight w:val="none"/>
              </w:rPr>
              <w:t>噪声限值dB(A)</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02" w:hRule="atLeast"/>
          <w:jc w:val="center"/>
        </w:trPr>
        <w:tc>
          <w:tcPr>
            <w:tcW w:w="5371" w:type="dxa"/>
            <w:vMerge w:val="continue"/>
            <w:vAlign w:val="center"/>
          </w:tcPr>
          <w:p>
            <w:pPr>
              <w:jc w:val="center"/>
              <w:rPr>
                <w:b/>
                <w:color w:val="auto"/>
                <w:szCs w:val="21"/>
                <w:highlight w:val="none"/>
              </w:rPr>
            </w:pPr>
          </w:p>
        </w:tc>
        <w:tc>
          <w:tcPr>
            <w:tcW w:w="1224" w:type="dxa"/>
            <w:vMerge w:val="continue"/>
            <w:vAlign w:val="center"/>
          </w:tcPr>
          <w:p>
            <w:pPr>
              <w:jc w:val="center"/>
              <w:rPr>
                <w:b/>
                <w:color w:val="auto"/>
                <w:szCs w:val="21"/>
                <w:highlight w:val="none"/>
              </w:rPr>
            </w:pPr>
          </w:p>
        </w:tc>
        <w:tc>
          <w:tcPr>
            <w:tcW w:w="1566" w:type="dxa"/>
            <w:vAlign w:val="center"/>
          </w:tcPr>
          <w:p>
            <w:pPr>
              <w:jc w:val="center"/>
              <w:rPr>
                <w:b/>
                <w:color w:val="auto"/>
                <w:szCs w:val="21"/>
                <w:highlight w:val="none"/>
              </w:rPr>
            </w:pPr>
            <w:r>
              <w:rPr>
                <w:b/>
                <w:color w:val="auto"/>
                <w:szCs w:val="21"/>
                <w:highlight w:val="none"/>
              </w:rPr>
              <w:t>昼间</w:t>
            </w:r>
          </w:p>
        </w:tc>
        <w:tc>
          <w:tcPr>
            <w:tcW w:w="1125" w:type="dxa"/>
            <w:vAlign w:val="center"/>
          </w:tcPr>
          <w:p>
            <w:pPr>
              <w:jc w:val="center"/>
              <w:rPr>
                <w:b/>
                <w:color w:val="auto"/>
                <w:szCs w:val="21"/>
                <w:highlight w:val="none"/>
              </w:rPr>
            </w:pPr>
            <w:r>
              <w:rPr>
                <w:b/>
                <w:color w:val="auto"/>
                <w:szCs w:val="21"/>
                <w:highlight w:val="none"/>
              </w:rPr>
              <w:t>夜间</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76" w:hRule="atLeast"/>
          <w:jc w:val="center"/>
        </w:trPr>
        <w:tc>
          <w:tcPr>
            <w:tcW w:w="5371" w:type="dxa"/>
            <w:vAlign w:val="center"/>
          </w:tcPr>
          <w:p>
            <w:pPr>
              <w:jc w:val="center"/>
              <w:rPr>
                <w:color w:val="auto"/>
                <w:szCs w:val="21"/>
                <w:highlight w:val="none"/>
              </w:rPr>
            </w:pPr>
            <w:r>
              <w:rPr>
                <w:color w:val="auto"/>
                <w:szCs w:val="21"/>
                <w:highlight w:val="none"/>
              </w:rPr>
              <w:t>《工业企业厂界环境噪声排放标准》</w:t>
            </w:r>
          </w:p>
        </w:tc>
        <w:tc>
          <w:tcPr>
            <w:tcW w:w="1224" w:type="dxa"/>
            <w:vAlign w:val="center"/>
          </w:tcPr>
          <w:p>
            <w:pPr>
              <w:jc w:val="center"/>
              <w:rPr>
                <w:color w:val="auto"/>
                <w:szCs w:val="21"/>
                <w:highlight w:val="none"/>
              </w:rPr>
            </w:pPr>
            <w:r>
              <w:rPr>
                <w:rFonts w:hint="eastAsia"/>
                <w:color w:val="auto"/>
                <w:szCs w:val="21"/>
                <w:highlight w:val="none"/>
              </w:rPr>
              <w:t>3</w:t>
            </w:r>
          </w:p>
        </w:tc>
        <w:tc>
          <w:tcPr>
            <w:tcW w:w="1566" w:type="dxa"/>
            <w:vAlign w:val="center"/>
          </w:tcPr>
          <w:p>
            <w:pPr>
              <w:jc w:val="center"/>
              <w:rPr>
                <w:color w:val="auto"/>
                <w:szCs w:val="21"/>
                <w:highlight w:val="none"/>
              </w:rPr>
            </w:pPr>
            <w:r>
              <w:rPr>
                <w:color w:val="auto"/>
                <w:szCs w:val="21"/>
                <w:highlight w:val="none"/>
              </w:rPr>
              <w:t>6</w:t>
            </w:r>
            <w:r>
              <w:rPr>
                <w:rFonts w:hint="eastAsia"/>
                <w:color w:val="auto"/>
                <w:szCs w:val="21"/>
                <w:highlight w:val="none"/>
              </w:rPr>
              <w:t>5</w:t>
            </w:r>
          </w:p>
        </w:tc>
        <w:tc>
          <w:tcPr>
            <w:tcW w:w="1125" w:type="dxa"/>
            <w:vAlign w:val="center"/>
          </w:tcPr>
          <w:p>
            <w:pPr>
              <w:jc w:val="center"/>
              <w:rPr>
                <w:color w:val="auto"/>
                <w:szCs w:val="21"/>
                <w:highlight w:val="none"/>
              </w:rPr>
            </w:pPr>
            <w:r>
              <w:rPr>
                <w:color w:val="auto"/>
                <w:szCs w:val="21"/>
                <w:highlight w:val="none"/>
              </w:rPr>
              <w:t>5</w:t>
            </w:r>
            <w:r>
              <w:rPr>
                <w:rFonts w:hint="eastAsia"/>
                <w:color w:val="auto"/>
                <w:szCs w:val="21"/>
                <w:highlight w:val="none"/>
              </w:rPr>
              <w:t>5</w:t>
            </w:r>
          </w:p>
        </w:tc>
      </w:tr>
    </w:tbl>
    <w:p>
      <w:pPr>
        <w:pStyle w:val="19"/>
        <w:numPr>
          <w:ilvl w:val="0"/>
          <w:numId w:val="0"/>
        </w:numPr>
        <w:adjustRightInd w:val="0"/>
        <w:snapToGrid w:val="0"/>
        <w:spacing w:line="360" w:lineRule="auto"/>
        <w:ind w:left="480" w:leftChars="0"/>
        <w:jc w:val="left"/>
        <w:rPr>
          <w:rFonts w:cs="Times New Roman"/>
          <w:color w:val="auto"/>
          <w:szCs w:val="24"/>
          <w:highlight w:val="none"/>
        </w:rPr>
      </w:pPr>
      <w:bookmarkStart w:id="30" w:name="_Toc396207009"/>
      <w:bookmarkStart w:id="31" w:name="_Toc257792335"/>
      <w:bookmarkStart w:id="32" w:name="_Toc360778954"/>
      <w:r>
        <w:rPr>
          <w:rFonts w:hint="eastAsia" w:ascii="Times New Roman" w:hAnsi="Times New Roman" w:eastAsia="宋体" w:cs="Times New Roman"/>
          <w:color w:val="auto"/>
          <w:kern w:val="2"/>
          <w:sz w:val="24"/>
          <w:szCs w:val="24"/>
          <w:highlight w:val="none"/>
          <w:lang w:val="en-US" w:eastAsia="zh-CN" w:bidi="ar-SA"/>
        </w:rPr>
        <w:t>4、</w:t>
      </w:r>
      <w:r>
        <w:rPr>
          <w:rFonts w:cs="Times New Roman"/>
          <w:color w:val="auto"/>
          <w:szCs w:val="24"/>
          <w:highlight w:val="none"/>
        </w:rPr>
        <w:t>固体废物</w:t>
      </w:r>
    </w:p>
    <w:p>
      <w:pPr>
        <w:adjustRightInd w:val="0"/>
        <w:snapToGrid w:val="0"/>
        <w:spacing w:line="360" w:lineRule="auto"/>
        <w:ind w:firstLine="480" w:firstLineChars="200"/>
        <w:rPr>
          <w:color w:val="auto"/>
          <w:sz w:val="24"/>
          <w:highlight w:val="none"/>
        </w:rPr>
      </w:pPr>
      <w:r>
        <w:rPr>
          <w:color w:val="auto"/>
          <w:sz w:val="24"/>
          <w:highlight w:val="none"/>
        </w:rPr>
        <w:t>一般工业固体废物</w:t>
      </w:r>
      <w:r>
        <w:rPr>
          <w:rFonts w:hint="eastAsia"/>
          <w:color w:val="auto"/>
          <w:sz w:val="24"/>
          <w:highlight w:val="none"/>
        </w:rPr>
        <w:t>处理</w:t>
      </w:r>
      <w:r>
        <w:rPr>
          <w:color w:val="auto"/>
          <w:sz w:val="24"/>
          <w:highlight w:val="none"/>
        </w:rPr>
        <w:t>执行《一般工业固体废物贮存、处理场污染控制标准》(GB18599-2001)及其修改单要求，危险废物</w:t>
      </w:r>
      <w:r>
        <w:rPr>
          <w:rFonts w:hint="eastAsia"/>
          <w:color w:val="auto"/>
          <w:sz w:val="24"/>
          <w:highlight w:val="none"/>
        </w:rPr>
        <w:t>处置</w:t>
      </w:r>
      <w:r>
        <w:rPr>
          <w:color w:val="auto"/>
          <w:sz w:val="24"/>
          <w:highlight w:val="none"/>
        </w:rPr>
        <w:t>执行《危险废物贮存污染控制标准》(GB18597-2001)及修改单要求。</w:t>
      </w:r>
    </w:p>
    <w:p>
      <w:pPr>
        <w:adjustRightInd w:val="0"/>
        <w:snapToGrid w:val="0"/>
        <w:spacing w:line="360" w:lineRule="auto"/>
        <w:outlineLvl w:val="1"/>
        <w:rPr>
          <w:rFonts w:hint="eastAsia" w:ascii="黑体" w:hAnsi="黑体" w:eastAsia="黑体" w:cs="黑体"/>
          <w:color w:val="auto"/>
          <w:sz w:val="24"/>
          <w:szCs w:val="24"/>
          <w:highlight w:val="none"/>
        </w:rPr>
      </w:pPr>
      <w:bookmarkStart w:id="33" w:name="_Toc7713183"/>
      <w:bookmarkStart w:id="34" w:name="_Toc20215"/>
      <w:bookmarkStart w:id="35" w:name="_Toc10636713"/>
      <w:bookmarkStart w:id="36" w:name="_Toc519063293"/>
      <w:bookmarkStart w:id="37" w:name="_Toc530655593"/>
      <w:r>
        <w:rPr>
          <w:rFonts w:hint="eastAsia" w:ascii="黑体" w:hAnsi="黑体" w:eastAsia="黑体" w:cs="黑体"/>
          <w:color w:val="auto"/>
          <w:sz w:val="24"/>
          <w:szCs w:val="24"/>
          <w:highlight w:val="none"/>
        </w:rPr>
        <w:t>1.</w:t>
      </w:r>
      <w:r>
        <w:rPr>
          <w:rFonts w:hint="eastAsia" w:ascii="黑体" w:hAnsi="黑体" w:eastAsia="黑体" w:cs="黑体"/>
          <w:color w:val="auto"/>
          <w:sz w:val="24"/>
          <w:szCs w:val="24"/>
          <w:highlight w:val="none"/>
          <w:lang w:val="en-US" w:eastAsia="zh-CN"/>
        </w:rPr>
        <w:t>5</w:t>
      </w:r>
      <w:r>
        <w:rPr>
          <w:rFonts w:hint="eastAsia" w:ascii="黑体" w:hAnsi="黑体" w:eastAsia="黑体" w:cs="黑体"/>
          <w:color w:val="auto"/>
          <w:sz w:val="24"/>
          <w:szCs w:val="24"/>
          <w:highlight w:val="none"/>
        </w:rPr>
        <w:t xml:space="preserve"> 评价工作等级</w:t>
      </w:r>
      <w:bookmarkEnd w:id="33"/>
      <w:bookmarkEnd w:id="34"/>
      <w:bookmarkEnd w:id="35"/>
    </w:p>
    <w:p>
      <w:pPr>
        <w:adjustRightInd w:val="0"/>
        <w:snapToGrid w:val="0"/>
        <w:spacing w:line="360" w:lineRule="auto"/>
        <w:outlineLvl w:val="2"/>
        <w:rPr>
          <w:rFonts w:eastAsia="黑体"/>
          <w:color w:val="auto"/>
          <w:sz w:val="24"/>
          <w:highlight w:val="none"/>
        </w:rPr>
      </w:pPr>
      <w:bookmarkStart w:id="38" w:name="_Toc7713184"/>
      <w:r>
        <w:rPr>
          <w:rFonts w:eastAsia="黑体"/>
          <w:color w:val="auto"/>
          <w:sz w:val="24"/>
          <w:highlight w:val="none"/>
        </w:rPr>
        <w:t>1.</w:t>
      </w:r>
      <w:r>
        <w:rPr>
          <w:rFonts w:hint="eastAsia" w:eastAsia="黑体"/>
          <w:color w:val="auto"/>
          <w:sz w:val="24"/>
          <w:highlight w:val="none"/>
          <w:lang w:val="en-US" w:eastAsia="zh-CN"/>
        </w:rPr>
        <w:t>5</w:t>
      </w:r>
      <w:r>
        <w:rPr>
          <w:rFonts w:eastAsia="黑体"/>
          <w:color w:val="auto"/>
          <w:sz w:val="24"/>
          <w:highlight w:val="none"/>
        </w:rPr>
        <w:t>.1 大气</w:t>
      </w:r>
      <w:bookmarkEnd w:id="38"/>
      <w:r>
        <w:rPr>
          <w:rFonts w:hint="eastAsia" w:eastAsia="黑体"/>
          <w:color w:val="auto"/>
          <w:sz w:val="24"/>
          <w:highlight w:val="none"/>
        </w:rPr>
        <w:t>环境影响评价等级</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项目废气主要来源于电镀工序，污染物包括氰化氢、HCl、硫酸雾和铬酸雾。根据《环境影响评价技术导则 大气环境》（HJ2.2-2018）的有关规定，选择上述4种主要污染物，分别计算各种污染物的最大地面浓度占标率Pi及第i个污染物的地面浓度标准限值10%时所对应的最远距离D10%，其中Pi计算公式如下：</w:t>
      </w:r>
    </w:p>
    <w:p>
      <w:pPr>
        <w:autoSpaceDE w:val="0"/>
        <w:autoSpaceDN w:val="0"/>
        <w:adjustRightInd w:val="0"/>
        <w:spacing w:line="240" w:lineRule="auto"/>
        <w:ind w:firstLine="0" w:firstLineChars="0"/>
        <w:jc w:val="center"/>
        <w:rPr>
          <w:rFonts w:hint="default" w:ascii="Times New Roman" w:hAnsi="Times New Roman" w:cs="Times New Roman"/>
          <w:i/>
          <w:iCs/>
          <w:color w:val="auto"/>
          <w:kern w:val="0"/>
          <w:sz w:val="24"/>
          <w:szCs w:val="24"/>
          <w:highlight w:val="none"/>
        </w:rPr>
      </w:pPr>
      <w:r>
        <w:rPr>
          <w:rFonts w:hint="default" w:ascii="Times New Roman" w:hAnsi="Times New Roman" w:cs="Times New Roman"/>
          <w:i/>
          <w:iCs/>
          <w:color w:val="auto"/>
          <w:kern w:val="0"/>
          <w:sz w:val="24"/>
          <w:szCs w:val="24"/>
          <w:highlight w:val="none"/>
        </w:rPr>
        <w:object>
          <v:shape id="_x0000_i1025" o:spt="75" type="#_x0000_t75" style="height:31.4pt;width:70.9pt;" o:ole="t" filled="f" o:preferrelative="t" stroked="f" coordsize="21600,21600">
            <v:path/>
            <v:fill on="f" focussize="0,0"/>
            <v:stroke on="f"/>
            <v:imagedata r:id="rId12" o:title=""/>
            <o:lock v:ext="edit" aspectratio="t"/>
            <w10:wrap type="none"/>
            <w10:anchorlock/>
          </v:shape>
          <o:OLEObject Type="Embed" ProgID="Equation.3" ShapeID="_x0000_i1025" DrawAspect="Content" ObjectID="_1468075725" r:id="rId11">
            <o:LockedField>false</o:LockedField>
          </o:OLEObject>
        </w:objec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式中</w:t>
      </w:r>
      <w:r>
        <w:rPr>
          <w:rFonts w:hint="default" w:ascii="Times New Roman" w:hAnsi="Times New Roman" w:cs="Times New Roman"/>
          <w:color w:val="auto"/>
          <w:sz w:val="24"/>
          <w:szCs w:val="24"/>
          <w:highlight w:val="none"/>
          <w:lang w:val="en-GB"/>
        </w:rPr>
        <w:t>：</w:t>
      </w:r>
      <w:r>
        <w:rPr>
          <w:rFonts w:hint="default" w:ascii="Times New Roman" w:hAnsi="Times New Roman" w:cs="Times New Roman"/>
          <w:color w:val="auto"/>
          <w:sz w:val="24"/>
          <w:szCs w:val="24"/>
          <w:highlight w:val="none"/>
        </w:rPr>
        <w:t>P</w:t>
      </w:r>
      <w:r>
        <w:rPr>
          <w:rFonts w:hint="default" w:ascii="Times New Roman" w:hAnsi="Times New Roman" w:cs="Times New Roman"/>
          <w:color w:val="auto"/>
          <w:sz w:val="24"/>
          <w:szCs w:val="24"/>
          <w:highlight w:val="none"/>
          <w:vertAlign w:val="subscript"/>
        </w:rPr>
        <w:t>i</w:t>
      </w:r>
      <w:r>
        <w:rPr>
          <w:rFonts w:hint="default" w:ascii="Times New Roman" w:hAnsi="Times New Roman" w:cs="Times New Roman"/>
          <w:color w:val="auto"/>
          <w:sz w:val="24"/>
          <w:szCs w:val="24"/>
          <w:highlight w:val="none"/>
        </w:rPr>
        <w:t>----最大地面浓度占标率，%；</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GB"/>
        </w:rPr>
        <w:t>C</w:t>
      </w:r>
      <w:r>
        <w:rPr>
          <w:rFonts w:hint="default" w:ascii="Times New Roman" w:hAnsi="Times New Roman" w:cs="Times New Roman"/>
          <w:color w:val="auto"/>
          <w:sz w:val="24"/>
          <w:szCs w:val="24"/>
          <w:highlight w:val="none"/>
          <w:vertAlign w:val="subscript"/>
        </w:rPr>
        <w:t>i</w:t>
      </w:r>
      <w:r>
        <w:rPr>
          <w:rFonts w:hint="default" w:ascii="Times New Roman" w:hAnsi="Times New Roman" w:cs="Times New Roman"/>
          <w:color w:val="auto"/>
          <w:sz w:val="24"/>
          <w:szCs w:val="24"/>
          <w:highlight w:val="none"/>
        </w:rPr>
        <w:t xml:space="preserve"> ----第i个污染物的最大地面浓度；mg/m³。</w:t>
      </w:r>
    </w:p>
    <w:p>
      <w:pPr>
        <w:adjustRightInd w:val="0"/>
        <w:snapToGrid w:val="0"/>
        <w:spacing w:line="360" w:lineRule="auto"/>
        <w:ind w:firstLine="480" w:firstLineChars="200"/>
        <w:rPr>
          <w:rFonts w:hint="default" w:ascii="Times New Roman" w:hAnsi="Times New Roman" w:cs="Times New Roman"/>
          <w:color w:val="auto"/>
          <w:sz w:val="24"/>
          <w:szCs w:val="24"/>
          <w:highlight w:val="none"/>
          <w:lang w:val="en-GB"/>
        </w:rPr>
      </w:pPr>
      <w:r>
        <w:rPr>
          <w:rFonts w:hint="default" w:ascii="Times New Roman" w:hAnsi="Times New Roman" w:cs="Times New Roman"/>
          <w:color w:val="auto"/>
          <w:sz w:val="24"/>
          <w:szCs w:val="24"/>
          <w:highlight w:val="none"/>
          <w:lang w:val="en-GB"/>
        </w:rPr>
        <w:t>C</w:t>
      </w:r>
      <w:r>
        <w:rPr>
          <w:rFonts w:hint="default" w:ascii="Times New Roman" w:hAnsi="Times New Roman" w:cs="Times New Roman"/>
          <w:color w:val="auto"/>
          <w:sz w:val="24"/>
          <w:szCs w:val="24"/>
          <w:highlight w:val="none"/>
          <w:vertAlign w:val="subscript"/>
          <w:lang w:val="en-GB"/>
        </w:rPr>
        <w:t>0i</w:t>
      </w:r>
      <w:r>
        <w:rPr>
          <w:rFonts w:hint="default" w:ascii="Times New Roman" w:hAnsi="Times New Roman" w:cs="Times New Roman"/>
          <w:color w:val="auto"/>
          <w:sz w:val="24"/>
          <w:szCs w:val="24"/>
          <w:highlight w:val="none"/>
          <w:lang w:val="en-GB"/>
        </w:rPr>
        <w:t>----第i个污染物的空气环境质量标准，mg/m³。一般选用GB3095中1h平均质量浓度的二级浓度限值，如项目位于一类环境空气功能区，应选择相应的一级浓度限值；对仅有8h平均质量浓度限值、日平均质量浓度限值或年平均质量浓度限值的，可分别按2倍、3倍、6倍折算为1h平均质量浓度限值。</w:t>
      </w:r>
    </w:p>
    <w:p>
      <w:pPr>
        <w:adjustRightInd w:val="0"/>
        <w:snapToGrid w:val="0"/>
        <w:spacing w:line="360" w:lineRule="auto"/>
        <w:ind w:firstLine="480" w:firstLineChars="200"/>
        <w:rPr>
          <w:rFonts w:hint="default" w:ascii="Times New Roman" w:hAnsi="Times New Roman" w:cs="Times New Roman"/>
          <w:color w:val="auto"/>
          <w:sz w:val="24"/>
          <w:szCs w:val="24"/>
          <w:highlight w:val="none"/>
          <w:lang w:val="en-GB"/>
        </w:rPr>
      </w:pPr>
      <w:r>
        <w:rPr>
          <w:rFonts w:hint="default" w:ascii="Times New Roman" w:hAnsi="Times New Roman" w:cs="Times New Roman"/>
          <w:color w:val="auto"/>
          <w:sz w:val="24"/>
          <w:szCs w:val="24"/>
          <w:highlight w:val="none"/>
          <w:lang w:val="en-GB"/>
        </w:rPr>
        <w:t>项目主要污染源调查清单见表1.</w:t>
      </w:r>
      <w:r>
        <w:rPr>
          <w:rFonts w:hint="eastAsia"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lang w:val="en-GB"/>
        </w:rPr>
        <w:t>-1、1.</w:t>
      </w:r>
      <w:r>
        <w:rPr>
          <w:rFonts w:hint="eastAsia"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lang w:val="en-GB"/>
        </w:rPr>
        <w:t>-2。</w:t>
      </w:r>
    </w:p>
    <w:p>
      <w:pPr>
        <w:kinsoku w:val="0"/>
        <w:overflowPunct w:val="0"/>
        <w:autoSpaceDE w:val="0"/>
        <w:autoSpaceDN w:val="0"/>
        <w:adjustRightInd w:val="0"/>
        <w:spacing w:line="276" w:lineRule="auto"/>
        <w:ind w:firstLine="0" w:firstLineChars="0"/>
        <w:jc w:val="center"/>
        <w:rPr>
          <w:rFonts w:hint="default" w:ascii="Times New Roman" w:hAnsi="Times New Roman" w:eastAsia="黑体" w:cs="Times New Roman"/>
          <w:b w:val="0"/>
          <w:bCs w:val="0"/>
          <w:color w:val="auto"/>
          <w:sz w:val="24"/>
          <w:szCs w:val="24"/>
          <w:highlight w:val="none"/>
          <w:lang w:val="en-GB"/>
        </w:rPr>
      </w:pPr>
      <w:r>
        <w:rPr>
          <w:rFonts w:hint="default" w:ascii="Times New Roman" w:hAnsi="Times New Roman" w:eastAsia="黑体" w:cs="Times New Roman"/>
          <w:b w:val="0"/>
          <w:bCs w:val="0"/>
          <w:color w:val="auto"/>
          <w:sz w:val="24"/>
          <w:szCs w:val="24"/>
          <w:highlight w:val="none"/>
          <w:lang w:val="en-GB"/>
        </w:rPr>
        <w:t>表1.</w:t>
      </w:r>
      <w:r>
        <w:rPr>
          <w:rFonts w:hint="eastAsia" w:ascii="Times New Roman" w:hAnsi="Times New Roman" w:eastAsia="黑体" w:cs="Times New Roman"/>
          <w:b w:val="0"/>
          <w:bCs w:val="0"/>
          <w:color w:val="auto"/>
          <w:sz w:val="24"/>
          <w:szCs w:val="24"/>
          <w:highlight w:val="none"/>
          <w:lang w:val="en-US" w:eastAsia="zh-CN"/>
        </w:rPr>
        <w:t>5</w:t>
      </w:r>
      <w:r>
        <w:rPr>
          <w:rFonts w:hint="default" w:ascii="Times New Roman" w:hAnsi="Times New Roman" w:eastAsia="黑体" w:cs="Times New Roman"/>
          <w:b w:val="0"/>
          <w:bCs w:val="0"/>
          <w:color w:val="auto"/>
          <w:sz w:val="24"/>
          <w:szCs w:val="24"/>
          <w:highlight w:val="none"/>
          <w:lang w:val="en-GB"/>
        </w:rPr>
        <w:t>-1  项目点源参数表</w:t>
      </w:r>
    </w:p>
    <w:tbl>
      <w:tblPr>
        <w:tblStyle w:val="36"/>
        <w:tblW w:w="4997" w:type="pct"/>
        <w:tblInd w:w="0" w:type="dxa"/>
        <w:tblBorders>
          <w:top w:val="single" w:color="auto" w:sz="4" w:space="0"/>
          <w:left w:val="none" w:color="auto" w:sz="0" w:space="0"/>
          <w:bottom w:val="single" w:color="auto" w:sz="4" w:space="0"/>
          <w:right w:val="none" w:color="auto" w:sz="0" w:space="0"/>
          <w:insideH w:val="dotted" w:color="auto" w:sz="4" w:space="0"/>
          <w:insideV w:val="dotted" w:color="auto" w:sz="4" w:space="0"/>
        </w:tblBorders>
        <w:shd w:val="clear" w:color="auto" w:fill="auto"/>
        <w:tblLayout w:type="autofit"/>
        <w:tblCellMar>
          <w:top w:w="0" w:type="dxa"/>
          <w:left w:w="0" w:type="dxa"/>
          <w:bottom w:w="0" w:type="dxa"/>
          <w:right w:w="0" w:type="dxa"/>
        </w:tblCellMar>
      </w:tblPr>
      <w:tblGrid>
        <w:gridCol w:w="908"/>
        <w:gridCol w:w="1433"/>
        <w:gridCol w:w="1524"/>
        <w:gridCol w:w="1311"/>
        <w:gridCol w:w="925"/>
        <w:gridCol w:w="1629"/>
        <w:gridCol w:w="1365"/>
      </w:tblGrid>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shd w:val="clear" w:color="auto" w:fill="auto"/>
          <w:tblCellMar>
            <w:top w:w="0" w:type="dxa"/>
            <w:left w:w="0" w:type="dxa"/>
            <w:bottom w:w="0" w:type="dxa"/>
            <w:right w:w="0" w:type="dxa"/>
          </w:tblCellMar>
        </w:tblPrEx>
        <w:trPr>
          <w:trHeight w:val="765" w:hRule="atLeast"/>
        </w:trPr>
        <w:tc>
          <w:tcPr>
            <w:tcW w:w="499" w:type="pct"/>
            <w:tcBorders>
              <w:tl2br w:val="nil"/>
              <w:tr2bl w:val="nil"/>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宋体" w:cs="Times New Roman"/>
                <w:b/>
                <w:i w:val="0"/>
                <w:color w:val="auto"/>
                <w:sz w:val="20"/>
                <w:szCs w:val="20"/>
                <w:highlight w:val="none"/>
                <w:u w:val="none"/>
              </w:rPr>
            </w:pPr>
            <w:r>
              <w:rPr>
                <w:rFonts w:hint="default" w:ascii="Times New Roman" w:hAnsi="Times New Roman" w:eastAsia="宋体" w:cs="Times New Roman"/>
                <w:b/>
                <w:i w:val="0"/>
                <w:color w:val="auto"/>
                <w:kern w:val="0"/>
                <w:sz w:val="20"/>
                <w:szCs w:val="20"/>
                <w:highlight w:val="none"/>
                <w:u w:val="none"/>
                <w:lang w:val="en-US" w:eastAsia="zh-CN" w:bidi="ar"/>
              </w:rPr>
              <w:t>污染源</w:t>
            </w:r>
          </w:p>
        </w:tc>
        <w:tc>
          <w:tcPr>
            <w:tcW w:w="787" w:type="pct"/>
            <w:tcBorders>
              <w:tl2br w:val="nil"/>
              <w:tr2bl w:val="nil"/>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宋体" w:cs="Times New Roman"/>
                <w:b/>
                <w:i w:val="0"/>
                <w:color w:val="auto"/>
                <w:sz w:val="20"/>
                <w:szCs w:val="20"/>
                <w:highlight w:val="none"/>
                <w:u w:val="none"/>
              </w:rPr>
            </w:pPr>
            <w:r>
              <w:rPr>
                <w:rFonts w:hint="default" w:ascii="Times New Roman" w:hAnsi="Times New Roman" w:eastAsia="宋体" w:cs="Times New Roman"/>
                <w:b/>
                <w:i w:val="0"/>
                <w:color w:val="auto"/>
                <w:kern w:val="0"/>
                <w:sz w:val="20"/>
                <w:szCs w:val="20"/>
                <w:highlight w:val="none"/>
                <w:u w:val="none"/>
                <w:lang w:val="en-US" w:eastAsia="zh-CN" w:bidi="ar"/>
              </w:rPr>
              <w:t>污染物</w:t>
            </w:r>
          </w:p>
        </w:tc>
        <w:tc>
          <w:tcPr>
            <w:tcW w:w="837" w:type="pct"/>
            <w:tcBorders>
              <w:tl2br w:val="nil"/>
              <w:tr2bl w:val="nil"/>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宋体" w:cs="Times New Roman"/>
                <w:b/>
                <w:i w:val="0"/>
                <w:color w:val="auto"/>
                <w:sz w:val="20"/>
                <w:szCs w:val="20"/>
                <w:highlight w:val="none"/>
                <w:u w:val="none"/>
              </w:rPr>
            </w:pPr>
            <w:r>
              <w:rPr>
                <w:rFonts w:hint="default" w:ascii="Times New Roman" w:hAnsi="Times New Roman" w:eastAsia="宋体" w:cs="Times New Roman"/>
                <w:b/>
                <w:i w:val="0"/>
                <w:color w:val="auto"/>
                <w:kern w:val="0"/>
                <w:sz w:val="20"/>
                <w:szCs w:val="20"/>
                <w:highlight w:val="none"/>
                <w:u w:val="none"/>
                <w:lang w:val="en-US" w:eastAsia="zh-CN" w:bidi="ar"/>
              </w:rPr>
              <w:t>排气筒高度（</w:t>
            </w:r>
            <w:r>
              <w:rPr>
                <w:rStyle w:val="134"/>
                <w:rFonts w:hint="default" w:ascii="Times New Roman" w:hAnsi="Times New Roman" w:eastAsia="宋体" w:cs="Times New Roman"/>
                <w:color w:val="auto"/>
                <w:sz w:val="24"/>
                <w:szCs w:val="24"/>
                <w:highlight w:val="none"/>
                <w:lang w:val="en-US" w:eastAsia="zh-CN" w:bidi="ar"/>
              </w:rPr>
              <w:t>m</w:t>
            </w:r>
            <w:r>
              <w:rPr>
                <w:rFonts w:hint="default" w:ascii="Times New Roman" w:hAnsi="Times New Roman" w:eastAsia="宋体" w:cs="Times New Roman"/>
                <w:b/>
                <w:i w:val="0"/>
                <w:color w:val="auto"/>
                <w:kern w:val="0"/>
                <w:sz w:val="20"/>
                <w:szCs w:val="20"/>
                <w:highlight w:val="none"/>
                <w:u w:val="none"/>
                <w:lang w:val="en-US" w:eastAsia="zh-CN" w:bidi="ar"/>
              </w:rPr>
              <w:t>）</w:t>
            </w:r>
          </w:p>
        </w:tc>
        <w:tc>
          <w:tcPr>
            <w:tcW w:w="720" w:type="pct"/>
            <w:tcBorders>
              <w:tl2br w:val="nil"/>
              <w:tr2bl w:val="nil"/>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宋体" w:cs="Times New Roman"/>
                <w:b/>
                <w:i w:val="0"/>
                <w:color w:val="auto"/>
                <w:sz w:val="20"/>
                <w:szCs w:val="20"/>
                <w:highlight w:val="none"/>
                <w:u w:val="none"/>
              </w:rPr>
            </w:pPr>
            <w:r>
              <w:rPr>
                <w:rFonts w:hint="default" w:ascii="Times New Roman" w:hAnsi="Times New Roman" w:eastAsia="宋体" w:cs="Times New Roman"/>
                <w:b/>
                <w:i w:val="0"/>
                <w:color w:val="auto"/>
                <w:kern w:val="0"/>
                <w:sz w:val="20"/>
                <w:szCs w:val="20"/>
                <w:highlight w:val="none"/>
                <w:u w:val="none"/>
                <w:lang w:val="en-US" w:eastAsia="zh-CN" w:bidi="ar"/>
              </w:rPr>
              <w:t>排气筒出口内径</w:t>
            </w:r>
            <w:r>
              <w:rPr>
                <w:rStyle w:val="134"/>
                <w:rFonts w:hint="default" w:ascii="Times New Roman" w:hAnsi="Times New Roman" w:eastAsia="宋体" w:cs="Times New Roman"/>
                <w:color w:val="auto"/>
                <w:sz w:val="24"/>
                <w:szCs w:val="24"/>
                <w:highlight w:val="none"/>
                <w:lang w:val="en-US" w:eastAsia="zh-CN" w:bidi="ar"/>
              </w:rPr>
              <w:t>(m)</w:t>
            </w:r>
          </w:p>
        </w:tc>
        <w:tc>
          <w:tcPr>
            <w:tcW w:w="508" w:type="pct"/>
            <w:tcBorders>
              <w:tl2br w:val="nil"/>
              <w:tr2bl w:val="nil"/>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宋体" w:cs="Times New Roman"/>
                <w:b/>
                <w:i w:val="0"/>
                <w:color w:val="auto"/>
                <w:sz w:val="20"/>
                <w:szCs w:val="20"/>
                <w:highlight w:val="none"/>
                <w:u w:val="none"/>
              </w:rPr>
            </w:pPr>
            <w:r>
              <w:rPr>
                <w:rFonts w:hint="default" w:ascii="Times New Roman" w:hAnsi="Times New Roman" w:eastAsia="宋体" w:cs="Times New Roman"/>
                <w:b/>
                <w:i w:val="0"/>
                <w:color w:val="auto"/>
                <w:kern w:val="0"/>
                <w:sz w:val="20"/>
                <w:szCs w:val="20"/>
                <w:highlight w:val="none"/>
                <w:u w:val="none"/>
                <w:lang w:val="en-US" w:eastAsia="zh-CN" w:bidi="ar"/>
              </w:rPr>
              <w:t>废气量(m</w:t>
            </w:r>
            <w:r>
              <w:rPr>
                <w:rStyle w:val="135"/>
                <w:rFonts w:hint="default" w:ascii="Times New Roman" w:hAnsi="Times New Roman" w:eastAsia="宋体" w:cs="Times New Roman"/>
                <w:color w:val="auto"/>
                <w:highlight w:val="none"/>
                <w:lang w:val="en-US" w:eastAsia="zh-CN" w:bidi="ar"/>
              </w:rPr>
              <w:t>3</w:t>
            </w:r>
            <w:r>
              <w:rPr>
                <w:rStyle w:val="134"/>
                <w:rFonts w:hint="default" w:ascii="Times New Roman" w:hAnsi="Times New Roman" w:eastAsia="宋体" w:cs="Times New Roman"/>
                <w:color w:val="auto"/>
                <w:sz w:val="24"/>
                <w:szCs w:val="24"/>
                <w:highlight w:val="none"/>
                <w:lang w:val="en-US" w:eastAsia="zh-CN" w:bidi="ar"/>
              </w:rPr>
              <w:t>/h)</w:t>
            </w:r>
          </w:p>
        </w:tc>
        <w:tc>
          <w:tcPr>
            <w:tcW w:w="895" w:type="pct"/>
            <w:tcBorders>
              <w:tl2br w:val="nil"/>
              <w:tr2bl w:val="nil"/>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宋体" w:cs="Times New Roman"/>
                <w:b/>
                <w:i w:val="0"/>
                <w:color w:val="auto"/>
                <w:sz w:val="20"/>
                <w:szCs w:val="20"/>
                <w:highlight w:val="none"/>
                <w:u w:val="none"/>
              </w:rPr>
            </w:pPr>
            <w:r>
              <w:rPr>
                <w:rFonts w:hint="default" w:ascii="Times New Roman" w:hAnsi="Times New Roman" w:eastAsia="宋体" w:cs="Times New Roman"/>
                <w:b/>
                <w:i w:val="0"/>
                <w:color w:val="auto"/>
                <w:kern w:val="0"/>
                <w:sz w:val="20"/>
                <w:szCs w:val="20"/>
                <w:highlight w:val="none"/>
                <w:u w:val="none"/>
                <w:lang w:val="en-US" w:eastAsia="zh-CN" w:bidi="ar"/>
              </w:rPr>
              <w:t>出口温度（</w:t>
            </w:r>
            <w:r>
              <w:rPr>
                <w:rStyle w:val="134"/>
                <w:rFonts w:hint="default" w:ascii="Times New Roman" w:hAnsi="Times New Roman" w:eastAsia="宋体" w:cs="Times New Roman"/>
                <w:color w:val="auto"/>
                <w:sz w:val="24"/>
                <w:szCs w:val="24"/>
                <w:highlight w:val="none"/>
                <w:lang w:val="en-US" w:eastAsia="zh-CN" w:bidi="ar"/>
              </w:rPr>
              <w:t>K</w:t>
            </w:r>
            <w:r>
              <w:rPr>
                <w:rFonts w:hint="default" w:ascii="Times New Roman" w:hAnsi="Times New Roman" w:eastAsia="宋体" w:cs="Times New Roman"/>
                <w:b/>
                <w:i w:val="0"/>
                <w:color w:val="auto"/>
                <w:kern w:val="0"/>
                <w:sz w:val="20"/>
                <w:szCs w:val="20"/>
                <w:highlight w:val="none"/>
                <w:u w:val="none"/>
                <w:lang w:val="en-US" w:eastAsia="zh-CN" w:bidi="ar"/>
              </w:rPr>
              <w:t>）</w:t>
            </w:r>
          </w:p>
        </w:tc>
        <w:tc>
          <w:tcPr>
            <w:tcW w:w="750" w:type="pct"/>
            <w:tcBorders>
              <w:tl2br w:val="nil"/>
              <w:tr2bl w:val="nil"/>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default" w:ascii="Times New Roman" w:hAnsi="Times New Roman" w:eastAsia="宋体" w:cs="Times New Roman"/>
                <w:b/>
                <w:i w:val="0"/>
                <w:color w:val="auto"/>
                <w:sz w:val="20"/>
                <w:szCs w:val="20"/>
                <w:highlight w:val="none"/>
                <w:u w:val="none"/>
              </w:rPr>
            </w:pPr>
            <w:r>
              <w:rPr>
                <w:rFonts w:hint="default" w:ascii="Times New Roman" w:hAnsi="Times New Roman" w:eastAsia="宋体" w:cs="Times New Roman"/>
                <w:b/>
                <w:i w:val="0"/>
                <w:color w:val="auto"/>
                <w:kern w:val="0"/>
                <w:sz w:val="20"/>
                <w:szCs w:val="20"/>
                <w:highlight w:val="none"/>
                <w:u w:val="none"/>
                <w:lang w:val="en-US" w:eastAsia="zh-CN" w:bidi="ar"/>
              </w:rPr>
              <w:t>源强</w:t>
            </w:r>
            <w:r>
              <w:rPr>
                <w:rStyle w:val="134"/>
                <w:rFonts w:hint="default" w:ascii="Times New Roman" w:hAnsi="Times New Roman" w:eastAsia="宋体" w:cs="Times New Roman"/>
                <w:color w:val="auto"/>
                <w:sz w:val="24"/>
                <w:szCs w:val="24"/>
                <w:highlight w:val="none"/>
                <w:lang w:val="en-US" w:eastAsia="zh-CN" w:bidi="ar"/>
              </w:rPr>
              <w:t>(kg/h)</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shd w:val="clear" w:color="auto" w:fill="auto"/>
          <w:tblCellMar>
            <w:top w:w="0" w:type="dxa"/>
            <w:left w:w="0" w:type="dxa"/>
            <w:bottom w:w="0" w:type="dxa"/>
            <w:right w:w="0" w:type="dxa"/>
          </w:tblCellMar>
        </w:tblPrEx>
        <w:trPr>
          <w:trHeight w:val="285" w:hRule="atLeast"/>
        </w:trPr>
        <w:tc>
          <w:tcPr>
            <w:tcW w:w="499" w:type="pct"/>
            <w:vMerge w:val="restar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P1</w:t>
            </w:r>
          </w:p>
        </w:tc>
        <w:tc>
          <w:tcPr>
            <w:tcW w:w="787"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HCl</w:t>
            </w:r>
          </w:p>
        </w:tc>
        <w:tc>
          <w:tcPr>
            <w:tcW w:w="83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18</w:t>
            </w:r>
          </w:p>
        </w:tc>
        <w:tc>
          <w:tcPr>
            <w:tcW w:w="720"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0.6</w:t>
            </w:r>
          </w:p>
        </w:tc>
        <w:tc>
          <w:tcPr>
            <w:tcW w:w="5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8651</w:t>
            </w:r>
          </w:p>
        </w:tc>
        <w:tc>
          <w:tcPr>
            <w:tcW w:w="895"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298</w:t>
            </w:r>
          </w:p>
        </w:tc>
        <w:tc>
          <w:tcPr>
            <w:tcW w:w="750"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0.024</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shd w:val="clear" w:color="auto" w:fill="auto"/>
          <w:tblCellMar>
            <w:top w:w="0" w:type="dxa"/>
            <w:left w:w="0" w:type="dxa"/>
            <w:bottom w:w="0" w:type="dxa"/>
            <w:right w:w="0" w:type="dxa"/>
          </w:tblCellMar>
        </w:tblPrEx>
        <w:trPr>
          <w:trHeight w:val="330" w:hRule="atLeast"/>
        </w:trPr>
        <w:tc>
          <w:tcPr>
            <w:tcW w:w="499" w:type="pct"/>
            <w:vMerge w:val="continue"/>
            <w:tcBorders>
              <w:tl2br w:val="nil"/>
              <w:tr2bl w:val="nil"/>
            </w:tcBorders>
            <w:shd w:val="clear" w:color="auto" w:fill="auto"/>
            <w:tcMar>
              <w:top w:w="15" w:type="dxa"/>
              <w:left w:w="15" w:type="dxa"/>
              <w:right w:w="15" w:type="dxa"/>
            </w:tcMar>
            <w:vAlign w:val="top"/>
          </w:tcPr>
          <w:p>
            <w:pPr>
              <w:jc w:val="center"/>
              <w:rPr>
                <w:rFonts w:hint="default" w:ascii="Times New Roman" w:hAnsi="Times New Roman" w:eastAsia="宋体" w:cs="Times New Roman"/>
                <w:i w:val="0"/>
                <w:color w:val="auto"/>
                <w:sz w:val="20"/>
                <w:szCs w:val="20"/>
                <w:highlight w:val="none"/>
                <w:u w:val="none"/>
              </w:rPr>
            </w:pPr>
          </w:p>
        </w:tc>
        <w:tc>
          <w:tcPr>
            <w:tcW w:w="787"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NO</w:t>
            </w:r>
            <w:r>
              <w:rPr>
                <w:rFonts w:hint="default" w:ascii="Times New Roman" w:hAnsi="Times New Roman" w:eastAsia="宋体" w:cs="Times New Roman"/>
                <w:i w:val="0"/>
                <w:color w:val="auto"/>
                <w:kern w:val="0"/>
                <w:sz w:val="20"/>
                <w:szCs w:val="20"/>
                <w:highlight w:val="none"/>
                <w:u w:val="none"/>
                <w:vertAlign w:val="subscript"/>
                <w:lang w:val="en-US" w:eastAsia="zh-CN" w:bidi="ar"/>
              </w:rPr>
              <w:t>x</w:t>
            </w:r>
          </w:p>
        </w:tc>
        <w:tc>
          <w:tcPr>
            <w:tcW w:w="83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auto"/>
                <w:sz w:val="20"/>
                <w:szCs w:val="20"/>
                <w:highlight w:val="none"/>
                <w:u w:val="none"/>
              </w:rPr>
            </w:pPr>
          </w:p>
        </w:tc>
        <w:tc>
          <w:tcPr>
            <w:tcW w:w="720"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auto"/>
                <w:sz w:val="20"/>
                <w:szCs w:val="20"/>
                <w:highlight w:val="none"/>
                <w:u w:val="none"/>
              </w:rPr>
            </w:pPr>
          </w:p>
        </w:tc>
        <w:tc>
          <w:tcPr>
            <w:tcW w:w="5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auto"/>
                <w:sz w:val="20"/>
                <w:szCs w:val="20"/>
                <w:highlight w:val="none"/>
                <w:u w:val="none"/>
              </w:rPr>
            </w:pPr>
          </w:p>
        </w:tc>
        <w:tc>
          <w:tcPr>
            <w:tcW w:w="895"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auto"/>
                <w:sz w:val="20"/>
                <w:szCs w:val="20"/>
                <w:highlight w:val="none"/>
                <w:u w:val="none"/>
              </w:rPr>
            </w:pPr>
          </w:p>
        </w:tc>
        <w:tc>
          <w:tcPr>
            <w:tcW w:w="750"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0.02</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shd w:val="clear" w:color="auto" w:fill="auto"/>
          <w:tblCellMar>
            <w:top w:w="0" w:type="dxa"/>
            <w:left w:w="0" w:type="dxa"/>
            <w:bottom w:w="0" w:type="dxa"/>
            <w:right w:w="0" w:type="dxa"/>
          </w:tblCellMar>
        </w:tblPrEx>
        <w:trPr>
          <w:trHeight w:val="285" w:hRule="atLeast"/>
        </w:trPr>
        <w:tc>
          <w:tcPr>
            <w:tcW w:w="499" w:type="pct"/>
            <w:vMerge w:val="continue"/>
            <w:tcBorders>
              <w:tl2br w:val="nil"/>
              <w:tr2bl w:val="nil"/>
            </w:tcBorders>
            <w:shd w:val="clear" w:color="auto" w:fill="auto"/>
            <w:tcMar>
              <w:top w:w="15" w:type="dxa"/>
              <w:left w:w="15" w:type="dxa"/>
              <w:right w:w="15" w:type="dxa"/>
            </w:tcMar>
            <w:vAlign w:val="top"/>
          </w:tcPr>
          <w:p>
            <w:pPr>
              <w:jc w:val="center"/>
              <w:rPr>
                <w:rFonts w:hint="default" w:ascii="Times New Roman" w:hAnsi="Times New Roman" w:eastAsia="宋体" w:cs="Times New Roman"/>
                <w:i w:val="0"/>
                <w:color w:val="auto"/>
                <w:sz w:val="20"/>
                <w:szCs w:val="20"/>
                <w:highlight w:val="none"/>
                <w:u w:val="none"/>
              </w:rPr>
            </w:pPr>
          </w:p>
        </w:tc>
        <w:tc>
          <w:tcPr>
            <w:tcW w:w="787"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硫酸雾</w:t>
            </w:r>
          </w:p>
        </w:tc>
        <w:tc>
          <w:tcPr>
            <w:tcW w:w="83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auto"/>
                <w:sz w:val="20"/>
                <w:szCs w:val="20"/>
                <w:highlight w:val="none"/>
                <w:u w:val="none"/>
              </w:rPr>
            </w:pPr>
          </w:p>
        </w:tc>
        <w:tc>
          <w:tcPr>
            <w:tcW w:w="720"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auto"/>
                <w:sz w:val="20"/>
                <w:szCs w:val="20"/>
                <w:highlight w:val="none"/>
                <w:u w:val="none"/>
              </w:rPr>
            </w:pPr>
          </w:p>
        </w:tc>
        <w:tc>
          <w:tcPr>
            <w:tcW w:w="5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auto"/>
                <w:sz w:val="20"/>
                <w:szCs w:val="20"/>
                <w:highlight w:val="none"/>
                <w:u w:val="none"/>
              </w:rPr>
            </w:pPr>
          </w:p>
        </w:tc>
        <w:tc>
          <w:tcPr>
            <w:tcW w:w="895"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auto"/>
                <w:sz w:val="20"/>
                <w:szCs w:val="20"/>
                <w:highlight w:val="none"/>
                <w:u w:val="none"/>
              </w:rPr>
            </w:pPr>
          </w:p>
        </w:tc>
        <w:tc>
          <w:tcPr>
            <w:tcW w:w="750"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0.014</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00" w:hRule="atLeast"/>
        </w:trPr>
        <w:tc>
          <w:tcPr>
            <w:tcW w:w="499" w:type="pct"/>
            <w:vMerge w:val="continue"/>
            <w:tcBorders>
              <w:tl2br w:val="nil"/>
              <w:tr2bl w:val="nil"/>
            </w:tcBorders>
            <w:shd w:val="clear" w:color="auto" w:fill="auto"/>
            <w:tcMar>
              <w:top w:w="15" w:type="dxa"/>
              <w:left w:w="15" w:type="dxa"/>
              <w:right w:w="15" w:type="dxa"/>
            </w:tcMar>
            <w:vAlign w:val="top"/>
          </w:tcPr>
          <w:p>
            <w:pPr>
              <w:jc w:val="center"/>
              <w:rPr>
                <w:rFonts w:hint="default" w:ascii="Times New Roman" w:hAnsi="Times New Roman" w:eastAsia="宋体" w:cs="Times New Roman"/>
                <w:i w:val="0"/>
                <w:color w:val="auto"/>
                <w:sz w:val="20"/>
                <w:szCs w:val="20"/>
                <w:highlight w:val="none"/>
                <w:u w:val="none"/>
              </w:rPr>
            </w:pPr>
          </w:p>
        </w:tc>
        <w:tc>
          <w:tcPr>
            <w:tcW w:w="787"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甲基磺酸雾</w:t>
            </w:r>
          </w:p>
        </w:tc>
        <w:tc>
          <w:tcPr>
            <w:tcW w:w="83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auto"/>
                <w:sz w:val="20"/>
                <w:szCs w:val="20"/>
                <w:highlight w:val="none"/>
                <w:u w:val="none"/>
              </w:rPr>
            </w:pPr>
          </w:p>
        </w:tc>
        <w:tc>
          <w:tcPr>
            <w:tcW w:w="720"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auto"/>
                <w:sz w:val="20"/>
                <w:szCs w:val="20"/>
                <w:highlight w:val="none"/>
                <w:u w:val="none"/>
              </w:rPr>
            </w:pPr>
          </w:p>
        </w:tc>
        <w:tc>
          <w:tcPr>
            <w:tcW w:w="5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auto"/>
                <w:sz w:val="20"/>
                <w:szCs w:val="20"/>
                <w:highlight w:val="none"/>
                <w:u w:val="none"/>
              </w:rPr>
            </w:pPr>
          </w:p>
        </w:tc>
        <w:tc>
          <w:tcPr>
            <w:tcW w:w="895"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auto"/>
                <w:sz w:val="20"/>
                <w:szCs w:val="20"/>
                <w:highlight w:val="none"/>
                <w:u w:val="none"/>
              </w:rPr>
            </w:pPr>
          </w:p>
        </w:tc>
        <w:tc>
          <w:tcPr>
            <w:tcW w:w="750"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0.06</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20" w:hRule="atLeast"/>
        </w:trPr>
        <w:tc>
          <w:tcPr>
            <w:tcW w:w="499"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P2</w:t>
            </w:r>
          </w:p>
        </w:tc>
        <w:tc>
          <w:tcPr>
            <w:tcW w:w="787"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HCl</w:t>
            </w:r>
          </w:p>
        </w:tc>
        <w:tc>
          <w:tcPr>
            <w:tcW w:w="837"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18</w:t>
            </w:r>
          </w:p>
        </w:tc>
        <w:tc>
          <w:tcPr>
            <w:tcW w:w="72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0.6</w:t>
            </w:r>
          </w:p>
        </w:tc>
        <w:tc>
          <w:tcPr>
            <w:tcW w:w="50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8352</w:t>
            </w:r>
          </w:p>
        </w:tc>
        <w:tc>
          <w:tcPr>
            <w:tcW w:w="89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298</w:t>
            </w:r>
          </w:p>
        </w:tc>
        <w:tc>
          <w:tcPr>
            <w:tcW w:w="750"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0.024</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shd w:val="clear" w:color="auto" w:fill="auto"/>
          <w:tblCellMar>
            <w:top w:w="0" w:type="dxa"/>
            <w:left w:w="0" w:type="dxa"/>
            <w:bottom w:w="0" w:type="dxa"/>
            <w:right w:w="0" w:type="dxa"/>
          </w:tblCellMar>
        </w:tblPrEx>
        <w:trPr>
          <w:trHeight w:val="285" w:hRule="atLeast"/>
        </w:trPr>
        <w:tc>
          <w:tcPr>
            <w:tcW w:w="499" w:type="pct"/>
            <w:vMerge w:val="restar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P3</w:t>
            </w:r>
          </w:p>
        </w:tc>
        <w:tc>
          <w:tcPr>
            <w:tcW w:w="787"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HCl</w:t>
            </w:r>
          </w:p>
        </w:tc>
        <w:tc>
          <w:tcPr>
            <w:tcW w:w="83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18</w:t>
            </w:r>
          </w:p>
        </w:tc>
        <w:tc>
          <w:tcPr>
            <w:tcW w:w="720"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0.6</w:t>
            </w:r>
          </w:p>
        </w:tc>
        <w:tc>
          <w:tcPr>
            <w:tcW w:w="5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8696</w:t>
            </w:r>
          </w:p>
        </w:tc>
        <w:tc>
          <w:tcPr>
            <w:tcW w:w="895"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298</w:t>
            </w:r>
          </w:p>
        </w:tc>
        <w:tc>
          <w:tcPr>
            <w:tcW w:w="750"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0.032</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5" w:hRule="atLeast"/>
        </w:trPr>
        <w:tc>
          <w:tcPr>
            <w:tcW w:w="499" w:type="pct"/>
            <w:vMerge w:val="continue"/>
            <w:tcBorders>
              <w:tl2br w:val="nil"/>
              <w:tr2bl w:val="nil"/>
            </w:tcBorders>
            <w:shd w:val="clear" w:color="auto" w:fill="auto"/>
            <w:tcMar>
              <w:top w:w="15" w:type="dxa"/>
              <w:left w:w="15" w:type="dxa"/>
              <w:right w:w="15" w:type="dxa"/>
            </w:tcMar>
            <w:vAlign w:val="top"/>
          </w:tcPr>
          <w:p>
            <w:pPr>
              <w:jc w:val="center"/>
              <w:rPr>
                <w:rFonts w:hint="default" w:ascii="Times New Roman" w:hAnsi="Times New Roman" w:eastAsia="宋体" w:cs="Times New Roman"/>
                <w:i w:val="0"/>
                <w:color w:val="auto"/>
                <w:sz w:val="20"/>
                <w:szCs w:val="20"/>
                <w:highlight w:val="none"/>
                <w:u w:val="none"/>
              </w:rPr>
            </w:pPr>
          </w:p>
        </w:tc>
        <w:tc>
          <w:tcPr>
            <w:tcW w:w="787"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硫酸雾</w:t>
            </w:r>
          </w:p>
        </w:tc>
        <w:tc>
          <w:tcPr>
            <w:tcW w:w="83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auto"/>
                <w:sz w:val="20"/>
                <w:szCs w:val="20"/>
                <w:highlight w:val="none"/>
                <w:u w:val="none"/>
              </w:rPr>
            </w:pPr>
          </w:p>
        </w:tc>
        <w:tc>
          <w:tcPr>
            <w:tcW w:w="720"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auto"/>
                <w:sz w:val="20"/>
                <w:szCs w:val="20"/>
                <w:highlight w:val="none"/>
                <w:u w:val="none"/>
              </w:rPr>
            </w:pPr>
          </w:p>
        </w:tc>
        <w:tc>
          <w:tcPr>
            <w:tcW w:w="5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auto"/>
                <w:sz w:val="20"/>
                <w:szCs w:val="20"/>
                <w:highlight w:val="none"/>
                <w:u w:val="none"/>
              </w:rPr>
            </w:pPr>
          </w:p>
        </w:tc>
        <w:tc>
          <w:tcPr>
            <w:tcW w:w="895"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auto"/>
                <w:sz w:val="20"/>
                <w:szCs w:val="20"/>
                <w:highlight w:val="none"/>
                <w:u w:val="none"/>
              </w:rPr>
            </w:pPr>
          </w:p>
        </w:tc>
        <w:tc>
          <w:tcPr>
            <w:tcW w:w="750"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0.011</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5" w:hRule="atLeast"/>
        </w:trPr>
        <w:tc>
          <w:tcPr>
            <w:tcW w:w="499" w:type="pct"/>
            <w:vMerge w:val="continue"/>
            <w:tcBorders>
              <w:tl2br w:val="nil"/>
              <w:tr2bl w:val="nil"/>
            </w:tcBorders>
            <w:shd w:val="clear" w:color="auto" w:fill="auto"/>
            <w:tcMar>
              <w:top w:w="15" w:type="dxa"/>
              <w:left w:w="15" w:type="dxa"/>
              <w:right w:w="15" w:type="dxa"/>
            </w:tcMar>
            <w:vAlign w:val="top"/>
          </w:tcPr>
          <w:p>
            <w:pPr>
              <w:jc w:val="center"/>
              <w:rPr>
                <w:rFonts w:hint="default" w:ascii="Times New Roman" w:hAnsi="Times New Roman" w:eastAsia="宋体" w:cs="Times New Roman"/>
                <w:i w:val="0"/>
                <w:color w:val="auto"/>
                <w:sz w:val="20"/>
                <w:szCs w:val="20"/>
                <w:highlight w:val="none"/>
                <w:u w:val="none"/>
              </w:rPr>
            </w:pPr>
          </w:p>
        </w:tc>
        <w:tc>
          <w:tcPr>
            <w:tcW w:w="787"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铬酸雾</w:t>
            </w:r>
          </w:p>
        </w:tc>
        <w:tc>
          <w:tcPr>
            <w:tcW w:w="83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auto"/>
                <w:sz w:val="20"/>
                <w:szCs w:val="20"/>
                <w:highlight w:val="none"/>
                <w:u w:val="none"/>
              </w:rPr>
            </w:pPr>
          </w:p>
        </w:tc>
        <w:tc>
          <w:tcPr>
            <w:tcW w:w="720"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auto"/>
                <w:sz w:val="20"/>
                <w:szCs w:val="20"/>
                <w:highlight w:val="none"/>
                <w:u w:val="none"/>
              </w:rPr>
            </w:pPr>
          </w:p>
        </w:tc>
        <w:tc>
          <w:tcPr>
            <w:tcW w:w="5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auto"/>
                <w:sz w:val="20"/>
                <w:szCs w:val="20"/>
                <w:highlight w:val="none"/>
                <w:u w:val="none"/>
              </w:rPr>
            </w:pPr>
          </w:p>
        </w:tc>
        <w:tc>
          <w:tcPr>
            <w:tcW w:w="895"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auto"/>
                <w:sz w:val="20"/>
                <w:szCs w:val="20"/>
                <w:highlight w:val="none"/>
                <w:u w:val="none"/>
              </w:rPr>
            </w:pPr>
          </w:p>
        </w:tc>
        <w:tc>
          <w:tcPr>
            <w:tcW w:w="750"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0.00054</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5" w:hRule="atLeast"/>
        </w:trPr>
        <w:tc>
          <w:tcPr>
            <w:tcW w:w="499" w:type="pct"/>
            <w:vMerge w:val="restar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P</w:t>
            </w:r>
            <w:r>
              <w:rPr>
                <w:rStyle w:val="136"/>
                <w:rFonts w:hint="default" w:ascii="Times New Roman" w:hAnsi="Times New Roman" w:eastAsia="宋体" w:cs="Times New Roman"/>
                <w:color w:val="auto"/>
                <w:highlight w:val="none"/>
                <w:lang w:val="en-US" w:eastAsia="zh-CN" w:bidi="ar"/>
              </w:rPr>
              <w:t>4-</w:t>
            </w:r>
            <w:r>
              <w:rPr>
                <w:rFonts w:hint="default" w:ascii="Times New Roman" w:hAnsi="Times New Roman" w:eastAsia="宋体" w:cs="Times New Roman"/>
                <w:i w:val="0"/>
                <w:color w:val="auto"/>
                <w:kern w:val="0"/>
                <w:sz w:val="20"/>
                <w:szCs w:val="20"/>
                <w:highlight w:val="none"/>
                <w:u w:val="none"/>
                <w:lang w:val="en-US" w:eastAsia="zh-CN" w:bidi="ar"/>
              </w:rPr>
              <w:t>1</w:t>
            </w:r>
          </w:p>
        </w:tc>
        <w:tc>
          <w:tcPr>
            <w:tcW w:w="787"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颗粒物</w:t>
            </w:r>
          </w:p>
        </w:tc>
        <w:tc>
          <w:tcPr>
            <w:tcW w:w="83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15</w:t>
            </w:r>
          </w:p>
        </w:tc>
        <w:tc>
          <w:tcPr>
            <w:tcW w:w="720"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0.4</w:t>
            </w:r>
          </w:p>
        </w:tc>
        <w:tc>
          <w:tcPr>
            <w:tcW w:w="5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1584</w:t>
            </w:r>
          </w:p>
        </w:tc>
        <w:tc>
          <w:tcPr>
            <w:tcW w:w="895"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373</w:t>
            </w:r>
          </w:p>
        </w:tc>
        <w:tc>
          <w:tcPr>
            <w:tcW w:w="750"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0.0051</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30" w:hRule="atLeast"/>
        </w:trPr>
        <w:tc>
          <w:tcPr>
            <w:tcW w:w="499" w:type="pct"/>
            <w:vMerge w:val="continue"/>
            <w:tcBorders>
              <w:tl2br w:val="nil"/>
              <w:tr2bl w:val="nil"/>
            </w:tcBorders>
            <w:shd w:val="clear" w:color="auto" w:fill="auto"/>
            <w:tcMar>
              <w:top w:w="15" w:type="dxa"/>
              <w:left w:w="15" w:type="dxa"/>
              <w:right w:w="15" w:type="dxa"/>
            </w:tcMar>
            <w:vAlign w:val="top"/>
          </w:tcPr>
          <w:p>
            <w:pPr>
              <w:jc w:val="center"/>
              <w:rPr>
                <w:rFonts w:hint="default" w:ascii="Times New Roman" w:hAnsi="Times New Roman" w:eastAsia="宋体" w:cs="Times New Roman"/>
                <w:i w:val="0"/>
                <w:color w:val="auto"/>
                <w:sz w:val="20"/>
                <w:szCs w:val="20"/>
                <w:highlight w:val="none"/>
                <w:u w:val="none"/>
              </w:rPr>
            </w:pPr>
          </w:p>
        </w:tc>
        <w:tc>
          <w:tcPr>
            <w:tcW w:w="787"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NO</w:t>
            </w:r>
            <w:r>
              <w:rPr>
                <w:rFonts w:hint="default" w:ascii="Times New Roman" w:hAnsi="Times New Roman" w:eastAsia="宋体" w:cs="Times New Roman"/>
                <w:i w:val="0"/>
                <w:color w:val="auto"/>
                <w:kern w:val="0"/>
                <w:sz w:val="20"/>
                <w:szCs w:val="20"/>
                <w:highlight w:val="none"/>
                <w:u w:val="none"/>
                <w:vertAlign w:val="subscript"/>
                <w:lang w:val="en-US" w:eastAsia="zh-CN" w:bidi="ar"/>
              </w:rPr>
              <w:t>x</w:t>
            </w:r>
          </w:p>
        </w:tc>
        <w:tc>
          <w:tcPr>
            <w:tcW w:w="83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auto"/>
                <w:sz w:val="20"/>
                <w:szCs w:val="20"/>
                <w:highlight w:val="none"/>
                <w:u w:val="none"/>
              </w:rPr>
            </w:pPr>
          </w:p>
        </w:tc>
        <w:tc>
          <w:tcPr>
            <w:tcW w:w="720"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auto"/>
                <w:sz w:val="20"/>
                <w:szCs w:val="20"/>
                <w:highlight w:val="none"/>
                <w:u w:val="none"/>
              </w:rPr>
            </w:pPr>
          </w:p>
        </w:tc>
        <w:tc>
          <w:tcPr>
            <w:tcW w:w="5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auto"/>
                <w:sz w:val="20"/>
                <w:szCs w:val="20"/>
                <w:highlight w:val="none"/>
                <w:u w:val="none"/>
              </w:rPr>
            </w:pPr>
          </w:p>
        </w:tc>
        <w:tc>
          <w:tcPr>
            <w:tcW w:w="895"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auto"/>
                <w:sz w:val="20"/>
                <w:szCs w:val="20"/>
                <w:highlight w:val="none"/>
                <w:u w:val="none"/>
              </w:rPr>
            </w:pPr>
          </w:p>
        </w:tc>
        <w:tc>
          <w:tcPr>
            <w:tcW w:w="750"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0.077</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shd w:val="clear" w:color="auto" w:fill="auto"/>
          <w:tblCellMar>
            <w:top w:w="0" w:type="dxa"/>
            <w:left w:w="0" w:type="dxa"/>
            <w:bottom w:w="0" w:type="dxa"/>
            <w:right w:w="0" w:type="dxa"/>
          </w:tblCellMar>
        </w:tblPrEx>
        <w:trPr>
          <w:trHeight w:val="330" w:hRule="atLeast"/>
        </w:trPr>
        <w:tc>
          <w:tcPr>
            <w:tcW w:w="499" w:type="pct"/>
            <w:vMerge w:val="continue"/>
            <w:tcBorders>
              <w:tl2br w:val="nil"/>
              <w:tr2bl w:val="nil"/>
            </w:tcBorders>
            <w:shd w:val="clear" w:color="auto" w:fill="auto"/>
            <w:tcMar>
              <w:top w:w="15" w:type="dxa"/>
              <w:left w:w="15" w:type="dxa"/>
              <w:right w:w="15" w:type="dxa"/>
            </w:tcMar>
            <w:vAlign w:val="top"/>
          </w:tcPr>
          <w:p>
            <w:pPr>
              <w:jc w:val="center"/>
              <w:rPr>
                <w:rFonts w:hint="default" w:ascii="Times New Roman" w:hAnsi="Times New Roman" w:eastAsia="宋体" w:cs="Times New Roman"/>
                <w:i w:val="0"/>
                <w:color w:val="auto"/>
                <w:sz w:val="20"/>
                <w:szCs w:val="20"/>
                <w:highlight w:val="none"/>
                <w:u w:val="none"/>
              </w:rPr>
            </w:pPr>
          </w:p>
        </w:tc>
        <w:tc>
          <w:tcPr>
            <w:tcW w:w="787"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SO</w:t>
            </w:r>
            <w:r>
              <w:rPr>
                <w:rStyle w:val="137"/>
                <w:rFonts w:hint="default" w:ascii="Times New Roman" w:hAnsi="Times New Roman" w:eastAsia="宋体" w:cs="Times New Roman"/>
                <w:color w:val="auto"/>
                <w:highlight w:val="none"/>
                <w:lang w:val="en-US" w:eastAsia="zh-CN" w:bidi="ar"/>
              </w:rPr>
              <w:t>2</w:t>
            </w:r>
          </w:p>
        </w:tc>
        <w:tc>
          <w:tcPr>
            <w:tcW w:w="83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auto"/>
                <w:sz w:val="20"/>
                <w:szCs w:val="20"/>
                <w:highlight w:val="none"/>
                <w:u w:val="none"/>
              </w:rPr>
            </w:pPr>
          </w:p>
        </w:tc>
        <w:tc>
          <w:tcPr>
            <w:tcW w:w="720"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auto"/>
                <w:sz w:val="20"/>
                <w:szCs w:val="20"/>
                <w:highlight w:val="none"/>
                <w:u w:val="none"/>
              </w:rPr>
            </w:pPr>
          </w:p>
        </w:tc>
        <w:tc>
          <w:tcPr>
            <w:tcW w:w="5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auto"/>
                <w:sz w:val="20"/>
                <w:szCs w:val="20"/>
                <w:highlight w:val="none"/>
                <w:u w:val="none"/>
              </w:rPr>
            </w:pPr>
          </w:p>
        </w:tc>
        <w:tc>
          <w:tcPr>
            <w:tcW w:w="895"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auto"/>
                <w:sz w:val="20"/>
                <w:szCs w:val="20"/>
                <w:highlight w:val="none"/>
                <w:u w:val="none"/>
              </w:rPr>
            </w:pPr>
          </w:p>
        </w:tc>
        <w:tc>
          <w:tcPr>
            <w:tcW w:w="750"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0.013</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5" w:hRule="atLeast"/>
        </w:trPr>
        <w:tc>
          <w:tcPr>
            <w:tcW w:w="499" w:type="pct"/>
            <w:vMerge w:val="restar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P</w:t>
            </w:r>
            <w:r>
              <w:rPr>
                <w:rStyle w:val="136"/>
                <w:rFonts w:hint="default" w:ascii="Times New Roman" w:hAnsi="Times New Roman" w:eastAsia="宋体" w:cs="Times New Roman"/>
                <w:color w:val="auto"/>
                <w:highlight w:val="none"/>
                <w:lang w:val="en-US" w:eastAsia="zh-CN" w:bidi="ar"/>
              </w:rPr>
              <w:t>4-2</w:t>
            </w:r>
          </w:p>
        </w:tc>
        <w:tc>
          <w:tcPr>
            <w:tcW w:w="787"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HCl</w:t>
            </w:r>
          </w:p>
        </w:tc>
        <w:tc>
          <w:tcPr>
            <w:tcW w:w="83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25</w:t>
            </w:r>
          </w:p>
        </w:tc>
        <w:tc>
          <w:tcPr>
            <w:tcW w:w="720"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0.6</w:t>
            </w:r>
          </w:p>
        </w:tc>
        <w:tc>
          <w:tcPr>
            <w:tcW w:w="5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10486</w:t>
            </w:r>
          </w:p>
        </w:tc>
        <w:tc>
          <w:tcPr>
            <w:tcW w:w="895"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298</w:t>
            </w:r>
          </w:p>
        </w:tc>
        <w:tc>
          <w:tcPr>
            <w:tcW w:w="750"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0.056</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5" w:hRule="atLeast"/>
        </w:trPr>
        <w:tc>
          <w:tcPr>
            <w:tcW w:w="499" w:type="pct"/>
            <w:vMerge w:val="continue"/>
            <w:tcBorders>
              <w:tl2br w:val="nil"/>
              <w:tr2bl w:val="nil"/>
            </w:tcBorders>
            <w:shd w:val="clear" w:color="auto" w:fill="auto"/>
            <w:tcMar>
              <w:top w:w="15" w:type="dxa"/>
              <w:left w:w="15" w:type="dxa"/>
              <w:right w:w="15" w:type="dxa"/>
            </w:tcMar>
            <w:vAlign w:val="top"/>
          </w:tcPr>
          <w:p>
            <w:pPr>
              <w:jc w:val="center"/>
              <w:rPr>
                <w:rFonts w:hint="default" w:ascii="Times New Roman" w:hAnsi="Times New Roman" w:eastAsia="宋体" w:cs="Times New Roman"/>
                <w:i w:val="0"/>
                <w:color w:val="auto"/>
                <w:sz w:val="20"/>
                <w:szCs w:val="20"/>
                <w:highlight w:val="none"/>
                <w:u w:val="none"/>
              </w:rPr>
            </w:pPr>
          </w:p>
        </w:tc>
        <w:tc>
          <w:tcPr>
            <w:tcW w:w="787"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硫酸雾</w:t>
            </w:r>
          </w:p>
        </w:tc>
        <w:tc>
          <w:tcPr>
            <w:tcW w:w="83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auto"/>
                <w:sz w:val="20"/>
                <w:szCs w:val="20"/>
                <w:highlight w:val="none"/>
                <w:u w:val="none"/>
              </w:rPr>
            </w:pPr>
          </w:p>
        </w:tc>
        <w:tc>
          <w:tcPr>
            <w:tcW w:w="720"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auto"/>
                <w:sz w:val="20"/>
                <w:szCs w:val="20"/>
                <w:highlight w:val="none"/>
                <w:u w:val="none"/>
              </w:rPr>
            </w:pPr>
          </w:p>
        </w:tc>
        <w:tc>
          <w:tcPr>
            <w:tcW w:w="5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auto"/>
                <w:sz w:val="20"/>
                <w:szCs w:val="20"/>
                <w:highlight w:val="none"/>
                <w:u w:val="none"/>
              </w:rPr>
            </w:pPr>
          </w:p>
        </w:tc>
        <w:tc>
          <w:tcPr>
            <w:tcW w:w="895"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auto"/>
                <w:sz w:val="20"/>
                <w:szCs w:val="20"/>
                <w:highlight w:val="none"/>
                <w:u w:val="none"/>
              </w:rPr>
            </w:pPr>
          </w:p>
        </w:tc>
        <w:tc>
          <w:tcPr>
            <w:tcW w:w="750"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0.016</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shd w:val="clear" w:color="auto" w:fill="auto"/>
          <w:tblCellMar>
            <w:top w:w="0" w:type="dxa"/>
            <w:left w:w="0" w:type="dxa"/>
            <w:bottom w:w="0" w:type="dxa"/>
            <w:right w:w="0" w:type="dxa"/>
          </w:tblCellMar>
        </w:tblPrEx>
        <w:trPr>
          <w:trHeight w:val="285" w:hRule="atLeast"/>
        </w:trPr>
        <w:tc>
          <w:tcPr>
            <w:tcW w:w="499" w:type="pct"/>
            <w:vMerge w:val="restar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P5</w:t>
            </w:r>
          </w:p>
        </w:tc>
        <w:tc>
          <w:tcPr>
            <w:tcW w:w="787"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HCl</w:t>
            </w:r>
          </w:p>
        </w:tc>
        <w:tc>
          <w:tcPr>
            <w:tcW w:w="83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25</w:t>
            </w:r>
          </w:p>
        </w:tc>
        <w:tc>
          <w:tcPr>
            <w:tcW w:w="720"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0.6</w:t>
            </w:r>
          </w:p>
        </w:tc>
        <w:tc>
          <w:tcPr>
            <w:tcW w:w="5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9981</w:t>
            </w:r>
          </w:p>
        </w:tc>
        <w:tc>
          <w:tcPr>
            <w:tcW w:w="895"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298</w:t>
            </w:r>
          </w:p>
        </w:tc>
        <w:tc>
          <w:tcPr>
            <w:tcW w:w="750"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0.0075</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5" w:hRule="atLeast"/>
        </w:trPr>
        <w:tc>
          <w:tcPr>
            <w:tcW w:w="499" w:type="pct"/>
            <w:vMerge w:val="continue"/>
            <w:tcBorders>
              <w:tl2br w:val="nil"/>
              <w:tr2bl w:val="nil"/>
            </w:tcBorders>
            <w:shd w:val="clear" w:color="auto" w:fill="auto"/>
            <w:tcMar>
              <w:top w:w="15" w:type="dxa"/>
              <w:left w:w="15" w:type="dxa"/>
              <w:right w:w="15" w:type="dxa"/>
            </w:tcMar>
            <w:vAlign w:val="top"/>
          </w:tcPr>
          <w:p>
            <w:pPr>
              <w:jc w:val="center"/>
              <w:rPr>
                <w:rFonts w:hint="default" w:ascii="Times New Roman" w:hAnsi="Times New Roman" w:eastAsia="宋体" w:cs="Times New Roman"/>
                <w:i w:val="0"/>
                <w:color w:val="auto"/>
                <w:sz w:val="20"/>
                <w:szCs w:val="20"/>
                <w:highlight w:val="none"/>
                <w:u w:val="none"/>
              </w:rPr>
            </w:pPr>
          </w:p>
        </w:tc>
        <w:tc>
          <w:tcPr>
            <w:tcW w:w="787"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铬酸雾</w:t>
            </w:r>
          </w:p>
        </w:tc>
        <w:tc>
          <w:tcPr>
            <w:tcW w:w="83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auto"/>
                <w:sz w:val="20"/>
                <w:szCs w:val="20"/>
                <w:highlight w:val="none"/>
                <w:u w:val="none"/>
              </w:rPr>
            </w:pPr>
          </w:p>
        </w:tc>
        <w:tc>
          <w:tcPr>
            <w:tcW w:w="720"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auto"/>
                <w:sz w:val="20"/>
                <w:szCs w:val="20"/>
                <w:highlight w:val="none"/>
                <w:u w:val="none"/>
              </w:rPr>
            </w:pPr>
          </w:p>
        </w:tc>
        <w:tc>
          <w:tcPr>
            <w:tcW w:w="5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auto"/>
                <w:sz w:val="20"/>
                <w:szCs w:val="20"/>
                <w:highlight w:val="none"/>
                <w:u w:val="none"/>
              </w:rPr>
            </w:pPr>
          </w:p>
        </w:tc>
        <w:tc>
          <w:tcPr>
            <w:tcW w:w="895"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auto"/>
                <w:sz w:val="20"/>
                <w:szCs w:val="20"/>
                <w:highlight w:val="none"/>
                <w:u w:val="none"/>
              </w:rPr>
            </w:pPr>
          </w:p>
        </w:tc>
        <w:tc>
          <w:tcPr>
            <w:tcW w:w="750"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0.0015</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85" w:hRule="atLeast"/>
        </w:trPr>
        <w:tc>
          <w:tcPr>
            <w:tcW w:w="499" w:type="pct"/>
            <w:vMerge w:val="continue"/>
            <w:tcBorders>
              <w:tl2br w:val="nil"/>
              <w:tr2bl w:val="nil"/>
            </w:tcBorders>
            <w:shd w:val="clear" w:color="auto" w:fill="auto"/>
            <w:tcMar>
              <w:top w:w="15" w:type="dxa"/>
              <w:left w:w="15" w:type="dxa"/>
              <w:right w:w="15" w:type="dxa"/>
            </w:tcMar>
            <w:vAlign w:val="top"/>
          </w:tcPr>
          <w:p>
            <w:pPr>
              <w:jc w:val="center"/>
              <w:rPr>
                <w:rFonts w:hint="default" w:ascii="Times New Roman" w:hAnsi="Times New Roman" w:eastAsia="宋体" w:cs="Times New Roman"/>
                <w:i w:val="0"/>
                <w:color w:val="auto"/>
                <w:sz w:val="20"/>
                <w:szCs w:val="20"/>
                <w:highlight w:val="none"/>
                <w:u w:val="none"/>
              </w:rPr>
            </w:pPr>
          </w:p>
        </w:tc>
        <w:tc>
          <w:tcPr>
            <w:tcW w:w="787"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氨</w:t>
            </w:r>
          </w:p>
        </w:tc>
        <w:tc>
          <w:tcPr>
            <w:tcW w:w="83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auto"/>
                <w:sz w:val="20"/>
                <w:szCs w:val="20"/>
                <w:highlight w:val="none"/>
                <w:u w:val="none"/>
              </w:rPr>
            </w:pPr>
          </w:p>
        </w:tc>
        <w:tc>
          <w:tcPr>
            <w:tcW w:w="720"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auto"/>
                <w:sz w:val="20"/>
                <w:szCs w:val="20"/>
                <w:highlight w:val="none"/>
                <w:u w:val="none"/>
              </w:rPr>
            </w:pPr>
          </w:p>
        </w:tc>
        <w:tc>
          <w:tcPr>
            <w:tcW w:w="508"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auto"/>
                <w:sz w:val="20"/>
                <w:szCs w:val="20"/>
                <w:highlight w:val="none"/>
                <w:u w:val="none"/>
              </w:rPr>
            </w:pPr>
          </w:p>
        </w:tc>
        <w:tc>
          <w:tcPr>
            <w:tcW w:w="895"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auto"/>
                <w:sz w:val="20"/>
                <w:szCs w:val="20"/>
                <w:highlight w:val="none"/>
                <w:u w:val="none"/>
              </w:rPr>
            </w:pPr>
          </w:p>
        </w:tc>
        <w:tc>
          <w:tcPr>
            <w:tcW w:w="750"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0.0145</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shd w:val="clear" w:color="auto" w:fill="auto"/>
          <w:tblCellMar>
            <w:top w:w="0" w:type="dxa"/>
            <w:left w:w="0" w:type="dxa"/>
            <w:bottom w:w="0" w:type="dxa"/>
            <w:right w:w="0" w:type="dxa"/>
          </w:tblCellMar>
        </w:tblPrEx>
        <w:trPr>
          <w:trHeight w:val="285" w:hRule="atLeast"/>
        </w:trPr>
        <w:tc>
          <w:tcPr>
            <w:tcW w:w="499"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P6</w:t>
            </w:r>
          </w:p>
        </w:tc>
        <w:tc>
          <w:tcPr>
            <w:tcW w:w="787"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HCl</w:t>
            </w:r>
          </w:p>
        </w:tc>
        <w:tc>
          <w:tcPr>
            <w:tcW w:w="837"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25</w:t>
            </w:r>
          </w:p>
        </w:tc>
        <w:tc>
          <w:tcPr>
            <w:tcW w:w="72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0.6</w:t>
            </w:r>
          </w:p>
        </w:tc>
        <w:tc>
          <w:tcPr>
            <w:tcW w:w="50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9759</w:t>
            </w:r>
          </w:p>
        </w:tc>
        <w:tc>
          <w:tcPr>
            <w:tcW w:w="89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298</w:t>
            </w:r>
          </w:p>
        </w:tc>
        <w:tc>
          <w:tcPr>
            <w:tcW w:w="750" w:type="pct"/>
            <w:tcBorders>
              <w:tl2br w:val="nil"/>
              <w:tr2bl w:val="nil"/>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0"/>
                <w:szCs w:val="20"/>
                <w:highlight w:val="none"/>
                <w:u w:val="none"/>
              </w:rPr>
            </w:pPr>
            <w:r>
              <w:rPr>
                <w:rFonts w:hint="default" w:ascii="Times New Roman" w:hAnsi="Times New Roman" w:eastAsia="宋体" w:cs="Times New Roman"/>
                <w:i w:val="0"/>
                <w:color w:val="auto"/>
                <w:kern w:val="0"/>
                <w:sz w:val="20"/>
                <w:szCs w:val="20"/>
                <w:highlight w:val="none"/>
                <w:u w:val="none"/>
                <w:lang w:val="en-US" w:eastAsia="zh-CN" w:bidi="ar"/>
              </w:rPr>
              <w:t>0.054</w:t>
            </w:r>
          </w:p>
        </w:tc>
      </w:tr>
    </w:tbl>
    <w:p>
      <w:pPr>
        <w:kinsoku w:val="0"/>
        <w:overflowPunct w:val="0"/>
        <w:autoSpaceDE w:val="0"/>
        <w:autoSpaceDN w:val="0"/>
        <w:adjustRightInd w:val="0"/>
        <w:spacing w:line="276" w:lineRule="auto"/>
        <w:ind w:firstLine="0" w:firstLineChars="0"/>
        <w:jc w:val="center"/>
        <w:rPr>
          <w:rFonts w:hint="eastAsia" w:ascii="黑体" w:hAnsi="黑体" w:eastAsia="黑体" w:cs="黑体"/>
          <w:b w:val="0"/>
          <w:bCs w:val="0"/>
          <w:color w:val="auto"/>
          <w:sz w:val="24"/>
          <w:szCs w:val="24"/>
          <w:highlight w:val="none"/>
          <w:lang w:val="en-GB"/>
        </w:rPr>
      </w:pPr>
      <w:r>
        <w:rPr>
          <w:rFonts w:hint="eastAsia" w:ascii="黑体" w:hAnsi="黑体" w:eastAsia="黑体" w:cs="黑体"/>
          <w:b w:val="0"/>
          <w:bCs w:val="0"/>
          <w:color w:val="auto"/>
          <w:sz w:val="24"/>
          <w:szCs w:val="24"/>
          <w:highlight w:val="none"/>
          <w:lang w:val="en-GB"/>
        </w:rPr>
        <w:t>表1.</w:t>
      </w:r>
      <w:r>
        <w:rPr>
          <w:rFonts w:hint="eastAsia" w:ascii="黑体" w:hAnsi="黑体" w:eastAsia="黑体" w:cs="黑体"/>
          <w:b w:val="0"/>
          <w:bCs w:val="0"/>
          <w:color w:val="auto"/>
          <w:sz w:val="24"/>
          <w:szCs w:val="24"/>
          <w:highlight w:val="none"/>
          <w:lang w:val="en-US" w:eastAsia="zh-CN"/>
        </w:rPr>
        <w:t>5</w:t>
      </w:r>
      <w:r>
        <w:rPr>
          <w:rFonts w:hint="eastAsia" w:ascii="黑体" w:hAnsi="黑体" w:eastAsia="黑体" w:cs="黑体"/>
          <w:b w:val="0"/>
          <w:bCs w:val="0"/>
          <w:color w:val="auto"/>
          <w:sz w:val="24"/>
          <w:szCs w:val="24"/>
          <w:highlight w:val="none"/>
          <w:lang w:val="en-GB"/>
        </w:rPr>
        <w:t>-2  项目面源参数表</w:t>
      </w:r>
    </w:p>
    <w:tbl>
      <w:tblPr>
        <w:tblStyle w:val="36"/>
        <w:tblW w:w="4997" w:type="pct"/>
        <w:tblInd w:w="0" w:type="dxa"/>
        <w:tblBorders>
          <w:top w:val="single" w:color="000000" w:sz="4" w:space="0"/>
          <w:left w:val="none" w:color="auto" w:sz="0" w:space="0"/>
          <w:bottom w:val="single" w:color="000000" w:sz="4" w:space="0"/>
          <w:right w:val="none" w:color="auto" w:sz="0" w:space="0"/>
          <w:insideH w:val="dotted" w:color="000000" w:sz="4" w:space="0"/>
          <w:insideV w:val="dotted" w:color="000000" w:sz="4" w:space="0"/>
        </w:tblBorders>
        <w:shd w:val="clear" w:color="auto" w:fill="auto"/>
        <w:tblLayout w:type="autofit"/>
        <w:tblCellMar>
          <w:top w:w="0" w:type="dxa"/>
          <w:left w:w="0" w:type="dxa"/>
          <w:bottom w:w="0" w:type="dxa"/>
          <w:right w:w="0" w:type="dxa"/>
        </w:tblCellMar>
      </w:tblPr>
      <w:tblGrid>
        <w:gridCol w:w="1071"/>
        <w:gridCol w:w="1401"/>
        <w:gridCol w:w="1299"/>
        <w:gridCol w:w="1518"/>
        <w:gridCol w:w="2135"/>
        <w:gridCol w:w="1671"/>
      </w:tblGrid>
      <w:tr>
        <w:tblPrEx>
          <w:tblBorders>
            <w:top w:val="single" w:color="000000" w:sz="4" w:space="0"/>
            <w:left w:val="none" w:color="auto" w:sz="0" w:space="0"/>
            <w:bottom w:val="single" w:color="000000" w:sz="4" w:space="0"/>
            <w:right w:val="none" w:color="auto" w:sz="0" w:space="0"/>
            <w:insideH w:val="dotted" w:color="000000" w:sz="4" w:space="0"/>
            <w:insideV w:val="dotted" w:color="000000" w:sz="4" w:space="0"/>
          </w:tblBorders>
          <w:shd w:val="clear" w:color="auto" w:fill="auto"/>
          <w:tblCellMar>
            <w:top w:w="0" w:type="dxa"/>
            <w:left w:w="0" w:type="dxa"/>
            <w:bottom w:w="0" w:type="dxa"/>
            <w:right w:w="0" w:type="dxa"/>
          </w:tblCellMar>
        </w:tblPrEx>
        <w:trPr>
          <w:trHeight w:val="1057" w:hRule="atLeast"/>
        </w:trPr>
        <w:tc>
          <w:tcPr>
            <w:tcW w:w="589"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bottom"/>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名称</w:t>
            </w:r>
          </w:p>
        </w:tc>
        <w:tc>
          <w:tcPr>
            <w:tcW w:w="770"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bottom"/>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面源高度(m)</w:t>
            </w:r>
          </w:p>
        </w:tc>
        <w:tc>
          <w:tcPr>
            <w:tcW w:w="714"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bottom"/>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面源长度(m)</w:t>
            </w:r>
          </w:p>
        </w:tc>
        <w:tc>
          <w:tcPr>
            <w:tcW w:w="834"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bottom"/>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面源宽度(m)</w:t>
            </w:r>
          </w:p>
        </w:tc>
        <w:tc>
          <w:tcPr>
            <w:tcW w:w="1173"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bottom"/>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评价因子</w:t>
            </w:r>
          </w:p>
        </w:tc>
        <w:tc>
          <w:tcPr>
            <w:tcW w:w="918"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bottom"/>
              <w:rPr>
                <w:rFonts w:hint="default" w:ascii="Times New Roman" w:hAnsi="Times New Roman" w:eastAsia="宋体" w:cs="Times New Roman"/>
                <w:b/>
                <w:i w:val="0"/>
                <w:color w:val="auto"/>
                <w:kern w:val="0"/>
                <w:sz w:val="21"/>
                <w:szCs w:val="21"/>
                <w:highlight w:val="none"/>
                <w:u w:val="none"/>
                <w:lang w:val="en-US" w:eastAsia="zh-CN" w:bidi="ar"/>
              </w:rPr>
            </w:pPr>
            <w:r>
              <w:rPr>
                <w:rFonts w:hint="default" w:ascii="Times New Roman" w:hAnsi="Times New Roman" w:eastAsia="宋体" w:cs="Times New Roman"/>
                <w:b/>
                <w:i w:val="0"/>
                <w:color w:val="auto"/>
                <w:kern w:val="0"/>
                <w:sz w:val="21"/>
                <w:szCs w:val="21"/>
                <w:highlight w:val="none"/>
                <w:u w:val="none"/>
                <w:lang w:val="en-US" w:eastAsia="zh-CN" w:bidi="ar"/>
              </w:rPr>
              <w:t>污染物排放源强</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bottom"/>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(kg/h)</w:t>
            </w:r>
          </w:p>
        </w:tc>
      </w:tr>
      <w:tr>
        <w:tblPrEx>
          <w:tblBorders>
            <w:top w:val="single" w:color="000000" w:sz="4" w:space="0"/>
            <w:left w:val="none" w:color="auto" w:sz="0" w:space="0"/>
            <w:bottom w:val="single" w:color="000000" w:sz="4" w:space="0"/>
            <w:right w:val="none" w:color="auto" w:sz="0" w:space="0"/>
            <w:insideH w:val="dotted" w:color="000000" w:sz="4" w:space="0"/>
            <w:insideV w:val="dotted" w:color="000000" w:sz="4" w:space="0"/>
          </w:tblBorders>
          <w:shd w:val="clear" w:color="auto" w:fill="auto"/>
          <w:tblCellMar>
            <w:top w:w="0" w:type="dxa"/>
            <w:left w:w="0" w:type="dxa"/>
            <w:bottom w:w="0" w:type="dxa"/>
            <w:right w:w="0" w:type="dxa"/>
          </w:tblCellMar>
        </w:tblPrEx>
        <w:trPr>
          <w:trHeight w:val="285" w:hRule="atLeast"/>
        </w:trPr>
        <w:tc>
          <w:tcPr>
            <w:tcW w:w="589" w:type="pct"/>
            <w:vMerge w:val="restar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1#车间</w:t>
            </w:r>
          </w:p>
        </w:tc>
        <w:tc>
          <w:tcPr>
            <w:tcW w:w="770" w:type="pct"/>
            <w:vMerge w:val="restar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13</w:t>
            </w:r>
          </w:p>
        </w:tc>
        <w:tc>
          <w:tcPr>
            <w:tcW w:w="714" w:type="pct"/>
            <w:vMerge w:val="restar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44</w:t>
            </w:r>
          </w:p>
        </w:tc>
        <w:tc>
          <w:tcPr>
            <w:tcW w:w="834" w:type="pct"/>
            <w:vMerge w:val="restar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16</w:t>
            </w:r>
          </w:p>
        </w:tc>
        <w:tc>
          <w:tcPr>
            <w:tcW w:w="1173"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氯化氢</w:t>
            </w:r>
          </w:p>
        </w:tc>
        <w:tc>
          <w:tcPr>
            <w:tcW w:w="918"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0.0027</w:t>
            </w:r>
          </w:p>
        </w:tc>
      </w:tr>
      <w:tr>
        <w:tblPrEx>
          <w:tblBorders>
            <w:top w:val="single" w:color="000000" w:sz="4" w:space="0"/>
            <w:left w:val="none" w:color="auto" w:sz="0" w:space="0"/>
            <w:bottom w:val="single" w:color="000000" w:sz="4" w:space="0"/>
            <w:right w:val="none" w:color="auto" w:sz="0" w:space="0"/>
            <w:insideH w:val="dotted" w:color="000000" w:sz="4" w:space="0"/>
            <w:insideV w:val="dotted" w:color="000000" w:sz="4" w:space="0"/>
          </w:tblBorders>
          <w:shd w:val="clear" w:color="auto" w:fill="auto"/>
          <w:tblCellMar>
            <w:top w:w="0" w:type="dxa"/>
            <w:left w:w="0" w:type="dxa"/>
            <w:bottom w:w="0" w:type="dxa"/>
            <w:right w:w="0" w:type="dxa"/>
          </w:tblCellMar>
        </w:tblPrEx>
        <w:trPr>
          <w:trHeight w:val="285" w:hRule="atLeast"/>
        </w:trPr>
        <w:tc>
          <w:tcPr>
            <w:tcW w:w="589" w:type="pct"/>
            <w:vMerge w:val="continue"/>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color w:val="auto"/>
                <w:sz w:val="21"/>
                <w:szCs w:val="21"/>
                <w:highlight w:val="none"/>
                <w:u w:val="none"/>
              </w:rPr>
            </w:pPr>
          </w:p>
        </w:tc>
        <w:tc>
          <w:tcPr>
            <w:tcW w:w="770" w:type="pct"/>
            <w:vMerge w:val="continue"/>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color w:val="auto"/>
                <w:sz w:val="21"/>
                <w:szCs w:val="21"/>
                <w:highlight w:val="none"/>
                <w:u w:val="none"/>
              </w:rPr>
            </w:pPr>
          </w:p>
        </w:tc>
        <w:tc>
          <w:tcPr>
            <w:tcW w:w="714" w:type="pct"/>
            <w:vMerge w:val="continue"/>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color w:val="auto"/>
                <w:sz w:val="21"/>
                <w:szCs w:val="21"/>
                <w:highlight w:val="none"/>
                <w:u w:val="none"/>
              </w:rPr>
            </w:pPr>
          </w:p>
        </w:tc>
        <w:tc>
          <w:tcPr>
            <w:tcW w:w="834" w:type="pct"/>
            <w:vMerge w:val="continue"/>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color w:val="auto"/>
                <w:sz w:val="21"/>
                <w:szCs w:val="21"/>
                <w:highlight w:val="none"/>
                <w:u w:val="none"/>
              </w:rPr>
            </w:pPr>
          </w:p>
        </w:tc>
        <w:tc>
          <w:tcPr>
            <w:tcW w:w="1173"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硫酸雾</w:t>
            </w:r>
          </w:p>
        </w:tc>
        <w:tc>
          <w:tcPr>
            <w:tcW w:w="918"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color w:val="auto"/>
                <w:sz w:val="21"/>
                <w:szCs w:val="21"/>
                <w:highlight w:val="none"/>
                <w:u w:val="none"/>
                <w:lang w:val="en-US"/>
              </w:rPr>
            </w:pPr>
            <w:r>
              <w:rPr>
                <w:rFonts w:hint="default" w:ascii="Times New Roman" w:hAnsi="Times New Roman" w:eastAsia="宋体" w:cs="Times New Roman"/>
                <w:i w:val="0"/>
                <w:color w:val="auto"/>
                <w:kern w:val="0"/>
                <w:sz w:val="21"/>
                <w:szCs w:val="21"/>
                <w:highlight w:val="none"/>
                <w:u w:val="none"/>
                <w:lang w:val="en-US" w:eastAsia="zh-CN" w:bidi="ar"/>
              </w:rPr>
              <w:t>0.001</w:t>
            </w:r>
            <w:r>
              <w:rPr>
                <w:rFonts w:hint="eastAsia" w:ascii="Times New Roman" w:hAnsi="Times New Roman" w:cs="Times New Roman"/>
                <w:i w:val="0"/>
                <w:color w:val="auto"/>
                <w:kern w:val="0"/>
                <w:sz w:val="21"/>
                <w:szCs w:val="21"/>
                <w:highlight w:val="none"/>
                <w:u w:val="none"/>
                <w:lang w:val="en-US" w:eastAsia="zh-CN" w:bidi="ar"/>
              </w:rPr>
              <w:t>6</w:t>
            </w:r>
          </w:p>
        </w:tc>
      </w:tr>
      <w:tr>
        <w:tblPrEx>
          <w:tblBorders>
            <w:top w:val="single" w:color="000000" w:sz="4" w:space="0"/>
            <w:left w:val="none" w:color="auto" w:sz="0" w:space="0"/>
            <w:bottom w:val="single" w:color="000000" w:sz="4" w:space="0"/>
            <w:right w:val="none" w:color="auto" w:sz="0" w:space="0"/>
            <w:insideH w:val="dotted" w:color="000000" w:sz="4" w:space="0"/>
            <w:insideV w:val="dotted" w:color="000000" w:sz="4" w:space="0"/>
          </w:tblBorders>
          <w:shd w:val="clear" w:color="auto" w:fill="auto"/>
          <w:tblCellMar>
            <w:top w:w="0" w:type="dxa"/>
            <w:left w:w="0" w:type="dxa"/>
            <w:bottom w:w="0" w:type="dxa"/>
            <w:right w:w="0" w:type="dxa"/>
          </w:tblCellMar>
        </w:tblPrEx>
        <w:trPr>
          <w:trHeight w:val="285" w:hRule="atLeast"/>
        </w:trPr>
        <w:tc>
          <w:tcPr>
            <w:tcW w:w="589" w:type="pct"/>
            <w:vMerge w:val="continue"/>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color w:val="auto"/>
                <w:sz w:val="21"/>
                <w:szCs w:val="21"/>
                <w:highlight w:val="none"/>
                <w:u w:val="none"/>
              </w:rPr>
            </w:pPr>
          </w:p>
        </w:tc>
        <w:tc>
          <w:tcPr>
            <w:tcW w:w="770" w:type="pct"/>
            <w:vMerge w:val="continue"/>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color w:val="auto"/>
                <w:sz w:val="21"/>
                <w:szCs w:val="21"/>
                <w:highlight w:val="none"/>
                <w:u w:val="none"/>
              </w:rPr>
            </w:pPr>
          </w:p>
        </w:tc>
        <w:tc>
          <w:tcPr>
            <w:tcW w:w="714" w:type="pct"/>
            <w:vMerge w:val="continue"/>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color w:val="auto"/>
                <w:sz w:val="21"/>
                <w:szCs w:val="21"/>
                <w:highlight w:val="none"/>
                <w:u w:val="none"/>
              </w:rPr>
            </w:pPr>
          </w:p>
        </w:tc>
        <w:tc>
          <w:tcPr>
            <w:tcW w:w="834" w:type="pct"/>
            <w:vMerge w:val="continue"/>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color w:val="auto"/>
                <w:sz w:val="21"/>
                <w:szCs w:val="21"/>
                <w:highlight w:val="none"/>
                <w:u w:val="none"/>
              </w:rPr>
            </w:pPr>
          </w:p>
        </w:tc>
        <w:tc>
          <w:tcPr>
            <w:tcW w:w="1173"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NOx</w:t>
            </w:r>
          </w:p>
        </w:tc>
        <w:tc>
          <w:tcPr>
            <w:tcW w:w="918"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0.0022</w:t>
            </w:r>
          </w:p>
        </w:tc>
      </w:tr>
      <w:tr>
        <w:tblPrEx>
          <w:tblBorders>
            <w:top w:val="single" w:color="000000" w:sz="4" w:space="0"/>
            <w:left w:val="none" w:color="auto" w:sz="0" w:space="0"/>
            <w:bottom w:val="single" w:color="000000" w:sz="4" w:space="0"/>
            <w:right w:val="none" w:color="auto" w:sz="0" w:space="0"/>
            <w:insideH w:val="dotted" w:color="000000" w:sz="4" w:space="0"/>
            <w:insideV w:val="dotted" w:color="000000" w:sz="4" w:space="0"/>
          </w:tblBorders>
          <w:shd w:val="clear" w:color="auto" w:fill="auto"/>
          <w:tblCellMar>
            <w:top w:w="0" w:type="dxa"/>
            <w:left w:w="0" w:type="dxa"/>
            <w:bottom w:w="0" w:type="dxa"/>
            <w:right w:w="0" w:type="dxa"/>
          </w:tblCellMar>
        </w:tblPrEx>
        <w:trPr>
          <w:trHeight w:val="480" w:hRule="atLeast"/>
        </w:trPr>
        <w:tc>
          <w:tcPr>
            <w:tcW w:w="589" w:type="pct"/>
            <w:vMerge w:val="continue"/>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color w:val="auto"/>
                <w:sz w:val="21"/>
                <w:szCs w:val="21"/>
                <w:highlight w:val="none"/>
                <w:u w:val="none"/>
              </w:rPr>
            </w:pPr>
          </w:p>
        </w:tc>
        <w:tc>
          <w:tcPr>
            <w:tcW w:w="770" w:type="pct"/>
            <w:vMerge w:val="continue"/>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color w:val="auto"/>
                <w:sz w:val="21"/>
                <w:szCs w:val="21"/>
                <w:highlight w:val="none"/>
                <w:u w:val="none"/>
              </w:rPr>
            </w:pPr>
          </w:p>
        </w:tc>
        <w:tc>
          <w:tcPr>
            <w:tcW w:w="714" w:type="pct"/>
            <w:vMerge w:val="continue"/>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color w:val="auto"/>
                <w:sz w:val="21"/>
                <w:szCs w:val="21"/>
                <w:highlight w:val="none"/>
                <w:u w:val="none"/>
              </w:rPr>
            </w:pPr>
          </w:p>
        </w:tc>
        <w:tc>
          <w:tcPr>
            <w:tcW w:w="834" w:type="pct"/>
            <w:vMerge w:val="continue"/>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color w:val="auto"/>
                <w:sz w:val="21"/>
                <w:szCs w:val="21"/>
                <w:highlight w:val="none"/>
                <w:u w:val="none"/>
              </w:rPr>
            </w:pPr>
          </w:p>
        </w:tc>
        <w:tc>
          <w:tcPr>
            <w:tcW w:w="1173"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甲基磺酸雾</w:t>
            </w:r>
          </w:p>
        </w:tc>
        <w:tc>
          <w:tcPr>
            <w:tcW w:w="918"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0.0067</w:t>
            </w:r>
          </w:p>
        </w:tc>
      </w:tr>
      <w:tr>
        <w:tblPrEx>
          <w:tblBorders>
            <w:top w:val="single" w:color="000000" w:sz="4" w:space="0"/>
            <w:left w:val="none" w:color="auto" w:sz="0" w:space="0"/>
            <w:bottom w:val="single" w:color="000000" w:sz="4" w:space="0"/>
            <w:right w:val="none" w:color="auto" w:sz="0" w:space="0"/>
            <w:insideH w:val="dotted" w:color="000000" w:sz="4" w:space="0"/>
            <w:insideV w:val="dotted" w:color="000000" w:sz="4" w:space="0"/>
          </w:tblBorders>
          <w:shd w:val="clear" w:color="auto" w:fill="auto"/>
          <w:tblCellMar>
            <w:top w:w="0" w:type="dxa"/>
            <w:left w:w="0" w:type="dxa"/>
            <w:bottom w:w="0" w:type="dxa"/>
            <w:right w:w="0" w:type="dxa"/>
          </w:tblCellMar>
        </w:tblPrEx>
        <w:trPr>
          <w:trHeight w:val="285" w:hRule="atLeast"/>
        </w:trPr>
        <w:tc>
          <w:tcPr>
            <w:tcW w:w="589"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2#车间</w:t>
            </w:r>
          </w:p>
        </w:tc>
        <w:tc>
          <w:tcPr>
            <w:tcW w:w="770"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17</w:t>
            </w:r>
          </w:p>
        </w:tc>
        <w:tc>
          <w:tcPr>
            <w:tcW w:w="714"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48</w:t>
            </w:r>
          </w:p>
        </w:tc>
        <w:tc>
          <w:tcPr>
            <w:tcW w:w="834"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16</w:t>
            </w:r>
          </w:p>
        </w:tc>
        <w:tc>
          <w:tcPr>
            <w:tcW w:w="1173"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氯化氢</w:t>
            </w:r>
          </w:p>
        </w:tc>
        <w:tc>
          <w:tcPr>
            <w:tcW w:w="918"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0.0027</w:t>
            </w:r>
          </w:p>
        </w:tc>
      </w:tr>
      <w:tr>
        <w:tblPrEx>
          <w:tblBorders>
            <w:top w:val="single" w:color="000000" w:sz="4" w:space="0"/>
            <w:left w:val="none" w:color="auto" w:sz="0" w:space="0"/>
            <w:bottom w:val="single" w:color="000000" w:sz="4" w:space="0"/>
            <w:right w:val="none" w:color="auto" w:sz="0" w:space="0"/>
            <w:insideH w:val="dotted" w:color="000000" w:sz="4" w:space="0"/>
            <w:insideV w:val="dotted" w:color="000000" w:sz="4" w:space="0"/>
          </w:tblBorders>
          <w:shd w:val="clear" w:color="auto" w:fill="auto"/>
          <w:tblCellMar>
            <w:top w:w="0" w:type="dxa"/>
            <w:left w:w="0" w:type="dxa"/>
            <w:bottom w:w="0" w:type="dxa"/>
            <w:right w:w="0" w:type="dxa"/>
          </w:tblCellMar>
        </w:tblPrEx>
        <w:trPr>
          <w:trHeight w:val="285" w:hRule="atLeast"/>
        </w:trPr>
        <w:tc>
          <w:tcPr>
            <w:tcW w:w="589" w:type="pct"/>
            <w:vMerge w:val="restar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3#车间</w:t>
            </w:r>
          </w:p>
        </w:tc>
        <w:tc>
          <w:tcPr>
            <w:tcW w:w="770" w:type="pct"/>
            <w:vMerge w:val="restar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9</w:t>
            </w:r>
          </w:p>
        </w:tc>
        <w:tc>
          <w:tcPr>
            <w:tcW w:w="714" w:type="pct"/>
            <w:vMerge w:val="restar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37.5</w:t>
            </w:r>
          </w:p>
        </w:tc>
        <w:tc>
          <w:tcPr>
            <w:tcW w:w="834" w:type="pct"/>
            <w:vMerge w:val="restar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16</w:t>
            </w:r>
          </w:p>
        </w:tc>
        <w:tc>
          <w:tcPr>
            <w:tcW w:w="1173"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氯化氢</w:t>
            </w:r>
          </w:p>
        </w:tc>
        <w:tc>
          <w:tcPr>
            <w:tcW w:w="918"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0.0035</w:t>
            </w:r>
          </w:p>
        </w:tc>
      </w:tr>
      <w:tr>
        <w:tblPrEx>
          <w:tblBorders>
            <w:top w:val="single" w:color="000000" w:sz="4" w:space="0"/>
            <w:left w:val="none" w:color="auto" w:sz="0" w:space="0"/>
            <w:bottom w:val="single" w:color="000000" w:sz="4" w:space="0"/>
            <w:right w:val="none" w:color="auto" w:sz="0" w:space="0"/>
            <w:insideH w:val="dotted" w:color="000000" w:sz="4" w:space="0"/>
            <w:insideV w:val="dotted" w:color="000000" w:sz="4" w:space="0"/>
          </w:tblBorders>
          <w:shd w:val="clear" w:color="auto" w:fill="auto"/>
          <w:tblCellMar>
            <w:top w:w="0" w:type="dxa"/>
            <w:left w:w="0" w:type="dxa"/>
            <w:bottom w:w="0" w:type="dxa"/>
            <w:right w:w="0" w:type="dxa"/>
          </w:tblCellMar>
        </w:tblPrEx>
        <w:trPr>
          <w:trHeight w:val="285" w:hRule="atLeast"/>
        </w:trPr>
        <w:tc>
          <w:tcPr>
            <w:tcW w:w="589" w:type="pct"/>
            <w:vMerge w:val="continue"/>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color w:val="auto"/>
                <w:sz w:val="21"/>
                <w:szCs w:val="21"/>
                <w:highlight w:val="none"/>
                <w:u w:val="none"/>
              </w:rPr>
            </w:pPr>
          </w:p>
        </w:tc>
        <w:tc>
          <w:tcPr>
            <w:tcW w:w="770" w:type="pct"/>
            <w:vMerge w:val="continue"/>
            <w:tcBorders>
              <w:tl2br w:val="nil"/>
              <w:tr2bl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color w:val="auto"/>
                <w:sz w:val="21"/>
                <w:szCs w:val="21"/>
                <w:highlight w:val="none"/>
                <w:u w:val="none"/>
              </w:rPr>
            </w:pPr>
          </w:p>
        </w:tc>
        <w:tc>
          <w:tcPr>
            <w:tcW w:w="714" w:type="pct"/>
            <w:vMerge w:val="continue"/>
            <w:tcBorders>
              <w:tl2br w:val="nil"/>
              <w:tr2bl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color w:val="auto"/>
                <w:sz w:val="21"/>
                <w:szCs w:val="21"/>
                <w:highlight w:val="none"/>
                <w:u w:val="none"/>
              </w:rPr>
            </w:pPr>
          </w:p>
        </w:tc>
        <w:tc>
          <w:tcPr>
            <w:tcW w:w="834" w:type="pct"/>
            <w:vMerge w:val="continue"/>
            <w:tcBorders>
              <w:tl2br w:val="nil"/>
              <w:tr2bl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color w:val="auto"/>
                <w:sz w:val="21"/>
                <w:szCs w:val="21"/>
                <w:highlight w:val="none"/>
                <w:u w:val="none"/>
              </w:rPr>
            </w:pPr>
          </w:p>
        </w:tc>
        <w:tc>
          <w:tcPr>
            <w:tcW w:w="1173"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硫酸雾</w:t>
            </w:r>
          </w:p>
        </w:tc>
        <w:tc>
          <w:tcPr>
            <w:tcW w:w="918"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0.0013</w:t>
            </w:r>
          </w:p>
        </w:tc>
      </w:tr>
      <w:tr>
        <w:tblPrEx>
          <w:tblBorders>
            <w:top w:val="single" w:color="000000" w:sz="4" w:space="0"/>
            <w:left w:val="none" w:color="auto" w:sz="0" w:space="0"/>
            <w:bottom w:val="single" w:color="000000" w:sz="4" w:space="0"/>
            <w:right w:val="none" w:color="auto" w:sz="0" w:space="0"/>
            <w:insideH w:val="dotted" w:color="000000" w:sz="4" w:space="0"/>
            <w:insideV w:val="dotted" w:color="000000" w:sz="4" w:space="0"/>
          </w:tblBorders>
          <w:shd w:val="clear" w:color="auto" w:fill="auto"/>
          <w:tblCellMar>
            <w:top w:w="0" w:type="dxa"/>
            <w:left w:w="0" w:type="dxa"/>
            <w:bottom w:w="0" w:type="dxa"/>
            <w:right w:w="0" w:type="dxa"/>
          </w:tblCellMar>
        </w:tblPrEx>
        <w:trPr>
          <w:trHeight w:val="285" w:hRule="atLeast"/>
        </w:trPr>
        <w:tc>
          <w:tcPr>
            <w:tcW w:w="589" w:type="pct"/>
            <w:vMerge w:val="continue"/>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color w:val="auto"/>
                <w:sz w:val="21"/>
                <w:szCs w:val="21"/>
                <w:highlight w:val="none"/>
                <w:u w:val="none"/>
              </w:rPr>
            </w:pPr>
          </w:p>
        </w:tc>
        <w:tc>
          <w:tcPr>
            <w:tcW w:w="770" w:type="pct"/>
            <w:vMerge w:val="continue"/>
            <w:tcBorders>
              <w:tl2br w:val="nil"/>
              <w:tr2bl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color w:val="auto"/>
                <w:sz w:val="21"/>
                <w:szCs w:val="21"/>
                <w:highlight w:val="none"/>
                <w:u w:val="none"/>
              </w:rPr>
            </w:pPr>
          </w:p>
        </w:tc>
        <w:tc>
          <w:tcPr>
            <w:tcW w:w="714" w:type="pct"/>
            <w:vMerge w:val="continue"/>
            <w:tcBorders>
              <w:tl2br w:val="nil"/>
              <w:tr2bl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color w:val="auto"/>
                <w:sz w:val="21"/>
                <w:szCs w:val="21"/>
                <w:highlight w:val="none"/>
                <w:u w:val="none"/>
              </w:rPr>
            </w:pPr>
          </w:p>
        </w:tc>
        <w:tc>
          <w:tcPr>
            <w:tcW w:w="834" w:type="pct"/>
            <w:vMerge w:val="continue"/>
            <w:tcBorders>
              <w:tl2br w:val="nil"/>
              <w:tr2bl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color w:val="auto"/>
                <w:sz w:val="21"/>
                <w:szCs w:val="21"/>
                <w:highlight w:val="none"/>
                <w:u w:val="none"/>
              </w:rPr>
            </w:pPr>
          </w:p>
        </w:tc>
        <w:tc>
          <w:tcPr>
            <w:tcW w:w="1173"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铬酸雾</w:t>
            </w:r>
          </w:p>
        </w:tc>
        <w:tc>
          <w:tcPr>
            <w:tcW w:w="918"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0.00004</w:t>
            </w:r>
          </w:p>
        </w:tc>
      </w:tr>
      <w:tr>
        <w:tblPrEx>
          <w:tblBorders>
            <w:top w:val="single" w:color="000000" w:sz="4" w:space="0"/>
            <w:left w:val="none" w:color="auto" w:sz="0" w:space="0"/>
            <w:bottom w:val="single" w:color="000000" w:sz="4" w:space="0"/>
            <w:right w:val="none" w:color="auto" w:sz="0" w:space="0"/>
            <w:insideH w:val="dotted" w:color="000000" w:sz="4" w:space="0"/>
            <w:insideV w:val="dotted" w:color="000000" w:sz="4" w:space="0"/>
          </w:tblBorders>
          <w:shd w:val="clear" w:color="auto" w:fill="auto"/>
          <w:tblCellMar>
            <w:top w:w="0" w:type="dxa"/>
            <w:left w:w="0" w:type="dxa"/>
            <w:bottom w:w="0" w:type="dxa"/>
            <w:right w:w="0" w:type="dxa"/>
          </w:tblCellMar>
        </w:tblPrEx>
        <w:trPr>
          <w:trHeight w:val="285" w:hRule="atLeast"/>
        </w:trPr>
        <w:tc>
          <w:tcPr>
            <w:tcW w:w="589" w:type="pct"/>
            <w:vMerge w:val="restar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4#车间</w:t>
            </w:r>
          </w:p>
        </w:tc>
        <w:tc>
          <w:tcPr>
            <w:tcW w:w="770" w:type="pct"/>
            <w:vMerge w:val="restar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6</w:t>
            </w:r>
          </w:p>
        </w:tc>
        <w:tc>
          <w:tcPr>
            <w:tcW w:w="714" w:type="pct"/>
            <w:vMerge w:val="restar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w:t>
            </w:r>
            <w:r>
              <w:rPr>
                <w:rFonts w:hint="eastAsia" w:ascii="Times New Roman" w:hAnsi="Times New Roman" w:cs="Times New Roman"/>
                <w:i w:val="0"/>
                <w:color w:val="auto"/>
                <w:kern w:val="0"/>
                <w:sz w:val="21"/>
                <w:szCs w:val="21"/>
                <w:highlight w:val="none"/>
                <w:u w:val="none"/>
                <w:lang w:val="en-US" w:eastAsia="zh-CN" w:bidi="ar"/>
              </w:rPr>
              <w:t>0</w:t>
            </w:r>
          </w:p>
        </w:tc>
        <w:tc>
          <w:tcPr>
            <w:tcW w:w="834" w:type="pct"/>
            <w:vMerge w:val="restar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color w:val="auto"/>
                <w:sz w:val="21"/>
                <w:szCs w:val="21"/>
                <w:highlight w:val="none"/>
                <w:u w:val="none"/>
                <w:lang w:val="en-US"/>
              </w:rPr>
            </w:pPr>
            <w:r>
              <w:rPr>
                <w:rFonts w:hint="eastAsia" w:ascii="Times New Roman" w:hAnsi="Times New Roman" w:cs="Times New Roman"/>
                <w:i w:val="0"/>
                <w:color w:val="auto"/>
                <w:kern w:val="0"/>
                <w:sz w:val="21"/>
                <w:szCs w:val="21"/>
                <w:highlight w:val="none"/>
                <w:u w:val="none"/>
                <w:lang w:val="en-US" w:eastAsia="zh-CN" w:bidi="ar"/>
              </w:rPr>
              <w:t>30</w:t>
            </w:r>
          </w:p>
        </w:tc>
        <w:tc>
          <w:tcPr>
            <w:tcW w:w="1173"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氯化氢</w:t>
            </w:r>
          </w:p>
        </w:tc>
        <w:tc>
          <w:tcPr>
            <w:tcW w:w="918"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0.004</w:t>
            </w:r>
          </w:p>
        </w:tc>
      </w:tr>
      <w:tr>
        <w:tblPrEx>
          <w:tblBorders>
            <w:top w:val="single" w:color="000000" w:sz="4" w:space="0"/>
            <w:left w:val="none" w:color="auto" w:sz="0" w:space="0"/>
            <w:bottom w:val="single" w:color="000000" w:sz="4" w:space="0"/>
            <w:right w:val="none" w:color="auto" w:sz="0" w:space="0"/>
            <w:insideH w:val="dotted" w:color="000000" w:sz="4" w:space="0"/>
            <w:insideV w:val="dotted" w:color="000000" w:sz="4" w:space="0"/>
          </w:tblBorders>
          <w:shd w:val="clear" w:color="auto" w:fill="auto"/>
          <w:tblCellMar>
            <w:top w:w="0" w:type="dxa"/>
            <w:left w:w="0" w:type="dxa"/>
            <w:bottom w:w="0" w:type="dxa"/>
            <w:right w:w="0" w:type="dxa"/>
          </w:tblCellMar>
        </w:tblPrEx>
        <w:trPr>
          <w:trHeight w:val="285" w:hRule="atLeast"/>
        </w:trPr>
        <w:tc>
          <w:tcPr>
            <w:tcW w:w="589" w:type="pct"/>
            <w:vMerge w:val="continue"/>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color w:val="auto"/>
                <w:sz w:val="21"/>
                <w:szCs w:val="21"/>
                <w:highlight w:val="none"/>
                <w:u w:val="none"/>
              </w:rPr>
            </w:pPr>
          </w:p>
        </w:tc>
        <w:tc>
          <w:tcPr>
            <w:tcW w:w="770" w:type="pct"/>
            <w:vMerge w:val="continue"/>
            <w:tcBorders>
              <w:tl2br w:val="nil"/>
              <w:tr2bl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color w:val="auto"/>
                <w:sz w:val="21"/>
                <w:szCs w:val="21"/>
                <w:highlight w:val="none"/>
                <w:u w:val="none"/>
              </w:rPr>
            </w:pPr>
          </w:p>
        </w:tc>
        <w:tc>
          <w:tcPr>
            <w:tcW w:w="714" w:type="pct"/>
            <w:vMerge w:val="continue"/>
            <w:tcBorders>
              <w:tl2br w:val="nil"/>
              <w:tr2bl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color w:val="auto"/>
                <w:sz w:val="21"/>
                <w:szCs w:val="21"/>
                <w:highlight w:val="none"/>
                <w:u w:val="none"/>
              </w:rPr>
            </w:pPr>
          </w:p>
        </w:tc>
        <w:tc>
          <w:tcPr>
            <w:tcW w:w="834" w:type="pct"/>
            <w:vMerge w:val="continue"/>
            <w:tcBorders>
              <w:tl2br w:val="nil"/>
              <w:tr2bl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color w:val="auto"/>
                <w:sz w:val="21"/>
                <w:szCs w:val="21"/>
                <w:highlight w:val="none"/>
                <w:u w:val="none"/>
              </w:rPr>
            </w:pPr>
          </w:p>
        </w:tc>
        <w:tc>
          <w:tcPr>
            <w:tcW w:w="1173"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硫酸雾</w:t>
            </w:r>
          </w:p>
        </w:tc>
        <w:tc>
          <w:tcPr>
            <w:tcW w:w="918"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0.0018</w:t>
            </w:r>
          </w:p>
        </w:tc>
      </w:tr>
      <w:tr>
        <w:tblPrEx>
          <w:tblBorders>
            <w:top w:val="single" w:color="000000" w:sz="4" w:space="0"/>
            <w:left w:val="none" w:color="auto" w:sz="0" w:space="0"/>
            <w:bottom w:val="single" w:color="000000" w:sz="4" w:space="0"/>
            <w:right w:val="none" w:color="auto" w:sz="0" w:space="0"/>
            <w:insideH w:val="dotted" w:color="000000" w:sz="4" w:space="0"/>
            <w:insideV w:val="dotted" w:color="000000" w:sz="4" w:space="0"/>
          </w:tblBorders>
          <w:shd w:val="clear" w:color="auto" w:fill="auto"/>
          <w:tblCellMar>
            <w:top w:w="0" w:type="dxa"/>
            <w:left w:w="0" w:type="dxa"/>
            <w:bottom w:w="0" w:type="dxa"/>
            <w:right w:w="0" w:type="dxa"/>
          </w:tblCellMar>
        </w:tblPrEx>
        <w:trPr>
          <w:trHeight w:val="285" w:hRule="atLeast"/>
        </w:trPr>
        <w:tc>
          <w:tcPr>
            <w:tcW w:w="589" w:type="pct"/>
            <w:vMerge w:val="restar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5#车间</w:t>
            </w:r>
          </w:p>
        </w:tc>
        <w:tc>
          <w:tcPr>
            <w:tcW w:w="770" w:type="pct"/>
            <w:vMerge w:val="restar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13</w:t>
            </w:r>
          </w:p>
        </w:tc>
        <w:tc>
          <w:tcPr>
            <w:tcW w:w="714" w:type="pct"/>
            <w:vMerge w:val="restar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16</w:t>
            </w:r>
          </w:p>
        </w:tc>
        <w:tc>
          <w:tcPr>
            <w:tcW w:w="834" w:type="pct"/>
            <w:vMerge w:val="restar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8</w:t>
            </w:r>
          </w:p>
        </w:tc>
        <w:tc>
          <w:tcPr>
            <w:tcW w:w="1173"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铬酸雾</w:t>
            </w:r>
          </w:p>
        </w:tc>
        <w:tc>
          <w:tcPr>
            <w:tcW w:w="918"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0.0001</w:t>
            </w:r>
            <w:r>
              <w:rPr>
                <w:rFonts w:hint="eastAsia" w:ascii="Times New Roman" w:hAnsi="Times New Roman" w:cs="Times New Roman"/>
                <w:i w:val="0"/>
                <w:color w:val="auto"/>
                <w:kern w:val="0"/>
                <w:sz w:val="21"/>
                <w:szCs w:val="21"/>
                <w:highlight w:val="none"/>
                <w:u w:val="none"/>
                <w:lang w:val="en-US" w:eastAsia="zh-CN" w:bidi="ar"/>
              </w:rPr>
              <w:t>7</w:t>
            </w:r>
          </w:p>
        </w:tc>
      </w:tr>
      <w:tr>
        <w:tblPrEx>
          <w:tblBorders>
            <w:top w:val="single" w:color="000000" w:sz="4" w:space="0"/>
            <w:left w:val="none" w:color="auto" w:sz="0" w:space="0"/>
            <w:bottom w:val="single" w:color="000000" w:sz="4" w:space="0"/>
            <w:right w:val="none" w:color="auto" w:sz="0" w:space="0"/>
            <w:insideH w:val="dotted" w:color="000000" w:sz="4" w:space="0"/>
            <w:insideV w:val="dotted" w:color="000000" w:sz="4" w:space="0"/>
          </w:tblBorders>
          <w:shd w:val="clear" w:color="auto" w:fill="auto"/>
          <w:tblCellMar>
            <w:top w:w="0" w:type="dxa"/>
            <w:left w:w="0" w:type="dxa"/>
            <w:bottom w:w="0" w:type="dxa"/>
            <w:right w:w="0" w:type="dxa"/>
          </w:tblCellMar>
        </w:tblPrEx>
        <w:trPr>
          <w:trHeight w:val="285" w:hRule="atLeast"/>
        </w:trPr>
        <w:tc>
          <w:tcPr>
            <w:tcW w:w="589" w:type="pct"/>
            <w:vMerge w:val="continue"/>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color w:val="auto"/>
                <w:sz w:val="21"/>
                <w:szCs w:val="21"/>
                <w:highlight w:val="none"/>
                <w:u w:val="none"/>
              </w:rPr>
            </w:pPr>
          </w:p>
        </w:tc>
        <w:tc>
          <w:tcPr>
            <w:tcW w:w="770" w:type="pct"/>
            <w:vMerge w:val="continue"/>
            <w:tcBorders>
              <w:tl2br w:val="nil"/>
              <w:tr2bl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color w:val="auto"/>
                <w:sz w:val="21"/>
                <w:szCs w:val="21"/>
                <w:highlight w:val="none"/>
                <w:u w:val="none"/>
              </w:rPr>
            </w:pPr>
          </w:p>
        </w:tc>
        <w:tc>
          <w:tcPr>
            <w:tcW w:w="714" w:type="pct"/>
            <w:vMerge w:val="continue"/>
            <w:tcBorders>
              <w:tl2br w:val="nil"/>
              <w:tr2bl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color w:val="auto"/>
                <w:sz w:val="21"/>
                <w:szCs w:val="21"/>
                <w:highlight w:val="none"/>
                <w:u w:val="none"/>
              </w:rPr>
            </w:pPr>
          </w:p>
        </w:tc>
        <w:tc>
          <w:tcPr>
            <w:tcW w:w="834" w:type="pct"/>
            <w:vMerge w:val="continue"/>
            <w:tcBorders>
              <w:tl2br w:val="nil"/>
              <w:tr2bl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color w:val="auto"/>
                <w:sz w:val="21"/>
                <w:szCs w:val="21"/>
                <w:highlight w:val="none"/>
                <w:u w:val="none"/>
              </w:rPr>
            </w:pPr>
          </w:p>
        </w:tc>
        <w:tc>
          <w:tcPr>
            <w:tcW w:w="1173"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氯化氢</w:t>
            </w:r>
          </w:p>
        </w:tc>
        <w:tc>
          <w:tcPr>
            <w:tcW w:w="918"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0.0008</w:t>
            </w:r>
          </w:p>
        </w:tc>
      </w:tr>
      <w:tr>
        <w:tblPrEx>
          <w:tblBorders>
            <w:top w:val="single" w:color="000000" w:sz="4" w:space="0"/>
            <w:left w:val="none" w:color="auto" w:sz="0" w:space="0"/>
            <w:bottom w:val="single" w:color="000000" w:sz="4" w:space="0"/>
            <w:right w:val="none" w:color="auto" w:sz="0" w:space="0"/>
            <w:insideH w:val="dotted" w:color="000000" w:sz="4" w:space="0"/>
            <w:insideV w:val="dotted" w:color="000000" w:sz="4" w:space="0"/>
          </w:tblBorders>
          <w:shd w:val="clear" w:color="auto" w:fill="auto"/>
          <w:tblCellMar>
            <w:top w:w="0" w:type="dxa"/>
            <w:left w:w="0" w:type="dxa"/>
            <w:bottom w:w="0" w:type="dxa"/>
            <w:right w:w="0" w:type="dxa"/>
          </w:tblCellMar>
        </w:tblPrEx>
        <w:trPr>
          <w:trHeight w:val="285" w:hRule="atLeast"/>
        </w:trPr>
        <w:tc>
          <w:tcPr>
            <w:tcW w:w="589" w:type="pct"/>
            <w:vMerge w:val="continue"/>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color w:val="auto"/>
                <w:sz w:val="21"/>
                <w:szCs w:val="21"/>
                <w:highlight w:val="none"/>
                <w:u w:val="none"/>
              </w:rPr>
            </w:pPr>
          </w:p>
        </w:tc>
        <w:tc>
          <w:tcPr>
            <w:tcW w:w="770" w:type="pct"/>
            <w:vMerge w:val="continue"/>
            <w:tcBorders>
              <w:tl2br w:val="nil"/>
              <w:tr2bl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color w:val="auto"/>
                <w:sz w:val="21"/>
                <w:szCs w:val="21"/>
                <w:highlight w:val="none"/>
                <w:u w:val="none"/>
              </w:rPr>
            </w:pPr>
          </w:p>
        </w:tc>
        <w:tc>
          <w:tcPr>
            <w:tcW w:w="714" w:type="pct"/>
            <w:vMerge w:val="continue"/>
            <w:tcBorders>
              <w:tl2br w:val="nil"/>
              <w:tr2bl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color w:val="auto"/>
                <w:sz w:val="21"/>
                <w:szCs w:val="21"/>
                <w:highlight w:val="none"/>
                <w:u w:val="none"/>
              </w:rPr>
            </w:pPr>
          </w:p>
        </w:tc>
        <w:tc>
          <w:tcPr>
            <w:tcW w:w="834" w:type="pct"/>
            <w:vMerge w:val="continue"/>
            <w:tcBorders>
              <w:tl2br w:val="nil"/>
              <w:tr2bl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color w:val="auto"/>
                <w:sz w:val="21"/>
                <w:szCs w:val="21"/>
                <w:highlight w:val="none"/>
                <w:u w:val="none"/>
              </w:rPr>
            </w:pPr>
          </w:p>
        </w:tc>
        <w:tc>
          <w:tcPr>
            <w:tcW w:w="1173"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氨</w:t>
            </w:r>
          </w:p>
        </w:tc>
        <w:tc>
          <w:tcPr>
            <w:tcW w:w="918"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0.0017</w:t>
            </w:r>
          </w:p>
        </w:tc>
      </w:tr>
      <w:tr>
        <w:tblPrEx>
          <w:tblBorders>
            <w:top w:val="single" w:color="000000" w:sz="4" w:space="0"/>
            <w:left w:val="none" w:color="auto" w:sz="0" w:space="0"/>
            <w:bottom w:val="single" w:color="000000" w:sz="4" w:space="0"/>
            <w:right w:val="none" w:color="auto" w:sz="0" w:space="0"/>
            <w:insideH w:val="dotted" w:color="000000" w:sz="4" w:space="0"/>
            <w:insideV w:val="dotted" w:color="000000" w:sz="4" w:space="0"/>
          </w:tblBorders>
          <w:tblCellMar>
            <w:top w:w="0" w:type="dxa"/>
            <w:left w:w="0" w:type="dxa"/>
            <w:bottom w:w="0" w:type="dxa"/>
            <w:right w:w="0" w:type="dxa"/>
          </w:tblCellMar>
        </w:tblPrEx>
        <w:trPr>
          <w:trHeight w:val="285" w:hRule="atLeast"/>
        </w:trPr>
        <w:tc>
          <w:tcPr>
            <w:tcW w:w="589"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6#车间</w:t>
            </w:r>
          </w:p>
        </w:tc>
        <w:tc>
          <w:tcPr>
            <w:tcW w:w="770"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13</w:t>
            </w:r>
          </w:p>
        </w:tc>
        <w:tc>
          <w:tcPr>
            <w:tcW w:w="714"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35</w:t>
            </w:r>
          </w:p>
        </w:tc>
        <w:tc>
          <w:tcPr>
            <w:tcW w:w="834"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23</w:t>
            </w:r>
          </w:p>
        </w:tc>
        <w:tc>
          <w:tcPr>
            <w:tcW w:w="1173"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氯化氢</w:t>
            </w:r>
          </w:p>
        </w:tc>
        <w:tc>
          <w:tcPr>
            <w:tcW w:w="918"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0.006</w:t>
            </w:r>
            <w:r>
              <w:rPr>
                <w:rFonts w:hint="eastAsia" w:ascii="Times New Roman" w:hAnsi="Times New Roman" w:cs="Times New Roman"/>
                <w:i w:val="0"/>
                <w:color w:val="auto"/>
                <w:kern w:val="0"/>
                <w:sz w:val="21"/>
                <w:szCs w:val="21"/>
                <w:highlight w:val="none"/>
                <w:u w:val="none"/>
                <w:lang w:val="en-US" w:eastAsia="zh-CN" w:bidi="ar"/>
              </w:rPr>
              <w:t>3</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highlight w:val="none"/>
          <w:lang w:val="en-GB"/>
        </w:rPr>
      </w:pPr>
      <w:r>
        <w:rPr>
          <w:rFonts w:hint="default" w:ascii="Times New Roman" w:hAnsi="Times New Roman" w:cs="Times New Roman"/>
          <w:color w:val="auto"/>
          <w:sz w:val="24"/>
          <w:szCs w:val="24"/>
          <w:highlight w:val="none"/>
          <w:lang w:val="en-GB"/>
        </w:rPr>
        <w:t>根据污染源调查清单，按《环境影响评价技术导则·大气环境》(HJ 2.2-2018)要求，采取AERSCREEN估算模式进行计算，计算结果见</w:t>
      </w:r>
      <w:r>
        <w:rPr>
          <w:rFonts w:hint="default" w:ascii="Times New Roman" w:hAnsi="Times New Roman" w:cs="Times New Roman"/>
          <w:color w:val="auto"/>
          <w:sz w:val="24"/>
          <w:szCs w:val="24"/>
          <w:highlight w:val="none"/>
          <w:lang w:val="en-GB"/>
        </w:rPr>
        <w:t>表1.</w:t>
      </w:r>
      <w:r>
        <w:rPr>
          <w:rFonts w:hint="eastAsia"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lang w:val="en-GB"/>
        </w:rPr>
        <w:t>-3。</w:t>
      </w:r>
    </w:p>
    <w:p>
      <w:pPr>
        <w:keepNext w:val="0"/>
        <w:keepLines w:val="0"/>
        <w:pageBreakBefore w:val="0"/>
        <w:widowControl w:val="0"/>
        <w:kinsoku/>
        <w:wordWrap/>
        <w:overflowPunct/>
        <w:topLinePunct w:val="0"/>
        <w:autoSpaceDE/>
        <w:autoSpaceDN/>
        <w:bidi w:val="0"/>
        <w:spacing w:line="360" w:lineRule="auto"/>
        <w:jc w:val="center"/>
        <w:textAlignment w:val="auto"/>
        <w:rPr>
          <w:rFonts w:ascii="Times New Roman" w:hAnsi="Times New Roman" w:eastAsia="黑体"/>
          <w:color w:val="auto"/>
          <w:sz w:val="24"/>
          <w:highlight w:val="none"/>
        </w:rPr>
      </w:pPr>
      <w:r>
        <w:rPr>
          <w:rFonts w:ascii="Times New Roman" w:hAnsi="Times New Roman" w:eastAsia="黑体"/>
          <w:color w:val="auto"/>
          <w:sz w:val="24"/>
          <w:highlight w:val="none"/>
        </w:rPr>
        <w:t>表</w:t>
      </w:r>
      <w:r>
        <w:rPr>
          <w:rFonts w:hint="eastAsia" w:ascii="Times New Roman" w:hAnsi="Times New Roman" w:eastAsia="黑体"/>
          <w:color w:val="auto"/>
          <w:sz w:val="24"/>
          <w:highlight w:val="none"/>
          <w:lang w:val="en-US" w:eastAsia="zh-CN"/>
        </w:rPr>
        <w:t>1.5-3</w:t>
      </w:r>
      <w:r>
        <w:rPr>
          <w:rFonts w:hint="eastAsia" w:ascii="Times New Roman" w:hAnsi="Times New Roman" w:eastAsia="黑体"/>
          <w:color w:val="auto"/>
          <w:sz w:val="24"/>
          <w:highlight w:val="none"/>
        </w:rPr>
        <w:t xml:space="preserve"> </w:t>
      </w:r>
      <w:r>
        <w:rPr>
          <w:rFonts w:ascii="Times New Roman" w:hAnsi="Times New Roman" w:eastAsia="黑体"/>
          <w:color w:val="auto"/>
          <w:sz w:val="24"/>
          <w:highlight w:val="none"/>
        </w:rPr>
        <w:t>大气污染物有组织排</w:t>
      </w:r>
      <w:r>
        <w:rPr>
          <w:rFonts w:ascii="Times New Roman" w:hAnsi="Times New Roman" w:eastAsia="黑体"/>
          <w:color w:val="auto"/>
          <w:sz w:val="24"/>
          <w:highlight w:val="none"/>
        </w:rPr>
        <w:t>放情况</w:t>
      </w:r>
    </w:p>
    <w:tbl>
      <w:tblPr>
        <w:tblStyle w:val="36"/>
        <w:tblW w:w="5000" w:type="pct"/>
        <w:jc w:val="center"/>
        <w:tblBorders>
          <w:top w:val="single" w:color="auto" w:sz="2" w:space="0"/>
          <w:left w:val="none" w:color="auto" w:sz="0" w:space="0"/>
          <w:bottom w:val="single" w:color="auto" w:sz="2" w:space="0"/>
          <w:right w:val="none" w:color="auto" w:sz="0" w:space="0"/>
          <w:insideH w:val="dotted" w:color="auto" w:sz="4" w:space="0"/>
          <w:insideV w:val="dotted" w:color="auto" w:sz="4" w:space="0"/>
        </w:tblBorders>
        <w:tblLayout w:type="autofit"/>
        <w:tblCellMar>
          <w:top w:w="0" w:type="dxa"/>
          <w:left w:w="108" w:type="dxa"/>
          <w:bottom w:w="0" w:type="dxa"/>
          <w:right w:w="108" w:type="dxa"/>
        </w:tblCellMar>
      </w:tblPr>
      <w:tblGrid>
        <w:gridCol w:w="2495"/>
        <w:gridCol w:w="2874"/>
        <w:gridCol w:w="3871"/>
      </w:tblGrid>
      <w:tr>
        <w:tblPrEx>
          <w:tblBorders>
            <w:top w:val="single" w:color="auto" w:sz="2" w:space="0"/>
            <w:left w:val="none" w:color="auto" w:sz="0" w:space="0"/>
            <w:bottom w:val="single" w:color="auto" w:sz="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jc w:val="center"/>
        </w:trPr>
        <w:tc>
          <w:tcPr>
            <w:tcW w:w="2905" w:type="pct"/>
            <w:gridSpan w:val="2"/>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b/>
                <w:color w:val="auto"/>
                <w:sz w:val="21"/>
                <w:szCs w:val="21"/>
                <w:highlight w:val="none"/>
              </w:rPr>
            </w:pPr>
            <w:r>
              <w:rPr>
                <w:rFonts w:hint="eastAsia" w:ascii="Times New Roman" w:hAnsi="Times New Roman"/>
                <w:b/>
                <w:color w:val="auto"/>
                <w:sz w:val="21"/>
                <w:szCs w:val="21"/>
                <w:highlight w:val="none"/>
              </w:rPr>
              <w:t>参数</w:t>
            </w:r>
          </w:p>
        </w:tc>
        <w:tc>
          <w:tcPr>
            <w:tcW w:w="2094"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b/>
                <w:color w:val="auto"/>
                <w:sz w:val="21"/>
                <w:szCs w:val="21"/>
                <w:highlight w:val="none"/>
              </w:rPr>
            </w:pPr>
            <w:r>
              <w:rPr>
                <w:rFonts w:hint="eastAsia" w:ascii="Times New Roman" w:hAnsi="Times New Roman"/>
                <w:b/>
                <w:color w:val="auto"/>
                <w:sz w:val="21"/>
                <w:szCs w:val="21"/>
                <w:highlight w:val="none"/>
              </w:rPr>
              <w:t>取值</w:t>
            </w:r>
          </w:p>
        </w:tc>
      </w:tr>
      <w:tr>
        <w:tblPrEx>
          <w:tblBorders>
            <w:top w:val="single" w:color="auto" w:sz="2" w:space="0"/>
            <w:left w:val="none" w:color="auto" w:sz="0" w:space="0"/>
            <w:bottom w:val="single" w:color="auto" w:sz="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jc w:val="center"/>
        </w:trPr>
        <w:tc>
          <w:tcPr>
            <w:tcW w:w="1350" w:type="pct"/>
            <w:vMerge w:val="restar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rPr>
              <w:t>城市农村</w:t>
            </w:r>
            <w:r>
              <w:rPr>
                <w:rFonts w:ascii="Times New Roman" w:hAnsi="Times New Roman"/>
                <w:color w:val="auto"/>
                <w:sz w:val="21"/>
                <w:szCs w:val="21"/>
                <w:highlight w:val="none"/>
              </w:rPr>
              <w:t>/</w:t>
            </w:r>
            <w:r>
              <w:rPr>
                <w:rFonts w:hint="eastAsia" w:ascii="Times New Roman" w:hAnsi="Times New Roman"/>
                <w:color w:val="auto"/>
                <w:sz w:val="21"/>
                <w:szCs w:val="21"/>
                <w:highlight w:val="none"/>
              </w:rPr>
              <w:t>选项</w:t>
            </w:r>
          </w:p>
        </w:tc>
        <w:tc>
          <w:tcPr>
            <w:tcW w:w="1555"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rPr>
              <w:t>城市</w:t>
            </w:r>
            <w:r>
              <w:rPr>
                <w:rFonts w:ascii="Times New Roman" w:hAnsi="Times New Roman"/>
                <w:color w:val="auto"/>
                <w:sz w:val="21"/>
                <w:szCs w:val="21"/>
                <w:highlight w:val="none"/>
              </w:rPr>
              <w:t>/</w:t>
            </w:r>
            <w:r>
              <w:rPr>
                <w:rFonts w:hint="eastAsia" w:ascii="Times New Roman" w:hAnsi="Times New Roman"/>
                <w:color w:val="auto"/>
                <w:sz w:val="21"/>
                <w:szCs w:val="21"/>
                <w:highlight w:val="none"/>
              </w:rPr>
              <w:t>农村</w:t>
            </w:r>
          </w:p>
        </w:tc>
        <w:tc>
          <w:tcPr>
            <w:tcW w:w="2094"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rPr>
              <w:t>城市</w:t>
            </w:r>
          </w:p>
        </w:tc>
      </w:tr>
      <w:tr>
        <w:tblPrEx>
          <w:tblBorders>
            <w:top w:val="single" w:color="auto" w:sz="2" w:space="0"/>
            <w:left w:val="none" w:color="auto" w:sz="0" w:space="0"/>
            <w:bottom w:val="single" w:color="auto" w:sz="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jc w:val="center"/>
        </w:trPr>
        <w:tc>
          <w:tcPr>
            <w:tcW w:w="1350" w:type="pct"/>
            <w:vMerge w:val="continue"/>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color w:val="auto"/>
                <w:sz w:val="21"/>
                <w:szCs w:val="21"/>
                <w:highlight w:val="none"/>
              </w:rPr>
            </w:pPr>
          </w:p>
        </w:tc>
        <w:tc>
          <w:tcPr>
            <w:tcW w:w="1555"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rPr>
              <w:t>人口数</w:t>
            </w:r>
            <w:r>
              <w:rPr>
                <w:rFonts w:ascii="Times New Roman" w:hAnsi="Times New Roman"/>
                <w:color w:val="auto"/>
                <w:sz w:val="21"/>
                <w:szCs w:val="21"/>
                <w:highlight w:val="none"/>
              </w:rPr>
              <w:t>(</w:t>
            </w:r>
            <w:r>
              <w:rPr>
                <w:rFonts w:hint="eastAsia" w:ascii="Times New Roman" w:hAnsi="Times New Roman"/>
                <w:color w:val="auto"/>
                <w:sz w:val="21"/>
                <w:szCs w:val="21"/>
                <w:highlight w:val="none"/>
              </w:rPr>
              <w:t>城市人口数</w:t>
            </w:r>
            <w:r>
              <w:rPr>
                <w:rFonts w:ascii="Times New Roman" w:hAnsi="Times New Roman"/>
                <w:color w:val="auto"/>
                <w:sz w:val="21"/>
                <w:szCs w:val="21"/>
                <w:highlight w:val="none"/>
              </w:rPr>
              <w:t>)</w:t>
            </w:r>
          </w:p>
        </w:tc>
        <w:tc>
          <w:tcPr>
            <w:tcW w:w="2094"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ascii="Times New Roman" w:hAnsi="Times New Roman"/>
                <w:color w:val="auto"/>
                <w:sz w:val="21"/>
                <w:szCs w:val="21"/>
                <w:highlight w:val="none"/>
              </w:rPr>
            </w:pPr>
            <w:r>
              <w:rPr>
                <w:rFonts w:ascii="Times New Roman" w:hAnsi="Times New Roman"/>
                <w:color w:val="auto"/>
                <w:sz w:val="21"/>
                <w:szCs w:val="21"/>
                <w:highlight w:val="none"/>
              </w:rPr>
              <w:t>816000</w:t>
            </w:r>
          </w:p>
        </w:tc>
      </w:tr>
      <w:tr>
        <w:tblPrEx>
          <w:tblBorders>
            <w:top w:val="single" w:color="auto" w:sz="2" w:space="0"/>
            <w:left w:val="none" w:color="auto" w:sz="0" w:space="0"/>
            <w:bottom w:val="single" w:color="auto" w:sz="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jc w:val="center"/>
        </w:trPr>
        <w:tc>
          <w:tcPr>
            <w:tcW w:w="2905" w:type="pct"/>
            <w:gridSpan w:val="2"/>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rPr>
              <w:t>最高环境温度</w:t>
            </w:r>
          </w:p>
        </w:tc>
        <w:tc>
          <w:tcPr>
            <w:tcW w:w="2094"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41.0 °C(314K)</w:t>
            </w:r>
          </w:p>
        </w:tc>
      </w:tr>
      <w:tr>
        <w:tblPrEx>
          <w:tblBorders>
            <w:top w:val="single" w:color="auto" w:sz="2" w:space="0"/>
            <w:left w:val="none" w:color="auto" w:sz="0" w:space="0"/>
            <w:bottom w:val="single" w:color="auto" w:sz="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jc w:val="center"/>
        </w:trPr>
        <w:tc>
          <w:tcPr>
            <w:tcW w:w="2905" w:type="pct"/>
            <w:gridSpan w:val="2"/>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rPr>
              <w:t>最低环境温度</w:t>
            </w:r>
          </w:p>
        </w:tc>
        <w:tc>
          <w:tcPr>
            <w:tcW w:w="2094"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-13.6 °C(259.4K)</w:t>
            </w:r>
          </w:p>
        </w:tc>
      </w:tr>
      <w:tr>
        <w:tblPrEx>
          <w:tblBorders>
            <w:top w:val="single" w:color="auto" w:sz="2" w:space="0"/>
            <w:left w:val="none" w:color="auto" w:sz="0" w:space="0"/>
            <w:bottom w:val="single" w:color="auto" w:sz="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jc w:val="center"/>
        </w:trPr>
        <w:tc>
          <w:tcPr>
            <w:tcW w:w="2905" w:type="pct"/>
            <w:gridSpan w:val="2"/>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rPr>
              <w:t>土地利用类型</w:t>
            </w:r>
          </w:p>
        </w:tc>
        <w:tc>
          <w:tcPr>
            <w:tcW w:w="2094"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rPr>
              <w:t>城市</w:t>
            </w:r>
          </w:p>
        </w:tc>
      </w:tr>
      <w:tr>
        <w:tblPrEx>
          <w:tblBorders>
            <w:top w:val="single" w:color="auto" w:sz="2" w:space="0"/>
            <w:left w:val="none" w:color="auto" w:sz="0" w:space="0"/>
            <w:bottom w:val="single" w:color="auto" w:sz="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jc w:val="center"/>
        </w:trPr>
        <w:tc>
          <w:tcPr>
            <w:tcW w:w="2905" w:type="pct"/>
            <w:gridSpan w:val="2"/>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rPr>
              <w:t>区域湿度条件</w:t>
            </w:r>
          </w:p>
        </w:tc>
        <w:tc>
          <w:tcPr>
            <w:tcW w:w="2094"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rPr>
              <w:t>中等湿度</w:t>
            </w:r>
          </w:p>
        </w:tc>
      </w:tr>
      <w:tr>
        <w:tblPrEx>
          <w:tblBorders>
            <w:top w:val="single" w:color="auto" w:sz="2" w:space="0"/>
            <w:left w:val="none" w:color="auto" w:sz="0" w:space="0"/>
            <w:bottom w:val="single" w:color="auto" w:sz="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jc w:val="center"/>
        </w:trPr>
        <w:tc>
          <w:tcPr>
            <w:tcW w:w="1350" w:type="pct"/>
            <w:vMerge w:val="restar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rPr>
              <w:t>是否考虑地形</w:t>
            </w:r>
          </w:p>
        </w:tc>
        <w:tc>
          <w:tcPr>
            <w:tcW w:w="1555"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rPr>
              <w:t>考虑地形</w:t>
            </w:r>
          </w:p>
        </w:tc>
        <w:tc>
          <w:tcPr>
            <w:tcW w:w="2094"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rPr>
              <w:t>否</w:t>
            </w:r>
          </w:p>
        </w:tc>
      </w:tr>
      <w:tr>
        <w:tblPrEx>
          <w:tblBorders>
            <w:top w:val="single" w:color="auto" w:sz="2" w:space="0"/>
            <w:left w:val="none" w:color="auto" w:sz="0" w:space="0"/>
            <w:bottom w:val="single" w:color="auto" w:sz="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jc w:val="center"/>
        </w:trPr>
        <w:tc>
          <w:tcPr>
            <w:tcW w:w="1350" w:type="pct"/>
            <w:vMerge w:val="continue"/>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color w:val="auto"/>
                <w:sz w:val="21"/>
                <w:szCs w:val="21"/>
                <w:highlight w:val="none"/>
              </w:rPr>
            </w:pPr>
          </w:p>
        </w:tc>
        <w:tc>
          <w:tcPr>
            <w:tcW w:w="1555"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rPr>
              <w:t>地形数据分辨率（</w:t>
            </w:r>
            <w:r>
              <w:rPr>
                <w:rFonts w:ascii="Times New Roman" w:hAnsi="Times New Roman"/>
                <w:color w:val="auto"/>
                <w:sz w:val="21"/>
                <w:szCs w:val="21"/>
                <w:highlight w:val="none"/>
              </w:rPr>
              <w:t>m</w:t>
            </w:r>
            <w:r>
              <w:rPr>
                <w:rFonts w:hint="eastAsia" w:ascii="Times New Roman" w:hAnsi="Times New Roman"/>
                <w:color w:val="auto"/>
                <w:sz w:val="21"/>
                <w:szCs w:val="21"/>
                <w:highlight w:val="none"/>
              </w:rPr>
              <w:t>）</w:t>
            </w:r>
          </w:p>
        </w:tc>
        <w:tc>
          <w:tcPr>
            <w:tcW w:w="2094"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90</w:t>
            </w:r>
          </w:p>
        </w:tc>
      </w:tr>
      <w:tr>
        <w:tblPrEx>
          <w:tblBorders>
            <w:top w:val="single" w:color="auto" w:sz="2" w:space="0"/>
            <w:left w:val="none" w:color="auto" w:sz="0" w:space="0"/>
            <w:bottom w:val="single" w:color="auto" w:sz="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jc w:val="center"/>
        </w:trPr>
        <w:tc>
          <w:tcPr>
            <w:tcW w:w="1350" w:type="pct"/>
            <w:vMerge w:val="restar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rPr>
              <w:t>是否考虑海岸线熏烟</w:t>
            </w:r>
          </w:p>
        </w:tc>
        <w:tc>
          <w:tcPr>
            <w:tcW w:w="1555"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rPr>
              <w:t>考虑海岸线熏烟</w:t>
            </w:r>
          </w:p>
        </w:tc>
        <w:tc>
          <w:tcPr>
            <w:tcW w:w="2094"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rPr>
              <w:t>否</w:t>
            </w:r>
          </w:p>
        </w:tc>
      </w:tr>
      <w:tr>
        <w:tblPrEx>
          <w:tblBorders>
            <w:top w:val="single" w:color="auto" w:sz="2" w:space="0"/>
            <w:left w:val="none" w:color="auto" w:sz="0" w:space="0"/>
            <w:bottom w:val="single" w:color="auto" w:sz="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jc w:val="center"/>
        </w:trPr>
        <w:tc>
          <w:tcPr>
            <w:tcW w:w="1350" w:type="pct"/>
            <w:vMerge w:val="continue"/>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color w:val="auto"/>
                <w:sz w:val="21"/>
                <w:szCs w:val="21"/>
                <w:highlight w:val="none"/>
              </w:rPr>
            </w:pPr>
          </w:p>
        </w:tc>
        <w:tc>
          <w:tcPr>
            <w:tcW w:w="1555"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rPr>
              <w:t>海岸线距离</w:t>
            </w:r>
            <w:r>
              <w:rPr>
                <w:rFonts w:ascii="Times New Roman" w:hAnsi="Times New Roman"/>
                <w:color w:val="auto"/>
                <w:sz w:val="21"/>
                <w:szCs w:val="21"/>
                <w:highlight w:val="none"/>
              </w:rPr>
              <w:t>/km</w:t>
            </w:r>
          </w:p>
        </w:tc>
        <w:tc>
          <w:tcPr>
            <w:tcW w:w="2094"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w:t>
            </w:r>
          </w:p>
        </w:tc>
      </w:tr>
      <w:tr>
        <w:tblPrEx>
          <w:tblBorders>
            <w:top w:val="single" w:color="auto" w:sz="2" w:space="0"/>
            <w:left w:val="none" w:color="auto" w:sz="0" w:space="0"/>
            <w:bottom w:val="single" w:color="auto" w:sz="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jc w:val="center"/>
        </w:trPr>
        <w:tc>
          <w:tcPr>
            <w:tcW w:w="1350" w:type="pct"/>
            <w:vMerge w:val="continue"/>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color w:val="auto"/>
                <w:sz w:val="21"/>
                <w:szCs w:val="21"/>
                <w:highlight w:val="none"/>
              </w:rPr>
            </w:pPr>
          </w:p>
        </w:tc>
        <w:tc>
          <w:tcPr>
            <w:tcW w:w="1555"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rPr>
              <w:t>海岸线方向</w:t>
            </w:r>
            <w:r>
              <w:rPr>
                <w:rFonts w:ascii="Times New Roman" w:hAnsi="Times New Roman"/>
                <w:color w:val="auto"/>
                <w:sz w:val="21"/>
                <w:szCs w:val="21"/>
                <w:highlight w:val="none"/>
              </w:rPr>
              <w:t>/o</w:t>
            </w:r>
          </w:p>
        </w:tc>
        <w:tc>
          <w:tcPr>
            <w:tcW w:w="2094" w:type="pct"/>
            <w:tcBorders>
              <w:tl2br w:val="nil"/>
              <w:tr2bl w:val="nil"/>
            </w:tcBorders>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w:t>
            </w:r>
          </w:p>
        </w:tc>
      </w:tr>
    </w:tbl>
    <w:p>
      <w:pPr>
        <w:kinsoku w:val="0"/>
        <w:overflowPunct w:val="0"/>
        <w:autoSpaceDE w:val="0"/>
        <w:autoSpaceDN w:val="0"/>
        <w:adjustRightInd w:val="0"/>
        <w:spacing w:line="276" w:lineRule="auto"/>
        <w:ind w:firstLine="0" w:firstLineChars="0"/>
        <w:jc w:val="center"/>
        <w:rPr>
          <w:rFonts w:eastAsia="黑体"/>
          <w:color w:val="auto"/>
          <w:kern w:val="0"/>
          <w:szCs w:val="24"/>
          <w:highlight w:val="none"/>
        </w:rPr>
      </w:pPr>
      <w:r>
        <w:rPr>
          <w:rFonts w:hint="eastAsia" w:ascii="黑体" w:hAnsi="黑体" w:eastAsia="黑体" w:cs="黑体"/>
          <w:b w:val="0"/>
          <w:bCs w:val="0"/>
          <w:color w:val="auto"/>
          <w:sz w:val="24"/>
          <w:szCs w:val="24"/>
          <w:highlight w:val="none"/>
          <w:lang w:val="en-GB"/>
        </w:rPr>
        <w:t>表1.</w:t>
      </w:r>
      <w:r>
        <w:rPr>
          <w:rFonts w:hint="eastAsia" w:ascii="黑体" w:hAnsi="黑体" w:eastAsia="黑体" w:cs="黑体"/>
          <w:b w:val="0"/>
          <w:bCs w:val="0"/>
          <w:color w:val="auto"/>
          <w:sz w:val="24"/>
          <w:szCs w:val="24"/>
          <w:highlight w:val="none"/>
          <w:lang w:val="en-US" w:eastAsia="zh-CN"/>
        </w:rPr>
        <w:t>5</w:t>
      </w:r>
      <w:r>
        <w:rPr>
          <w:rFonts w:hint="eastAsia" w:ascii="黑体" w:hAnsi="黑体" w:eastAsia="黑体" w:cs="黑体"/>
          <w:b w:val="0"/>
          <w:bCs w:val="0"/>
          <w:color w:val="auto"/>
          <w:sz w:val="24"/>
          <w:szCs w:val="24"/>
          <w:highlight w:val="none"/>
          <w:lang w:val="en-GB"/>
        </w:rPr>
        <w:t>-3  大气环境影响评价估算模式计算结果</w:t>
      </w:r>
    </w:p>
    <w:tbl>
      <w:tblPr>
        <w:tblStyle w:val="36"/>
        <w:tblW w:w="4996" w:type="pct"/>
        <w:jc w:val="center"/>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autofit"/>
        <w:tblCellMar>
          <w:top w:w="0" w:type="dxa"/>
          <w:left w:w="108" w:type="dxa"/>
          <w:bottom w:w="0" w:type="dxa"/>
          <w:right w:w="108" w:type="dxa"/>
        </w:tblCellMar>
      </w:tblPr>
      <w:tblGrid>
        <w:gridCol w:w="1979"/>
        <w:gridCol w:w="1719"/>
        <w:gridCol w:w="1604"/>
        <w:gridCol w:w="2111"/>
        <w:gridCol w:w="1866"/>
      </w:tblGrid>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1066" w:type="pct"/>
            <w:tcBorders>
              <w:tl2br w:val="nil"/>
              <w:tr2bl w:val="nil"/>
            </w:tcBorders>
            <w:noWrap w:val="0"/>
            <w:vAlign w:val="center"/>
          </w:tcPr>
          <w:p>
            <w:pPr>
              <w:spacing w:line="276" w:lineRule="auto"/>
              <w:ind w:firstLine="0" w:firstLineChars="0"/>
              <w:jc w:val="center"/>
              <w:rPr>
                <w:b/>
                <w:color w:val="auto"/>
                <w:kern w:val="0"/>
                <w:sz w:val="21"/>
                <w:szCs w:val="21"/>
                <w:highlight w:val="none"/>
              </w:rPr>
            </w:pPr>
            <w:r>
              <w:rPr>
                <w:b/>
                <w:color w:val="auto"/>
                <w:kern w:val="0"/>
                <w:sz w:val="21"/>
                <w:szCs w:val="21"/>
                <w:highlight w:val="none"/>
              </w:rPr>
              <w:t>污染源</w:t>
            </w:r>
          </w:p>
        </w:tc>
        <w:tc>
          <w:tcPr>
            <w:tcW w:w="926" w:type="pct"/>
            <w:tcBorders>
              <w:tl2br w:val="nil"/>
              <w:tr2bl w:val="nil"/>
            </w:tcBorders>
            <w:noWrap w:val="0"/>
            <w:vAlign w:val="center"/>
          </w:tcPr>
          <w:p>
            <w:pPr>
              <w:spacing w:line="276" w:lineRule="auto"/>
              <w:ind w:firstLine="0" w:firstLineChars="0"/>
              <w:jc w:val="center"/>
              <w:rPr>
                <w:b/>
                <w:color w:val="auto"/>
                <w:kern w:val="0"/>
                <w:sz w:val="21"/>
                <w:szCs w:val="21"/>
                <w:highlight w:val="none"/>
              </w:rPr>
            </w:pPr>
            <w:r>
              <w:rPr>
                <w:b/>
                <w:color w:val="auto"/>
                <w:kern w:val="0"/>
                <w:sz w:val="21"/>
                <w:szCs w:val="21"/>
                <w:highlight w:val="none"/>
              </w:rPr>
              <w:t>污染物</w:t>
            </w:r>
          </w:p>
        </w:tc>
        <w:tc>
          <w:tcPr>
            <w:tcW w:w="864" w:type="pct"/>
            <w:tcBorders>
              <w:tl2br w:val="nil"/>
              <w:tr2bl w:val="nil"/>
            </w:tcBorders>
            <w:noWrap w:val="0"/>
            <w:vAlign w:val="center"/>
          </w:tcPr>
          <w:p>
            <w:pPr>
              <w:spacing w:line="276" w:lineRule="auto"/>
              <w:ind w:firstLine="0" w:firstLineChars="0"/>
              <w:jc w:val="center"/>
              <w:rPr>
                <w:b/>
                <w:color w:val="auto"/>
                <w:kern w:val="0"/>
                <w:sz w:val="21"/>
                <w:szCs w:val="21"/>
                <w:highlight w:val="none"/>
              </w:rPr>
            </w:pPr>
            <w:r>
              <w:rPr>
                <w:b/>
                <w:color w:val="auto"/>
                <w:kern w:val="0"/>
                <w:sz w:val="21"/>
                <w:szCs w:val="21"/>
                <w:highlight w:val="none"/>
              </w:rPr>
              <w:t>最大落地浓度</w:t>
            </w:r>
          </w:p>
          <w:p>
            <w:pPr>
              <w:spacing w:line="276" w:lineRule="auto"/>
              <w:ind w:firstLine="0" w:firstLineChars="0"/>
              <w:jc w:val="center"/>
              <w:rPr>
                <w:b/>
                <w:color w:val="auto"/>
                <w:kern w:val="0"/>
                <w:sz w:val="21"/>
                <w:szCs w:val="21"/>
                <w:highlight w:val="none"/>
              </w:rPr>
            </w:pPr>
            <w:r>
              <w:rPr>
                <w:b/>
                <w:color w:val="auto"/>
                <w:kern w:val="0"/>
                <w:sz w:val="21"/>
                <w:szCs w:val="21"/>
                <w:highlight w:val="none"/>
              </w:rPr>
              <w:t>（</w:t>
            </w:r>
            <w:r>
              <w:rPr>
                <w:rFonts w:hint="eastAsia"/>
                <w:b/>
                <w:color w:val="auto"/>
                <w:kern w:val="0"/>
                <w:sz w:val="21"/>
                <w:szCs w:val="21"/>
                <w:highlight w:val="none"/>
                <w:lang w:val="en-US" w:eastAsia="zh-CN"/>
              </w:rPr>
              <w:t>u</w:t>
            </w:r>
            <w:r>
              <w:rPr>
                <w:b/>
                <w:color w:val="auto"/>
                <w:kern w:val="0"/>
                <w:sz w:val="21"/>
                <w:szCs w:val="21"/>
                <w:highlight w:val="none"/>
              </w:rPr>
              <w:t>g/m³）</w:t>
            </w:r>
          </w:p>
        </w:tc>
        <w:tc>
          <w:tcPr>
            <w:tcW w:w="1137" w:type="pct"/>
            <w:tcBorders>
              <w:tl2br w:val="nil"/>
              <w:tr2bl w:val="nil"/>
            </w:tcBorders>
            <w:noWrap w:val="0"/>
            <w:vAlign w:val="center"/>
          </w:tcPr>
          <w:p>
            <w:pPr>
              <w:spacing w:line="276" w:lineRule="auto"/>
              <w:ind w:firstLine="0" w:firstLineChars="0"/>
              <w:jc w:val="center"/>
              <w:rPr>
                <w:b/>
                <w:color w:val="auto"/>
                <w:kern w:val="0"/>
                <w:sz w:val="21"/>
                <w:szCs w:val="21"/>
                <w:highlight w:val="none"/>
              </w:rPr>
            </w:pPr>
            <w:r>
              <w:rPr>
                <w:b/>
                <w:color w:val="auto"/>
                <w:kern w:val="0"/>
                <w:sz w:val="21"/>
                <w:szCs w:val="21"/>
                <w:highlight w:val="none"/>
              </w:rPr>
              <w:t>最大落地浓度</w:t>
            </w:r>
          </w:p>
          <w:p>
            <w:pPr>
              <w:spacing w:line="276" w:lineRule="auto"/>
              <w:ind w:firstLine="0" w:firstLineChars="0"/>
              <w:jc w:val="center"/>
              <w:rPr>
                <w:b/>
                <w:color w:val="auto"/>
                <w:kern w:val="0"/>
                <w:sz w:val="21"/>
                <w:szCs w:val="21"/>
                <w:highlight w:val="none"/>
              </w:rPr>
            </w:pPr>
            <w:r>
              <w:rPr>
                <w:b/>
                <w:color w:val="auto"/>
                <w:kern w:val="0"/>
                <w:sz w:val="21"/>
                <w:szCs w:val="21"/>
                <w:highlight w:val="none"/>
              </w:rPr>
              <w:t>出现距离</w:t>
            </w:r>
          </w:p>
          <w:p>
            <w:pPr>
              <w:spacing w:line="276" w:lineRule="auto"/>
              <w:ind w:firstLine="0" w:firstLineChars="0"/>
              <w:jc w:val="center"/>
              <w:rPr>
                <w:b/>
                <w:color w:val="auto"/>
                <w:kern w:val="0"/>
                <w:sz w:val="21"/>
                <w:szCs w:val="21"/>
                <w:highlight w:val="none"/>
              </w:rPr>
            </w:pPr>
            <w:r>
              <w:rPr>
                <w:b/>
                <w:color w:val="auto"/>
                <w:kern w:val="0"/>
                <w:sz w:val="21"/>
                <w:szCs w:val="21"/>
                <w:highlight w:val="none"/>
              </w:rPr>
              <w:t>（m）</w:t>
            </w:r>
          </w:p>
        </w:tc>
        <w:tc>
          <w:tcPr>
            <w:tcW w:w="1005" w:type="pct"/>
            <w:tcBorders>
              <w:tl2br w:val="nil"/>
              <w:tr2bl w:val="nil"/>
            </w:tcBorders>
            <w:noWrap w:val="0"/>
            <w:vAlign w:val="center"/>
          </w:tcPr>
          <w:p>
            <w:pPr>
              <w:spacing w:line="276" w:lineRule="auto"/>
              <w:ind w:firstLine="0" w:firstLineChars="0"/>
              <w:jc w:val="center"/>
              <w:rPr>
                <w:b/>
                <w:color w:val="auto"/>
                <w:kern w:val="0"/>
                <w:sz w:val="21"/>
                <w:szCs w:val="21"/>
                <w:highlight w:val="none"/>
              </w:rPr>
            </w:pPr>
            <w:r>
              <w:rPr>
                <w:b/>
                <w:color w:val="auto"/>
                <w:kern w:val="0"/>
                <w:sz w:val="21"/>
                <w:szCs w:val="21"/>
                <w:highlight w:val="none"/>
              </w:rPr>
              <w:t>最大落地浓度</w:t>
            </w:r>
          </w:p>
          <w:p>
            <w:pPr>
              <w:spacing w:line="276" w:lineRule="auto"/>
              <w:ind w:firstLine="0" w:firstLineChars="0"/>
              <w:jc w:val="center"/>
              <w:rPr>
                <w:b/>
                <w:color w:val="auto"/>
                <w:kern w:val="0"/>
                <w:sz w:val="21"/>
                <w:szCs w:val="21"/>
                <w:highlight w:val="none"/>
              </w:rPr>
            </w:pPr>
            <w:r>
              <w:rPr>
                <w:b/>
                <w:color w:val="auto"/>
                <w:kern w:val="0"/>
                <w:sz w:val="21"/>
                <w:szCs w:val="21"/>
                <w:highlight w:val="none"/>
              </w:rPr>
              <w:t>占标率%</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1066" w:type="pct"/>
            <w:vMerge w:val="restart"/>
            <w:tcBorders>
              <w:tl2br w:val="nil"/>
              <w:tr2bl w:val="nil"/>
            </w:tcBorders>
            <w:noWrap w:val="0"/>
            <w:vAlign w:val="center"/>
          </w:tcPr>
          <w:p>
            <w:pPr>
              <w:spacing w:line="276" w:lineRule="auto"/>
              <w:ind w:firstLine="0" w:firstLineChars="0"/>
              <w:jc w:val="center"/>
              <w:rPr>
                <w:color w:val="auto"/>
                <w:kern w:val="0"/>
                <w:sz w:val="21"/>
                <w:szCs w:val="21"/>
                <w:highlight w:val="none"/>
              </w:rPr>
            </w:pPr>
            <w:r>
              <w:rPr>
                <w:color w:val="auto"/>
                <w:kern w:val="0"/>
                <w:sz w:val="21"/>
                <w:szCs w:val="21"/>
                <w:highlight w:val="none"/>
              </w:rPr>
              <w:t>排气筒P1</w:t>
            </w:r>
          </w:p>
        </w:tc>
        <w:tc>
          <w:tcPr>
            <w:tcW w:w="926" w:type="pct"/>
            <w:tcBorders>
              <w:tl2br w:val="nil"/>
              <w:tr2bl w:val="nil"/>
            </w:tcBorders>
            <w:noWrap w:val="0"/>
            <w:vAlign w:val="top"/>
          </w:tcPr>
          <w:p>
            <w:pPr>
              <w:keepNext w:val="0"/>
              <w:keepLines w:val="0"/>
              <w:widowControl/>
              <w:suppressLineNumbers w:val="0"/>
              <w:jc w:val="center"/>
              <w:textAlignment w:val="top"/>
              <w:rPr>
                <w:color w:val="auto"/>
                <w:kern w:val="0"/>
                <w:sz w:val="21"/>
                <w:szCs w:val="21"/>
                <w:highlight w:val="none"/>
              </w:rPr>
            </w:pPr>
            <w:r>
              <w:rPr>
                <w:rFonts w:hint="default" w:ascii="Times New Roman" w:hAnsi="Times New Roman" w:eastAsia="宋体" w:cs="Times New Roman"/>
                <w:i w:val="0"/>
                <w:color w:val="auto"/>
                <w:kern w:val="0"/>
                <w:sz w:val="20"/>
                <w:szCs w:val="20"/>
                <w:highlight w:val="none"/>
                <w:u w:val="none"/>
                <w:lang w:val="en-US" w:eastAsia="zh-CN" w:bidi="ar"/>
              </w:rPr>
              <w:t>HCl</w:t>
            </w:r>
          </w:p>
        </w:tc>
        <w:tc>
          <w:tcPr>
            <w:tcW w:w="86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0.1329</w:t>
            </w:r>
          </w:p>
        </w:tc>
        <w:tc>
          <w:tcPr>
            <w:tcW w:w="1137" w:type="pct"/>
            <w:vMerge w:val="restart"/>
            <w:tcBorders>
              <w:tl2br w:val="nil"/>
              <w:tr2bl w:val="nil"/>
            </w:tcBorders>
            <w:noWrap w:val="0"/>
            <w:vAlign w:val="center"/>
          </w:tcPr>
          <w:p>
            <w:pPr>
              <w:spacing w:line="276" w:lineRule="auto"/>
              <w:ind w:firstLine="0" w:firstLineChars="0"/>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23</w:t>
            </w:r>
          </w:p>
        </w:tc>
        <w:tc>
          <w:tcPr>
            <w:tcW w:w="1005" w:type="pct"/>
            <w:tcBorders>
              <w:tl2br w:val="nil"/>
              <w:tr2bl w:val="nil"/>
            </w:tcBorders>
            <w:noWrap w:val="0"/>
            <w:vAlign w:val="bottom"/>
          </w:tcPr>
          <w:p>
            <w:pPr>
              <w:keepNext w:val="0"/>
              <w:keepLines w:val="0"/>
              <w:widowControl/>
              <w:suppressLineNumbers w:val="0"/>
              <w:jc w:val="center"/>
              <w:textAlignment w:val="bottom"/>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0.27</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1066" w:type="pct"/>
            <w:vMerge w:val="continue"/>
            <w:tcBorders>
              <w:tl2br w:val="nil"/>
              <w:tr2bl w:val="nil"/>
            </w:tcBorders>
            <w:noWrap w:val="0"/>
            <w:vAlign w:val="center"/>
          </w:tcPr>
          <w:p>
            <w:pPr>
              <w:widowControl/>
              <w:spacing w:line="240" w:lineRule="auto"/>
              <w:ind w:firstLine="0" w:firstLineChars="0"/>
              <w:jc w:val="left"/>
              <w:rPr>
                <w:color w:val="auto"/>
                <w:kern w:val="0"/>
                <w:sz w:val="21"/>
                <w:szCs w:val="21"/>
                <w:highlight w:val="none"/>
              </w:rPr>
            </w:pPr>
          </w:p>
        </w:tc>
        <w:tc>
          <w:tcPr>
            <w:tcW w:w="926" w:type="pct"/>
            <w:tcBorders>
              <w:tl2br w:val="nil"/>
              <w:tr2bl w:val="nil"/>
            </w:tcBorders>
            <w:noWrap w:val="0"/>
            <w:vAlign w:val="top"/>
          </w:tcPr>
          <w:p>
            <w:pPr>
              <w:keepNext w:val="0"/>
              <w:keepLines w:val="0"/>
              <w:widowControl/>
              <w:suppressLineNumbers w:val="0"/>
              <w:jc w:val="center"/>
              <w:textAlignment w:val="top"/>
              <w:rPr>
                <w:color w:val="auto"/>
                <w:kern w:val="0"/>
                <w:sz w:val="21"/>
                <w:szCs w:val="21"/>
                <w:highlight w:val="none"/>
              </w:rPr>
            </w:pPr>
            <w:r>
              <w:rPr>
                <w:rFonts w:hint="default" w:ascii="Times New Roman" w:hAnsi="Times New Roman" w:eastAsia="宋体" w:cs="Times New Roman"/>
                <w:i w:val="0"/>
                <w:color w:val="auto"/>
                <w:kern w:val="0"/>
                <w:sz w:val="20"/>
                <w:szCs w:val="20"/>
                <w:highlight w:val="none"/>
                <w:u w:val="none"/>
                <w:lang w:val="en-US" w:eastAsia="zh-CN" w:bidi="ar"/>
              </w:rPr>
              <w:t>NO</w:t>
            </w:r>
            <w:r>
              <w:rPr>
                <w:rFonts w:hint="default" w:ascii="Times New Roman" w:hAnsi="Times New Roman" w:eastAsia="宋体" w:cs="Times New Roman"/>
                <w:i w:val="0"/>
                <w:color w:val="auto"/>
                <w:kern w:val="0"/>
                <w:sz w:val="20"/>
                <w:szCs w:val="20"/>
                <w:highlight w:val="none"/>
                <w:u w:val="none"/>
                <w:vertAlign w:val="subscript"/>
                <w:lang w:val="en-US" w:eastAsia="zh-CN" w:bidi="ar"/>
              </w:rPr>
              <w:t>x</w:t>
            </w:r>
          </w:p>
        </w:tc>
        <w:tc>
          <w:tcPr>
            <w:tcW w:w="86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0.1092</w:t>
            </w:r>
          </w:p>
        </w:tc>
        <w:tc>
          <w:tcPr>
            <w:tcW w:w="1137" w:type="pct"/>
            <w:vMerge w:val="continue"/>
            <w:tcBorders>
              <w:tl2br w:val="nil"/>
              <w:tr2bl w:val="nil"/>
            </w:tcBorders>
            <w:noWrap w:val="0"/>
            <w:vAlign w:val="center"/>
          </w:tcPr>
          <w:p>
            <w:pPr>
              <w:widowControl/>
              <w:spacing w:line="240" w:lineRule="auto"/>
              <w:ind w:firstLine="0" w:firstLineChars="0"/>
              <w:jc w:val="left"/>
              <w:rPr>
                <w:color w:val="auto"/>
                <w:kern w:val="0"/>
                <w:sz w:val="21"/>
                <w:szCs w:val="21"/>
                <w:highlight w:val="none"/>
              </w:rPr>
            </w:pPr>
          </w:p>
        </w:tc>
        <w:tc>
          <w:tcPr>
            <w:tcW w:w="1005" w:type="pct"/>
            <w:tcBorders>
              <w:tl2br w:val="nil"/>
              <w:tr2bl w:val="nil"/>
            </w:tcBorders>
            <w:noWrap w:val="0"/>
            <w:vAlign w:val="bottom"/>
          </w:tcPr>
          <w:p>
            <w:pPr>
              <w:keepNext w:val="0"/>
              <w:keepLines w:val="0"/>
              <w:widowControl/>
              <w:suppressLineNumbers w:val="0"/>
              <w:jc w:val="center"/>
              <w:textAlignment w:val="bottom"/>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0.04</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1066" w:type="pct"/>
            <w:vMerge w:val="continue"/>
            <w:tcBorders>
              <w:tl2br w:val="nil"/>
              <w:tr2bl w:val="nil"/>
            </w:tcBorders>
            <w:noWrap w:val="0"/>
            <w:vAlign w:val="center"/>
          </w:tcPr>
          <w:p>
            <w:pPr>
              <w:spacing w:line="276" w:lineRule="auto"/>
              <w:ind w:firstLine="0" w:firstLineChars="0"/>
              <w:jc w:val="center"/>
              <w:rPr>
                <w:color w:val="auto"/>
                <w:kern w:val="0"/>
                <w:sz w:val="21"/>
                <w:szCs w:val="21"/>
                <w:highlight w:val="none"/>
              </w:rPr>
            </w:pPr>
          </w:p>
        </w:tc>
        <w:tc>
          <w:tcPr>
            <w:tcW w:w="926" w:type="pct"/>
            <w:tcBorders>
              <w:tl2br w:val="nil"/>
              <w:tr2bl w:val="nil"/>
            </w:tcBorders>
            <w:noWrap w:val="0"/>
            <w:vAlign w:val="top"/>
          </w:tcPr>
          <w:p>
            <w:pPr>
              <w:keepNext w:val="0"/>
              <w:keepLines w:val="0"/>
              <w:widowControl/>
              <w:suppressLineNumbers w:val="0"/>
              <w:jc w:val="center"/>
              <w:textAlignment w:val="top"/>
              <w:rPr>
                <w:color w:val="auto"/>
                <w:kern w:val="0"/>
                <w:sz w:val="21"/>
                <w:szCs w:val="21"/>
                <w:highlight w:val="none"/>
              </w:rPr>
            </w:pPr>
            <w:r>
              <w:rPr>
                <w:rFonts w:hint="default" w:ascii="Times New Roman" w:hAnsi="Times New Roman" w:eastAsia="宋体" w:cs="Times New Roman"/>
                <w:i w:val="0"/>
                <w:color w:val="auto"/>
                <w:kern w:val="0"/>
                <w:sz w:val="20"/>
                <w:szCs w:val="20"/>
                <w:highlight w:val="none"/>
                <w:u w:val="none"/>
                <w:lang w:val="en-US" w:eastAsia="zh-CN" w:bidi="ar"/>
              </w:rPr>
              <w:t>硫酸雾</w:t>
            </w:r>
          </w:p>
        </w:tc>
        <w:tc>
          <w:tcPr>
            <w:tcW w:w="86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0.1121</w:t>
            </w:r>
          </w:p>
        </w:tc>
        <w:tc>
          <w:tcPr>
            <w:tcW w:w="1137" w:type="pct"/>
            <w:vMerge w:val="continue"/>
            <w:tcBorders>
              <w:tl2br w:val="nil"/>
              <w:tr2bl w:val="nil"/>
            </w:tcBorders>
            <w:noWrap w:val="0"/>
            <w:vAlign w:val="center"/>
          </w:tcPr>
          <w:p>
            <w:pPr>
              <w:spacing w:line="276" w:lineRule="auto"/>
              <w:ind w:firstLine="0" w:firstLineChars="0"/>
              <w:jc w:val="center"/>
              <w:rPr>
                <w:color w:val="auto"/>
                <w:kern w:val="0"/>
                <w:sz w:val="21"/>
                <w:szCs w:val="21"/>
                <w:highlight w:val="none"/>
              </w:rPr>
            </w:pPr>
          </w:p>
        </w:tc>
        <w:tc>
          <w:tcPr>
            <w:tcW w:w="1005" w:type="pct"/>
            <w:tcBorders>
              <w:tl2br w:val="nil"/>
              <w:tr2bl w:val="nil"/>
            </w:tcBorders>
            <w:noWrap w:val="0"/>
            <w:vAlign w:val="bottom"/>
          </w:tcPr>
          <w:p>
            <w:pPr>
              <w:keepNext w:val="0"/>
              <w:keepLines w:val="0"/>
              <w:widowControl/>
              <w:suppressLineNumbers w:val="0"/>
              <w:jc w:val="center"/>
              <w:textAlignment w:val="bottom"/>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0.04</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1066" w:type="pct"/>
            <w:vMerge w:val="continue"/>
            <w:tcBorders>
              <w:tl2br w:val="nil"/>
              <w:tr2bl w:val="nil"/>
            </w:tcBorders>
            <w:noWrap w:val="0"/>
            <w:vAlign w:val="center"/>
          </w:tcPr>
          <w:p>
            <w:pPr>
              <w:spacing w:line="276" w:lineRule="auto"/>
              <w:ind w:firstLine="0" w:firstLineChars="0"/>
              <w:jc w:val="center"/>
              <w:rPr>
                <w:color w:val="auto"/>
                <w:kern w:val="0"/>
                <w:sz w:val="21"/>
                <w:szCs w:val="21"/>
                <w:highlight w:val="none"/>
              </w:rPr>
            </w:pPr>
          </w:p>
        </w:tc>
        <w:tc>
          <w:tcPr>
            <w:tcW w:w="926" w:type="pct"/>
            <w:tcBorders>
              <w:tl2br w:val="nil"/>
              <w:tr2bl w:val="nil"/>
            </w:tcBorders>
            <w:noWrap w:val="0"/>
            <w:vAlign w:val="top"/>
          </w:tcPr>
          <w:p>
            <w:pPr>
              <w:keepNext w:val="0"/>
              <w:keepLines w:val="0"/>
              <w:widowControl/>
              <w:suppressLineNumbers w:val="0"/>
              <w:jc w:val="center"/>
              <w:textAlignment w:val="top"/>
              <w:rPr>
                <w:color w:val="auto"/>
                <w:kern w:val="0"/>
                <w:sz w:val="21"/>
                <w:szCs w:val="21"/>
                <w:highlight w:val="none"/>
              </w:rPr>
            </w:pPr>
            <w:r>
              <w:rPr>
                <w:rFonts w:hint="default" w:ascii="Times New Roman" w:hAnsi="Times New Roman" w:eastAsia="宋体" w:cs="Times New Roman"/>
                <w:i w:val="0"/>
                <w:color w:val="auto"/>
                <w:kern w:val="0"/>
                <w:sz w:val="20"/>
                <w:szCs w:val="20"/>
                <w:highlight w:val="none"/>
                <w:u w:val="none"/>
                <w:lang w:val="en-US" w:eastAsia="zh-CN" w:bidi="ar"/>
              </w:rPr>
              <w:t>甲基磺酸雾</w:t>
            </w:r>
          </w:p>
        </w:tc>
        <w:tc>
          <w:tcPr>
            <w:tcW w:w="86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0.1842</w:t>
            </w:r>
          </w:p>
        </w:tc>
        <w:tc>
          <w:tcPr>
            <w:tcW w:w="1137" w:type="pct"/>
            <w:vMerge w:val="continue"/>
            <w:tcBorders>
              <w:tl2br w:val="nil"/>
              <w:tr2bl w:val="nil"/>
            </w:tcBorders>
            <w:noWrap w:val="0"/>
            <w:vAlign w:val="center"/>
          </w:tcPr>
          <w:p>
            <w:pPr>
              <w:spacing w:line="276" w:lineRule="auto"/>
              <w:ind w:firstLine="0" w:firstLineChars="0"/>
              <w:jc w:val="center"/>
              <w:rPr>
                <w:color w:val="auto"/>
                <w:kern w:val="0"/>
                <w:sz w:val="21"/>
                <w:szCs w:val="21"/>
                <w:highlight w:val="none"/>
              </w:rPr>
            </w:pPr>
          </w:p>
        </w:tc>
        <w:tc>
          <w:tcPr>
            <w:tcW w:w="1005" w:type="pct"/>
            <w:tcBorders>
              <w:tl2br w:val="nil"/>
              <w:tr2bl w:val="nil"/>
            </w:tcBorders>
            <w:noWrap w:val="0"/>
            <w:vAlign w:val="bottom"/>
          </w:tcPr>
          <w:p>
            <w:pPr>
              <w:keepNext w:val="0"/>
              <w:keepLines w:val="0"/>
              <w:widowControl/>
              <w:suppressLineNumbers w:val="0"/>
              <w:jc w:val="center"/>
              <w:textAlignment w:val="bottom"/>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0.06</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1066" w:type="pct"/>
            <w:tcBorders>
              <w:tl2br w:val="nil"/>
              <w:tr2bl w:val="nil"/>
            </w:tcBorders>
            <w:noWrap w:val="0"/>
            <w:vAlign w:val="center"/>
          </w:tcPr>
          <w:p>
            <w:pPr>
              <w:spacing w:line="276" w:lineRule="auto"/>
              <w:ind w:firstLine="0" w:firstLineChars="0"/>
              <w:jc w:val="center"/>
              <w:rPr>
                <w:color w:val="auto"/>
                <w:kern w:val="0"/>
                <w:sz w:val="21"/>
                <w:szCs w:val="21"/>
                <w:highlight w:val="none"/>
              </w:rPr>
            </w:pPr>
            <w:r>
              <w:rPr>
                <w:color w:val="auto"/>
                <w:kern w:val="0"/>
                <w:sz w:val="21"/>
                <w:szCs w:val="21"/>
                <w:highlight w:val="none"/>
              </w:rPr>
              <w:t>排气筒P2</w:t>
            </w:r>
          </w:p>
        </w:tc>
        <w:tc>
          <w:tcPr>
            <w:tcW w:w="926" w:type="pct"/>
            <w:tcBorders>
              <w:tl2br w:val="nil"/>
              <w:tr2bl w:val="nil"/>
            </w:tcBorders>
            <w:noWrap w:val="0"/>
            <w:vAlign w:val="top"/>
          </w:tcPr>
          <w:p>
            <w:pPr>
              <w:keepNext w:val="0"/>
              <w:keepLines w:val="0"/>
              <w:widowControl/>
              <w:suppressLineNumbers w:val="0"/>
              <w:jc w:val="center"/>
              <w:textAlignment w:val="top"/>
              <w:rPr>
                <w:color w:val="auto"/>
                <w:kern w:val="0"/>
                <w:sz w:val="21"/>
                <w:szCs w:val="21"/>
                <w:highlight w:val="none"/>
              </w:rPr>
            </w:pPr>
            <w:r>
              <w:rPr>
                <w:rFonts w:hint="default" w:ascii="Times New Roman" w:hAnsi="Times New Roman" w:eastAsia="宋体" w:cs="Times New Roman"/>
                <w:i w:val="0"/>
                <w:color w:val="auto"/>
                <w:kern w:val="0"/>
                <w:sz w:val="20"/>
                <w:szCs w:val="20"/>
                <w:highlight w:val="none"/>
                <w:u w:val="none"/>
                <w:lang w:val="en-US" w:eastAsia="zh-CN" w:bidi="ar"/>
              </w:rPr>
              <w:t>HCl</w:t>
            </w:r>
          </w:p>
        </w:tc>
        <w:tc>
          <w:tcPr>
            <w:tcW w:w="86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0.1326</w:t>
            </w:r>
          </w:p>
        </w:tc>
        <w:tc>
          <w:tcPr>
            <w:tcW w:w="1137" w:type="pct"/>
            <w:tcBorders>
              <w:tl2br w:val="nil"/>
              <w:tr2bl w:val="nil"/>
            </w:tcBorders>
            <w:noWrap w:val="0"/>
            <w:vAlign w:val="center"/>
          </w:tcPr>
          <w:p>
            <w:pPr>
              <w:spacing w:line="276" w:lineRule="auto"/>
              <w:ind w:firstLine="0" w:firstLineChars="0"/>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23</w:t>
            </w:r>
          </w:p>
        </w:tc>
        <w:tc>
          <w:tcPr>
            <w:tcW w:w="1005" w:type="pct"/>
            <w:tcBorders>
              <w:tl2br w:val="nil"/>
              <w:tr2bl w:val="nil"/>
            </w:tcBorders>
            <w:noWrap w:val="0"/>
            <w:vAlign w:val="bottom"/>
          </w:tcPr>
          <w:p>
            <w:pPr>
              <w:keepNext w:val="0"/>
              <w:keepLines w:val="0"/>
              <w:widowControl/>
              <w:suppressLineNumbers w:val="0"/>
              <w:jc w:val="center"/>
              <w:textAlignment w:val="bottom"/>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0.27</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1066" w:type="pct"/>
            <w:vMerge w:val="restart"/>
            <w:tcBorders>
              <w:tl2br w:val="nil"/>
              <w:tr2bl w:val="nil"/>
            </w:tcBorders>
            <w:noWrap w:val="0"/>
            <w:vAlign w:val="center"/>
          </w:tcPr>
          <w:p>
            <w:pPr>
              <w:spacing w:line="276" w:lineRule="auto"/>
              <w:ind w:firstLine="0" w:firstLineChars="0"/>
              <w:jc w:val="center"/>
              <w:rPr>
                <w:color w:val="auto"/>
                <w:kern w:val="0"/>
                <w:sz w:val="21"/>
                <w:szCs w:val="21"/>
                <w:highlight w:val="none"/>
              </w:rPr>
            </w:pPr>
            <w:r>
              <w:rPr>
                <w:color w:val="auto"/>
                <w:kern w:val="0"/>
                <w:sz w:val="21"/>
                <w:szCs w:val="21"/>
                <w:highlight w:val="none"/>
              </w:rPr>
              <w:t>排气筒P3</w:t>
            </w:r>
          </w:p>
        </w:tc>
        <w:tc>
          <w:tcPr>
            <w:tcW w:w="926" w:type="pct"/>
            <w:tcBorders>
              <w:tl2br w:val="nil"/>
              <w:tr2bl w:val="nil"/>
            </w:tcBorders>
            <w:noWrap w:val="0"/>
            <w:vAlign w:val="top"/>
          </w:tcPr>
          <w:p>
            <w:pPr>
              <w:keepNext w:val="0"/>
              <w:keepLines w:val="0"/>
              <w:widowControl/>
              <w:suppressLineNumbers w:val="0"/>
              <w:jc w:val="center"/>
              <w:textAlignment w:val="top"/>
              <w:rPr>
                <w:color w:val="auto"/>
                <w:kern w:val="0"/>
                <w:sz w:val="21"/>
                <w:szCs w:val="21"/>
                <w:highlight w:val="none"/>
              </w:rPr>
            </w:pPr>
            <w:r>
              <w:rPr>
                <w:rFonts w:hint="default" w:ascii="Times New Roman" w:hAnsi="Times New Roman" w:eastAsia="宋体" w:cs="Times New Roman"/>
                <w:i w:val="0"/>
                <w:color w:val="auto"/>
                <w:kern w:val="0"/>
                <w:sz w:val="20"/>
                <w:szCs w:val="20"/>
                <w:highlight w:val="none"/>
                <w:u w:val="none"/>
                <w:lang w:val="en-US" w:eastAsia="zh-CN" w:bidi="ar"/>
              </w:rPr>
              <w:t>HCl</w:t>
            </w:r>
          </w:p>
        </w:tc>
        <w:tc>
          <w:tcPr>
            <w:tcW w:w="86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0.1405</w:t>
            </w:r>
          </w:p>
        </w:tc>
        <w:tc>
          <w:tcPr>
            <w:tcW w:w="1137" w:type="pct"/>
            <w:vMerge w:val="restart"/>
            <w:tcBorders>
              <w:tl2br w:val="nil"/>
              <w:tr2bl w:val="nil"/>
            </w:tcBorders>
            <w:noWrap w:val="0"/>
            <w:vAlign w:val="center"/>
          </w:tcPr>
          <w:p>
            <w:pPr>
              <w:spacing w:line="276" w:lineRule="auto"/>
              <w:ind w:firstLine="0" w:firstLineChars="0"/>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23</w:t>
            </w:r>
          </w:p>
        </w:tc>
        <w:tc>
          <w:tcPr>
            <w:tcW w:w="1005" w:type="pct"/>
            <w:tcBorders>
              <w:tl2br w:val="nil"/>
              <w:tr2bl w:val="nil"/>
            </w:tcBorders>
            <w:noWrap w:val="0"/>
            <w:vAlign w:val="bottom"/>
          </w:tcPr>
          <w:p>
            <w:pPr>
              <w:keepNext w:val="0"/>
              <w:keepLines w:val="0"/>
              <w:widowControl/>
              <w:suppressLineNumbers w:val="0"/>
              <w:jc w:val="center"/>
              <w:textAlignment w:val="bottom"/>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0.28</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1066" w:type="pct"/>
            <w:vMerge w:val="continue"/>
            <w:tcBorders>
              <w:tl2br w:val="nil"/>
              <w:tr2bl w:val="nil"/>
            </w:tcBorders>
            <w:noWrap w:val="0"/>
            <w:vAlign w:val="center"/>
          </w:tcPr>
          <w:p>
            <w:pPr>
              <w:spacing w:line="276" w:lineRule="auto"/>
              <w:ind w:firstLine="0" w:firstLineChars="0"/>
              <w:jc w:val="center"/>
              <w:rPr>
                <w:color w:val="auto"/>
                <w:kern w:val="0"/>
                <w:sz w:val="21"/>
                <w:szCs w:val="21"/>
                <w:highlight w:val="none"/>
              </w:rPr>
            </w:pPr>
          </w:p>
        </w:tc>
        <w:tc>
          <w:tcPr>
            <w:tcW w:w="926" w:type="pct"/>
            <w:tcBorders>
              <w:tl2br w:val="nil"/>
              <w:tr2bl w:val="nil"/>
            </w:tcBorders>
            <w:noWrap w:val="0"/>
            <w:vAlign w:val="top"/>
          </w:tcPr>
          <w:p>
            <w:pPr>
              <w:keepNext w:val="0"/>
              <w:keepLines w:val="0"/>
              <w:widowControl/>
              <w:suppressLineNumbers w:val="0"/>
              <w:jc w:val="center"/>
              <w:textAlignment w:val="top"/>
              <w:rPr>
                <w:color w:val="auto"/>
                <w:kern w:val="0"/>
                <w:sz w:val="21"/>
                <w:szCs w:val="21"/>
                <w:highlight w:val="none"/>
              </w:rPr>
            </w:pPr>
            <w:r>
              <w:rPr>
                <w:rFonts w:hint="default" w:ascii="Times New Roman" w:hAnsi="Times New Roman" w:eastAsia="宋体" w:cs="Times New Roman"/>
                <w:i w:val="0"/>
                <w:color w:val="auto"/>
                <w:kern w:val="0"/>
                <w:sz w:val="20"/>
                <w:szCs w:val="20"/>
                <w:highlight w:val="none"/>
                <w:u w:val="none"/>
                <w:lang w:val="en-US" w:eastAsia="zh-CN" w:bidi="ar"/>
              </w:rPr>
              <w:t>硫酸雾</w:t>
            </w:r>
          </w:p>
        </w:tc>
        <w:tc>
          <w:tcPr>
            <w:tcW w:w="86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0.1083</w:t>
            </w:r>
          </w:p>
        </w:tc>
        <w:tc>
          <w:tcPr>
            <w:tcW w:w="1137" w:type="pct"/>
            <w:vMerge w:val="continue"/>
            <w:tcBorders>
              <w:tl2br w:val="nil"/>
              <w:tr2bl w:val="nil"/>
            </w:tcBorders>
            <w:noWrap w:val="0"/>
            <w:vAlign w:val="center"/>
          </w:tcPr>
          <w:p>
            <w:pPr>
              <w:spacing w:line="276" w:lineRule="auto"/>
              <w:ind w:firstLine="0" w:firstLineChars="0"/>
              <w:jc w:val="center"/>
              <w:rPr>
                <w:color w:val="auto"/>
                <w:kern w:val="0"/>
                <w:sz w:val="21"/>
                <w:szCs w:val="21"/>
                <w:highlight w:val="none"/>
              </w:rPr>
            </w:pPr>
          </w:p>
        </w:tc>
        <w:tc>
          <w:tcPr>
            <w:tcW w:w="1005" w:type="pct"/>
            <w:tcBorders>
              <w:tl2br w:val="nil"/>
              <w:tr2bl w:val="nil"/>
            </w:tcBorders>
            <w:noWrap w:val="0"/>
            <w:vAlign w:val="bottom"/>
          </w:tcPr>
          <w:p>
            <w:pPr>
              <w:keepNext w:val="0"/>
              <w:keepLines w:val="0"/>
              <w:widowControl/>
              <w:suppressLineNumbers w:val="0"/>
              <w:jc w:val="center"/>
              <w:textAlignment w:val="bottom"/>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0.04</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1066" w:type="pct"/>
            <w:vMerge w:val="continue"/>
            <w:tcBorders>
              <w:tl2br w:val="nil"/>
              <w:tr2bl w:val="nil"/>
            </w:tcBorders>
            <w:noWrap w:val="0"/>
            <w:vAlign w:val="center"/>
          </w:tcPr>
          <w:p>
            <w:pPr>
              <w:spacing w:line="276" w:lineRule="auto"/>
              <w:ind w:firstLine="0" w:firstLineChars="0"/>
              <w:jc w:val="center"/>
              <w:rPr>
                <w:color w:val="auto"/>
                <w:kern w:val="0"/>
                <w:sz w:val="21"/>
                <w:szCs w:val="21"/>
                <w:highlight w:val="none"/>
              </w:rPr>
            </w:pPr>
          </w:p>
        </w:tc>
        <w:tc>
          <w:tcPr>
            <w:tcW w:w="926" w:type="pct"/>
            <w:tcBorders>
              <w:tl2br w:val="nil"/>
              <w:tr2bl w:val="nil"/>
            </w:tcBorders>
            <w:noWrap w:val="0"/>
            <w:vAlign w:val="top"/>
          </w:tcPr>
          <w:p>
            <w:pPr>
              <w:keepNext w:val="0"/>
              <w:keepLines w:val="0"/>
              <w:widowControl/>
              <w:suppressLineNumbers w:val="0"/>
              <w:jc w:val="center"/>
              <w:textAlignment w:val="top"/>
              <w:rPr>
                <w:color w:val="auto"/>
                <w:kern w:val="0"/>
                <w:sz w:val="21"/>
                <w:szCs w:val="21"/>
                <w:highlight w:val="none"/>
              </w:rPr>
            </w:pPr>
            <w:r>
              <w:rPr>
                <w:rFonts w:hint="default" w:ascii="Times New Roman" w:hAnsi="Times New Roman" w:eastAsia="宋体" w:cs="Times New Roman"/>
                <w:i w:val="0"/>
                <w:color w:val="auto"/>
                <w:kern w:val="0"/>
                <w:sz w:val="20"/>
                <w:szCs w:val="20"/>
                <w:highlight w:val="none"/>
                <w:u w:val="none"/>
                <w:lang w:val="en-US" w:eastAsia="zh-CN" w:bidi="ar"/>
              </w:rPr>
              <w:t>铬酸雾</w:t>
            </w:r>
          </w:p>
        </w:tc>
        <w:tc>
          <w:tcPr>
            <w:tcW w:w="86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0.002849</w:t>
            </w:r>
          </w:p>
        </w:tc>
        <w:tc>
          <w:tcPr>
            <w:tcW w:w="1137" w:type="pct"/>
            <w:vMerge w:val="continue"/>
            <w:tcBorders>
              <w:tl2br w:val="nil"/>
              <w:tr2bl w:val="nil"/>
            </w:tcBorders>
            <w:noWrap w:val="0"/>
            <w:vAlign w:val="center"/>
          </w:tcPr>
          <w:p>
            <w:pPr>
              <w:spacing w:line="276" w:lineRule="auto"/>
              <w:ind w:firstLine="0" w:firstLineChars="0"/>
              <w:jc w:val="center"/>
              <w:rPr>
                <w:color w:val="auto"/>
                <w:kern w:val="0"/>
                <w:sz w:val="21"/>
                <w:szCs w:val="21"/>
                <w:highlight w:val="none"/>
              </w:rPr>
            </w:pPr>
          </w:p>
        </w:tc>
        <w:tc>
          <w:tcPr>
            <w:tcW w:w="1005" w:type="pct"/>
            <w:tcBorders>
              <w:tl2br w:val="nil"/>
              <w:tr2bl w:val="nil"/>
            </w:tcBorders>
            <w:noWrap w:val="0"/>
            <w:vAlign w:val="bottom"/>
          </w:tcPr>
          <w:p>
            <w:pPr>
              <w:keepNext w:val="0"/>
              <w:keepLines w:val="0"/>
              <w:widowControl/>
              <w:suppressLineNumbers w:val="0"/>
              <w:jc w:val="center"/>
              <w:textAlignment w:val="bottom"/>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0.19</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1066" w:type="pct"/>
            <w:vMerge w:val="restart"/>
            <w:tcBorders>
              <w:tl2br w:val="nil"/>
              <w:tr2bl w:val="nil"/>
            </w:tcBorders>
            <w:noWrap w:val="0"/>
            <w:vAlign w:val="center"/>
          </w:tcPr>
          <w:p>
            <w:pPr>
              <w:spacing w:line="276" w:lineRule="auto"/>
              <w:ind w:firstLine="0" w:firstLineChars="0"/>
              <w:jc w:val="center"/>
              <w:rPr>
                <w:rFonts w:hint="default" w:eastAsia="宋体"/>
                <w:color w:val="auto"/>
                <w:kern w:val="0"/>
                <w:sz w:val="21"/>
                <w:szCs w:val="21"/>
                <w:highlight w:val="none"/>
                <w:lang w:val="en-US" w:eastAsia="zh-CN"/>
              </w:rPr>
            </w:pPr>
            <w:r>
              <w:rPr>
                <w:color w:val="auto"/>
                <w:kern w:val="0"/>
                <w:sz w:val="21"/>
                <w:szCs w:val="21"/>
                <w:highlight w:val="none"/>
              </w:rPr>
              <w:t>排气筒P</w:t>
            </w:r>
            <w:r>
              <w:rPr>
                <w:rFonts w:hint="eastAsia"/>
                <w:color w:val="auto"/>
                <w:kern w:val="0"/>
                <w:sz w:val="21"/>
                <w:szCs w:val="21"/>
                <w:highlight w:val="none"/>
                <w:lang w:val="en-US" w:eastAsia="zh-CN"/>
              </w:rPr>
              <w:t>4-1</w:t>
            </w:r>
          </w:p>
        </w:tc>
        <w:tc>
          <w:tcPr>
            <w:tcW w:w="926" w:type="pct"/>
            <w:tcBorders>
              <w:tl2br w:val="nil"/>
              <w:tr2bl w:val="nil"/>
            </w:tcBorders>
            <w:noWrap w:val="0"/>
            <w:vAlign w:val="top"/>
          </w:tcPr>
          <w:p>
            <w:pPr>
              <w:keepNext w:val="0"/>
              <w:keepLines w:val="0"/>
              <w:widowControl/>
              <w:suppressLineNumbers w:val="0"/>
              <w:jc w:val="center"/>
              <w:textAlignment w:val="top"/>
              <w:rPr>
                <w:color w:val="auto"/>
                <w:kern w:val="0"/>
                <w:sz w:val="21"/>
                <w:szCs w:val="21"/>
                <w:highlight w:val="none"/>
              </w:rPr>
            </w:pPr>
            <w:r>
              <w:rPr>
                <w:rFonts w:hint="default" w:ascii="Times New Roman" w:hAnsi="Times New Roman" w:eastAsia="宋体" w:cs="Times New Roman"/>
                <w:i w:val="0"/>
                <w:color w:val="auto"/>
                <w:kern w:val="0"/>
                <w:sz w:val="20"/>
                <w:szCs w:val="20"/>
                <w:highlight w:val="none"/>
                <w:u w:val="none"/>
                <w:lang w:val="en-US" w:eastAsia="zh-CN" w:bidi="ar"/>
              </w:rPr>
              <w:t>颗粒物</w:t>
            </w:r>
          </w:p>
        </w:tc>
        <w:tc>
          <w:tcPr>
            <w:tcW w:w="86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0.5792</w:t>
            </w:r>
          </w:p>
        </w:tc>
        <w:tc>
          <w:tcPr>
            <w:tcW w:w="1137" w:type="pct"/>
            <w:vMerge w:val="restart"/>
            <w:tcBorders>
              <w:tl2br w:val="nil"/>
              <w:tr2bl w:val="nil"/>
            </w:tcBorders>
            <w:noWrap w:val="0"/>
            <w:vAlign w:val="center"/>
          </w:tcPr>
          <w:p>
            <w:pPr>
              <w:spacing w:line="276" w:lineRule="auto"/>
              <w:ind w:firstLine="0" w:firstLineChars="0"/>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18</w:t>
            </w:r>
          </w:p>
        </w:tc>
        <w:tc>
          <w:tcPr>
            <w:tcW w:w="1005" w:type="pct"/>
            <w:tcBorders>
              <w:tl2br w:val="nil"/>
              <w:tr2bl w:val="nil"/>
            </w:tcBorders>
            <w:noWrap w:val="0"/>
            <w:vAlign w:val="bottom"/>
          </w:tcPr>
          <w:p>
            <w:pPr>
              <w:keepNext w:val="0"/>
              <w:keepLines w:val="0"/>
              <w:widowControl/>
              <w:suppressLineNumbers w:val="0"/>
              <w:jc w:val="center"/>
              <w:textAlignment w:val="bottom"/>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0.13</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1066" w:type="pct"/>
            <w:vMerge w:val="continue"/>
            <w:tcBorders>
              <w:tl2br w:val="nil"/>
              <w:tr2bl w:val="nil"/>
            </w:tcBorders>
            <w:noWrap w:val="0"/>
            <w:vAlign w:val="center"/>
          </w:tcPr>
          <w:p>
            <w:pPr>
              <w:spacing w:line="276" w:lineRule="auto"/>
              <w:ind w:firstLine="0" w:firstLineChars="0"/>
              <w:jc w:val="center"/>
              <w:rPr>
                <w:color w:val="auto"/>
                <w:kern w:val="0"/>
                <w:sz w:val="21"/>
                <w:szCs w:val="21"/>
                <w:highlight w:val="none"/>
              </w:rPr>
            </w:pPr>
          </w:p>
        </w:tc>
        <w:tc>
          <w:tcPr>
            <w:tcW w:w="926" w:type="pct"/>
            <w:tcBorders>
              <w:tl2br w:val="nil"/>
              <w:tr2bl w:val="nil"/>
            </w:tcBorders>
            <w:noWrap w:val="0"/>
            <w:vAlign w:val="top"/>
          </w:tcPr>
          <w:p>
            <w:pPr>
              <w:keepNext w:val="0"/>
              <w:keepLines w:val="0"/>
              <w:widowControl/>
              <w:suppressLineNumbers w:val="0"/>
              <w:jc w:val="center"/>
              <w:textAlignment w:val="top"/>
              <w:rPr>
                <w:color w:val="auto"/>
                <w:kern w:val="0"/>
                <w:sz w:val="21"/>
                <w:szCs w:val="21"/>
                <w:highlight w:val="none"/>
              </w:rPr>
            </w:pPr>
            <w:r>
              <w:rPr>
                <w:rFonts w:hint="default" w:ascii="Times New Roman" w:hAnsi="Times New Roman" w:eastAsia="宋体" w:cs="Times New Roman"/>
                <w:i w:val="0"/>
                <w:color w:val="auto"/>
                <w:kern w:val="0"/>
                <w:sz w:val="20"/>
                <w:szCs w:val="20"/>
                <w:highlight w:val="none"/>
                <w:u w:val="none"/>
                <w:lang w:val="en-US" w:eastAsia="zh-CN" w:bidi="ar"/>
              </w:rPr>
              <w:t>NO</w:t>
            </w:r>
            <w:r>
              <w:rPr>
                <w:rFonts w:hint="default" w:ascii="Times New Roman" w:hAnsi="Times New Roman" w:eastAsia="宋体" w:cs="Times New Roman"/>
                <w:i w:val="0"/>
                <w:color w:val="auto"/>
                <w:kern w:val="0"/>
                <w:sz w:val="20"/>
                <w:szCs w:val="20"/>
                <w:highlight w:val="none"/>
                <w:u w:val="none"/>
                <w:vertAlign w:val="subscript"/>
                <w:lang w:val="en-US" w:eastAsia="zh-CN" w:bidi="ar"/>
              </w:rPr>
              <w:t>x</w:t>
            </w:r>
          </w:p>
        </w:tc>
        <w:tc>
          <w:tcPr>
            <w:tcW w:w="86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7.526</w:t>
            </w:r>
          </w:p>
        </w:tc>
        <w:tc>
          <w:tcPr>
            <w:tcW w:w="1137" w:type="pct"/>
            <w:vMerge w:val="continue"/>
            <w:tcBorders>
              <w:tl2br w:val="nil"/>
              <w:tr2bl w:val="nil"/>
            </w:tcBorders>
            <w:noWrap w:val="0"/>
            <w:vAlign w:val="center"/>
          </w:tcPr>
          <w:p>
            <w:pPr>
              <w:spacing w:line="276" w:lineRule="auto"/>
              <w:ind w:firstLine="0" w:firstLineChars="0"/>
              <w:jc w:val="center"/>
              <w:rPr>
                <w:color w:val="auto"/>
                <w:kern w:val="0"/>
                <w:sz w:val="21"/>
                <w:szCs w:val="21"/>
                <w:highlight w:val="none"/>
              </w:rPr>
            </w:pPr>
          </w:p>
        </w:tc>
        <w:tc>
          <w:tcPr>
            <w:tcW w:w="1005" w:type="pct"/>
            <w:tcBorders>
              <w:tl2br w:val="nil"/>
              <w:tr2bl w:val="nil"/>
            </w:tcBorders>
            <w:noWrap w:val="0"/>
            <w:vAlign w:val="bottom"/>
          </w:tcPr>
          <w:p>
            <w:pPr>
              <w:keepNext w:val="0"/>
              <w:keepLines w:val="0"/>
              <w:widowControl/>
              <w:suppressLineNumbers w:val="0"/>
              <w:jc w:val="center"/>
              <w:textAlignment w:val="bottom"/>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3.01</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1066" w:type="pct"/>
            <w:vMerge w:val="continue"/>
            <w:tcBorders>
              <w:tl2br w:val="nil"/>
              <w:tr2bl w:val="nil"/>
            </w:tcBorders>
            <w:noWrap w:val="0"/>
            <w:vAlign w:val="center"/>
          </w:tcPr>
          <w:p>
            <w:pPr>
              <w:spacing w:line="276" w:lineRule="auto"/>
              <w:ind w:firstLine="0" w:firstLineChars="0"/>
              <w:jc w:val="center"/>
              <w:rPr>
                <w:color w:val="auto"/>
                <w:kern w:val="0"/>
                <w:sz w:val="21"/>
                <w:szCs w:val="21"/>
                <w:highlight w:val="none"/>
              </w:rPr>
            </w:pPr>
          </w:p>
        </w:tc>
        <w:tc>
          <w:tcPr>
            <w:tcW w:w="926" w:type="pct"/>
            <w:tcBorders>
              <w:tl2br w:val="nil"/>
              <w:tr2bl w:val="nil"/>
            </w:tcBorders>
            <w:noWrap w:val="0"/>
            <w:vAlign w:val="top"/>
          </w:tcPr>
          <w:p>
            <w:pPr>
              <w:keepNext w:val="0"/>
              <w:keepLines w:val="0"/>
              <w:widowControl/>
              <w:suppressLineNumbers w:val="0"/>
              <w:jc w:val="center"/>
              <w:textAlignment w:val="top"/>
              <w:rPr>
                <w:color w:val="auto"/>
                <w:kern w:val="0"/>
                <w:sz w:val="21"/>
                <w:szCs w:val="21"/>
                <w:highlight w:val="none"/>
              </w:rPr>
            </w:pPr>
            <w:r>
              <w:rPr>
                <w:rFonts w:hint="default" w:ascii="Times New Roman" w:hAnsi="Times New Roman" w:eastAsia="宋体" w:cs="Times New Roman"/>
                <w:i w:val="0"/>
                <w:color w:val="auto"/>
                <w:kern w:val="0"/>
                <w:sz w:val="20"/>
                <w:szCs w:val="20"/>
                <w:highlight w:val="none"/>
                <w:u w:val="none"/>
                <w:lang w:val="en-US" w:eastAsia="zh-CN" w:bidi="ar"/>
              </w:rPr>
              <w:t>SO</w:t>
            </w:r>
            <w:r>
              <w:rPr>
                <w:rStyle w:val="137"/>
                <w:rFonts w:hint="default" w:ascii="Times New Roman" w:hAnsi="Times New Roman" w:eastAsia="宋体" w:cs="Times New Roman"/>
                <w:color w:val="auto"/>
                <w:highlight w:val="none"/>
                <w:lang w:val="en-US" w:eastAsia="zh-CN" w:bidi="ar"/>
              </w:rPr>
              <w:t>2</w:t>
            </w:r>
          </w:p>
        </w:tc>
        <w:tc>
          <w:tcPr>
            <w:tcW w:w="86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1.353</w:t>
            </w:r>
          </w:p>
        </w:tc>
        <w:tc>
          <w:tcPr>
            <w:tcW w:w="1137" w:type="pct"/>
            <w:vMerge w:val="continue"/>
            <w:tcBorders>
              <w:tl2br w:val="nil"/>
              <w:tr2bl w:val="nil"/>
            </w:tcBorders>
            <w:noWrap w:val="0"/>
            <w:vAlign w:val="center"/>
          </w:tcPr>
          <w:p>
            <w:pPr>
              <w:spacing w:line="276" w:lineRule="auto"/>
              <w:ind w:firstLine="0" w:firstLineChars="0"/>
              <w:jc w:val="center"/>
              <w:rPr>
                <w:color w:val="auto"/>
                <w:kern w:val="0"/>
                <w:sz w:val="21"/>
                <w:szCs w:val="21"/>
                <w:highlight w:val="none"/>
              </w:rPr>
            </w:pPr>
          </w:p>
        </w:tc>
        <w:tc>
          <w:tcPr>
            <w:tcW w:w="1005" w:type="pct"/>
            <w:tcBorders>
              <w:tl2br w:val="nil"/>
              <w:tr2bl w:val="nil"/>
            </w:tcBorders>
            <w:noWrap w:val="0"/>
            <w:vAlign w:val="bottom"/>
          </w:tcPr>
          <w:p>
            <w:pPr>
              <w:keepNext w:val="0"/>
              <w:keepLines w:val="0"/>
              <w:widowControl/>
              <w:suppressLineNumbers w:val="0"/>
              <w:jc w:val="center"/>
              <w:textAlignment w:val="bottom"/>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0.27</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1066" w:type="pct"/>
            <w:vMerge w:val="restart"/>
            <w:tcBorders>
              <w:tl2br w:val="nil"/>
              <w:tr2bl w:val="nil"/>
            </w:tcBorders>
            <w:noWrap w:val="0"/>
            <w:vAlign w:val="center"/>
          </w:tcPr>
          <w:p>
            <w:pPr>
              <w:spacing w:line="276" w:lineRule="auto"/>
              <w:ind w:firstLine="0" w:firstLineChars="0"/>
              <w:jc w:val="center"/>
              <w:rPr>
                <w:rFonts w:hint="default" w:eastAsia="宋体"/>
                <w:color w:val="auto"/>
                <w:kern w:val="0"/>
                <w:sz w:val="21"/>
                <w:szCs w:val="21"/>
                <w:highlight w:val="none"/>
                <w:lang w:val="en-US" w:eastAsia="zh-CN"/>
              </w:rPr>
            </w:pPr>
            <w:r>
              <w:rPr>
                <w:color w:val="auto"/>
                <w:kern w:val="0"/>
                <w:sz w:val="21"/>
                <w:szCs w:val="21"/>
                <w:highlight w:val="none"/>
              </w:rPr>
              <w:t>排气筒P</w:t>
            </w:r>
            <w:r>
              <w:rPr>
                <w:rFonts w:hint="eastAsia"/>
                <w:color w:val="auto"/>
                <w:kern w:val="0"/>
                <w:sz w:val="21"/>
                <w:szCs w:val="21"/>
                <w:highlight w:val="none"/>
                <w:lang w:val="en-US" w:eastAsia="zh-CN"/>
              </w:rPr>
              <w:t>4-2</w:t>
            </w:r>
          </w:p>
        </w:tc>
        <w:tc>
          <w:tcPr>
            <w:tcW w:w="926" w:type="pct"/>
            <w:tcBorders>
              <w:tl2br w:val="nil"/>
              <w:tr2bl w:val="nil"/>
            </w:tcBorders>
            <w:noWrap w:val="0"/>
            <w:vAlign w:val="top"/>
          </w:tcPr>
          <w:p>
            <w:pPr>
              <w:keepNext w:val="0"/>
              <w:keepLines w:val="0"/>
              <w:widowControl/>
              <w:suppressLineNumbers w:val="0"/>
              <w:jc w:val="center"/>
              <w:textAlignment w:val="top"/>
              <w:rPr>
                <w:color w:val="auto"/>
                <w:kern w:val="0"/>
                <w:sz w:val="21"/>
                <w:szCs w:val="21"/>
                <w:highlight w:val="none"/>
              </w:rPr>
            </w:pPr>
            <w:r>
              <w:rPr>
                <w:rFonts w:hint="default" w:ascii="Times New Roman" w:hAnsi="Times New Roman" w:eastAsia="宋体" w:cs="Times New Roman"/>
                <w:i w:val="0"/>
                <w:color w:val="auto"/>
                <w:kern w:val="0"/>
                <w:sz w:val="20"/>
                <w:szCs w:val="20"/>
                <w:highlight w:val="none"/>
                <w:u w:val="none"/>
                <w:lang w:val="en-US" w:eastAsia="zh-CN" w:bidi="ar"/>
              </w:rPr>
              <w:t>HCl</w:t>
            </w:r>
          </w:p>
        </w:tc>
        <w:tc>
          <w:tcPr>
            <w:tcW w:w="86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0.2092</w:t>
            </w:r>
          </w:p>
        </w:tc>
        <w:tc>
          <w:tcPr>
            <w:tcW w:w="1137" w:type="pct"/>
            <w:vMerge w:val="restart"/>
            <w:tcBorders>
              <w:tl2br w:val="nil"/>
              <w:tr2bl w:val="nil"/>
            </w:tcBorders>
            <w:noWrap w:val="0"/>
            <w:vAlign w:val="center"/>
          </w:tcPr>
          <w:p>
            <w:pPr>
              <w:spacing w:line="276" w:lineRule="auto"/>
              <w:ind w:firstLine="0" w:firstLineChars="0"/>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27</w:t>
            </w:r>
          </w:p>
        </w:tc>
        <w:tc>
          <w:tcPr>
            <w:tcW w:w="1005" w:type="pct"/>
            <w:tcBorders>
              <w:tl2br w:val="nil"/>
              <w:tr2bl w:val="nil"/>
            </w:tcBorders>
            <w:noWrap w:val="0"/>
            <w:vAlign w:val="bottom"/>
          </w:tcPr>
          <w:p>
            <w:pPr>
              <w:keepNext w:val="0"/>
              <w:keepLines w:val="0"/>
              <w:widowControl/>
              <w:suppressLineNumbers w:val="0"/>
              <w:jc w:val="center"/>
              <w:textAlignment w:val="bottom"/>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0.42</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1066" w:type="pct"/>
            <w:vMerge w:val="continue"/>
            <w:tcBorders>
              <w:tl2br w:val="nil"/>
              <w:tr2bl w:val="nil"/>
            </w:tcBorders>
            <w:noWrap w:val="0"/>
            <w:vAlign w:val="center"/>
          </w:tcPr>
          <w:p>
            <w:pPr>
              <w:spacing w:line="276" w:lineRule="auto"/>
              <w:ind w:firstLine="0" w:firstLineChars="0"/>
              <w:jc w:val="center"/>
              <w:rPr>
                <w:color w:val="auto"/>
                <w:kern w:val="0"/>
                <w:sz w:val="21"/>
                <w:szCs w:val="21"/>
                <w:highlight w:val="none"/>
              </w:rPr>
            </w:pPr>
          </w:p>
        </w:tc>
        <w:tc>
          <w:tcPr>
            <w:tcW w:w="926" w:type="pct"/>
            <w:tcBorders>
              <w:tl2br w:val="nil"/>
              <w:tr2bl w:val="nil"/>
            </w:tcBorders>
            <w:noWrap w:val="0"/>
            <w:vAlign w:val="top"/>
          </w:tcPr>
          <w:p>
            <w:pPr>
              <w:keepNext w:val="0"/>
              <w:keepLines w:val="0"/>
              <w:widowControl/>
              <w:suppressLineNumbers w:val="0"/>
              <w:jc w:val="center"/>
              <w:textAlignment w:val="top"/>
              <w:rPr>
                <w:color w:val="auto"/>
                <w:kern w:val="0"/>
                <w:sz w:val="21"/>
                <w:szCs w:val="21"/>
                <w:highlight w:val="none"/>
              </w:rPr>
            </w:pPr>
            <w:r>
              <w:rPr>
                <w:rFonts w:hint="default" w:ascii="Times New Roman" w:hAnsi="Times New Roman" w:eastAsia="宋体" w:cs="Times New Roman"/>
                <w:i w:val="0"/>
                <w:color w:val="auto"/>
                <w:kern w:val="0"/>
                <w:sz w:val="20"/>
                <w:szCs w:val="20"/>
                <w:highlight w:val="none"/>
                <w:u w:val="none"/>
                <w:lang w:val="en-US" w:eastAsia="zh-CN" w:bidi="ar"/>
              </w:rPr>
              <w:t>硫酸雾</w:t>
            </w:r>
          </w:p>
        </w:tc>
        <w:tc>
          <w:tcPr>
            <w:tcW w:w="86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0.04428</w:t>
            </w:r>
          </w:p>
        </w:tc>
        <w:tc>
          <w:tcPr>
            <w:tcW w:w="1137" w:type="pct"/>
            <w:vMerge w:val="continue"/>
            <w:tcBorders>
              <w:tl2br w:val="nil"/>
              <w:tr2bl w:val="nil"/>
            </w:tcBorders>
            <w:noWrap w:val="0"/>
            <w:vAlign w:val="center"/>
          </w:tcPr>
          <w:p>
            <w:pPr>
              <w:spacing w:line="276" w:lineRule="auto"/>
              <w:ind w:firstLine="0" w:firstLineChars="0"/>
              <w:jc w:val="center"/>
              <w:rPr>
                <w:color w:val="auto"/>
                <w:kern w:val="0"/>
                <w:sz w:val="21"/>
                <w:szCs w:val="21"/>
                <w:highlight w:val="none"/>
              </w:rPr>
            </w:pPr>
          </w:p>
        </w:tc>
        <w:tc>
          <w:tcPr>
            <w:tcW w:w="1005" w:type="pct"/>
            <w:tcBorders>
              <w:tl2br w:val="nil"/>
              <w:tr2bl w:val="nil"/>
            </w:tcBorders>
            <w:noWrap w:val="0"/>
            <w:vAlign w:val="bottom"/>
          </w:tcPr>
          <w:p>
            <w:pPr>
              <w:keepNext w:val="0"/>
              <w:keepLines w:val="0"/>
              <w:widowControl/>
              <w:suppressLineNumbers w:val="0"/>
              <w:jc w:val="center"/>
              <w:textAlignment w:val="bottom"/>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0.01</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1066" w:type="pct"/>
            <w:vMerge w:val="restart"/>
            <w:tcBorders>
              <w:tl2br w:val="nil"/>
              <w:tr2bl w:val="nil"/>
            </w:tcBorders>
            <w:noWrap w:val="0"/>
            <w:vAlign w:val="center"/>
          </w:tcPr>
          <w:p>
            <w:pPr>
              <w:spacing w:line="276" w:lineRule="auto"/>
              <w:ind w:firstLine="0" w:firstLineChars="0"/>
              <w:jc w:val="center"/>
              <w:rPr>
                <w:rFonts w:hint="eastAsia" w:eastAsia="宋体"/>
                <w:color w:val="auto"/>
                <w:kern w:val="0"/>
                <w:sz w:val="21"/>
                <w:szCs w:val="21"/>
                <w:highlight w:val="none"/>
                <w:lang w:eastAsia="zh-CN"/>
              </w:rPr>
            </w:pPr>
            <w:r>
              <w:rPr>
                <w:color w:val="auto"/>
                <w:kern w:val="0"/>
                <w:sz w:val="21"/>
                <w:szCs w:val="21"/>
                <w:highlight w:val="none"/>
              </w:rPr>
              <w:t>排气筒P</w:t>
            </w:r>
            <w:r>
              <w:rPr>
                <w:rFonts w:hint="eastAsia"/>
                <w:color w:val="auto"/>
                <w:kern w:val="0"/>
                <w:sz w:val="21"/>
                <w:szCs w:val="21"/>
                <w:highlight w:val="none"/>
                <w:lang w:val="en-US" w:eastAsia="zh-CN"/>
              </w:rPr>
              <w:t>5</w:t>
            </w:r>
          </w:p>
        </w:tc>
        <w:tc>
          <w:tcPr>
            <w:tcW w:w="926" w:type="pct"/>
            <w:tcBorders>
              <w:tl2br w:val="nil"/>
              <w:tr2bl w:val="nil"/>
            </w:tcBorders>
            <w:noWrap w:val="0"/>
            <w:vAlign w:val="top"/>
          </w:tcPr>
          <w:p>
            <w:pPr>
              <w:keepNext w:val="0"/>
              <w:keepLines w:val="0"/>
              <w:widowControl/>
              <w:suppressLineNumbers w:val="0"/>
              <w:jc w:val="center"/>
              <w:textAlignment w:val="top"/>
              <w:rPr>
                <w:color w:val="auto"/>
                <w:kern w:val="0"/>
                <w:sz w:val="21"/>
                <w:szCs w:val="21"/>
                <w:highlight w:val="none"/>
              </w:rPr>
            </w:pPr>
            <w:r>
              <w:rPr>
                <w:rFonts w:hint="default" w:ascii="Times New Roman" w:hAnsi="Times New Roman" w:eastAsia="宋体" w:cs="Times New Roman"/>
                <w:i w:val="0"/>
                <w:color w:val="auto"/>
                <w:kern w:val="0"/>
                <w:sz w:val="20"/>
                <w:szCs w:val="20"/>
                <w:highlight w:val="none"/>
                <w:u w:val="none"/>
                <w:lang w:val="en-US" w:eastAsia="zh-CN" w:bidi="ar"/>
              </w:rPr>
              <w:t>HCl</w:t>
            </w:r>
          </w:p>
        </w:tc>
        <w:tc>
          <w:tcPr>
            <w:tcW w:w="86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0.02398</w:t>
            </w:r>
          </w:p>
        </w:tc>
        <w:tc>
          <w:tcPr>
            <w:tcW w:w="1137" w:type="pct"/>
            <w:vMerge w:val="restart"/>
            <w:tcBorders>
              <w:tl2br w:val="nil"/>
              <w:tr2bl w:val="nil"/>
            </w:tcBorders>
            <w:noWrap w:val="0"/>
            <w:vAlign w:val="center"/>
          </w:tcPr>
          <w:p>
            <w:pPr>
              <w:spacing w:line="276" w:lineRule="auto"/>
              <w:ind w:firstLine="0" w:firstLineChars="0"/>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27</w:t>
            </w:r>
          </w:p>
        </w:tc>
        <w:tc>
          <w:tcPr>
            <w:tcW w:w="1005" w:type="pct"/>
            <w:tcBorders>
              <w:tl2br w:val="nil"/>
              <w:tr2bl w:val="nil"/>
            </w:tcBorders>
            <w:noWrap w:val="0"/>
            <w:vAlign w:val="bottom"/>
          </w:tcPr>
          <w:p>
            <w:pPr>
              <w:keepNext w:val="0"/>
              <w:keepLines w:val="0"/>
              <w:widowControl/>
              <w:suppressLineNumbers w:val="0"/>
              <w:jc w:val="center"/>
              <w:textAlignment w:val="bottom"/>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0.05</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1066" w:type="pct"/>
            <w:vMerge w:val="continue"/>
            <w:tcBorders>
              <w:tl2br w:val="nil"/>
              <w:tr2bl w:val="nil"/>
            </w:tcBorders>
            <w:noWrap w:val="0"/>
            <w:vAlign w:val="center"/>
          </w:tcPr>
          <w:p>
            <w:pPr>
              <w:spacing w:line="276" w:lineRule="auto"/>
              <w:ind w:firstLine="0" w:firstLineChars="0"/>
              <w:jc w:val="center"/>
              <w:rPr>
                <w:color w:val="auto"/>
                <w:kern w:val="0"/>
                <w:sz w:val="21"/>
                <w:szCs w:val="21"/>
                <w:highlight w:val="none"/>
              </w:rPr>
            </w:pPr>
          </w:p>
        </w:tc>
        <w:tc>
          <w:tcPr>
            <w:tcW w:w="926" w:type="pct"/>
            <w:tcBorders>
              <w:tl2br w:val="nil"/>
              <w:tr2bl w:val="nil"/>
            </w:tcBorders>
            <w:noWrap w:val="0"/>
            <w:vAlign w:val="top"/>
          </w:tcPr>
          <w:p>
            <w:pPr>
              <w:keepNext w:val="0"/>
              <w:keepLines w:val="0"/>
              <w:widowControl/>
              <w:suppressLineNumbers w:val="0"/>
              <w:jc w:val="center"/>
              <w:textAlignment w:val="top"/>
              <w:rPr>
                <w:color w:val="auto"/>
                <w:kern w:val="0"/>
                <w:sz w:val="21"/>
                <w:szCs w:val="21"/>
                <w:highlight w:val="none"/>
              </w:rPr>
            </w:pPr>
            <w:r>
              <w:rPr>
                <w:rFonts w:hint="default" w:ascii="Times New Roman" w:hAnsi="Times New Roman" w:eastAsia="宋体" w:cs="Times New Roman"/>
                <w:i w:val="0"/>
                <w:color w:val="auto"/>
                <w:kern w:val="0"/>
                <w:sz w:val="20"/>
                <w:szCs w:val="20"/>
                <w:highlight w:val="none"/>
                <w:u w:val="none"/>
                <w:lang w:val="en-US" w:eastAsia="zh-CN" w:bidi="ar"/>
              </w:rPr>
              <w:t>铬酸雾</w:t>
            </w:r>
          </w:p>
        </w:tc>
        <w:tc>
          <w:tcPr>
            <w:tcW w:w="86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0.004762</w:t>
            </w:r>
          </w:p>
        </w:tc>
        <w:tc>
          <w:tcPr>
            <w:tcW w:w="1137" w:type="pct"/>
            <w:vMerge w:val="continue"/>
            <w:tcBorders>
              <w:tl2br w:val="nil"/>
              <w:tr2bl w:val="nil"/>
            </w:tcBorders>
            <w:noWrap w:val="0"/>
            <w:vAlign w:val="center"/>
          </w:tcPr>
          <w:p>
            <w:pPr>
              <w:spacing w:line="276" w:lineRule="auto"/>
              <w:ind w:firstLine="0" w:firstLineChars="0"/>
              <w:jc w:val="center"/>
              <w:rPr>
                <w:color w:val="auto"/>
                <w:kern w:val="0"/>
                <w:sz w:val="21"/>
                <w:szCs w:val="21"/>
                <w:highlight w:val="none"/>
              </w:rPr>
            </w:pPr>
          </w:p>
        </w:tc>
        <w:tc>
          <w:tcPr>
            <w:tcW w:w="1005" w:type="pct"/>
            <w:tcBorders>
              <w:tl2br w:val="nil"/>
              <w:tr2bl w:val="nil"/>
            </w:tcBorders>
            <w:noWrap w:val="0"/>
            <w:vAlign w:val="bottom"/>
          </w:tcPr>
          <w:p>
            <w:pPr>
              <w:keepNext w:val="0"/>
              <w:keepLines w:val="0"/>
              <w:widowControl/>
              <w:suppressLineNumbers w:val="0"/>
              <w:jc w:val="center"/>
              <w:textAlignment w:val="bottom"/>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0.32</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1066" w:type="pct"/>
            <w:vMerge w:val="continue"/>
            <w:tcBorders>
              <w:tl2br w:val="nil"/>
              <w:tr2bl w:val="nil"/>
            </w:tcBorders>
            <w:noWrap w:val="0"/>
            <w:vAlign w:val="center"/>
          </w:tcPr>
          <w:p>
            <w:pPr>
              <w:spacing w:line="276" w:lineRule="auto"/>
              <w:ind w:firstLine="0" w:firstLineChars="0"/>
              <w:jc w:val="center"/>
              <w:rPr>
                <w:color w:val="auto"/>
                <w:kern w:val="0"/>
                <w:sz w:val="21"/>
                <w:szCs w:val="21"/>
                <w:highlight w:val="none"/>
              </w:rPr>
            </w:pPr>
          </w:p>
        </w:tc>
        <w:tc>
          <w:tcPr>
            <w:tcW w:w="926" w:type="pct"/>
            <w:tcBorders>
              <w:tl2br w:val="nil"/>
              <w:tr2bl w:val="nil"/>
            </w:tcBorders>
            <w:noWrap w:val="0"/>
            <w:vAlign w:val="top"/>
          </w:tcPr>
          <w:p>
            <w:pPr>
              <w:keepNext w:val="0"/>
              <w:keepLines w:val="0"/>
              <w:widowControl/>
              <w:suppressLineNumbers w:val="0"/>
              <w:jc w:val="center"/>
              <w:textAlignment w:val="top"/>
              <w:rPr>
                <w:color w:val="auto"/>
                <w:kern w:val="0"/>
                <w:sz w:val="21"/>
                <w:szCs w:val="21"/>
                <w:highlight w:val="none"/>
              </w:rPr>
            </w:pPr>
            <w:r>
              <w:rPr>
                <w:rFonts w:hint="default" w:ascii="Times New Roman" w:hAnsi="Times New Roman" w:eastAsia="宋体" w:cs="Times New Roman"/>
                <w:i w:val="0"/>
                <w:color w:val="auto"/>
                <w:kern w:val="0"/>
                <w:sz w:val="20"/>
                <w:szCs w:val="20"/>
                <w:highlight w:val="none"/>
                <w:u w:val="none"/>
                <w:lang w:val="en-US" w:eastAsia="zh-CN" w:bidi="ar"/>
              </w:rPr>
              <w:t>氨</w:t>
            </w:r>
          </w:p>
        </w:tc>
        <w:tc>
          <w:tcPr>
            <w:tcW w:w="86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0.08565</w:t>
            </w:r>
          </w:p>
        </w:tc>
        <w:tc>
          <w:tcPr>
            <w:tcW w:w="1137" w:type="pct"/>
            <w:vMerge w:val="continue"/>
            <w:tcBorders>
              <w:tl2br w:val="nil"/>
              <w:tr2bl w:val="nil"/>
            </w:tcBorders>
            <w:noWrap w:val="0"/>
            <w:vAlign w:val="center"/>
          </w:tcPr>
          <w:p>
            <w:pPr>
              <w:spacing w:line="276" w:lineRule="auto"/>
              <w:ind w:firstLine="0" w:firstLineChars="0"/>
              <w:jc w:val="center"/>
              <w:rPr>
                <w:color w:val="auto"/>
                <w:kern w:val="0"/>
                <w:sz w:val="21"/>
                <w:szCs w:val="21"/>
                <w:highlight w:val="none"/>
              </w:rPr>
            </w:pPr>
          </w:p>
        </w:tc>
        <w:tc>
          <w:tcPr>
            <w:tcW w:w="1005" w:type="pct"/>
            <w:tcBorders>
              <w:tl2br w:val="nil"/>
              <w:tr2bl w:val="nil"/>
            </w:tcBorders>
            <w:noWrap w:val="0"/>
            <w:vAlign w:val="bottom"/>
          </w:tcPr>
          <w:p>
            <w:pPr>
              <w:keepNext w:val="0"/>
              <w:keepLines w:val="0"/>
              <w:widowControl/>
              <w:suppressLineNumbers w:val="0"/>
              <w:jc w:val="center"/>
              <w:textAlignment w:val="bottom"/>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0.04</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1066" w:type="pct"/>
            <w:tcBorders>
              <w:tl2br w:val="nil"/>
              <w:tr2bl w:val="nil"/>
            </w:tcBorders>
            <w:noWrap w:val="0"/>
            <w:vAlign w:val="center"/>
          </w:tcPr>
          <w:p>
            <w:pPr>
              <w:spacing w:line="276" w:lineRule="auto"/>
              <w:ind w:firstLine="0" w:firstLineChars="0"/>
              <w:jc w:val="center"/>
              <w:rPr>
                <w:rFonts w:hint="eastAsia" w:eastAsia="宋体"/>
                <w:color w:val="auto"/>
                <w:kern w:val="0"/>
                <w:sz w:val="21"/>
                <w:szCs w:val="21"/>
                <w:highlight w:val="none"/>
                <w:lang w:eastAsia="zh-CN"/>
              </w:rPr>
            </w:pPr>
            <w:r>
              <w:rPr>
                <w:color w:val="auto"/>
                <w:kern w:val="0"/>
                <w:sz w:val="21"/>
                <w:szCs w:val="21"/>
                <w:highlight w:val="none"/>
              </w:rPr>
              <w:t>排气筒P</w:t>
            </w:r>
            <w:r>
              <w:rPr>
                <w:rFonts w:hint="eastAsia"/>
                <w:color w:val="auto"/>
                <w:kern w:val="0"/>
                <w:sz w:val="21"/>
                <w:szCs w:val="21"/>
                <w:highlight w:val="none"/>
                <w:lang w:val="en-US" w:eastAsia="zh-CN"/>
              </w:rPr>
              <w:t>6</w:t>
            </w:r>
          </w:p>
        </w:tc>
        <w:tc>
          <w:tcPr>
            <w:tcW w:w="926" w:type="pct"/>
            <w:tcBorders>
              <w:tl2br w:val="nil"/>
              <w:tr2bl w:val="nil"/>
            </w:tcBorders>
            <w:noWrap w:val="0"/>
            <w:vAlign w:val="top"/>
          </w:tcPr>
          <w:p>
            <w:pPr>
              <w:keepNext w:val="0"/>
              <w:keepLines w:val="0"/>
              <w:widowControl/>
              <w:suppressLineNumbers w:val="0"/>
              <w:jc w:val="center"/>
              <w:textAlignment w:val="top"/>
              <w:rPr>
                <w:color w:val="auto"/>
                <w:kern w:val="0"/>
                <w:sz w:val="21"/>
                <w:szCs w:val="21"/>
                <w:highlight w:val="none"/>
              </w:rPr>
            </w:pPr>
            <w:r>
              <w:rPr>
                <w:rFonts w:hint="default" w:ascii="Times New Roman" w:hAnsi="Times New Roman" w:eastAsia="宋体" w:cs="Times New Roman"/>
                <w:i w:val="0"/>
                <w:color w:val="auto"/>
                <w:kern w:val="0"/>
                <w:sz w:val="20"/>
                <w:szCs w:val="20"/>
                <w:highlight w:val="none"/>
                <w:u w:val="none"/>
                <w:lang w:val="en-US" w:eastAsia="zh-CN" w:bidi="ar"/>
              </w:rPr>
              <w:t>HCl</w:t>
            </w:r>
          </w:p>
        </w:tc>
        <w:tc>
          <w:tcPr>
            <w:tcW w:w="86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0.2139</w:t>
            </w:r>
          </w:p>
        </w:tc>
        <w:tc>
          <w:tcPr>
            <w:tcW w:w="1137" w:type="pct"/>
            <w:tcBorders>
              <w:tl2br w:val="nil"/>
              <w:tr2bl w:val="nil"/>
            </w:tcBorders>
            <w:noWrap w:val="0"/>
            <w:vAlign w:val="center"/>
          </w:tcPr>
          <w:p>
            <w:pPr>
              <w:spacing w:line="276" w:lineRule="auto"/>
              <w:ind w:firstLine="0" w:firstLineChars="0"/>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27</w:t>
            </w:r>
          </w:p>
        </w:tc>
        <w:tc>
          <w:tcPr>
            <w:tcW w:w="1005" w:type="pct"/>
            <w:tcBorders>
              <w:tl2br w:val="nil"/>
              <w:tr2bl w:val="nil"/>
            </w:tcBorders>
            <w:noWrap w:val="0"/>
            <w:vAlign w:val="bottom"/>
          </w:tcPr>
          <w:p>
            <w:pPr>
              <w:keepNext w:val="0"/>
              <w:keepLines w:val="0"/>
              <w:widowControl/>
              <w:suppressLineNumbers w:val="0"/>
              <w:jc w:val="center"/>
              <w:textAlignment w:val="bottom"/>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0.43</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1066" w:type="pct"/>
            <w:vMerge w:val="restart"/>
            <w:tcBorders>
              <w:tl2br w:val="nil"/>
              <w:tr2bl w:val="nil"/>
            </w:tcBorders>
            <w:noWrap w:val="0"/>
            <w:vAlign w:val="center"/>
          </w:tcPr>
          <w:p>
            <w:pPr>
              <w:spacing w:line="276" w:lineRule="auto"/>
              <w:ind w:firstLine="0" w:firstLineChars="0"/>
              <w:jc w:val="center"/>
              <w:rPr>
                <w:color w:val="auto"/>
                <w:kern w:val="0"/>
                <w:sz w:val="21"/>
                <w:szCs w:val="21"/>
                <w:highlight w:val="none"/>
              </w:rPr>
            </w:pPr>
            <w:r>
              <w:rPr>
                <w:rFonts w:hint="eastAsia"/>
                <w:color w:val="auto"/>
                <w:kern w:val="0"/>
                <w:sz w:val="21"/>
                <w:szCs w:val="21"/>
                <w:highlight w:val="none"/>
                <w:lang w:val="en-US" w:eastAsia="zh-CN"/>
              </w:rPr>
              <w:t>1#</w:t>
            </w:r>
            <w:r>
              <w:rPr>
                <w:color w:val="auto"/>
                <w:kern w:val="0"/>
                <w:sz w:val="21"/>
                <w:szCs w:val="21"/>
                <w:highlight w:val="none"/>
              </w:rPr>
              <w:t>车间</w:t>
            </w:r>
          </w:p>
        </w:tc>
        <w:tc>
          <w:tcPr>
            <w:tcW w:w="92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氯化氢</w:t>
            </w:r>
          </w:p>
        </w:tc>
        <w:tc>
          <w:tcPr>
            <w:tcW w:w="864" w:type="pct"/>
            <w:tcBorders>
              <w:tl2br w:val="nil"/>
              <w:tr2bl w:val="nil"/>
            </w:tcBorders>
            <w:noWrap w:val="0"/>
            <w:vAlign w:val="bottom"/>
          </w:tcPr>
          <w:p>
            <w:pPr>
              <w:keepNext w:val="0"/>
              <w:keepLines w:val="0"/>
              <w:widowControl/>
              <w:suppressLineNumbers w:val="0"/>
              <w:jc w:val="center"/>
              <w:textAlignment w:val="bottom"/>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1.997</w:t>
            </w:r>
          </w:p>
        </w:tc>
        <w:tc>
          <w:tcPr>
            <w:tcW w:w="1137" w:type="pct"/>
            <w:vMerge w:val="restart"/>
            <w:tcBorders>
              <w:tl2br w:val="nil"/>
              <w:tr2bl w:val="nil"/>
            </w:tcBorders>
            <w:noWrap w:val="0"/>
            <w:vAlign w:val="center"/>
          </w:tcPr>
          <w:p>
            <w:pPr>
              <w:spacing w:line="276" w:lineRule="auto"/>
              <w:ind w:firstLine="0" w:firstLineChars="0"/>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23</w:t>
            </w:r>
          </w:p>
        </w:tc>
        <w:tc>
          <w:tcPr>
            <w:tcW w:w="1005" w:type="pct"/>
            <w:tcBorders>
              <w:tl2br w:val="nil"/>
              <w:tr2bl w:val="nil"/>
            </w:tcBorders>
            <w:noWrap w:val="0"/>
            <w:vAlign w:val="bottom"/>
          </w:tcPr>
          <w:p>
            <w:pPr>
              <w:keepNext w:val="0"/>
              <w:keepLines w:val="0"/>
              <w:widowControl/>
              <w:suppressLineNumbers w:val="0"/>
              <w:jc w:val="center"/>
              <w:textAlignment w:val="bottom"/>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3.99</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1066" w:type="pct"/>
            <w:vMerge w:val="continue"/>
            <w:tcBorders>
              <w:tl2br w:val="nil"/>
              <w:tr2bl w:val="nil"/>
            </w:tcBorders>
            <w:noWrap w:val="0"/>
            <w:vAlign w:val="center"/>
          </w:tcPr>
          <w:p>
            <w:pPr>
              <w:widowControl/>
              <w:spacing w:line="240" w:lineRule="auto"/>
              <w:ind w:firstLine="0" w:firstLineChars="0"/>
              <w:jc w:val="left"/>
              <w:rPr>
                <w:color w:val="auto"/>
                <w:kern w:val="0"/>
                <w:sz w:val="21"/>
                <w:szCs w:val="21"/>
                <w:highlight w:val="none"/>
              </w:rPr>
            </w:pPr>
          </w:p>
        </w:tc>
        <w:tc>
          <w:tcPr>
            <w:tcW w:w="92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硫酸雾</w:t>
            </w:r>
          </w:p>
        </w:tc>
        <w:tc>
          <w:tcPr>
            <w:tcW w:w="864" w:type="pct"/>
            <w:tcBorders>
              <w:tl2br w:val="nil"/>
              <w:tr2bl w:val="nil"/>
            </w:tcBorders>
            <w:noWrap w:val="0"/>
            <w:vAlign w:val="bottom"/>
          </w:tcPr>
          <w:p>
            <w:pPr>
              <w:keepNext w:val="0"/>
              <w:keepLines w:val="0"/>
              <w:widowControl/>
              <w:suppressLineNumbers w:val="0"/>
              <w:jc w:val="center"/>
              <w:textAlignment w:val="bottom"/>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1.188</w:t>
            </w:r>
          </w:p>
        </w:tc>
        <w:tc>
          <w:tcPr>
            <w:tcW w:w="1137" w:type="pct"/>
            <w:vMerge w:val="continue"/>
            <w:tcBorders>
              <w:tl2br w:val="nil"/>
              <w:tr2bl w:val="nil"/>
            </w:tcBorders>
            <w:noWrap w:val="0"/>
            <w:vAlign w:val="center"/>
          </w:tcPr>
          <w:p>
            <w:pPr>
              <w:widowControl/>
              <w:spacing w:line="240" w:lineRule="auto"/>
              <w:ind w:firstLine="0" w:firstLineChars="0"/>
              <w:jc w:val="left"/>
              <w:rPr>
                <w:color w:val="auto"/>
                <w:kern w:val="0"/>
                <w:sz w:val="21"/>
                <w:szCs w:val="21"/>
                <w:highlight w:val="none"/>
              </w:rPr>
            </w:pPr>
          </w:p>
        </w:tc>
        <w:tc>
          <w:tcPr>
            <w:tcW w:w="1005" w:type="pct"/>
            <w:tcBorders>
              <w:tl2br w:val="nil"/>
              <w:tr2bl w:val="nil"/>
            </w:tcBorders>
            <w:noWrap w:val="0"/>
            <w:vAlign w:val="bottom"/>
          </w:tcPr>
          <w:p>
            <w:pPr>
              <w:keepNext w:val="0"/>
              <w:keepLines w:val="0"/>
              <w:widowControl/>
              <w:suppressLineNumbers w:val="0"/>
              <w:jc w:val="center"/>
              <w:textAlignment w:val="bottom"/>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0.40</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1066" w:type="pct"/>
            <w:vMerge w:val="continue"/>
            <w:tcBorders>
              <w:tl2br w:val="nil"/>
              <w:tr2bl w:val="nil"/>
            </w:tcBorders>
            <w:noWrap w:val="0"/>
            <w:vAlign w:val="center"/>
          </w:tcPr>
          <w:p>
            <w:pPr>
              <w:widowControl/>
              <w:spacing w:line="240" w:lineRule="auto"/>
              <w:ind w:firstLine="0" w:firstLineChars="0"/>
              <w:jc w:val="left"/>
              <w:rPr>
                <w:color w:val="auto"/>
                <w:kern w:val="0"/>
                <w:sz w:val="21"/>
                <w:szCs w:val="21"/>
                <w:highlight w:val="none"/>
              </w:rPr>
            </w:pPr>
          </w:p>
        </w:tc>
        <w:tc>
          <w:tcPr>
            <w:tcW w:w="92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NOx</w:t>
            </w:r>
          </w:p>
        </w:tc>
        <w:tc>
          <w:tcPr>
            <w:tcW w:w="864" w:type="pct"/>
            <w:tcBorders>
              <w:tl2br w:val="nil"/>
              <w:tr2bl w:val="nil"/>
            </w:tcBorders>
            <w:noWrap w:val="0"/>
            <w:vAlign w:val="bottom"/>
          </w:tcPr>
          <w:p>
            <w:pPr>
              <w:keepNext w:val="0"/>
              <w:keepLines w:val="0"/>
              <w:widowControl/>
              <w:suppressLineNumbers w:val="0"/>
              <w:jc w:val="center"/>
              <w:textAlignment w:val="bottom"/>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1.620</w:t>
            </w:r>
          </w:p>
        </w:tc>
        <w:tc>
          <w:tcPr>
            <w:tcW w:w="1137" w:type="pct"/>
            <w:vMerge w:val="continue"/>
            <w:tcBorders>
              <w:tl2br w:val="nil"/>
              <w:tr2bl w:val="nil"/>
            </w:tcBorders>
            <w:noWrap w:val="0"/>
            <w:vAlign w:val="center"/>
          </w:tcPr>
          <w:p>
            <w:pPr>
              <w:widowControl/>
              <w:spacing w:line="240" w:lineRule="auto"/>
              <w:ind w:firstLine="0" w:firstLineChars="0"/>
              <w:jc w:val="left"/>
              <w:rPr>
                <w:color w:val="auto"/>
                <w:kern w:val="0"/>
                <w:sz w:val="21"/>
                <w:szCs w:val="21"/>
                <w:highlight w:val="none"/>
              </w:rPr>
            </w:pPr>
          </w:p>
        </w:tc>
        <w:tc>
          <w:tcPr>
            <w:tcW w:w="1005" w:type="pct"/>
            <w:tcBorders>
              <w:tl2br w:val="nil"/>
              <w:tr2bl w:val="nil"/>
            </w:tcBorders>
            <w:noWrap w:val="0"/>
            <w:vAlign w:val="bottom"/>
          </w:tcPr>
          <w:p>
            <w:pPr>
              <w:keepNext w:val="0"/>
              <w:keepLines w:val="0"/>
              <w:widowControl/>
              <w:suppressLineNumbers w:val="0"/>
              <w:jc w:val="center"/>
              <w:textAlignment w:val="bottom"/>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0.65</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1066" w:type="pct"/>
            <w:vMerge w:val="continue"/>
            <w:tcBorders>
              <w:tl2br w:val="nil"/>
              <w:tr2bl w:val="nil"/>
            </w:tcBorders>
            <w:noWrap w:val="0"/>
            <w:vAlign w:val="center"/>
          </w:tcPr>
          <w:p>
            <w:pPr>
              <w:widowControl/>
              <w:spacing w:line="240" w:lineRule="auto"/>
              <w:ind w:firstLine="0" w:firstLineChars="0"/>
              <w:jc w:val="left"/>
              <w:rPr>
                <w:color w:val="auto"/>
                <w:kern w:val="0"/>
                <w:sz w:val="21"/>
                <w:szCs w:val="21"/>
                <w:highlight w:val="none"/>
              </w:rPr>
            </w:pPr>
          </w:p>
        </w:tc>
        <w:tc>
          <w:tcPr>
            <w:tcW w:w="92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甲基磺酸雾</w:t>
            </w:r>
          </w:p>
        </w:tc>
        <w:tc>
          <w:tcPr>
            <w:tcW w:w="864" w:type="pct"/>
            <w:tcBorders>
              <w:tl2br w:val="nil"/>
              <w:tr2bl w:val="nil"/>
            </w:tcBorders>
            <w:noWrap w:val="0"/>
            <w:vAlign w:val="bottom"/>
          </w:tcPr>
          <w:p>
            <w:pPr>
              <w:keepNext w:val="0"/>
              <w:keepLines w:val="0"/>
              <w:widowControl/>
              <w:suppressLineNumbers w:val="0"/>
              <w:jc w:val="center"/>
              <w:textAlignment w:val="bottom"/>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4.994</w:t>
            </w:r>
          </w:p>
        </w:tc>
        <w:tc>
          <w:tcPr>
            <w:tcW w:w="1137" w:type="pct"/>
            <w:vMerge w:val="continue"/>
            <w:tcBorders>
              <w:tl2br w:val="nil"/>
              <w:tr2bl w:val="nil"/>
            </w:tcBorders>
            <w:noWrap w:val="0"/>
            <w:vAlign w:val="center"/>
          </w:tcPr>
          <w:p>
            <w:pPr>
              <w:widowControl/>
              <w:spacing w:line="240" w:lineRule="auto"/>
              <w:ind w:firstLine="0" w:firstLineChars="0"/>
              <w:jc w:val="left"/>
              <w:rPr>
                <w:color w:val="auto"/>
                <w:kern w:val="0"/>
                <w:sz w:val="21"/>
                <w:szCs w:val="21"/>
                <w:highlight w:val="none"/>
              </w:rPr>
            </w:pPr>
          </w:p>
        </w:tc>
        <w:tc>
          <w:tcPr>
            <w:tcW w:w="1005" w:type="pct"/>
            <w:tcBorders>
              <w:tl2br w:val="nil"/>
              <w:tr2bl w:val="nil"/>
            </w:tcBorders>
            <w:noWrap w:val="0"/>
            <w:vAlign w:val="bottom"/>
          </w:tcPr>
          <w:p>
            <w:pPr>
              <w:keepNext w:val="0"/>
              <w:keepLines w:val="0"/>
              <w:widowControl/>
              <w:suppressLineNumbers w:val="0"/>
              <w:jc w:val="center"/>
              <w:textAlignment w:val="bottom"/>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1.66</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1066" w:type="pct"/>
            <w:tcBorders>
              <w:tl2br w:val="nil"/>
              <w:tr2bl w:val="nil"/>
            </w:tcBorders>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val="en-US" w:eastAsia="zh-CN"/>
              </w:rPr>
              <w:t>2#</w:t>
            </w:r>
            <w:r>
              <w:rPr>
                <w:color w:val="auto"/>
                <w:kern w:val="0"/>
                <w:sz w:val="21"/>
                <w:szCs w:val="21"/>
                <w:highlight w:val="none"/>
              </w:rPr>
              <w:t>车间</w:t>
            </w:r>
          </w:p>
        </w:tc>
        <w:tc>
          <w:tcPr>
            <w:tcW w:w="92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氯化氢</w:t>
            </w:r>
          </w:p>
        </w:tc>
        <w:tc>
          <w:tcPr>
            <w:tcW w:w="864" w:type="pct"/>
            <w:tcBorders>
              <w:tl2br w:val="nil"/>
              <w:tr2bl w:val="nil"/>
            </w:tcBorders>
            <w:noWrap w:val="0"/>
            <w:vAlign w:val="bottom"/>
          </w:tcPr>
          <w:p>
            <w:pPr>
              <w:keepNext w:val="0"/>
              <w:keepLines w:val="0"/>
              <w:widowControl/>
              <w:suppressLineNumbers w:val="0"/>
              <w:jc w:val="center"/>
              <w:textAlignment w:val="bottom"/>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1.132</w:t>
            </w:r>
          </w:p>
        </w:tc>
        <w:tc>
          <w:tcPr>
            <w:tcW w:w="1137" w:type="pct"/>
            <w:tcBorders>
              <w:tl2br w:val="nil"/>
              <w:tr2bl w:val="nil"/>
            </w:tcBorders>
            <w:noWrap w:val="0"/>
            <w:vAlign w:val="center"/>
          </w:tcPr>
          <w:p>
            <w:pPr>
              <w:widowControl/>
              <w:spacing w:line="240" w:lineRule="auto"/>
              <w:ind w:firstLine="0" w:firstLineChars="0"/>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25</w:t>
            </w:r>
          </w:p>
        </w:tc>
        <w:tc>
          <w:tcPr>
            <w:tcW w:w="1005" w:type="pct"/>
            <w:tcBorders>
              <w:tl2br w:val="nil"/>
              <w:tr2bl w:val="nil"/>
            </w:tcBorders>
            <w:noWrap w:val="0"/>
            <w:vAlign w:val="bottom"/>
          </w:tcPr>
          <w:p>
            <w:pPr>
              <w:keepNext w:val="0"/>
              <w:keepLines w:val="0"/>
              <w:widowControl/>
              <w:suppressLineNumbers w:val="0"/>
              <w:jc w:val="center"/>
              <w:textAlignment w:val="bottom"/>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2.26</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1066" w:type="pct"/>
            <w:vMerge w:val="restart"/>
            <w:tcBorders>
              <w:tl2br w:val="nil"/>
              <w:tr2bl w:val="nil"/>
            </w:tcBorders>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val="en-US" w:eastAsia="zh-CN"/>
              </w:rPr>
              <w:t>3#</w:t>
            </w:r>
            <w:r>
              <w:rPr>
                <w:color w:val="auto"/>
                <w:kern w:val="0"/>
                <w:sz w:val="21"/>
                <w:szCs w:val="21"/>
                <w:highlight w:val="none"/>
              </w:rPr>
              <w:t>车间</w:t>
            </w:r>
          </w:p>
        </w:tc>
        <w:tc>
          <w:tcPr>
            <w:tcW w:w="92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氯化氢</w:t>
            </w:r>
          </w:p>
        </w:tc>
        <w:tc>
          <w:tcPr>
            <w:tcW w:w="864" w:type="pct"/>
            <w:tcBorders>
              <w:tl2br w:val="nil"/>
              <w:tr2bl w:val="nil"/>
            </w:tcBorders>
            <w:noWrap w:val="0"/>
            <w:vAlign w:val="bottom"/>
          </w:tcPr>
          <w:p>
            <w:pPr>
              <w:keepNext w:val="0"/>
              <w:keepLines w:val="0"/>
              <w:widowControl/>
              <w:suppressLineNumbers w:val="0"/>
              <w:jc w:val="center"/>
              <w:textAlignment w:val="bottom"/>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3.974</w:t>
            </w:r>
          </w:p>
        </w:tc>
        <w:tc>
          <w:tcPr>
            <w:tcW w:w="1137" w:type="pct"/>
            <w:vMerge w:val="restart"/>
            <w:tcBorders>
              <w:tl2br w:val="nil"/>
              <w:tr2bl w:val="nil"/>
            </w:tcBorders>
            <w:noWrap w:val="0"/>
            <w:vAlign w:val="center"/>
          </w:tcPr>
          <w:p>
            <w:pPr>
              <w:widowControl/>
              <w:spacing w:line="240" w:lineRule="auto"/>
              <w:ind w:firstLine="0" w:firstLineChars="0"/>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20</w:t>
            </w:r>
          </w:p>
        </w:tc>
        <w:tc>
          <w:tcPr>
            <w:tcW w:w="1005" w:type="pct"/>
            <w:tcBorders>
              <w:tl2br w:val="nil"/>
              <w:tr2bl w:val="nil"/>
            </w:tcBorders>
            <w:noWrap w:val="0"/>
            <w:vAlign w:val="bottom"/>
          </w:tcPr>
          <w:p>
            <w:pPr>
              <w:keepNext w:val="0"/>
              <w:keepLines w:val="0"/>
              <w:widowControl/>
              <w:suppressLineNumbers w:val="0"/>
              <w:jc w:val="center"/>
              <w:textAlignment w:val="bottom"/>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7.95</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1066" w:type="pct"/>
            <w:vMerge w:val="continue"/>
            <w:tcBorders>
              <w:tl2br w:val="nil"/>
              <w:tr2bl w:val="nil"/>
            </w:tcBorders>
            <w:noWrap w:val="0"/>
            <w:vAlign w:val="center"/>
          </w:tcPr>
          <w:p>
            <w:pPr>
              <w:widowControl/>
              <w:spacing w:line="240" w:lineRule="auto"/>
              <w:ind w:firstLine="0" w:firstLineChars="0"/>
              <w:jc w:val="center"/>
              <w:rPr>
                <w:color w:val="auto"/>
                <w:kern w:val="0"/>
                <w:sz w:val="21"/>
                <w:szCs w:val="21"/>
                <w:highlight w:val="none"/>
              </w:rPr>
            </w:pPr>
          </w:p>
        </w:tc>
        <w:tc>
          <w:tcPr>
            <w:tcW w:w="92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硫酸雾</w:t>
            </w:r>
          </w:p>
        </w:tc>
        <w:tc>
          <w:tcPr>
            <w:tcW w:w="864" w:type="pct"/>
            <w:tcBorders>
              <w:tl2br w:val="nil"/>
              <w:tr2bl w:val="nil"/>
            </w:tcBorders>
            <w:noWrap w:val="0"/>
            <w:vAlign w:val="bottom"/>
          </w:tcPr>
          <w:p>
            <w:pPr>
              <w:keepNext w:val="0"/>
              <w:keepLines w:val="0"/>
              <w:widowControl/>
              <w:suppressLineNumbers w:val="0"/>
              <w:jc w:val="center"/>
              <w:textAlignment w:val="bottom"/>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1.501</w:t>
            </w:r>
          </w:p>
        </w:tc>
        <w:tc>
          <w:tcPr>
            <w:tcW w:w="1137" w:type="pct"/>
            <w:vMerge w:val="continue"/>
            <w:tcBorders>
              <w:tl2br w:val="nil"/>
              <w:tr2bl w:val="nil"/>
            </w:tcBorders>
            <w:noWrap w:val="0"/>
            <w:vAlign w:val="center"/>
          </w:tcPr>
          <w:p>
            <w:pPr>
              <w:widowControl/>
              <w:spacing w:line="240" w:lineRule="auto"/>
              <w:ind w:firstLine="0" w:firstLineChars="0"/>
              <w:jc w:val="left"/>
              <w:rPr>
                <w:color w:val="auto"/>
                <w:kern w:val="0"/>
                <w:sz w:val="21"/>
                <w:szCs w:val="21"/>
                <w:highlight w:val="none"/>
              </w:rPr>
            </w:pPr>
          </w:p>
        </w:tc>
        <w:tc>
          <w:tcPr>
            <w:tcW w:w="1005" w:type="pct"/>
            <w:tcBorders>
              <w:tl2br w:val="nil"/>
              <w:tr2bl w:val="nil"/>
            </w:tcBorders>
            <w:noWrap w:val="0"/>
            <w:vAlign w:val="bottom"/>
          </w:tcPr>
          <w:p>
            <w:pPr>
              <w:keepNext w:val="0"/>
              <w:keepLines w:val="0"/>
              <w:widowControl/>
              <w:suppressLineNumbers w:val="0"/>
              <w:jc w:val="center"/>
              <w:textAlignment w:val="bottom"/>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0.50</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1066" w:type="pct"/>
            <w:vMerge w:val="continue"/>
            <w:tcBorders>
              <w:tl2br w:val="nil"/>
              <w:tr2bl w:val="nil"/>
            </w:tcBorders>
            <w:noWrap w:val="0"/>
            <w:vAlign w:val="center"/>
          </w:tcPr>
          <w:p>
            <w:pPr>
              <w:widowControl/>
              <w:spacing w:line="240" w:lineRule="auto"/>
              <w:ind w:firstLine="0" w:firstLineChars="0"/>
              <w:jc w:val="center"/>
              <w:rPr>
                <w:color w:val="auto"/>
                <w:kern w:val="0"/>
                <w:sz w:val="21"/>
                <w:szCs w:val="21"/>
                <w:highlight w:val="none"/>
              </w:rPr>
            </w:pPr>
          </w:p>
        </w:tc>
        <w:tc>
          <w:tcPr>
            <w:tcW w:w="92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铬酸雾</w:t>
            </w:r>
          </w:p>
        </w:tc>
        <w:tc>
          <w:tcPr>
            <w:tcW w:w="864" w:type="pct"/>
            <w:tcBorders>
              <w:tl2br w:val="nil"/>
              <w:tr2bl w:val="nil"/>
            </w:tcBorders>
            <w:noWrap w:val="0"/>
            <w:vAlign w:val="bottom"/>
          </w:tcPr>
          <w:p>
            <w:pPr>
              <w:keepNext w:val="0"/>
              <w:keepLines w:val="0"/>
              <w:widowControl/>
              <w:suppressLineNumbers w:val="0"/>
              <w:jc w:val="center"/>
              <w:textAlignment w:val="bottom"/>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0.04704</w:t>
            </w:r>
          </w:p>
        </w:tc>
        <w:tc>
          <w:tcPr>
            <w:tcW w:w="1137" w:type="pct"/>
            <w:vMerge w:val="continue"/>
            <w:tcBorders>
              <w:tl2br w:val="nil"/>
              <w:tr2bl w:val="nil"/>
            </w:tcBorders>
            <w:noWrap w:val="0"/>
            <w:vAlign w:val="center"/>
          </w:tcPr>
          <w:p>
            <w:pPr>
              <w:widowControl/>
              <w:spacing w:line="240" w:lineRule="auto"/>
              <w:ind w:firstLine="0" w:firstLineChars="0"/>
              <w:jc w:val="left"/>
              <w:rPr>
                <w:color w:val="auto"/>
                <w:kern w:val="0"/>
                <w:sz w:val="21"/>
                <w:szCs w:val="21"/>
                <w:highlight w:val="none"/>
              </w:rPr>
            </w:pPr>
          </w:p>
        </w:tc>
        <w:tc>
          <w:tcPr>
            <w:tcW w:w="1005" w:type="pct"/>
            <w:tcBorders>
              <w:tl2br w:val="nil"/>
              <w:tr2bl w:val="nil"/>
            </w:tcBorders>
            <w:noWrap w:val="0"/>
            <w:vAlign w:val="bottom"/>
          </w:tcPr>
          <w:p>
            <w:pPr>
              <w:keepNext w:val="0"/>
              <w:keepLines w:val="0"/>
              <w:widowControl/>
              <w:suppressLineNumbers w:val="0"/>
              <w:jc w:val="center"/>
              <w:textAlignment w:val="bottom"/>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3.14</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1066" w:type="pct"/>
            <w:vMerge w:val="restart"/>
            <w:tcBorders>
              <w:tl2br w:val="nil"/>
              <w:tr2bl w:val="nil"/>
            </w:tcBorders>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val="en-US" w:eastAsia="zh-CN"/>
              </w:rPr>
              <w:t>4#</w:t>
            </w:r>
            <w:r>
              <w:rPr>
                <w:color w:val="auto"/>
                <w:kern w:val="0"/>
                <w:sz w:val="21"/>
                <w:szCs w:val="21"/>
                <w:highlight w:val="none"/>
              </w:rPr>
              <w:t>车间</w:t>
            </w:r>
          </w:p>
        </w:tc>
        <w:tc>
          <w:tcPr>
            <w:tcW w:w="92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氯化氢</w:t>
            </w:r>
          </w:p>
        </w:tc>
        <w:tc>
          <w:tcPr>
            <w:tcW w:w="864" w:type="pct"/>
            <w:tcBorders>
              <w:tl2br w:val="nil"/>
              <w:tr2bl w:val="nil"/>
            </w:tcBorders>
            <w:noWrap w:val="0"/>
            <w:vAlign w:val="bottom"/>
          </w:tcPr>
          <w:p>
            <w:pPr>
              <w:keepNext w:val="0"/>
              <w:keepLines w:val="0"/>
              <w:widowControl/>
              <w:suppressLineNumbers w:val="0"/>
              <w:jc w:val="center"/>
              <w:textAlignment w:val="bottom"/>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4.7213</w:t>
            </w:r>
          </w:p>
        </w:tc>
        <w:tc>
          <w:tcPr>
            <w:tcW w:w="1137" w:type="pct"/>
            <w:vMerge w:val="restart"/>
            <w:tcBorders>
              <w:tl2br w:val="nil"/>
              <w:tr2bl w:val="nil"/>
            </w:tcBorders>
            <w:noWrap w:val="0"/>
            <w:vAlign w:val="center"/>
          </w:tcPr>
          <w:p>
            <w:pPr>
              <w:widowControl/>
              <w:spacing w:line="240" w:lineRule="auto"/>
              <w:ind w:firstLine="0" w:firstLineChars="0"/>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21</w:t>
            </w:r>
          </w:p>
        </w:tc>
        <w:tc>
          <w:tcPr>
            <w:tcW w:w="1005" w:type="pct"/>
            <w:tcBorders>
              <w:tl2br w:val="nil"/>
              <w:tr2bl w:val="nil"/>
            </w:tcBorders>
            <w:noWrap w:val="0"/>
            <w:vAlign w:val="bottom"/>
          </w:tcPr>
          <w:p>
            <w:pPr>
              <w:keepNext w:val="0"/>
              <w:keepLines w:val="0"/>
              <w:widowControl/>
              <w:suppressLineNumbers w:val="0"/>
              <w:jc w:val="center"/>
              <w:textAlignment w:val="bottom"/>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9.44</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1066" w:type="pct"/>
            <w:vMerge w:val="continue"/>
            <w:tcBorders>
              <w:tl2br w:val="nil"/>
              <w:tr2bl w:val="nil"/>
            </w:tcBorders>
            <w:noWrap w:val="0"/>
            <w:vAlign w:val="center"/>
          </w:tcPr>
          <w:p>
            <w:pPr>
              <w:widowControl/>
              <w:spacing w:line="240" w:lineRule="auto"/>
              <w:ind w:firstLine="0" w:firstLineChars="0"/>
              <w:jc w:val="center"/>
              <w:rPr>
                <w:color w:val="auto"/>
                <w:kern w:val="0"/>
                <w:sz w:val="21"/>
                <w:szCs w:val="21"/>
                <w:highlight w:val="none"/>
              </w:rPr>
            </w:pPr>
          </w:p>
        </w:tc>
        <w:tc>
          <w:tcPr>
            <w:tcW w:w="92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硫酸雾</w:t>
            </w:r>
          </w:p>
        </w:tc>
        <w:tc>
          <w:tcPr>
            <w:tcW w:w="864" w:type="pct"/>
            <w:tcBorders>
              <w:tl2br w:val="nil"/>
              <w:tr2bl w:val="nil"/>
            </w:tcBorders>
            <w:noWrap w:val="0"/>
            <w:vAlign w:val="bottom"/>
          </w:tcPr>
          <w:p>
            <w:pPr>
              <w:keepNext w:val="0"/>
              <w:keepLines w:val="0"/>
              <w:widowControl/>
              <w:suppressLineNumbers w:val="0"/>
              <w:jc w:val="center"/>
              <w:textAlignment w:val="bottom"/>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4.234</w:t>
            </w:r>
          </w:p>
        </w:tc>
        <w:tc>
          <w:tcPr>
            <w:tcW w:w="1137" w:type="pct"/>
            <w:vMerge w:val="continue"/>
            <w:tcBorders>
              <w:tl2br w:val="nil"/>
              <w:tr2bl w:val="nil"/>
            </w:tcBorders>
            <w:noWrap w:val="0"/>
            <w:vAlign w:val="center"/>
          </w:tcPr>
          <w:p>
            <w:pPr>
              <w:widowControl/>
              <w:spacing w:line="240" w:lineRule="auto"/>
              <w:ind w:firstLine="0" w:firstLineChars="0"/>
              <w:jc w:val="left"/>
              <w:rPr>
                <w:color w:val="auto"/>
                <w:kern w:val="0"/>
                <w:sz w:val="21"/>
                <w:szCs w:val="21"/>
                <w:highlight w:val="none"/>
              </w:rPr>
            </w:pPr>
          </w:p>
        </w:tc>
        <w:tc>
          <w:tcPr>
            <w:tcW w:w="1005" w:type="pct"/>
            <w:tcBorders>
              <w:tl2br w:val="nil"/>
              <w:tr2bl w:val="nil"/>
            </w:tcBorders>
            <w:noWrap w:val="0"/>
            <w:vAlign w:val="bottom"/>
          </w:tcPr>
          <w:p>
            <w:pPr>
              <w:keepNext w:val="0"/>
              <w:keepLines w:val="0"/>
              <w:widowControl/>
              <w:suppressLineNumbers w:val="0"/>
              <w:jc w:val="center"/>
              <w:textAlignment w:val="bottom"/>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1.41</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1066" w:type="pct"/>
            <w:vMerge w:val="restart"/>
            <w:tcBorders>
              <w:tl2br w:val="nil"/>
              <w:tr2bl w:val="nil"/>
            </w:tcBorders>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val="en-US" w:eastAsia="zh-CN"/>
              </w:rPr>
              <w:t>5#</w:t>
            </w:r>
            <w:r>
              <w:rPr>
                <w:color w:val="auto"/>
                <w:kern w:val="0"/>
                <w:sz w:val="21"/>
                <w:szCs w:val="21"/>
                <w:highlight w:val="none"/>
              </w:rPr>
              <w:t>车间</w:t>
            </w:r>
          </w:p>
        </w:tc>
        <w:tc>
          <w:tcPr>
            <w:tcW w:w="92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铬酸雾</w:t>
            </w:r>
          </w:p>
        </w:tc>
        <w:tc>
          <w:tcPr>
            <w:tcW w:w="864" w:type="pct"/>
            <w:tcBorders>
              <w:tl2br w:val="nil"/>
              <w:tr2bl w:val="nil"/>
            </w:tcBorders>
            <w:noWrap w:val="0"/>
            <w:vAlign w:val="bottom"/>
          </w:tcPr>
          <w:p>
            <w:pPr>
              <w:keepNext w:val="0"/>
              <w:keepLines w:val="0"/>
              <w:widowControl/>
              <w:suppressLineNumbers w:val="0"/>
              <w:jc w:val="center"/>
              <w:textAlignment w:val="bottom"/>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0.1496</w:t>
            </w:r>
          </w:p>
        </w:tc>
        <w:tc>
          <w:tcPr>
            <w:tcW w:w="1137" w:type="pct"/>
            <w:vMerge w:val="restart"/>
            <w:tcBorders>
              <w:tl2br w:val="nil"/>
              <w:tr2bl w:val="nil"/>
            </w:tcBorders>
            <w:noWrap w:val="0"/>
            <w:vAlign w:val="center"/>
          </w:tcPr>
          <w:p>
            <w:pPr>
              <w:widowControl/>
              <w:spacing w:line="240" w:lineRule="auto"/>
              <w:ind w:firstLine="0" w:firstLineChars="0"/>
              <w:jc w:val="center"/>
              <w:rPr>
                <w:rFonts w:hint="eastAsia" w:eastAsia="宋体"/>
                <w:color w:val="auto"/>
                <w:kern w:val="0"/>
                <w:sz w:val="21"/>
                <w:szCs w:val="21"/>
                <w:highlight w:val="none"/>
                <w:lang w:val="en-US" w:eastAsia="zh-CN"/>
              </w:rPr>
            </w:pPr>
            <w:r>
              <w:rPr>
                <w:rFonts w:hint="eastAsia"/>
                <w:color w:val="auto"/>
                <w:kern w:val="0"/>
                <w:sz w:val="21"/>
                <w:szCs w:val="21"/>
                <w:highlight w:val="none"/>
                <w:lang w:val="en-US" w:eastAsia="zh-CN"/>
              </w:rPr>
              <w:t>9</w:t>
            </w:r>
          </w:p>
        </w:tc>
        <w:tc>
          <w:tcPr>
            <w:tcW w:w="1005" w:type="pct"/>
            <w:tcBorders>
              <w:tl2br w:val="nil"/>
              <w:tr2bl w:val="nil"/>
            </w:tcBorders>
            <w:noWrap w:val="0"/>
            <w:vAlign w:val="bottom"/>
          </w:tcPr>
          <w:p>
            <w:pPr>
              <w:keepNext w:val="0"/>
              <w:keepLines w:val="0"/>
              <w:widowControl/>
              <w:suppressLineNumbers w:val="0"/>
              <w:jc w:val="center"/>
              <w:textAlignment w:val="bottom"/>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9.97</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1066" w:type="pct"/>
            <w:vMerge w:val="continue"/>
            <w:tcBorders>
              <w:tl2br w:val="nil"/>
              <w:tr2bl w:val="nil"/>
            </w:tcBorders>
            <w:noWrap w:val="0"/>
            <w:vAlign w:val="center"/>
          </w:tcPr>
          <w:p>
            <w:pPr>
              <w:widowControl/>
              <w:spacing w:line="240" w:lineRule="auto"/>
              <w:ind w:firstLine="0" w:firstLineChars="0"/>
              <w:jc w:val="center"/>
              <w:rPr>
                <w:color w:val="auto"/>
                <w:kern w:val="0"/>
                <w:sz w:val="21"/>
                <w:szCs w:val="21"/>
                <w:highlight w:val="none"/>
              </w:rPr>
            </w:pPr>
          </w:p>
        </w:tc>
        <w:tc>
          <w:tcPr>
            <w:tcW w:w="92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氯化氢</w:t>
            </w:r>
          </w:p>
        </w:tc>
        <w:tc>
          <w:tcPr>
            <w:tcW w:w="864" w:type="pct"/>
            <w:tcBorders>
              <w:tl2br w:val="nil"/>
              <w:tr2bl w:val="nil"/>
            </w:tcBorders>
            <w:noWrap w:val="0"/>
            <w:vAlign w:val="bottom"/>
          </w:tcPr>
          <w:p>
            <w:pPr>
              <w:keepNext w:val="0"/>
              <w:keepLines w:val="0"/>
              <w:widowControl/>
              <w:suppressLineNumbers w:val="0"/>
              <w:jc w:val="center"/>
              <w:textAlignment w:val="bottom"/>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0.7681</w:t>
            </w:r>
          </w:p>
        </w:tc>
        <w:tc>
          <w:tcPr>
            <w:tcW w:w="1137" w:type="pct"/>
            <w:vMerge w:val="continue"/>
            <w:tcBorders>
              <w:tl2br w:val="nil"/>
              <w:tr2bl w:val="nil"/>
            </w:tcBorders>
            <w:noWrap w:val="0"/>
            <w:vAlign w:val="center"/>
          </w:tcPr>
          <w:p>
            <w:pPr>
              <w:widowControl/>
              <w:spacing w:line="240" w:lineRule="auto"/>
              <w:ind w:firstLine="0" w:firstLineChars="0"/>
              <w:jc w:val="left"/>
              <w:rPr>
                <w:color w:val="auto"/>
                <w:kern w:val="0"/>
                <w:sz w:val="21"/>
                <w:szCs w:val="21"/>
                <w:highlight w:val="none"/>
              </w:rPr>
            </w:pPr>
          </w:p>
        </w:tc>
        <w:tc>
          <w:tcPr>
            <w:tcW w:w="1005" w:type="pct"/>
            <w:tcBorders>
              <w:tl2br w:val="nil"/>
              <w:tr2bl w:val="nil"/>
            </w:tcBorders>
            <w:noWrap w:val="0"/>
            <w:vAlign w:val="bottom"/>
          </w:tcPr>
          <w:p>
            <w:pPr>
              <w:keepNext w:val="0"/>
              <w:keepLines w:val="0"/>
              <w:widowControl/>
              <w:suppressLineNumbers w:val="0"/>
              <w:jc w:val="center"/>
              <w:textAlignment w:val="bottom"/>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1.54</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1066" w:type="pct"/>
            <w:vMerge w:val="continue"/>
            <w:tcBorders>
              <w:tl2br w:val="nil"/>
              <w:tr2bl w:val="nil"/>
            </w:tcBorders>
            <w:noWrap w:val="0"/>
            <w:vAlign w:val="center"/>
          </w:tcPr>
          <w:p>
            <w:pPr>
              <w:widowControl/>
              <w:spacing w:line="240" w:lineRule="auto"/>
              <w:ind w:firstLine="0" w:firstLineChars="0"/>
              <w:jc w:val="center"/>
              <w:rPr>
                <w:color w:val="auto"/>
                <w:kern w:val="0"/>
                <w:sz w:val="21"/>
                <w:szCs w:val="21"/>
                <w:highlight w:val="none"/>
              </w:rPr>
            </w:pPr>
          </w:p>
        </w:tc>
        <w:tc>
          <w:tcPr>
            <w:tcW w:w="92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氨</w:t>
            </w:r>
          </w:p>
        </w:tc>
        <w:tc>
          <w:tcPr>
            <w:tcW w:w="864" w:type="pct"/>
            <w:tcBorders>
              <w:tl2br w:val="nil"/>
              <w:tr2bl w:val="nil"/>
            </w:tcBorders>
            <w:noWrap w:val="0"/>
            <w:vAlign w:val="bottom"/>
          </w:tcPr>
          <w:p>
            <w:pPr>
              <w:keepNext w:val="0"/>
              <w:keepLines w:val="0"/>
              <w:widowControl/>
              <w:suppressLineNumbers w:val="0"/>
              <w:jc w:val="center"/>
              <w:textAlignment w:val="bottom"/>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1.767</w:t>
            </w:r>
          </w:p>
        </w:tc>
        <w:tc>
          <w:tcPr>
            <w:tcW w:w="1137" w:type="pct"/>
            <w:vMerge w:val="continue"/>
            <w:tcBorders>
              <w:tl2br w:val="nil"/>
              <w:tr2bl w:val="nil"/>
            </w:tcBorders>
            <w:noWrap w:val="0"/>
            <w:vAlign w:val="center"/>
          </w:tcPr>
          <w:p>
            <w:pPr>
              <w:widowControl/>
              <w:spacing w:line="240" w:lineRule="auto"/>
              <w:ind w:firstLine="0" w:firstLineChars="0"/>
              <w:jc w:val="left"/>
              <w:rPr>
                <w:color w:val="auto"/>
                <w:kern w:val="0"/>
                <w:sz w:val="21"/>
                <w:szCs w:val="21"/>
                <w:highlight w:val="none"/>
              </w:rPr>
            </w:pPr>
          </w:p>
        </w:tc>
        <w:tc>
          <w:tcPr>
            <w:tcW w:w="1005" w:type="pct"/>
            <w:tcBorders>
              <w:tl2br w:val="nil"/>
              <w:tr2bl w:val="nil"/>
            </w:tcBorders>
            <w:noWrap w:val="0"/>
            <w:vAlign w:val="bottom"/>
          </w:tcPr>
          <w:p>
            <w:pPr>
              <w:keepNext w:val="0"/>
              <w:keepLines w:val="0"/>
              <w:widowControl/>
              <w:suppressLineNumbers w:val="0"/>
              <w:jc w:val="center"/>
              <w:textAlignment w:val="bottom"/>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0.88</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1066" w:type="pct"/>
            <w:tcBorders>
              <w:tl2br w:val="nil"/>
              <w:tr2bl w:val="nil"/>
            </w:tcBorders>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val="en-US" w:eastAsia="zh-CN"/>
              </w:rPr>
              <w:t>6#</w:t>
            </w:r>
            <w:r>
              <w:rPr>
                <w:color w:val="auto"/>
                <w:kern w:val="0"/>
                <w:sz w:val="21"/>
                <w:szCs w:val="21"/>
                <w:highlight w:val="none"/>
              </w:rPr>
              <w:t>车间</w:t>
            </w:r>
          </w:p>
        </w:tc>
        <w:tc>
          <w:tcPr>
            <w:tcW w:w="92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氯化氢</w:t>
            </w:r>
          </w:p>
        </w:tc>
        <w:tc>
          <w:tcPr>
            <w:tcW w:w="864" w:type="pct"/>
            <w:tcBorders>
              <w:tl2br w:val="nil"/>
              <w:tr2bl w:val="nil"/>
            </w:tcBorders>
            <w:noWrap w:val="0"/>
            <w:vAlign w:val="bottom"/>
          </w:tcPr>
          <w:p>
            <w:pPr>
              <w:keepNext w:val="0"/>
              <w:keepLines w:val="0"/>
              <w:widowControl/>
              <w:suppressLineNumbers w:val="0"/>
              <w:jc w:val="center"/>
              <w:textAlignment w:val="bottom"/>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4.436</w:t>
            </w:r>
          </w:p>
        </w:tc>
        <w:tc>
          <w:tcPr>
            <w:tcW w:w="1137" w:type="pct"/>
            <w:tcBorders>
              <w:tl2br w:val="nil"/>
              <w:tr2bl w:val="nil"/>
            </w:tcBorders>
            <w:noWrap w:val="0"/>
            <w:vAlign w:val="center"/>
          </w:tcPr>
          <w:p>
            <w:pPr>
              <w:widowControl/>
              <w:spacing w:line="240" w:lineRule="auto"/>
              <w:ind w:firstLine="0" w:firstLineChars="0"/>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21</w:t>
            </w:r>
          </w:p>
        </w:tc>
        <w:tc>
          <w:tcPr>
            <w:tcW w:w="1005" w:type="pct"/>
            <w:tcBorders>
              <w:tl2br w:val="nil"/>
              <w:tr2bl w:val="nil"/>
            </w:tcBorders>
            <w:noWrap w:val="0"/>
            <w:vAlign w:val="bottom"/>
          </w:tcPr>
          <w:p>
            <w:pPr>
              <w:keepNext w:val="0"/>
              <w:keepLines w:val="0"/>
              <w:widowControl/>
              <w:suppressLineNumbers w:val="0"/>
              <w:jc w:val="center"/>
              <w:textAlignment w:val="bottom"/>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8.87</w:t>
            </w:r>
          </w:p>
        </w:tc>
      </w:tr>
    </w:tbl>
    <w:p>
      <w:pPr>
        <w:keepNext w:val="0"/>
        <w:keepLines w:val="0"/>
        <w:pageBreakBefore w:val="0"/>
        <w:widowControl/>
        <w:kinsoku/>
        <w:wordWrap/>
        <w:overflowPunct/>
        <w:topLinePunct w:val="0"/>
        <w:autoSpaceDE/>
        <w:autoSpaceDN/>
        <w:bidi w:val="0"/>
        <w:adjustRightInd/>
        <w:snapToGrid/>
        <w:spacing w:line="360" w:lineRule="auto"/>
        <w:ind w:firstLine="482"/>
        <w:textAlignment w:val="auto"/>
        <w:rPr>
          <w:color w:val="auto"/>
          <w:kern w:val="0"/>
          <w:szCs w:val="20"/>
          <w:highlight w:val="none"/>
          <w:lang w:val="en-GB"/>
        </w:rPr>
      </w:pPr>
      <w:r>
        <w:rPr>
          <w:color w:val="auto"/>
          <w:sz w:val="24"/>
          <w:highlight w:val="none"/>
          <w:lang w:val="en-GB"/>
        </w:rPr>
        <w:t>根据《环境影响评价技术导则·大气环境》(HJ 2.2-2018)，将其大气环境评价工作等级的分级判据列于表1.</w:t>
      </w:r>
      <w:r>
        <w:rPr>
          <w:rFonts w:hint="eastAsia"/>
          <w:color w:val="auto"/>
          <w:sz w:val="24"/>
          <w:highlight w:val="none"/>
          <w:lang w:val="en-US" w:eastAsia="zh-CN"/>
        </w:rPr>
        <w:t>5</w:t>
      </w:r>
      <w:r>
        <w:rPr>
          <w:color w:val="auto"/>
          <w:sz w:val="24"/>
          <w:highlight w:val="none"/>
          <w:lang w:val="en-GB"/>
        </w:rPr>
        <w:t>-4。</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黑体" w:hAnsi="黑体" w:eastAsia="黑体" w:cs="黑体"/>
          <w:b w:val="0"/>
          <w:bCs w:val="0"/>
          <w:color w:val="auto"/>
          <w:sz w:val="24"/>
          <w:szCs w:val="24"/>
          <w:highlight w:val="none"/>
          <w:lang w:val="en-GB"/>
        </w:rPr>
      </w:pPr>
      <w:r>
        <w:rPr>
          <w:rFonts w:hint="eastAsia" w:ascii="黑体" w:hAnsi="黑体" w:eastAsia="黑体" w:cs="黑体"/>
          <w:b w:val="0"/>
          <w:bCs w:val="0"/>
          <w:color w:val="auto"/>
          <w:sz w:val="24"/>
          <w:szCs w:val="24"/>
          <w:highlight w:val="none"/>
          <w:lang w:val="en-GB"/>
        </w:rPr>
        <w:t>表1.</w:t>
      </w:r>
      <w:r>
        <w:rPr>
          <w:rFonts w:hint="eastAsia" w:ascii="黑体" w:hAnsi="黑体" w:eastAsia="黑体" w:cs="黑体"/>
          <w:b w:val="0"/>
          <w:bCs w:val="0"/>
          <w:color w:val="auto"/>
          <w:sz w:val="24"/>
          <w:szCs w:val="24"/>
          <w:highlight w:val="none"/>
          <w:lang w:val="en-US" w:eastAsia="zh-CN"/>
        </w:rPr>
        <w:t>5</w:t>
      </w:r>
      <w:r>
        <w:rPr>
          <w:rFonts w:hint="eastAsia" w:ascii="黑体" w:hAnsi="黑体" w:eastAsia="黑体" w:cs="黑体"/>
          <w:b w:val="0"/>
          <w:bCs w:val="0"/>
          <w:color w:val="auto"/>
          <w:sz w:val="24"/>
          <w:szCs w:val="24"/>
          <w:highlight w:val="none"/>
          <w:lang w:val="en-GB"/>
        </w:rPr>
        <w:t>-4  大气环境影响评价工作等级分级依据</w:t>
      </w:r>
    </w:p>
    <w:p>
      <w:pPr>
        <w:kinsoku w:val="0"/>
        <w:overflowPunct w:val="0"/>
        <w:autoSpaceDE w:val="0"/>
        <w:autoSpaceDN w:val="0"/>
        <w:adjustRightInd w:val="0"/>
        <w:spacing w:before="5" w:line="60" w:lineRule="exact"/>
        <w:ind w:firstLine="0" w:firstLineChars="0"/>
        <w:jc w:val="left"/>
        <w:rPr>
          <w:color w:val="auto"/>
          <w:kern w:val="0"/>
          <w:sz w:val="6"/>
          <w:szCs w:val="6"/>
          <w:highlight w:val="none"/>
        </w:rPr>
      </w:pPr>
    </w:p>
    <w:tbl>
      <w:tblPr>
        <w:tblStyle w:val="36"/>
        <w:tblW w:w="0" w:type="auto"/>
        <w:tblInd w:w="-5" w:type="dxa"/>
        <w:tblBorders>
          <w:top w:val="single" w:color="000000" w:sz="4" w:space="0"/>
          <w:left w:val="none" w:color="auto" w:sz="0" w:space="0"/>
          <w:bottom w:val="single" w:color="000000" w:sz="4" w:space="0"/>
          <w:right w:val="none" w:color="auto" w:sz="0" w:space="0"/>
          <w:insideH w:val="dotted" w:color="000000" w:sz="4" w:space="0"/>
          <w:insideV w:val="dotted" w:color="000000" w:sz="4" w:space="0"/>
        </w:tblBorders>
        <w:tblLayout w:type="fixed"/>
        <w:tblCellMar>
          <w:top w:w="0" w:type="dxa"/>
          <w:left w:w="0" w:type="dxa"/>
          <w:bottom w:w="0" w:type="dxa"/>
          <w:right w:w="0" w:type="dxa"/>
        </w:tblCellMar>
      </w:tblPr>
      <w:tblGrid>
        <w:gridCol w:w="3215"/>
        <w:gridCol w:w="6433"/>
      </w:tblGrid>
      <w:tr>
        <w:tblPrEx>
          <w:tblBorders>
            <w:top w:val="single" w:color="000000" w:sz="4" w:space="0"/>
            <w:left w:val="none" w:color="auto" w:sz="0" w:space="0"/>
            <w:bottom w:val="single" w:color="000000" w:sz="4" w:space="0"/>
            <w:right w:val="none" w:color="auto" w:sz="0" w:space="0"/>
            <w:insideH w:val="dotted" w:color="000000" w:sz="4" w:space="0"/>
            <w:insideV w:val="dotted" w:color="000000" w:sz="4" w:space="0"/>
          </w:tblBorders>
          <w:tblCellMar>
            <w:top w:w="0" w:type="dxa"/>
            <w:left w:w="0" w:type="dxa"/>
            <w:bottom w:w="0" w:type="dxa"/>
            <w:right w:w="0" w:type="dxa"/>
          </w:tblCellMar>
        </w:tblPrEx>
        <w:trPr>
          <w:trHeight w:val="364" w:hRule="exact"/>
        </w:trPr>
        <w:tc>
          <w:tcPr>
            <w:tcW w:w="3215" w:type="dxa"/>
            <w:tcBorders>
              <w:tl2br w:val="nil"/>
              <w:tr2bl w:val="nil"/>
            </w:tcBorders>
            <w:noWrap w:val="0"/>
            <w:vAlign w:val="center"/>
          </w:tcPr>
          <w:p>
            <w:pPr>
              <w:kinsoku w:val="0"/>
              <w:overflowPunct w:val="0"/>
              <w:autoSpaceDE w:val="0"/>
              <w:autoSpaceDN w:val="0"/>
              <w:adjustRightInd w:val="0"/>
              <w:spacing w:line="275" w:lineRule="exact"/>
              <w:ind w:left="901" w:firstLine="0" w:firstLineChars="0"/>
              <w:jc w:val="center"/>
              <w:rPr>
                <w:b/>
                <w:bCs/>
                <w:color w:val="auto"/>
                <w:kern w:val="0"/>
                <w:szCs w:val="24"/>
                <w:highlight w:val="none"/>
              </w:rPr>
            </w:pPr>
            <w:r>
              <w:rPr>
                <w:rFonts w:eastAsia="新宋体"/>
                <w:b/>
                <w:bCs/>
                <w:color w:val="auto"/>
                <w:kern w:val="0"/>
                <w:sz w:val="21"/>
                <w:szCs w:val="21"/>
                <w:highlight w:val="none"/>
              </w:rPr>
              <w:t>评价工作等级</w:t>
            </w:r>
          </w:p>
        </w:tc>
        <w:tc>
          <w:tcPr>
            <w:tcW w:w="6433" w:type="dxa"/>
            <w:tcBorders>
              <w:tl2br w:val="nil"/>
              <w:tr2bl w:val="nil"/>
            </w:tcBorders>
            <w:noWrap w:val="0"/>
            <w:vAlign w:val="center"/>
          </w:tcPr>
          <w:p>
            <w:pPr>
              <w:kinsoku w:val="0"/>
              <w:overflowPunct w:val="0"/>
              <w:autoSpaceDE w:val="0"/>
              <w:autoSpaceDN w:val="0"/>
              <w:adjustRightInd w:val="0"/>
              <w:spacing w:line="275" w:lineRule="exact"/>
              <w:ind w:left="8" w:firstLine="0" w:firstLineChars="0"/>
              <w:jc w:val="center"/>
              <w:rPr>
                <w:b/>
                <w:bCs/>
                <w:color w:val="auto"/>
                <w:kern w:val="0"/>
                <w:szCs w:val="24"/>
                <w:highlight w:val="none"/>
              </w:rPr>
            </w:pPr>
            <w:r>
              <w:rPr>
                <w:rFonts w:eastAsia="新宋体"/>
                <w:b/>
                <w:bCs/>
                <w:color w:val="auto"/>
                <w:kern w:val="0"/>
                <w:sz w:val="21"/>
                <w:szCs w:val="21"/>
                <w:highlight w:val="none"/>
              </w:rPr>
              <w:t>评价工作分级依据</w:t>
            </w:r>
          </w:p>
        </w:tc>
      </w:tr>
      <w:tr>
        <w:tblPrEx>
          <w:tblBorders>
            <w:top w:val="single" w:color="000000" w:sz="4" w:space="0"/>
            <w:left w:val="none" w:color="auto" w:sz="0" w:space="0"/>
            <w:bottom w:val="single" w:color="000000" w:sz="4" w:space="0"/>
            <w:right w:val="none" w:color="auto" w:sz="0" w:space="0"/>
            <w:insideH w:val="dotted" w:color="000000" w:sz="4" w:space="0"/>
            <w:insideV w:val="dotted" w:color="000000" w:sz="4" w:space="0"/>
          </w:tblBorders>
          <w:tblCellMar>
            <w:top w:w="0" w:type="dxa"/>
            <w:left w:w="0" w:type="dxa"/>
            <w:bottom w:w="0" w:type="dxa"/>
            <w:right w:w="0" w:type="dxa"/>
          </w:tblCellMar>
        </w:tblPrEx>
        <w:trPr>
          <w:trHeight w:val="354" w:hRule="exact"/>
        </w:trPr>
        <w:tc>
          <w:tcPr>
            <w:tcW w:w="3215" w:type="dxa"/>
            <w:tcBorders>
              <w:tl2br w:val="nil"/>
              <w:tr2bl w:val="nil"/>
            </w:tcBorders>
            <w:noWrap w:val="0"/>
            <w:vAlign w:val="center"/>
          </w:tcPr>
          <w:p>
            <w:pPr>
              <w:kinsoku w:val="0"/>
              <w:overflowPunct w:val="0"/>
              <w:autoSpaceDE w:val="0"/>
              <w:autoSpaceDN w:val="0"/>
              <w:adjustRightInd w:val="0"/>
              <w:spacing w:line="273" w:lineRule="exact"/>
              <w:ind w:left="1302" w:right="1309" w:firstLine="0" w:firstLineChars="0"/>
              <w:jc w:val="center"/>
              <w:rPr>
                <w:color w:val="auto"/>
                <w:kern w:val="0"/>
                <w:szCs w:val="24"/>
                <w:highlight w:val="none"/>
              </w:rPr>
            </w:pPr>
            <w:r>
              <w:rPr>
                <w:rFonts w:eastAsia="新宋体"/>
                <w:color w:val="auto"/>
                <w:kern w:val="0"/>
                <w:sz w:val="21"/>
                <w:szCs w:val="21"/>
                <w:highlight w:val="none"/>
              </w:rPr>
              <w:t>一级</w:t>
            </w:r>
          </w:p>
        </w:tc>
        <w:tc>
          <w:tcPr>
            <w:tcW w:w="6433" w:type="dxa"/>
            <w:tcBorders>
              <w:tl2br w:val="nil"/>
              <w:tr2bl w:val="nil"/>
            </w:tcBorders>
            <w:noWrap w:val="0"/>
            <w:vAlign w:val="center"/>
          </w:tcPr>
          <w:p>
            <w:pPr>
              <w:kinsoku w:val="0"/>
              <w:overflowPunct w:val="0"/>
              <w:autoSpaceDE w:val="0"/>
              <w:autoSpaceDN w:val="0"/>
              <w:adjustRightInd w:val="0"/>
              <w:spacing w:before="47" w:line="240" w:lineRule="auto"/>
              <w:ind w:left="8" w:firstLine="0" w:firstLineChars="0"/>
              <w:jc w:val="center"/>
              <w:rPr>
                <w:color w:val="auto"/>
                <w:kern w:val="0"/>
                <w:szCs w:val="24"/>
                <w:highlight w:val="none"/>
              </w:rPr>
            </w:pPr>
            <w:r>
              <w:rPr>
                <w:color w:val="auto"/>
                <w:kern w:val="0"/>
                <w:sz w:val="21"/>
                <w:szCs w:val="21"/>
                <w:highlight w:val="none"/>
              </w:rPr>
              <w:t>P</w:t>
            </w:r>
            <w:r>
              <w:rPr>
                <w:color w:val="auto"/>
                <w:spacing w:val="-3"/>
                <w:kern w:val="0"/>
                <w:position w:val="-2"/>
                <w:sz w:val="14"/>
                <w:szCs w:val="14"/>
                <w:highlight w:val="none"/>
              </w:rPr>
              <w:t>m</w:t>
            </w:r>
            <w:r>
              <w:rPr>
                <w:color w:val="auto"/>
                <w:kern w:val="0"/>
                <w:position w:val="-2"/>
                <w:sz w:val="14"/>
                <w:szCs w:val="14"/>
                <w:highlight w:val="none"/>
              </w:rPr>
              <w:t>ax</w:t>
            </w:r>
            <w:r>
              <w:rPr>
                <w:color w:val="auto"/>
                <w:spacing w:val="-1"/>
                <w:kern w:val="0"/>
                <w:sz w:val="21"/>
                <w:szCs w:val="21"/>
                <w:highlight w:val="none"/>
              </w:rPr>
              <w:t>≥</w:t>
            </w:r>
            <w:r>
              <w:rPr>
                <w:color w:val="auto"/>
                <w:kern w:val="0"/>
                <w:sz w:val="21"/>
                <w:szCs w:val="21"/>
                <w:highlight w:val="none"/>
              </w:rPr>
              <w:t>10%</w:t>
            </w:r>
          </w:p>
        </w:tc>
      </w:tr>
      <w:tr>
        <w:tblPrEx>
          <w:tblBorders>
            <w:top w:val="single" w:color="000000" w:sz="4" w:space="0"/>
            <w:left w:val="none" w:color="auto" w:sz="0" w:space="0"/>
            <w:bottom w:val="single" w:color="000000" w:sz="4" w:space="0"/>
            <w:right w:val="none" w:color="auto" w:sz="0" w:space="0"/>
            <w:insideH w:val="dotted" w:color="000000" w:sz="4" w:space="0"/>
            <w:insideV w:val="dotted" w:color="000000" w:sz="4" w:space="0"/>
          </w:tblBorders>
          <w:tblCellMar>
            <w:top w:w="0" w:type="dxa"/>
            <w:left w:w="0" w:type="dxa"/>
            <w:bottom w:w="0" w:type="dxa"/>
            <w:right w:w="0" w:type="dxa"/>
          </w:tblCellMar>
        </w:tblPrEx>
        <w:trPr>
          <w:trHeight w:val="355" w:hRule="exact"/>
        </w:trPr>
        <w:tc>
          <w:tcPr>
            <w:tcW w:w="3215" w:type="dxa"/>
            <w:tcBorders>
              <w:tl2br w:val="nil"/>
              <w:tr2bl w:val="nil"/>
            </w:tcBorders>
            <w:noWrap w:val="0"/>
            <w:vAlign w:val="center"/>
          </w:tcPr>
          <w:p>
            <w:pPr>
              <w:kinsoku w:val="0"/>
              <w:overflowPunct w:val="0"/>
              <w:autoSpaceDE w:val="0"/>
              <w:autoSpaceDN w:val="0"/>
              <w:adjustRightInd w:val="0"/>
              <w:spacing w:line="275" w:lineRule="exact"/>
              <w:ind w:left="1302" w:right="1309" w:firstLine="0" w:firstLineChars="0"/>
              <w:jc w:val="center"/>
              <w:rPr>
                <w:color w:val="auto"/>
                <w:kern w:val="0"/>
                <w:szCs w:val="24"/>
                <w:highlight w:val="none"/>
              </w:rPr>
            </w:pPr>
            <w:r>
              <w:rPr>
                <w:rFonts w:eastAsia="新宋体"/>
                <w:color w:val="auto"/>
                <w:kern w:val="0"/>
                <w:sz w:val="21"/>
                <w:szCs w:val="21"/>
                <w:highlight w:val="none"/>
              </w:rPr>
              <w:t>二级</w:t>
            </w:r>
          </w:p>
        </w:tc>
        <w:tc>
          <w:tcPr>
            <w:tcW w:w="6433" w:type="dxa"/>
            <w:tcBorders>
              <w:tl2br w:val="nil"/>
              <w:tr2bl w:val="nil"/>
            </w:tcBorders>
            <w:noWrap w:val="0"/>
            <w:vAlign w:val="center"/>
          </w:tcPr>
          <w:p>
            <w:pPr>
              <w:kinsoku w:val="0"/>
              <w:overflowPunct w:val="0"/>
              <w:autoSpaceDE w:val="0"/>
              <w:autoSpaceDN w:val="0"/>
              <w:adjustRightInd w:val="0"/>
              <w:spacing w:line="295" w:lineRule="exact"/>
              <w:ind w:left="6" w:firstLine="0" w:firstLineChars="0"/>
              <w:jc w:val="center"/>
              <w:rPr>
                <w:color w:val="auto"/>
                <w:kern w:val="0"/>
                <w:szCs w:val="24"/>
                <w:highlight w:val="none"/>
              </w:rPr>
            </w:pPr>
            <w:r>
              <w:rPr>
                <w:color w:val="auto"/>
                <w:kern w:val="0"/>
                <w:sz w:val="21"/>
                <w:szCs w:val="21"/>
                <w:highlight w:val="none"/>
              </w:rPr>
              <w:t>1%</w:t>
            </w:r>
            <w:r>
              <w:rPr>
                <w:color w:val="auto"/>
                <w:spacing w:val="-1"/>
                <w:kern w:val="0"/>
                <w:sz w:val="21"/>
                <w:szCs w:val="21"/>
                <w:highlight w:val="none"/>
              </w:rPr>
              <w:t>≤P</w:t>
            </w:r>
            <w:r>
              <w:rPr>
                <w:color w:val="auto"/>
                <w:spacing w:val="-3"/>
                <w:kern w:val="0"/>
                <w:position w:val="-2"/>
                <w:sz w:val="14"/>
                <w:szCs w:val="14"/>
                <w:highlight w:val="none"/>
              </w:rPr>
              <w:t>m</w:t>
            </w:r>
            <w:r>
              <w:rPr>
                <w:color w:val="auto"/>
                <w:kern w:val="0"/>
                <w:position w:val="-2"/>
                <w:sz w:val="14"/>
                <w:szCs w:val="14"/>
                <w:highlight w:val="none"/>
              </w:rPr>
              <w:t>ax</w:t>
            </w:r>
            <w:r>
              <w:rPr>
                <w:rFonts w:eastAsia="新宋体"/>
                <w:color w:val="auto"/>
                <w:kern w:val="0"/>
                <w:sz w:val="21"/>
                <w:szCs w:val="21"/>
                <w:highlight w:val="none"/>
              </w:rPr>
              <w:t>＜1</w:t>
            </w:r>
            <w:r>
              <w:rPr>
                <w:rFonts w:eastAsia="新宋体"/>
                <w:color w:val="auto"/>
                <w:spacing w:val="-1"/>
                <w:kern w:val="0"/>
                <w:sz w:val="21"/>
                <w:szCs w:val="21"/>
                <w:highlight w:val="none"/>
              </w:rPr>
              <w:t>0</w:t>
            </w:r>
            <w:r>
              <w:rPr>
                <w:rFonts w:eastAsia="新宋体"/>
                <w:color w:val="auto"/>
                <w:kern w:val="0"/>
                <w:sz w:val="21"/>
                <w:szCs w:val="21"/>
                <w:highlight w:val="none"/>
              </w:rPr>
              <w:t>%</w:t>
            </w:r>
          </w:p>
        </w:tc>
      </w:tr>
      <w:tr>
        <w:tblPrEx>
          <w:tblBorders>
            <w:top w:val="single" w:color="000000" w:sz="4" w:space="0"/>
            <w:left w:val="none" w:color="auto" w:sz="0" w:space="0"/>
            <w:bottom w:val="single" w:color="000000" w:sz="4" w:space="0"/>
            <w:right w:val="none" w:color="auto" w:sz="0" w:space="0"/>
            <w:insideH w:val="dotted" w:color="000000" w:sz="4" w:space="0"/>
            <w:insideV w:val="dotted" w:color="000000" w:sz="4" w:space="0"/>
          </w:tblBorders>
          <w:tblCellMar>
            <w:top w:w="0" w:type="dxa"/>
            <w:left w:w="0" w:type="dxa"/>
            <w:bottom w:w="0" w:type="dxa"/>
            <w:right w:w="0" w:type="dxa"/>
          </w:tblCellMar>
        </w:tblPrEx>
        <w:trPr>
          <w:trHeight w:val="362" w:hRule="exact"/>
        </w:trPr>
        <w:tc>
          <w:tcPr>
            <w:tcW w:w="3215" w:type="dxa"/>
            <w:tcBorders>
              <w:tl2br w:val="nil"/>
              <w:tr2bl w:val="nil"/>
            </w:tcBorders>
            <w:noWrap w:val="0"/>
            <w:vAlign w:val="center"/>
          </w:tcPr>
          <w:p>
            <w:pPr>
              <w:kinsoku w:val="0"/>
              <w:overflowPunct w:val="0"/>
              <w:autoSpaceDE w:val="0"/>
              <w:autoSpaceDN w:val="0"/>
              <w:adjustRightInd w:val="0"/>
              <w:spacing w:line="273" w:lineRule="exact"/>
              <w:ind w:left="1302" w:right="1309" w:firstLine="0" w:firstLineChars="0"/>
              <w:jc w:val="center"/>
              <w:rPr>
                <w:color w:val="auto"/>
                <w:kern w:val="0"/>
                <w:szCs w:val="24"/>
                <w:highlight w:val="none"/>
              </w:rPr>
            </w:pPr>
            <w:r>
              <w:rPr>
                <w:rFonts w:eastAsia="新宋体"/>
                <w:color w:val="auto"/>
                <w:kern w:val="0"/>
                <w:sz w:val="21"/>
                <w:szCs w:val="21"/>
                <w:highlight w:val="none"/>
              </w:rPr>
              <w:t>三级</w:t>
            </w:r>
          </w:p>
        </w:tc>
        <w:tc>
          <w:tcPr>
            <w:tcW w:w="6433" w:type="dxa"/>
            <w:tcBorders>
              <w:tl2br w:val="nil"/>
              <w:tr2bl w:val="nil"/>
            </w:tcBorders>
            <w:noWrap w:val="0"/>
            <w:vAlign w:val="center"/>
          </w:tcPr>
          <w:p>
            <w:pPr>
              <w:kinsoku w:val="0"/>
              <w:overflowPunct w:val="0"/>
              <w:autoSpaceDE w:val="0"/>
              <w:autoSpaceDN w:val="0"/>
              <w:adjustRightInd w:val="0"/>
              <w:spacing w:line="294" w:lineRule="exact"/>
              <w:ind w:left="9" w:firstLine="0" w:firstLineChars="0"/>
              <w:jc w:val="center"/>
              <w:rPr>
                <w:color w:val="auto"/>
                <w:kern w:val="0"/>
                <w:szCs w:val="24"/>
                <w:highlight w:val="none"/>
              </w:rPr>
            </w:pPr>
            <w:r>
              <w:rPr>
                <w:color w:val="auto"/>
                <w:kern w:val="0"/>
                <w:sz w:val="21"/>
                <w:szCs w:val="21"/>
                <w:highlight w:val="none"/>
              </w:rPr>
              <w:t>P</w:t>
            </w:r>
            <w:r>
              <w:rPr>
                <w:color w:val="auto"/>
                <w:spacing w:val="-3"/>
                <w:kern w:val="0"/>
                <w:position w:val="-2"/>
                <w:sz w:val="14"/>
                <w:szCs w:val="14"/>
                <w:highlight w:val="none"/>
              </w:rPr>
              <w:t>m</w:t>
            </w:r>
            <w:r>
              <w:rPr>
                <w:color w:val="auto"/>
                <w:kern w:val="0"/>
                <w:position w:val="-2"/>
                <w:sz w:val="14"/>
                <w:szCs w:val="14"/>
                <w:highlight w:val="none"/>
              </w:rPr>
              <w:t>ax</w:t>
            </w:r>
            <w:r>
              <w:rPr>
                <w:rFonts w:eastAsia="新宋体"/>
                <w:color w:val="auto"/>
                <w:kern w:val="0"/>
                <w:sz w:val="21"/>
                <w:szCs w:val="21"/>
                <w:highlight w:val="none"/>
              </w:rPr>
              <w:t>≤1%</w:t>
            </w:r>
          </w:p>
        </w:tc>
      </w:tr>
    </w:tbl>
    <w:p>
      <w:pPr>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color w:val="auto"/>
          <w:sz w:val="24"/>
          <w:highlight w:val="none"/>
          <w:lang w:val="en-GB"/>
        </w:rPr>
      </w:pPr>
      <w:r>
        <w:rPr>
          <w:color w:val="auto"/>
          <w:sz w:val="24"/>
          <w:highlight w:val="none"/>
          <w:lang w:val="en-GB"/>
        </w:rPr>
        <w:t>项目</w:t>
      </w:r>
      <w:r>
        <w:rPr>
          <w:rFonts w:hint="eastAsia"/>
          <w:color w:val="auto"/>
          <w:sz w:val="24"/>
          <w:highlight w:val="none"/>
          <w:lang w:val="en-US" w:eastAsia="zh-CN"/>
        </w:rPr>
        <w:t>5#车间</w:t>
      </w:r>
      <w:r>
        <w:rPr>
          <w:color w:val="auto"/>
          <w:sz w:val="24"/>
          <w:highlight w:val="none"/>
          <w:lang w:val="en-GB"/>
        </w:rPr>
        <w:t>面源</w:t>
      </w:r>
      <w:r>
        <w:rPr>
          <w:rFonts w:hint="eastAsia"/>
          <w:color w:val="auto"/>
          <w:sz w:val="24"/>
          <w:highlight w:val="none"/>
          <w:lang w:val="en-US" w:eastAsia="zh-CN"/>
        </w:rPr>
        <w:t>铬酸雾</w:t>
      </w:r>
      <w:r>
        <w:rPr>
          <w:color w:val="auto"/>
          <w:sz w:val="24"/>
          <w:highlight w:val="none"/>
          <w:lang w:val="en-GB"/>
        </w:rPr>
        <w:t>的占标率最大，Pmax=</w:t>
      </w:r>
      <w:r>
        <w:rPr>
          <w:rFonts w:hint="eastAsia"/>
          <w:color w:val="auto"/>
          <w:sz w:val="24"/>
          <w:highlight w:val="none"/>
          <w:lang w:val="en-US" w:eastAsia="zh-CN"/>
        </w:rPr>
        <w:t>9.97</w:t>
      </w:r>
      <w:r>
        <w:rPr>
          <w:color w:val="auto"/>
          <w:sz w:val="24"/>
          <w:highlight w:val="none"/>
          <w:lang w:val="en-GB"/>
        </w:rPr>
        <w:t>%，1%≤Pmax＜10%，因此，确定本项目大气评价等级为二级。</w:t>
      </w:r>
    </w:p>
    <w:p>
      <w:pPr>
        <w:keepNext w:val="0"/>
        <w:keepLines w:val="0"/>
        <w:pageBreakBefore w:val="0"/>
        <w:kinsoku/>
        <w:wordWrap/>
        <w:overflowPunct/>
        <w:topLinePunct w:val="0"/>
        <w:autoSpaceDE/>
        <w:autoSpaceDN/>
        <w:bidi w:val="0"/>
        <w:adjustRightInd w:val="0"/>
        <w:snapToGrid w:val="0"/>
        <w:spacing w:line="360" w:lineRule="auto"/>
        <w:textAlignment w:val="auto"/>
        <w:outlineLvl w:val="2"/>
        <w:rPr>
          <w:rFonts w:eastAsia="黑体"/>
          <w:color w:val="auto"/>
          <w:sz w:val="24"/>
          <w:highlight w:val="none"/>
        </w:rPr>
      </w:pPr>
      <w:bookmarkStart w:id="39" w:name="_Toc7713619"/>
      <w:bookmarkStart w:id="40" w:name="_Toc7713185"/>
      <w:r>
        <w:rPr>
          <w:rFonts w:eastAsia="黑体"/>
          <w:color w:val="auto"/>
          <w:sz w:val="24"/>
          <w:highlight w:val="none"/>
        </w:rPr>
        <w:t>1.</w:t>
      </w:r>
      <w:r>
        <w:rPr>
          <w:rFonts w:hint="eastAsia" w:eastAsia="黑体"/>
          <w:color w:val="auto"/>
          <w:sz w:val="24"/>
          <w:highlight w:val="none"/>
          <w:lang w:val="en-US" w:eastAsia="zh-CN"/>
        </w:rPr>
        <w:t>5</w:t>
      </w:r>
      <w:r>
        <w:rPr>
          <w:rFonts w:eastAsia="黑体"/>
          <w:color w:val="auto"/>
          <w:sz w:val="24"/>
          <w:highlight w:val="none"/>
        </w:rPr>
        <w:t>.2 地表水</w:t>
      </w:r>
      <w:bookmarkEnd w:id="39"/>
      <w:r>
        <w:rPr>
          <w:rFonts w:hint="eastAsia" w:eastAsia="黑体"/>
          <w:color w:val="auto"/>
          <w:sz w:val="24"/>
          <w:highlight w:val="none"/>
        </w:rPr>
        <w:t>环境影响评价等级</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color w:val="auto"/>
          <w:sz w:val="24"/>
          <w:highlight w:val="none"/>
          <w:lang w:val="en-GB"/>
        </w:rPr>
      </w:pPr>
      <w:r>
        <w:rPr>
          <w:rFonts w:hint="eastAsia" w:asciiTheme="minorEastAsia" w:hAnsiTheme="minorEastAsia" w:eastAsiaTheme="minorEastAsia" w:cstheme="minorEastAsia"/>
          <w:color w:val="auto"/>
          <w:sz w:val="24"/>
          <w:highlight w:val="none"/>
          <w:lang w:val="en-GB"/>
        </w:rPr>
        <w:t>项目投产后，生产废水按质分流，主要分为含镍废水、含铬废水和综合废水，其中含镍废水、含铬废水、综合废水分别经管道收集排入</w:t>
      </w:r>
      <w:r>
        <w:rPr>
          <w:rFonts w:hint="eastAsia" w:asciiTheme="minorEastAsia" w:hAnsiTheme="minorEastAsia" w:eastAsiaTheme="minorEastAsia" w:cstheme="minorEastAsia"/>
          <w:color w:val="auto"/>
          <w:sz w:val="24"/>
          <w:highlight w:val="none"/>
          <w:lang w:val="en-US" w:eastAsia="zh-CN"/>
        </w:rPr>
        <w:t>园区</w:t>
      </w:r>
      <w:r>
        <w:rPr>
          <w:rFonts w:hint="eastAsia" w:asciiTheme="minorEastAsia" w:hAnsiTheme="minorEastAsia" w:eastAsiaTheme="minorEastAsia" w:cstheme="minorEastAsia"/>
          <w:color w:val="auto"/>
          <w:sz w:val="24"/>
          <w:highlight w:val="none"/>
          <w:lang w:val="en-GB"/>
        </w:rPr>
        <w:t>污水处理厂相应处理单元处理，达标后经总排口排入</w:t>
      </w:r>
      <w:r>
        <w:rPr>
          <w:rFonts w:hint="eastAsia" w:asciiTheme="minorEastAsia" w:hAnsiTheme="minorEastAsia" w:eastAsiaTheme="minorEastAsia" w:cstheme="minorEastAsia"/>
          <w:color w:val="auto"/>
          <w:sz w:val="24"/>
          <w:highlight w:val="none"/>
          <w:lang w:val="en-US" w:eastAsia="zh-CN"/>
        </w:rPr>
        <w:t>镰湾河水质净</w:t>
      </w:r>
      <w:r>
        <w:rPr>
          <w:rFonts w:hint="default" w:ascii="Times New Roman" w:hAnsi="Times New Roman" w:cs="Times New Roman" w:eastAsiaTheme="minorEastAsia"/>
          <w:color w:val="auto"/>
          <w:sz w:val="24"/>
          <w:highlight w:val="none"/>
          <w:lang w:val="en-US" w:eastAsia="zh-CN"/>
        </w:rPr>
        <w:t>化</w:t>
      </w:r>
      <w:r>
        <w:rPr>
          <w:rFonts w:hint="default" w:ascii="Times New Roman" w:hAnsi="Times New Roman" w:cs="Times New Roman" w:eastAsiaTheme="minorEastAsia"/>
          <w:color w:val="auto"/>
          <w:sz w:val="24"/>
          <w:highlight w:val="none"/>
          <w:lang w:val="en-GB"/>
        </w:rPr>
        <w:t>厂进一步处理。本项目废水的排放方式属于间接排放，根据《环境影响评价技术导则 地表水环境》（HJ2.3-2018）导则要求，水环境影响评价定为三级B评价</w:t>
      </w:r>
      <w:r>
        <w:rPr>
          <w:rFonts w:hint="eastAsia" w:asciiTheme="minorEastAsia" w:hAnsiTheme="minorEastAsia" w:eastAsiaTheme="minorEastAsia" w:cstheme="minorEastAsia"/>
          <w:color w:val="auto"/>
          <w:sz w:val="24"/>
          <w:highlight w:val="none"/>
          <w:lang w:val="en-GB"/>
        </w:rPr>
        <w:t>。</w:t>
      </w:r>
    </w:p>
    <w:p>
      <w:pPr>
        <w:adjustRightInd w:val="0"/>
        <w:snapToGrid w:val="0"/>
        <w:spacing w:line="360" w:lineRule="auto"/>
        <w:outlineLvl w:val="2"/>
        <w:rPr>
          <w:rFonts w:hint="eastAsia" w:eastAsia="黑体"/>
          <w:color w:val="auto"/>
          <w:sz w:val="24"/>
          <w:highlight w:val="none"/>
          <w:lang w:val="en-US" w:eastAsia="zh-CN"/>
        </w:rPr>
      </w:pPr>
      <w:bookmarkStart w:id="41" w:name="_Toc7713620"/>
      <w:r>
        <w:rPr>
          <w:rFonts w:hint="eastAsia" w:eastAsia="黑体"/>
          <w:color w:val="auto"/>
          <w:sz w:val="24"/>
          <w:highlight w:val="none"/>
          <w:lang w:val="en-US" w:eastAsia="zh-CN"/>
        </w:rPr>
        <w:t>1.5.3 地下水</w:t>
      </w:r>
      <w:bookmarkEnd w:id="41"/>
      <w:r>
        <w:rPr>
          <w:rFonts w:hint="eastAsia" w:eastAsia="黑体"/>
          <w:color w:val="auto"/>
          <w:sz w:val="24"/>
          <w:highlight w:val="none"/>
          <w:lang w:val="en-US" w:eastAsia="zh-CN"/>
        </w:rPr>
        <w:t>环境影响评价等级</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color w:val="auto"/>
          <w:sz w:val="24"/>
          <w:highlight w:val="none"/>
          <w:lang w:val="en-GB"/>
        </w:rPr>
      </w:pPr>
      <w:r>
        <w:rPr>
          <w:rFonts w:hint="default" w:ascii="Times New Roman" w:hAnsi="Times New Roman" w:cs="Times New Roman" w:eastAsiaTheme="minorEastAsia"/>
          <w:color w:val="auto"/>
          <w:sz w:val="24"/>
          <w:highlight w:val="none"/>
          <w:lang w:val="en-GB"/>
        </w:rPr>
        <w:t>本项目运营过程中，有危废、含重金属废水产生，如果防渗不及时、不到位，废水及污水可能对地下水水质造成污染。项目所在区域不涉及集中式饮用水水源地、热水、矿泉水、温泉等特殊地下水资源保护区，为不敏感，项目属于Ⅲ类，根据《环境影响评价技术导则 地下水环境》（HJ610-2016），地下水环境影响评价等级为三级。</w:t>
      </w:r>
    </w:p>
    <w:bookmarkEnd w:id="40"/>
    <w:p>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2"/>
        <w:rPr>
          <w:rFonts w:hint="eastAsia" w:eastAsia="黑体"/>
          <w:color w:val="auto"/>
          <w:sz w:val="24"/>
          <w:szCs w:val="24"/>
          <w:highlight w:val="none"/>
          <w:lang w:val="en-US" w:eastAsia="zh-CN"/>
        </w:rPr>
      </w:pPr>
      <w:bookmarkStart w:id="42" w:name="_Toc7713187"/>
      <w:r>
        <w:rPr>
          <w:rFonts w:hint="eastAsia" w:eastAsia="黑体"/>
          <w:color w:val="auto"/>
          <w:sz w:val="24"/>
          <w:szCs w:val="24"/>
          <w:highlight w:val="none"/>
          <w:lang w:val="en-US" w:eastAsia="zh-CN"/>
        </w:rPr>
        <w:t>1.5.4 声</w:t>
      </w:r>
      <w:bookmarkEnd w:id="42"/>
      <w:r>
        <w:rPr>
          <w:rFonts w:hint="eastAsia" w:eastAsia="黑体"/>
          <w:color w:val="auto"/>
          <w:sz w:val="24"/>
          <w:szCs w:val="24"/>
          <w:highlight w:val="none"/>
          <w:lang w:val="en-US" w:eastAsia="zh-CN"/>
        </w:rPr>
        <w:t>环境影响评价等级</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color w:val="auto"/>
          <w:sz w:val="24"/>
          <w:szCs w:val="24"/>
          <w:highlight w:val="none"/>
        </w:rPr>
      </w:pPr>
      <w:bookmarkStart w:id="43" w:name="_Toc7713188"/>
      <w:r>
        <w:rPr>
          <w:color w:val="auto"/>
          <w:sz w:val="24"/>
          <w:szCs w:val="24"/>
          <w:highlight w:val="none"/>
        </w:rPr>
        <w:t>根据</w:t>
      </w:r>
      <w:r>
        <w:rPr>
          <w:rFonts w:hint="eastAsia"/>
          <w:color w:val="auto"/>
          <w:sz w:val="24"/>
          <w:szCs w:val="24"/>
          <w:highlight w:val="none"/>
          <w:lang w:val="en-US" w:eastAsia="zh-CN"/>
        </w:rPr>
        <w:t>园区环评</w:t>
      </w:r>
      <w:r>
        <w:rPr>
          <w:color w:val="auto"/>
          <w:sz w:val="24"/>
          <w:szCs w:val="24"/>
          <w:highlight w:val="none"/>
        </w:rPr>
        <w:t>批复，项目所在区域噪声执行3类标准。项目噪声源采取了隔声、基础减振、消声等降噪措施，建设前后评价范围内敏感目标噪声级增加量小于3dB（A），噪声级增高量较小，且受噪声影响人口数量变化不大，根据《环境影响评价技术导则声环境》（HJ2.4-2009）中声环境影响评价等级的划分原则，同时考虑项目周边距离最近的敏感点为西侧</w:t>
      </w:r>
      <w:r>
        <w:rPr>
          <w:rFonts w:hint="eastAsia"/>
          <w:color w:val="auto"/>
          <w:sz w:val="24"/>
          <w:szCs w:val="24"/>
          <w:highlight w:val="none"/>
          <w:lang w:val="en-US" w:eastAsia="zh-CN"/>
        </w:rPr>
        <w:t>101</w:t>
      </w:r>
      <w:r>
        <w:rPr>
          <w:color w:val="auto"/>
          <w:sz w:val="24"/>
          <w:szCs w:val="24"/>
          <w:highlight w:val="none"/>
        </w:rPr>
        <w:t>5m</w:t>
      </w:r>
      <w:r>
        <w:rPr>
          <w:color w:val="auto"/>
          <w:kern w:val="0"/>
          <w:sz w:val="24"/>
          <w:szCs w:val="24"/>
          <w:highlight w:val="none"/>
        </w:rPr>
        <w:t>处的</w:t>
      </w:r>
      <w:r>
        <w:rPr>
          <w:rFonts w:hint="eastAsia"/>
          <w:color w:val="auto"/>
          <w:kern w:val="0"/>
          <w:sz w:val="24"/>
          <w:szCs w:val="24"/>
          <w:highlight w:val="none"/>
        </w:rPr>
        <w:t>鲁泽观</w:t>
      </w:r>
      <w:r>
        <w:rPr>
          <w:color w:val="auto"/>
          <w:sz w:val="24"/>
          <w:szCs w:val="24"/>
          <w:highlight w:val="none"/>
        </w:rPr>
        <w:t>。综合考虑，本项目声环境影响评价等级为三级。</w:t>
      </w:r>
    </w:p>
    <w:bookmarkEnd w:id="43"/>
    <w:p>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2"/>
        <w:rPr>
          <w:rFonts w:hint="eastAsia" w:eastAsia="黑体"/>
          <w:color w:val="auto"/>
          <w:sz w:val="24"/>
          <w:szCs w:val="24"/>
          <w:highlight w:val="none"/>
          <w:lang w:val="en-US" w:eastAsia="zh-CN"/>
        </w:rPr>
      </w:pPr>
      <w:r>
        <w:rPr>
          <w:rFonts w:hint="eastAsia" w:eastAsia="黑体"/>
          <w:color w:val="auto"/>
          <w:sz w:val="24"/>
          <w:szCs w:val="24"/>
          <w:highlight w:val="none"/>
          <w:lang w:val="en-US" w:eastAsia="zh-CN"/>
        </w:rPr>
        <w:t>1.5.5 环境风险影响评价等级</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color w:val="auto"/>
          <w:sz w:val="24"/>
          <w:szCs w:val="24"/>
          <w:highlight w:val="none"/>
        </w:rPr>
      </w:pPr>
      <w:r>
        <w:rPr>
          <w:color w:val="auto"/>
          <w:sz w:val="24"/>
          <w:szCs w:val="24"/>
          <w:highlight w:val="none"/>
        </w:rPr>
        <w:t>根据《建设项目环境风险评价技术导则》（HJ 169-2018），</w:t>
      </w:r>
      <w:r>
        <w:rPr>
          <w:rFonts w:ascii="Times New Roman" w:hAnsi="Times New Roman"/>
          <w:color w:val="auto"/>
          <w:sz w:val="24"/>
          <w:szCs w:val="24"/>
          <w:highlight w:val="none"/>
        </w:rPr>
        <w:t>Q值为0&lt;1，直接判定环境风险潜势为Ⅰ</w:t>
      </w:r>
      <w:r>
        <w:rPr>
          <w:rFonts w:ascii="Times New Roman" w:hAnsi="Times New Roman"/>
          <w:color w:val="auto"/>
          <w:sz w:val="24"/>
          <w:highlight w:val="none"/>
        </w:rPr>
        <w:t>，确定环境风险评价工作等级为简单分析</w:t>
      </w:r>
      <w:r>
        <w:rPr>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2"/>
        <w:rPr>
          <w:rFonts w:hint="eastAsia" w:eastAsia="黑体"/>
          <w:color w:val="auto"/>
          <w:sz w:val="24"/>
          <w:szCs w:val="24"/>
          <w:highlight w:val="none"/>
          <w:lang w:val="en-US" w:eastAsia="zh-CN"/>
        </w:rPr>
      </w:pPr>
      <w:r>
        <w:rPr>
          <w:rFonts w:hint="eastAsia" w:eastAsia="黑体"/>
          <w:color w:val="auto"/>
          <w:sz w:val="24"/>
          <w:szCs w:val="24"/>
          <w:highlight w:val="none"/>
          <w:lang w:val="en-US" w:eastAsia="zh-CN"/>
        </w:rPr>
        <w:t>1.5.6土壤影响评价等级</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color w:val="auto"/>
          <w:highlight w:val="none"/>
        </w:rPr>
      </w:pPr>
      <w:r>
        <w:rPr>
          <w:color w:val="auto"/>
          <w:sz w:val="24"/>
          <w:szCs w:val="24"/>
          <w:highlight w:val="none"/>
        </w:rPr>
        <w:t>项目总占地面积</w:t>
      </w:r>
      <w:r>
        <w:rPr>
          <w:rFonts w:hint="eastAsia"/>
          <w:color w:val="auto"/>
          <w:sz w:val="24"/>
          <w:szCs w:val="24"/>
          <w:highlight w:val="none"/>
          <w:lang w:val="en-US" w:eastAsia="zh-CN"/>
        </w:rPr>
        <w:t>3880</w:t>
      </w:r>
      <w:r>
        <w:rPr>
          <w:color w:val="auto"/>
          <w:sz w:val="24"/>
          <w:szCs w:val="24"/>
          <w:highlight w:val="none"/>
        </w:rPr>
        <w:t>m</w:t>
      </w:r>
      <w:r>
        <w:rPr>
          <w:color w:val="auto"/>
          <w:sz w:val="24"/>
          <w:szCs w:val="24"/>
          <w:highlight w:val="none"/>
          <w:vertAlign w:val="superscript"/>
        </w:rPr>
        <w:t>2</w:t>
      </w:r>
      <w:r>
        <w:rPr>
          <w:color w:val="auto"/>
          <w:sz w:val="24"/>
          <w:szCs w:val="24"/>
          <w:highlight w:val="none"/>
        </w:rPr>
        <w:t>（</w:t>
      </w:r>
      <w:r>
        <w:rPr>
          <w:rFonts w:hint="eastAsia"/>
          <w:color w:val="auto"/>
          <w:sz w:val="24"/>
          <w:szCs w:val="24"/>
          <w:highlight w:val="none"/>
          <w:lang w:val="en-US" w:eastAsia="zh-CN"/>
        </w:rPr>
        <w:t>0.39</w:t>
      </w:r>
      <w:r>
        <w:rPr>
          <w:color w:val="auto"/>
          <w:sz w:val="24"/>
          <w:szCs w:val="24"/>
          <w:highlight w:val="none"/>
        </w:rPr>
        <w:t>公顷），占地规模属于污染影响型小型占地规模（≤5公顷）；项目属于土壤环境影响评价项目类别Ⅰ类项目（</w:t>
      </w:r>
      <w:r>
        <w:rPr>
          <w:rFonts w:hint="eastAsia"/>
          <w:color w:val="auto"/>
          <w:sz w:val="24"/>
          <w:szCs w:val="24"/>
          <w:highlight w:val="none"/>
          <w:lang w:val="en-US" w:eastAsia="zh-CN"/>
        </w:rPr>
        <w:t>制造业：设备制造、金属制品、汽车制造及其他用品制造：有电镀工艺的；金属制品表面处理及热处理加工的；使用有机涂层的(喷粉、喷塑和电泳除外)；有钝化工艺的热镀锌</w:t>
      </w:r>
      <w:r>
        <w:rPr>
          <w:color w:val="auto"/>
          <w:sz w:val="24"/>
          <w:szCs w:val="24"/>
          <w:highlight w:val="none"/>
        </w:rPr>
        <w:t>）；项目周边土壤环境敏感程度为不敏感型；根据《环境影响评价技术导则 土壤环境（试行）》（HJ964-2018）表4污染影响型评价工作等级划分表，项目土壤评价等级为二级（Ⅰ类—小型—不敏感）。</w:t>
      </w:r>
    </w:p>
    <w:p>
      <w:pPr>
        <w:adjustRightInd w:val="0"/>
        <w:snapToGrid w:val="0"/>
        <w:spacing w:line="360" w:lineRule="auto"/>
        <w:outlineLvl w:val="1"/>
        <w:rPr>
          <w:rFonts w:hint="eastAsia" w:ascii="黑体" w:hAnsi="黑体" w:eastAsia="黑体" w:cs="黑体"/>
          <w:b/>
          <w:bCs/>
          <w:color w:val="auto"/>
          <w:spacing w:val="12"/>
          <w:kern w:val="32"/>
          <w:sz w:val="24"/>
          <w:highlight w:val="none"/>
        </w:rPr>
      </w:pPr>
      <w:bookmarkStart w:id="44" w:name="_Toc26052"/>
      <w:r>
        <w:rPr>
          <w:rFonts w:hint="eastAsia" w:ascii="黑体" w:hAnsi="黑体" w:eastAsia="黑体" w:cs="黑体"/>
          <w:color w:val="auto"/>
          <w:sz w:val="24"/>
          <w:highlight w:val="none"/>
        </w:rPr>
        <w:t>1.</w:t>
      </w:r>
      <w:r>
        <w:rPr>
          <w:rFonts w:hint="eastAsia" w:ascii="黑体" w:hAnsi="黑体" w:eastAsia="黑体" w:cs="黑体"/>
          <w:color w:val="auto"/>
          <w:sz w:val="24"/>
          <w:highlight w:val="none"/>
          <w:lang w:val="en-US" w:eastAsia="zh-CN"/>
        </w:rPr>
        <w:t>6</w:t>
      </w:r>
      <w:r>
        <w:rPr>
          <w:rFonts w:hint="eastAsia" w:ascii="黑体" w:hAnsi="黑体" w:eastAsia="黑体" w:cs="黑体"/>
          <w:color w:val="auto"/>
          <w:sz w:val="24"/>
          <w:highlight w:val="none"/>
        </w:rPr>
        <w:t xml:space="preserve"> 评价范围</w:t>
      </w:r>
      <w:bookmarkEnd w:id="36"/>
      <w:bookmarkEnd w:id="37"/>
      <w:bookmarkEnd w:id="44"/>
    </w:p>
    <w:p>
      <w:pPr>
        <w:adjustRightInd w:val="0"/>
        <w:snapToGrid w:val="0"/>
        <w:spacing w:line="360" w:lineRule="auto"/>
        <w:ind w:firstLine="480"/>
        <w:rPr>
          <w:color w:val="auto"/>
          <w:sz w:val="24"/>
          <w:highlight w:val="none"/>
        </w:rPr>
      </w:pPr>
      <w:r>
        <w:rPr>
          <w:color w:val="auto"/>
          <w:sz w:val="24"/>
          <w:highlight w:val="none"/>
        </w:rPr>
        <w:t>根据项目大气、水、声环境影响评价等级和环境风险评价等级，参照《环境影响评价技术导则》要求，并结合本项目自身特点和项目周边环境状况，本次环境影响评价范围具体见表1</w:t>
      </w:r>
      <w:r>
        <w:rPr>
          <w:rFonts w:hint="eastAsia"/>
          <w:color w:val="auto"/>
          <w:sz w:val="24"/>
          <w:highlight w:val="none"/>
        </w:rPr>
        <w:t>.</w:t>
      </w:r>
      <w:r>
        <w:rPr>
          <w:rFonts w:hint="eastAsia"/>
          <w:color w:val="auto"/>
          <w:sz w:val="24"/>
          <w:highlight w:val="none"/>
          <w:lang w:val="en-US" w:eastAsia="zh-CN"/>
        </w:rPr>
        <w:t>6</w:t>
      </w:r>
      <w:r>
        <w:rPr>
          <w:color w:val="auto"/>
          <w:sz w:val="24"/>
          <w:highlight w:val="none"/>
        </w:rPr>
        <w:t>-</w:t>
      </w:r>
      <w:r>
        <w:rPr>
          <w:rFonts w:hint="eastAsia"/>
          <w:color w:val="auto"/>
          <w:sz w:val="24"/>
          <w:highlight w:val="none"/>
        </w:rPr>
        <w:t>1</w:t>
      </w:r>
      <w:r>
        <w:rPr>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表1.</w:t>
      </w:r>
      <w:r>
        <w:rPr>
          <w:rFonts w:hint="eastAsia" w:ascii="黑体" w:hAnsi="黑体" w:eastAsia="黑体" w:cs="黑体"/>
          <w:b w:val="0"/>
          <w:bCs w:val="0"/>
          <w:color w:val="auto"/>
          <w:sz w:val="24"/>
          <w:szCs w:val="24"/>
          <w:highlight w:val="none"/>
          <w:lang w:val="en-US" w:eastAsia="zh-CN"/>
        </w:rPr>
        <w:t>6</w:t>
      </w:r>
      <w:r>
        <w:rPr>
          <w:rFonts w:hint="eastAsia" w:ascii="黑体" w:hAnsi="黑体" w:eastAsia="黑体" w:cs="黑体"/>
          <w:b w:val="0"/>
          <w:bCs w:val="0"/>
          <w:color w:val="auto"/>
          <w:sz w:val="24"/>
          <w:szCs w:val="24"/>
          <w:highlight w:val="none"/>
        </w:rPr>
        <w:t>-1  评估范围</w:t>
      </w:r>
    </w:p>
    <w:tbl>
      <w:tblPr>
        <w:tblStyle w:val="36"/>
        <w:tblW w:w="9286" w:type="dxa"/>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958"/>
        <w:gridCol w:w="1135"/>
        <w:gridCol w:w="7193"/>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exact"/>
          <w:jc w:val="center"/>
        </w:trPr>
        <w:tc>
          <w:tcPr>
            <w:tcW w:w="2093" w:type="dxa"/>
            <w:gridSpan w:val="2"/>
            <w:vAlign w:val="center"/>
          </w:tcPr>
          <w:p>
            <w:pPr>
              <w:spacing w:line="300" w:lineRule="exact"/>
              <w:jc w:val="center"/>
              <w:rPr>
                <w:b/>
                <w:color w:val="auto"/>
                <w:szCs w:val="21"/>
                <w:highlight w:val="none"/>
              </w:rPr>
            </w:pPr>
            <w:r>
              <w:rPr>
                <w:b/>
                <w:color w:val="auto"/>
                <w:szCs w:val="21"/>
                <w:highlight w:val="none"/>
              </w:rPr>
              <w:t>评价专题</w:t>
            </w:r>
          </w:p>
        </w:tc>
        <w:tc>
          <w:tcPr>
            <w:tcW w:w="7193" w:type="dxa"/>
            <w:vAlign w:val="center"/>
          </w:tcPr>
          <w:p>
            <w:pPr>
              <w:spacing w:line="300" w:lineRule="exact"/>
              <w:jc w:val="center"/>
              <w:rPr>
                <w:b/>
                <w:color w:val="auto"/>
                <w:szCs w:val="21"/>
                <w:highlight w:val="none"/>
              </w:rPr>
            </w:pPr>
            <w:r>
              <w:rPr>
                <w:b/>
                <w:color w:val="auto"/>
                <w:szCs w:val="21"/>
                <w:highlight w:val="none"/>
              </w:rPr>
              <w:t>评价范围</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7" w:hRule="atLeast"/>
          <w:jc w:val="center"/>
        </w:trPr>
        <w:tc>
          <w:tcPr>
            <w:tcW w:w="2093" w:type="dxa"/>
            <w:gridSpan w:val="2"/>
            <w:shd w:val="clear" w:color="auto" w:fill="auto"/>
            <w:vAlign w:val="center"/>
          </w:tcPr>
          <w:p>
            <w:pPr>
              <w:spacing w:line="300" w:lineRule="exact"/>
              <w:jc w:val="center"/>
              <w:rPr>
                <w:color w:val="auto"/>
                <w:szCs w:val="21"/>
                <w:highlight w:val="none"/>
              </w:rPr>
            </w:pPr>
            <w:r>
              <w:rPr>
                <w:color w:val="auto"/>
                <w:szCs w:val="21"/>
                <w:highlight w:val="none"/>
              </w:rPr>
              <w:t>大气</w:t>
            </w:r>
          </w:p>
        </w:tc>
        <w:tc>
          <w:tcPr>
            <w:tcW w:w="7193" w:type="dxa"/>
            <w:shd w:val="clear" w:color="auto" w:fill="auto"/>
            <w:vAlign w:val="center"/>
          </w:tcPr>
          <w:p>
            <w:pPr>
              <w:spacing w:line="300" w:lineRule="exact"/>
              <w:jc w:val="center"/>
              <w:rPr>
                <w:color w:val="auto"/>
                <w:szCs w:val="21"/>
                <w:highlight w:val="none"/>
              </w:rPr>
            </w:pPr>
            <w:r>
              <w:rPr>
                <w:rFonts w:hint="eastAsia"/>
                <w:color w:val="auto"/>
                <w:szCs w:val="21"/>
                <w:highlight w:val="none"/>
              </w:rPr>
              <w:t>以项目厂址为中心区域，边长为5km的矩形区域</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7" w:hRule="atLeast"/>
          <w:jc w:val="center"/>
        </w:trPr>
        <w:tc>
          <w:tcPr>
            <w:tcW w:w="958" w:type="dxa"/>
            <w:vMerge w:val="restart"/>
            <w:shd w:val="clear" w:color="auto" w:fill="auto"/>
            <w:vAlign w:val="center"/>
          </w:tcPr>
          <w:p>
            <w:pPr>
              <w:spacing w:line="300" w:lineRule="exact"/>
              <w:jc w:val="center"/>
              <w:rPr>
                <w:color w:val="auto"/>
                <w:szCs w:val="21"/>
                <w:highlight w:val="none"/>
              </w:rPr>
            </w:pPr>
            <w:r>
              <w:rPr>
                <w:color w:val="auto"/>
                <w:szCs w:val="21"/>
                <w:highlight w:val="none"/>
              </w:rPr>
              <w:t>水</w:t>
            </w:r>
          </w:p>
        </w:tc>
        <w:tc>
          <w:tcPr>
            <w:tcW w:w="1135" w:type="dxa"/>
            <w:shd w:val="clear" w:color="auto" w:fill="auto"/>
            <w:vAlign w:val="center"/>
          </w:tcPr>
          <w:p>
            <w:pPr>
              <w:spacing w:line="300" w:lineRule="exact"/>
              <w:jc w:val="center"/>
              <w:rPr>
                <w:color w:val="auto"/>
                <w:szCs w:val="21"/>
                <w:highlight w:val="none"/>
              </w:rPr>
            </w:pPr>
            <w:r>
              <w:rPr>
                <w:color w:val="auto"/>
                <w:szCs w:val="21"/>
                <w:highlight w:val="none"/>
              </w:rPr>
              <w:t>地表水</w:t>
            </w:r>
          </w:p>
        </w:tc>
        <w:tc>
          <w:tcPr>
            <w:tcW w:w="7193" w:type="dxa"/>
            <w:shd w:val="clear" w:color="auto" w:fill="auto"/>
            <w:vAlign w:val="center"/>
          </w:tcPr>
          <w:p>
            <w:pPr>
              <w:spacing w:line="300" w:lineRule="exact"/>
              <w:jc w:val="center"/>
              <w:rPr>
                <w:color w:val="auto"/>
                <w:szCs w:val="21"/>
                <w:highlight w:val="none"/>
              </w:rPr>
            </w:pPr>
            <w:r>
              <w:rPr>
                <w:rFonts w:hint="eastAsia"/>
                <w:bCs/>
                <w:color w:val="auto"/>
                <w:szCs w:val="21"/>
                <w:highlight w:val="none"/>
              </w:rPr>
              <w:t>厂区污水处理站排放口。主要调查、核算厂区内各类废水的排放量、污染物和浓度，分析、评价厂区内污水处理站排放达标性及排放去向的可行性。</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7" w:hRule="atLeast"/>
          <w:jc w:val="center"/>
        </w:trPr>
        <w:tc>
          <w:tcPr>
            <w:tcW w:w="958" w:type="dxa"/>
            <w:vMerge w:val="continue"/>
            <w:shd w:val="clear" w:color="auto" w:fill="auto"/>
            <w:vAlign w:val="center"/>
          </w:tcPr>
          <w:p>
            <w:pPr>
              <w:spacing w:line="300" w:lineRule="exact"/>
              <w:jc w:val="center"/>
              <w:rPr>
                <w:color w:val="auto"/>
                <w:szCs w:val="21"/>
                <w:highlight w:val="none"/>
              </w:rPr>
            </w:pPr>
          </w:p>
        </w:tc>
        <w:tc>
          <w:tcPr>
            <w:tcW w:w="1135" w:type="dxa"/>
            <w:shd w:val="clear" w:color="auto" w:fill="auto"/>
            <w:vAlign w:val="center"/>
          </w:tcPr>
          <w:p>
            <w:pPr>
              <w:spacing w:line="300" w:lineRule="exact"/>
              <w:jc w:val="center"/>
              <w:rPr>
                <w:color w:val="auto"/>
                <w:szCs w:val="21"/>
                <w:highlight w:val="none"/>
              </w:rPr>
            </w:pPr>
            <w:r>
              <w:rPr>
                <w:color w:val="auto"/>
                <w:szCs w:val="21"/>
                <w:highlight w:val="none"/>
              </w:rPr>
              <w:t>地下水</w:t>
            </w:r>
          </w:p>
        </w:tc>
        <w:tc>
          <w:tcPr>
            <w:tcW w:w="7193" w:type="dxa"/>
            <w:shd w:val="clear" w:color="auto" w:fill="auto"/>
            <w:vAlign w:val="center"/>
          </w:tcPr>
          <w:p>
            <w:pPr>
              <w:spacing w:line="300" w:lineRule="exact"/>
              <w:jc w:val="center"/>
              <w:rPr>
                <w:bCs/>
                <w:color w:val="auto"/>
                <w:szCs w:val="21"/>
                <w:highlight w:val="none"/>
              </w:rPr>
            </w:pPr>
            <w:r>
              <w:rPr>
                <w:rFonts w:hint="eastAsia"/>
                <w:bCs/>
                <w:color w:val="auto"/>
                <w:szCs w:val="21"/>
                <w:highlight w:val="none"/>
              </w:rPr>
              <w:t>结合区域水文地质特征，确定本项目地下水评价范围为以本项目为中心周边6km</w:t>
            </w:r>
            <w:r>
              <w:rPr>
                <w:rFonts w:hint="eastAsia"/>
                <w:bCs/>
                <w:color w:val="auto"/>
                <w:szCs w:val="21"/>
                <w:highlight w:val="none"/>
                <w:vertAlign w:val="superscript"/>
              </w:rPr>
              <w:t>2</w:t>
            </w:r>
            <w:r>
              <w:rPr>
                <w:rFonts w:hint="eastAsia"/>
                <w:bCs/>
                <w:color w:val="auto"/>
                <w:szCs w:val="21"/>
                <w:highlight w:val="none"/>
              </w:rPr>
              <w:t>方形区域</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exact"/>
          <w:jc w:val="center"/>
        </w:trPr>
        <w:tc>
          <w:tcPr>
            <w:tcW w:w="2093" w:type="dxa"/>
            <w:gridSpan w:val="2"/>
            <w:vAlign w:val="center"/>
          </w:tcPr>
          <w:p>
            <w:pPr>
              <w:spacing w:line="300" w:lineRule="exact"/>
              <w:jc w:val="center"/>
              <w:rPr>
                <w:color w:val="auto"/>
                <w:szCs w:val="21"/>
                <w:highlight w:val="none"/>
              </w:rPr>
            </w:pPr>
            <w:r>
              <w:rPr>
                <w:color w:val="auto"/>
                <w:szCs w:val="21"/>
                <w:highlight w:val="none"/>
              </w:rPr>
              <w:t>噪声</w:t>
            </w:r>
          </w:p>
        </w:tc>
        <w:tc>
          <w:tcPr>
            <w:tcW w:w="7193" w:type="dxa"/>
            <w:vAlign w:val="center"/>
          </w:tcPr>
          <w:p>
            <w:pPr>
              <w:spacing w:line="300" w:lineRule="exact"/>
              <w:jc w:val="center"/>
              <w:rPr>
                <w:color w:val="auto"/>
                <w:szCs w:val="21"/>
                <w:highlight w:val="none"/>
              </w:rPr>
            </w:pPr>
            <w:r>
              <w:rPr>
                <w:color w:val="auto"/>
                <w:highlight w:val="none"/>
              </w:rPr>
              <w:t>电镀工业园</w:t>
            </w:r>
            <w:r>
              <w:rPr>
                <w:color w:val="auto"/>
                <w:szCs w:val="21"/>
                <w:highlight w:val="none"/>
              </w:rPr>
              <w:t>厂界外1m处</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exact"/>
          <w:jc w:val="center"/>
        </w:trPr>
        <w:tc>
          <w:tcPr>
            <w:tcW w:w="2093" w:type="dxa"/>
            <w:gridSpan w:val="2"/>
            <w:vAlign w:val="center"/>
          </w:tcPr>
          <w:p>
            <w:pPr>
              <w:spacing w:line="300" w:lineRule="exact"/>
              <w:jc w:val="center"/>
              <w:rPr>
                <w:rFonts w:hint="eastAsia" w:eastAsia="宋体"/>
                <w:color w:val="auto"/>
                <w:szCs w:val="21"/>
                <w:highlight w:val="none"/>
                <w:lang w:eastAsia="zh-CN"/>
              </w:rPr>
            </w:pPr>
            <w:r>
              <w:rPr>
                <w:rFonts w:hint="eastAsia"/>
                <w:color w:val="auto"/>
                <w:szCs w:val="21"/>
                <w:highlight w:val="none"/>
                <w:lang w:eastAsia="zh-CN"/>
              </w:rPr>
              <w:t>土壤</w:t>
            </w:r>
          </w:p>
        </w:tc>
        <w:tc>
          <w:tcPr>
            <w:tcW w:w="7193" w:type="dxa"/>
            <w:vAlign w:val="center"/>
          </w:tcPr>
          <w:p>
            <w:pPr>
              <w:spacing w:line="300" w:lineRule="exact"/>
              <w:jc w:val="center"/>
              <w:rPr>
                <w:color w:val="auto"/>
                <w:highlight w:val="none"/>
              </w:rPr>
            </w:pPr>
            <w:r>
              <w:rPr>
                <w:rFonts w:hint="eastAsia"/>
                <w:color w:val="auto"/>
                <w:kern w:val="0"/>
                <w:sz w:val="21"/>
                <w:szCs w:val="21"/>
                <w:highlight w:val="none"/>
              </w:rPr>
              <w:t>占地范围内全部及占地范围外0.2km内</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exact"/>
          <w:jc w:val="center"/>
        </w:trPr>
        <w:tc>
          <w:tcPr>
            <w:tcW w:w="2093" w:type="dxa"/>
            <w:gridSpan w:val="2"/>
            <w:vAlign w:val="center"/>
          </w:tcPr>
          <w:p>
            <w:pPr>
              <w:spacing w:line="300" w:lineRule="exact"/>
              <w:jc w:val="center"/>
              <w:rPr>
                <w:color w:val="auto"/>
                <w:szCs w:val="21"/>
                <w:highlight w:val="none"/>
              </w:rPr>
            </w:pPr>
            <w:r>
              <w:rPr>
                <w:color w:val="auto"/>
                <w:szCs w:val="21"/>
                <w:highlight w:val="none"/>
              </w:rPr>
              <w:t>风险</w:t>
            </w:r>
          </w:p>
        </w:tc>
        <w:tc>
          <w:tcPr>
            <w:tcW w:w="7193" w:type="dxa"/>
            <w:vAlign w:val="center"/>
          </w:tcPr>
          <w:p>
            <w:pPr>
              <w:jc w:val="center"/>
              <w:rPr>
                <w:color w:val="auto"/>
                <w:szCs w:val="21"/>
                <w:highlight w:val="none"/>
              </w:rPr>
            </w:pPr>
            <w:r>
              <w:rPr>
                <w:color w:val="auto"/>
                <w:szCs w:val="21"/>
                <w:highlight w:val="none"/>
              </w:rPr>
              <w:t>以风险源为中心，半径3km</w:t>
            </w:r>
            <w:r>
              <w:rPr>
                <w:rFonts w:hint="eastAsia"/>
                <w:color w:val="auto"/>
                <w:szCs w:val="21"/>
                <w:highlight w:val="none"/>
              </w:rPr>
              <w:t>的圆形</w:t>
            </w:r>
            <w:r>
              <w:rPr>
                <w:color w:val="auto"/>
                <w:szCs w:val="21"/>
                <w:highlight w:val="none"/>
              </w:rPr>
              <w:t>区域</w:t>
            </w:r>
          </w:p>
        </w:tc>
      </w:tr>
    </w:tbl>
    <w:p>
      <w:pPr>
        <w:adjustRightInd w:val="0"/>
        <w:snapToGrid w:val="0"/>
        <w:spacing w:line="360" w:lineRule="auto"/>
        <w:outlineLvl w:val="1"/>
        <w:rPr>
          <w:rFonts w:hint="eastAsia" w:ascii="黑体" w:hAnsi="黑体" w:eastAsia="黑体" w:cs="黑体"/>
          <w:color w:val="auto"/>
          <w:sz w:val="24"/>
          <w:highlight w:val="none"/>
        </w:rPr>
      </w:pPr>
      <w:bookmarkStart w:id="45" w:name="_Toc8848"/>
      <w:r>
        <w:rPr>
          <w:rFonts w:hint="eastAsia" w:ascii="黑体" w:hAnsi="黑体" w:eastAsia="黑体" w:cs="黑体"/>
          <w:color w:val="auto"/>
          <w:sz w:val="24"/>
          <w:highlight w:val="none"/>
        </w:rPr>
        <w:t>1.</w:t>
      </w:r>
      <w:r>
        <w:rPr>
          <w:rFonts w:hint="eastAsia" w:ascii="黑体" w:hAnsi="黑体" w:eastAsia="黑体" w:cs="黑体"/>
          <w:color w:val="auto"/>
          <w:sz w:val="24"/>
          <w:highlight w:val="none"/>
          <w:lang w:val="en-US" w:eastAsia="zh-CN"/>
        </w:rPr>
        <w:t>7</w:t>
      </w:r>
      <w:r>
        <w:rPr>
          <w:rFonts w:hint="eastAsia" w:ascii="黑体" w:hAnsi="黑体" w:eastAsia="黑体" w:cs="黑体"/>
          <w:color w:val="auto"/>
          <w:sz w:val="24"/>
          <w:highlight w:val="none"/>
        </w:rPr>
        <w:t xml:space="preserve"> 环境保护目标</w:t>
      </w:r>
      <w:bookmarkEnd w:id="30"/>
      <w:bookmarkEnd w:id="31"/>
      <w:bookmarkEnd w:id="32"/>
      <w:bookmarkEnd w:id="45"/>
    </w:p>
    <w:p>
      <w:pPr>
        <w:spacing w:line="360" w:lineRule="auto"/>
        <w:ind w:firstLine="480" w:firstLineChars="200"/>
        <w:rPr>
          <w:color w:val="auto"/>
          <w:kern w:val="0"/>
          <w:sz w:val="24"/>
          <w:highlight w:val="none"/>
        </w:rPr>
      </w:pPr>
      <w:r>
        <w:rPr>
          <w:color w:val="auto"/>
          <w:sz w:val="24"/>
          <w:highlight w:val="none"/>
        </w:rPr>
        <w:t>本项目周边的环境保护目标</w:t>
      </w:r>
      <w:r>
        <w:rPr>
          <w:color w:val="auto"/>
          <w:kern w:val="0"/>
          <w:sz w:val="24"/>
          <w:highlight w:val="none"/>
        </w:rPr>
        <w:t>见表1.</w:t>
      </w:r>
      <w:r>
        <w:rPr>
          <w:rFonts w:hint="eastAsia"/>
          <w:color w:val="auto"/>
          <w:kern w:val="0"/>
          <w:sz w:val="24"/>
          <w:highlight w:val="none"/>
          <w:lang w:val="en-US" w:eastAsia="zh-CN"/>
        </w:rPr>
        <w:t>7</w:t>
      </w:r>
      <w:r>
        <w:rPr>
          <w:color w:val="auto"/>
          <w:kern w:val="0"/>
          <w:sz w:val="24"/>
          <w:highlight w:val="none"/>
        </w:rPr>
        <w:t>-1</w:t>
      </w:r>
      <w:r>
        <w:rPr>
          <w:rFonts w:hint="eastAsia"/>
          <w:color w:val="auto"/>
          <w:kern w:val="0"/>
          <w:sz w:val="24"/>
          <w:highlight w:val="none"/>
        </w:rPr>
        <w:t>、附</w:t>
      </w:r>
      <w:r>
        <w:rPr>
          <w:color w:val="auto"/>
          <w:kern w:val="0"/>
          <w:sz w:val="24"/>
          <w:highlight w:val="none"/>
        </w:rPr>
        <w:t>图</w:t>
      </w:r>
      <w:r>
        <w:rPr>
          <w:rFonts w:hint="eastAsia"/>
          <w:color w:val="auto"/>
          <w:kern w:val="0"/>
          <w:sz w:val="24"/>
          <w:highlight w:val="none"/>
        </w:rPr>
        <w:t>3</w:t>
      </w:r>
      <w:r>
        <w:rPr>
          <w:color w:val="auto"/>
          <w:kern w:val="0"/>
          <w:sz w:val="24"/>
          <w:highlight w:val="none"/>
        </w:rPr>
        <w:t>。</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黑体" w:hAnsi="黑体" w:eastAsia="黑体" w:cs="黑体"/>
          <w:b w:val="0"/>
          <w:bCs w:val="0"/>
          <w:color w:val="auto"/>
          <w:sz w:val="24"/>
          <w:szCs w:val="24"/>
          <w:highlight w:val="none"/>
        </w:rPr>
      </w:pPr>
      <w:r>
        <w:rPr>
          <w:rFonts w:hint="eastAsia" w:ascii="黑体" w:hAnsi="黑体" w:eastAsia="黑体" w:cs="黑体"/>
          <w:b w:val="0"/>
          <w:bCs w:val="0"/>
          <w:color w:val="auto"/>
          <w:sz w:val="24"/>
          <w:szCs w:val="24"/>
          <w:highlight w:val="none"/>
        </w:rPr>
        <w:t>表1.</w:t>
      </w:r>
      <w:r>
        <w:rPr>
          <w:rFonts w:hint="eastAsia" w:ascii="黑体" w:hAnsi="黑体" w:eastAsia="黑体" w:cs="黑体"/>
          <w:b w:val="0"/>
          <w:bCs w:val="0"/>
          <w:color w:val="auto"/>
          <w:sz w:val="24"/>
          <w:szCs w:val="24"/>
          <w:highlight w:val="none"/>
          <w:lang w:val="en-US" w:eastAsia="zh-CN"/>
        </w:rPr>
        <w:t>7</w:t>
      </w:r>
      <w:r>
        <w:rPr>
          <w:rFonts w:hint="eastAsia" w:ascii="黑体" w:hAnsi="黑体" w:eastAsia="黑体" w:cs="黑体"/>
          <w:b w:val="0"/>
          <w:bCs w:val="0"/>
          <w:color w:val="auto"/>
          <w:sz w:val="24"/>
          <w:szCs w:val="24"/>
          <w:highlight w:val="none"/>
        </w:rPr>
        <w:t xml:space="preserve">-1 </w:t>
      </w:r>
      <w:r>
        <w:rPr>
          <w:rFonts w:hint="eastAsia" w:ascii="黑体" w:hAnsi="黑体" w:eastAsia="黑体" w:cs="黑体"/>
          <w:b w:val="0"/>
          <w:bCs w:val="0"/>
          <w:color w:val="auto"/>
          <w:sz w:val="24"/>
          <w:szCs w:val="24"/>
          <w:highlight w:val="none"/>
          <w:lang w:val="en-US" w:eastAsia="zh-CN"/>
        </w:rPr>
        <w:t xml:space="preserve"> </w:t>
      </w:r>
      <w:r>
        <w:rPr>
          <w:rFonts w:hint="eastAsia" w:ascii="黑体" w:hAnsi="黑体" w:eastAsia="黑体" w:cs="黑体"/>
          <w:b w:val="0"/>
          <w:bCs w:val="0"/>
          <w:color w:val="auto"/>
          <w:sz w:val="24"/>
          <w:szCs w:val="24"/>
          <w:highlight w:val="none"/>
        </w:rPr>
        <w:t>环境保护目标</w:t>
      </w:r>
    </w:p>
    <w:tbl>
      <w:tblPr>
        <w:tblStyle w:val="36"/>
        <w:tblW w:w="9286" w:type="dxa"/>
        <w:jc w:val="center"/>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674"/>
        <w:gridCol w:w="2130"/>
        <w:gridCol w:w="708"/>
        <w:gridCol w:w="1590"/>
        <w:gridCol w:w="1670"/>
        <w:gridCol w:w="1127"/>
        <w:gridCol w:w="1387"/>
      </w:tblGrid>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4" w:hRule="atLeast"/>
          <w:jc w:val="center"/>
        </w:trPr>
        <w:tc>
          <w:tcPr>
            <w:tcW w:w="674" w:type="dxa"/>
            <w:vMerge w:val="restart"/>
            <w:vAlign w:val="center"/>
          </w:tcPr>
          <w:p>
            <w:pPr>
              <w:jc w:val="center"/>
              <w:rPr>
                <w:b/>
                <w:color w:val="auto"/>
                <w:szCs w:val="21"/>
                <w:highlight w:val="none"/>
              </w:rPr>
            </w:pPr>
            <w:bookmarkStart w:id="46" w:name="_Toc315949299"/>
            <w:bookmarkStart w:id="47" w:name="_Toc312867359"/>
            <w:r>
              <w:rPr>
                <w:b/>
                <w:color w:val="auto"/>
                <w:szCs w:val="21"/>
                <w:highlight w:val="none"/>
              </w:rPr>
              <w:t>序</w:t>
            </w:r>
          </w:p>
          <w:p>
            <w:pPr>
              <w:jc w:val="center"/>
              <w:rPr>
                <w:b/>
                <w:color w:val="auto"/>
                <w:szCs w:val="21"/>
                <w:highlight w:val="none"/>
              </w:rPr>
            </w:pPr>
            <w:r>
              <w:rPr>
                <w:b/>
                <w:color w:val="auto"/>
                <w:szCs w:val="21"/>
                <w:highlight w:val="none"/>
              </w:rPr>
              <w:t>号</w:t>
            </w:r>
          </w:p>
        </w:tc>
        <w:tc>
          <w:tcPr>
            <w:tcW w:w="2130" w:type="dxa"/>
            <w:vMerge w:val="restart"/>
            <w:vAlign w:val="center"/>
          </w:tcPr>
          <w:p>
            <w:pPr>
              <w:jc w:val="center"/>
              <w:rPr>
                <w:b/>
                <w:color w:val="auto"/>
                <w:szCs w:val="21"/>
                <w:highlight w:val="none"/>
              </w:rPr>
            </w:pPr>
            <w:r>
              <w:rPr>
                <w:b/>
                <w:color w:val="auto"/>
                <w:szCs w:val="21"/>
                <w:highlight w:val="none"/>
              </w:rPr>
              <w:t>环境保护目标</w:t>
            </w:r>
          </w:p>
        </w:tc>
        <w:tc>
          <w:tcPr>
            <w:tcW w:w="2298" w:type="dxa"/>
            <w:gridSpan w:val="2"/>
            <w:vAlign w:val="center"/>
          </w:tcPr>
          <w:p>
            <w:pPr>
              <w:jc w:val="center"/>
              <w:rPr>
                <w:b/>
                <w:color w:val="auto"/>
                <w:szCs w:val="21"/>
                <w:highlight w:val="none"/>
              </w:rPr>
            </w:pPr>
            <w:r>
              <w:rPr>
                <w:b/>
                <w:color w:val="auto"/>
                <w:szCs w:val="21"/>
                <w:highlight w:val="none"/>
              </w:rPr>
              <w:t>与项目的相对位置</w:t>
            </w:r>
          </w:p>
        </w:tc>
        <w:tc>
          <w:tcPr>
            <w:tcW w:w="1670" w:type="dxa"/>
            <w:vMerge w:val="restart"/>
            <w:vAlign w:val="center"/>
          </w:tcPr>
          <w:p>
            <w:pPr>
              <w:jc w:val="center"/>
              <w:rPr>
                <w:b/>
                <w:color w:val="auto"/>
                <w:szCs w:val="21"/>
                <w:highlight w:val="none"/>
              </w:rPr>
            </w:pPr>
            <w:r>
              <w:rPr>
                <w:b/>
                <w:color w:val="auto"/>
                <w:szCs w:val="21"/>
                <w:highlight w:val="none"/>
              </w:rPr>
              <w:t>功能</w:t>
            </w:r>
          </w:p>
        </w:tc>
        <w:tc>
          <w:tcPr>
            <w:tcW w:w="1127" w:type="dxa"/>
            <w:vMerge w:val="restart"/>
            <w:vAlign w:val="center"/>
          </w:tcPr>
          <w:p>
            <w:pPr>
              <w:jc w:val="center"/>
              <w:rPr>
                <w:b/>
                <w:color w:val="auto"/>
                <w:szCs w:val="21"/>
                <w:highlight w:val="none"/>
              </w:rPr>
            </w:pPr>
            <w:r>
              <w:rPr>
                <w:b/>
                <w:color w:val="auto"/>
                <w:szCs w:val="21"/>
                <w:highlight w:val="none"/>
              </w:rPr>
              <w:t>受影响规模、人数</w:t>
            </w:r>
          </w:p>
        </w:tc>
        <w:tc>
          <w:tcPr>
            <w:tcW w:w="1387" w:type="dxa"/>
            <w:vMerge w:val="restart"/>
            <w:vAlign w:val="center"/>
          </w:tcPr>
          <w:p>
            <w:pPr>
              <w:jc w:val="center"/>
              <w:rPr>
                <w:b/>
                <w:color w:val="auto"/>
                <w:szCs w:val="21"/>
                <w:highlight w:val="none"/>
              </w:rPr>
            </w:pPr>
            <w:r>
              <w:rPr>
                <w:b/>
                <w:color w:val="auto"/>
                <w:szCs w:val="21"/>
                <w:highlight w:val="none"/>
              </w:rPr>
              <w:t>保护项目</w:t>
            </w:r>
          </w:p>
          <w:p>
            <w:pPr>
              <w:jc w:val="center"/>
              <w:rPr>
                <w:b/>
                <w:color w:val="auto"/>
                <w:szCs w:val="21"/>
                <w:highlight w:val="none"/>
              </w:rPr>
            </w:pPr>
            <w:r>
              <w:rPr>
                <w:b/>
                <w:color w:val="auto"/>
                <w:szCs w:val="21"/>
                <w:highlight w:val="none"/>
              </w:rPr>
              <w:t>和级别</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71" w:hRule="atLeast"/>
          <w:jc w:val="center"/>
        </w:trPr>
        <w:tc>
          <w:tcPr>
            <w:tcW w:w="674" w:type="dxa"/>
            <w:vMerge w:val="continue"/>
            <w:vAlign w:val="center"/>
          </w:tcPr>
          <w:p>
            <w:pPr>
              <w:jc w:val="center"/>
              <w:rPr>
                <w:color w:val="auto"/>
                <w:szCs w:val="21"/>
                <w:highlight w:val="none"/>
              </w:rPr>
            </w:pPr>
          </w:p>
        </w:tc>
        <w:tc>
          <w:tcPr>
            <w:tcW w:w="2130" w:type="dxa"/>
            <w:vMerge w:val="continue"/>
            <w:vAlign w:val="center"/>
          </w:tcPr>
          <w:p>
            <w:pPr>
              <w:jc w:val="center"/>
              <w:rPr>
                <w:color w:val="auto"/>
                <w:szCs w:val="21"/>
                <w:highlight w:val="none"/>
              </w:rPr>
            </w:pPr>
          </w:p>
        </w:tc>
        <w:tc>
          <w:tcPr>
            <w:tcW w:w="708" w:type="dxa"/>
            <w:vAlign w:val="center"/>
          </w:tcPr>
          <w:p>
            <w:pPr>
              <w:jc w:val="center"/>
              <w:rPr>
                <w:b/>
                <w:color w:val="auto"/>
                <w:szCs w:val="21"/>
                <w:highlight w:val="none"/>
              </w:rPr>
            </w:pPr>
            <w:r>
              <w:rPr>
                <w:b/>
                <w:color w:val="auto"/>
                <w:szCs w:val="21"/>
                <w:highlight w:val="none"/>
              </w:rPr>
              <w:t>方位</w:t>
            </w:r>
          </w:p>
        </w:tc>
        <w:tc>
          <w:tcPr>
            <w:tcW w:w="1590" w:type="dxa"/>
            <w:vAlign w:val="center"/>
          </w:tcPr>
          <w:p>
            <w:pPr>
              <w:jc w:val="center"/>
              <w:rPr>
                <w:b/>
                <w:color w:val="auto"/>
                <w:szCs w:val="21"/>
                <w:highlight w:val="none"/>
              </w:rPr>
            </w:pPr>
            <w:r>
              <w:rPr>
                <w:rFonts w:hint="eastAsia"/>
                <w:b/>
                <w:color w:val="auto"/>
                <w:szCs w:val="21"/>
                <w:highlight w:val="none"/>
                <w:lang w:val="en-US" w:eastAsia="zh-CN"/>
              </w:rPr>
              <w:t>与项目</w:t>
            </w:r>
            <w:r>
              <w:rPr>
                <w:b/>
                <w:color w:val="auto"/>
                <w:szCs w:val="21"/>
                <w:highlight w:val="none"/>
              </w:rPr>
              <w:t>距离(m)</w:t>
            </w:r>
          </w:p>
        </w:tc>
        <w:tc>
          <w:tcPr>
            <w:tcW w:w="1670" w:type="dxa"/>
            <w:vMerge w:val="continue"/>
            <w:vAlign w:val="center"/>
          </w:tcPr>
          <w:p>
            <w:pPr>
              <w:jc w:val="center"/>
              <w:rPr>
                <w:color w:val="auto"/>
                <w:szCs w:val="21"/>
                <w:highlight w:val="none"/>
              </w:rPr>
            </w:pPr>
          </w:p>
        </w:tc>
        <w:tc>
          <w:tcPr>
            <w:tcW w:w="1127" w:type="dxa"/>
            <w:vMerge w:val="continue"/>
            <w:vAlign w:val="center"/>
          </w:tcPr>
          <w:p>
            <w:pPr>
              <w:jc w:val="center"/>
              <w:rPr>
                <w:color w:val="auto"/>
                <w:szCs w:val="21"/>
                <w:highlight w:val="none"/>
              </w:rPr>
            </w:pPr>
          </w:p>
        </w:tc>
        <w:tc>
          <w:tcPr>
            <w:tcW w:w="1387" w:type="dxa"/>
            <w:vMerge w:val="continue"/>
            <w:vAlign w:val="center"/>
          </w:tcPr>
          <w:p>
            <w:pPr>
              <w:jc w:val="center"/>
              <w:rPr>
                <w:color w:val="auto"/>
                <w:szCs w:val="21"/>
                <w:highlight w:val="none"/>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68" w:hRule="atLeast"/>
          <w:jc w:val="center"/>
        </w:trPr>
        <w:tc>
          <w:tcPr>
            <w:tcW w:w="674" w:type="dxa"/>
            <w:vAlign w:val="center"/>
          </w:tcPr>
          <w:p>
            <w:pPr>
              <w:jc w:val="center"/>
              <w:rPr>
                <w:color w:val="auto"/>
                <w:szCs w:val="21"/>
                <w:highlight w:val="none"/>
              </w:rPr>
            </w:pPr>
            <w:r>
              <w:rPr>
                <w:color w:val="auto"/>
                <w:szCs w:val="21"/>
                <w:highlight w:val="none"/>
              </w:rPr>
              <w:t>1</w:t>
            </w:r>
          </w:p>
        </w:tc>
        <w:tc>
          <w:tcPr>
            <w:tcW w:w="2130" w:type="dxa"/>
            <w:vAlign w:val="center"/>
          </w:tcPr>
          <w:p>
            <w:pPr>
              <w:jc w:val="center"/>
              <w:rPr>
                <w:rFonts w:hint="eastAsia" w:eastAsia="宋体"/>
                <w:color w:val="auto"/>
                <w:szCs w:val="21"/>
                <w:highlight w:val="none"/>
                <w:lang w:eastAsia="zh-CN"/>
              </w:rPr>
            </w:pPr>
            <w:r>
              <w:rPr>
                <w:rFonts w:hint="eastAsia" w:eastAsia="宋体"/>
                <w:color w:val="auto"/>
                <w:szCs w:val="21"/>
                <w:highlight w:val="none"/>
                <w:lang w:eastAsia="zh-CN"/>
              </w:rPr>
              <w:t>江山路第二小学</w:t>
            </w:r>
          </w:p>
        </w:tc>
        <w:tc>
          <w:tcPr>
            <w:tcW w:w="708" w:type="dxa"/>
            <w:vAlign w:val="center"/>
          </w:tcPr>
          <w:p>
            <w:pPr>
              <w:jc w:val="center"/>
              <w:rPr>
                <w:color w:val="auto"/>
                <w:szCs w:val="21"/>
                <w:highlight w:val="none"/>
              </w:rPr>
            </w:pPr>
            <w:r>
              <w:rPr>
                <w:color w:val="auto"/>
                <w:szCs w:val="21"/>
                <w:highlight w:val="none"/>
              </w:rPr>
              <w:t>SE</w:t>
            </w:r>
          </w:p>
        </w:tc>
        <w:tc>
          <w:tcPr>
            <w:tcW w:w="1590"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2080</w:t>
            </w:r>
          </w:p>
        </w:tc>
        <w:tc>
          <w:tcPr>
            <w:tcW w:w="1670" w:type="dxa"/>
            <w:vMerge w:val="restart"/>
            <w:vAlign w:val="center"/>
          </w:tcPr>
          <w:p>
            <w:pPr>
              <w:jc w:val="center"/>
              <w:rPr>
                <w:color w:val="auto"/>
                <w:szCs w:val="21"/>
                <w:highlight w:val="none"/>
              </w:rPr>
            </w:pPr>
            <w:r>
              <w:rPr>
                <w:color w:val="auto"/>
                <w:szCs w:val="21"/>
                <w:highlight w:val="none"/>
              </w:rPr>
              <w:t>学校</w:t>
            </w:r>
          </w:p>
          <w:p>
            <w:pPr>
              <w:jc w:val="center"/>
              <w:rPr>
                <w:color w:val="auto"/>
                <w:szCs w:val="21"/>
                <w:highlight w:val="none"/>
              </w:rPr>
            </w:pPr>
          </w:p>
        </w:tc>
        <w:tc>
          <w:tcPr>
            <w:tcW w:w="1127"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1400</w:t>
            </w:r>
          </w:p>
        </w:tc>
        <w:tc>
          <w:tcPr>
            <w:tcW w:w="1387" w:type="dxa"/>
            <w:vMerge w:val="restart"/>
            <w:vAlign w:val="center"/>
          </w:tcPr>
          <w:p>
            <w:pPr>
              <w:jc w:val="center"/>
              <w:rPr>
                <w:color w:val="auto"/>
                <w:szCs w:val="21"/>
                <w:highlight w:val="none"/>
              </w:rPr>
            </w:pPr>
            <w:r>
              <w:rPr>
                <w:color w:val="auto"/>
                <w:szCs w:val="21"/>
                <w:highlight w:val="none"/>
              </w:rPr>
              <w:t>大</w:t>
            </w:r>
          </w:p>
          <w:p>
            <w:pPr>
              <w:jc w:val="center"/>
              <w:rPr>
                <w:color w:val="auto"/>
                <w:szCs w:val="21"/>
                <w:highlight w:val="none"/>
              </w:rPr>
            </w:pPr>
            <w:r>
              <w:rPr>
                <w:color w:val="auto"/>
                <w:szCs w:val="21"/>
                <w:highlight w:val="none"/>
              </w:rPr>
              <w:t>气</w:t>
            </w:r>
          </w:p>
          <w:p>
            <w:pPr>
              <w:jc w:val="center"/>
              <w:rPr>
                <w:color w:val="auto"/>
                <w:szCs w:val="21"/>
                <w:highlight w:val="none"/>
              </w:rPr>
            </w:pPr>
            <w:r>
              <w:rPr>
                <w:color w:val="auto"/>
                <w:szCs w:val="21"/>
                <w:highlight w:val="none"/>
              </w:rPr>
              <w:t>环</w:t>
            </w:r>
          </w:p>
          <w:p>
            <w:pPr>
              <w:jc w:val="center"/>
              <w:rPr>
                <w:color w:val="auto"/>
                <w:szCs w:val="21"/>
                <w:highlight w:val="none"/>
              </w:rPr>
            </w:pPr>
            <w:r>
              <w:rPr>
                <w:color w:val="auto"/>
                <w:szCs w:val="21"/>
                <w:highlight w:val="none"/>
              </w:rPr>
              <w:t>境</w:t>
            </w:r>
          </w:p>
          <w:p>
            <w:pPr>
              <w:jc w:val="center"/>
              <w:rPr>
                <w:color w:val="auto"/>
                <w:szCs w:val="21"/>
                <w:highlight w:val="none"/>
              </w:rPr>
            </w:pPr>
            <w:r>
              <w:rPr>
                <w:color w:val="auto"/>
                <w:szCs w:val="21"/>
                <w:highlight w:val="none"/>
              </w:rPr>
              <w:t>二</w:t>
            </w:r>
          </w:p>
          <w:p>
            <w:pPr>
              <w:jc w:val="center"/>
              <w:rPr>
                <w:color w:val="auto"/>
                <w:szCs w:val="21"/>
                <w:highlight w:val="none"/>
              </w:rPr>
            </w:pPr>
            <w:r>
              <w:rPr>
                <w:color w:val="auto"/>
                <w:szCs w:val="21"/>
                <w:highlight w:val="none"/>
              </w:rPr>
              <w:t>类</w:t>
            </w:r>
          </w:p>
          <w:p>
            <w:pPr>
              <w:jc w:val="center"/>
              <w:rPr>
                <w:color w:val="auto"/>
                <w:szCs w:val="21"/>
                <w:highlight w:val="none"/>
              </w:rPr>
            </w:pPr>
            <w:r>
              <w:rPr>
                <w:color w:val="auto"/>
                <w:szCs w:val="21"/>
                <w:highlight w:val="none"/>
              </w:rPr>
              <w:t>、</w:t>
            </w:r>
          </w:p>
          <w:p>
            <w:pPr>
              <w:jc w:val="center"/>
              <w:rPr>
                <w:color w:val="auto"/>
                <w:szCs w:val="21"/>
                <w:highlight w:val="none"/>
              </w:rPr>
            </w:pPr>
            <w:r>
              <w:rPr>
                <w:color w:val="auto"/>
                <w:szCs w:val="21"/>
                <w:highlight w:val="none"/>
              </w:rPr>
              <w:t>环</w:t>
            </w:r>
          </w:p>
          <w:p>
            <w:pPr>
              <w:jc w:val="center"/>
              <w:rPr>
                <w:color w:val="auto"/>
                <w:szCs w:val="21"/>
                <w:highlight w:val="none"/>
              </w:rPr>
            </w:pPr>
            <w:r>
              <w:rPr>
                <w:color w:val="auto"/>
                <w:szCs w:val="21"/>
                <w:highlight w:val="none"/>
              </w:rPr>
              <w:t>境</w:t>
            </w:r>
          </w:p>
          <w:p>
            <w:pPr>
              <w:jc w:val="center"/>
              <w:rPr>
                <w:color w:val="auto"/>
                <w:szCs w:val="21"/>
                <w:highlight w:val="none"/>
              </w:rPr>
            </w:pPr>
            <w:r>
              <w:rPr>
                <w:color w:val="auto"/>
                <w:szCs w:val="21"/>
                <w:highlight w:val="none"/>
              </w:rPr>
              <w:t>风</w:t>
            </w:r>
          </w:p>
          <w:p>
            <w:pPr>
              <w:jc w:val="center"/>
              <w:rPr>
                <w:color w:val="auto"/>
                <w:szCs w:val="21"/>
                <w:highlight w:val="none"/>
              </w:rPr>
            </w:pPr>
            <w:r>
              <w:rPr>
                <w:color w:val="auto"/>
                <w:szCs w:val="21"/>
                <w:highlight w:val="none"/>
              </w:rPr>
              <w:t>险</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68" w:hRule="atLeast"/>
          <w:jc w:val="center"/>
        </w:trPr>
        <w:tc>
          <w:tcPr>
            <w:tcW w:w="674" w:type="dxa"/>
            <w:vAlign w:val="center"/>
          </w:tcPr>
          <w:p>
            <w:pPr>
              <w:jc w:val="center"/>
              <w:rPr>
                <w:color w:val="auto"/>
                <w:szCs w:val="21"/>
                <w:highlight w:val="none"/>
              </w:rPr>
            </w:pPr>
            <w:r>
              <w:rPr>
                <w:color w:val="auto"/>
                <w:szCs w:val="21"/>
                <w:highlight w:val="none"/>
              </w:rPr>
              <w:t>2</w:t>
            </w:r>
          </w:p>
        </w:tc>
        <w:tc>
          <w:tcPr>
            <w:tcW w:w="2130" w:type="dxa"/>
            <w:vAlign w:val="center"/>
          </w:tcPr>
          <w:p>
            <w:pPr>
              <w:jc w:val="center"/>
              <w:rPr>
                <w:rFonts w:hint="eastAsia" w:eastAsia="宋体"/>
                <w:color w:val="auto"/>
                <w:szCs w:val="21"/>
                <w:highlight w:val="none"/>
                <w:lang w:val="en-US" w:eastAsia="zh-CN"/>
              </w:rPr>
            </w:pPr>
            <w:r>
              <w:rPr>
                <w:rFonts w:hint="eastAsia"/>
                <w:color w:val="auto"/>
                <w:szCs w:val="21"/>
                <w:highlight w:val="none"/>
                <w:lang w:eastAsia="zh-CN"/>
              </w:rPr>
              <w:t>辛安初中</w:t>
            </w:r>
          </w:p>
        </w:tc>
        <w:tc>
          <w:tcPr>
            <w:tcW w:w="708" w:type="dxa"/>
            <w:vAlign w:val="center"/>
          </w:tcPr>
          <w:p>
            <w:pPr>
              <w:jc w:val="center"/>
              <w:rPr>
                <w:color w:val="auto"/>
                <w:szCs w:val="21"/>
                <w:highlight w:val="none"/>
              </w:rPr>
            </w:pPr>
            <w:r>
              <w:rPr>
                <w:color w:val="auto"/>
                <w:szCs w:val="21"/>
                <w:highlight w:val="none"/>
              </w:rPr>
              <w:t>SE</w:t>
            </w:r>
          </w:p>
        </w:tc>
        <w:tc>
          <w:tcPr>
            <w:tcW w:w="1590"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2600</w:t>
            </w:r>
          </w:p>
        </w:tc>
        <w:tc>
          <w:tcPr>
            <w:tcW w:w="1670" w:type="dxa"/>
            <w:vMerge w:val="continue"/>
          </w:tcPr>
          <w:p>
            <w:pPr>
              <w:jc w:val="center"/>
              <w:rPr>
                <w:color w:val="auto"/>
                <w:highlight w:val="none"/>
              </w:rPr>
            </w:pPr>
          </w:p>
        </w:tc>
        <w:tc>
          <w:tcPr>
            <w:tcW w:w="1127"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1850</w:t>
            </w:r>
          </w:p>
        </w:tc>
        <w:tc>
          <w:tcPr>
            <w:tcW w:w="1387" w:type="dxa"/>
            <w:vMerge w:val="continue"/>
            <w:vAlign w:val="center"/>
          </w:tcPr>
          <w:p>
            <w:pPr>
              <w:jc w:val="center"/>
              <w:rPr>
                <w:color w:val="auto"/>
                <w:szCs w:val="21"/>
                <w:highlight w:val="none"/>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PrEx>
        <w:trPr>
          <w:trHeight w:val="68" w:hRule="atLeast"/>
          <w:jc w:val="center"/>
        </w:trPr>
        <w:tc>
          <w:tcPr>
            <w:tcW w:w="674" w:type="dxa"/>
            <w:vAlign w:val="center"/>
          </w:tcPr>
          <w:p>
            <w:pPr>
              <w:jc w:val="center"/>
              <w:rPr>
                <w:color w:val="auto"/>
                <w:szCs w:val="21"/>
                <w:highlight w:val="none"/>
              </w:rPr>
            </w:pPr>
            <w:r>
              <w:rPr>
                <w:color w:val="auto"/>
                <w:szCs w:val="21"/>
                <w:highlight w:val="none"/>
              </w:rPr>
              <w:t>3</w:t>
            </w:r>
          </w:p>
        </w:tc>
        <w:tc>
          <w:tcPr>
            <w:tcW w:w="2130" w:type="dxa"/>
            <w:vAlign w:val="center"/>
          </w:tcPr>
          <w:p>
            <w:pPr>
              <w:jc w:val="center"/>
              <w:rPr>
                <w:rFonts w:hint="eastAsia" w:eastAsia="宋体"/>
                <w:color w:val="auto"/>
                <w:szCs w:val="21"/>
                <w:highlight w:val="none"/>
                <w:lang w:eastAsia="zh-CN"/>
              </w:rPr>
            </w:pPr>
            <w:r>
              <w:rPr>
                <w:rFonts w:hint="eastAsia"/>
                <w:color w:val="auto"/>
                <w:szCs w:val="21"/>
                <w:highlight w:val="none"/>
                <w:lang w:eastAsia="zh-CN"/>
              </w:rPr>
              <w:t>育英初中</w:t>
            </w:r>
          </w:p>
        </w:tc>
        <w:tc>
          <w:tcPr>
            <w:tcW w:w="708" w:type="dxa"/>
            <w:vAlign w:val="center"/>
          </w:tcPr>
          <w:p>
            <w:pPr>
              <w:jc w:val="center"/>
              <w:rPr>
                <w:rFonts w:hint="eastAsia" w:eastAsia="宋体"/>
                <w:color w:val="auto"/>
                <w:szCs w:val="21"/>
                <w:highlight w:val="none"/>
                <w:lang w:eastAsia="zh-CN"/>
              </w:rPr>
            </w:pPr>
            <w:r>
              <w:rPr>
                <w:rFonts w:hint="eastAsia"/>
                <w:color w:val="auto"/>
                <w:szCs w:val="21"/>
                <w:highlight w:val="none"/>
                <w:lang w:val="en-US" w:eastAsia="zh-CN"/>
              </w:rPr>
              <w:t>W</w:t>
            </w:r>
          </w:p>
        </w:tc>
        <w:tc>
          <w:tcPr>
            <w:tcW w:w="1590"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1980</w:t>
            </w:r>
          </w:p>
        </w:tc>
        <w:tc>
          <w:tcPr>
            <w:tcW w:w="1670" w:type="dxa"/>
            <w:vMerge w:val="continue"/>
          </w:tcPr>
          <w:p>
            <w:pPr>
              <w:jc w:val="center"/>
              <w:rPr>
                <w:color w:val="auto"/>
                <w:highlight w:val="none"/>
              </w:rPr>
            </w:pPr>
          </w:p>
        </w:tc>
        <w:tc>
          <w:tcPr>
            <w:tcW w:w="1127" w:type="dxa"/>
            <w:vAlign w:val="center"/>
          </w:tcPr>
          <w:p>
            <w:pPr>
              <w:jc w:val="center"/>
              <w:rPr>
                <w:color w:val="auto"/>
                <w:szCs w:val="21"/>
                <w:highlight w:val="none"/>
              </w:rPr>
            </w:pPr>
            <w:r>
              <w:rPr>
                <w:color w:val="auto"/>
                <w:szCs w:val="21"/>
                <w:highlight w:val="none"/>
              </w:rPr>
              <w:t>1600</w:t>
            </w:r>
          </w:p>
        </w:tc>
        <w:tc>
          <w:tcPr>
            <w:tcW w:w="1387" w:type="dxa"/>
            <w:vMerge w:val="continue"/>
            <w:vAlign w:val="center"/>
          </w:tcPr>
          <w:p>
            <w:pPr>
              <w:jc w:val="center"/>
              <w:rPr>
                <w:color w:val="auto"/>
                <w:szCs w:val="21"/>
                <w:highlight w:val="none"/>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75" w:hRule="atLeast"/>
          <w:jc w:val="center"/>
        </w:trPr>
        <w:tc>
          <w:tcPr>
            <w:tcW w:w="674" w:type="dxa"/>
            <w:vAlign w:val="center"/>
          </w:tcPr>
          <w:p>
            <w:pPr>
              <w:jc w:val="center"/>
              <w:rPr>
                <w:color w:val="auto"/>
                <w:szCs w:val="21"/>
                <w:highlight w:val="none"/>
              </w:rPr>
            </w:pPr>
            <w:r>
              <w:rPr>
                <w:color w:val="auto"/>
                <w:szCs w:val="21"/>
                <w:highlight w:val="none"/>
              </w:rPr>
              <w:t>4</w:t>
            </w:r>
          </w:p>
        </w:tc>
        <w:tc>
          <w:tcPr>
            <w:tcW w:w="2130" w:type="dxa"/>
            <w:vAlign w:val="center"/>
          </w:tcPr>
          <w:p>
            <w:pPr>
              <w:jc w:val="center"/>
              <w:rPr>
                <w:rFonts w:hint="eastAsia" w:eastAsia="宋体"/>
                <w:color w:val="auto"/>
                <w:szCs w:val="21"/>
                <w:highlight w:val="none"/>
                <w:lang w:eastAsia="zh-CN"/>
              </w:rPr>
            </w:pPr>
            <w:r>
              <w:rPr>
                <w:rFonts w:hint="eastAsia"/>
                <w:color w:val="auto"/>
                <w:szCs w:val="21"/>
                <w:highlight w:val="none"/>
                <w:lang w:eastAsia="zh-CN"/>
              </w:rPr>
              <w:t>德龙崇明小区</w:t>
            </w:r>
          </w:p>
        </w:tc>
        <w:tc>
          <w:tcPr>
            <w:tcW w:w="708"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NE</w:t>
            </w:r>
          </w:p>
        </w:tc>
        <w:tc>
          <w:tcPr>
            <w:tcW w:w="1590"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2372</w:t>
            </w:r>
          </w:p>
        </w:tc>
        <w:tc>
          <w:tcPr>
            <w:tcW w:w="1670" w:type="dxa"/>
            <w:vMerge w:val="restart"/>
            <w:vAlign w:val="center"/>
          </w:tcPr>
          <w:p>
            <w:pPr>
              <w:jc w:val="center"/>
              <w:rPr>
                <w:color w:val="auto"/>
                <w:szCs w:val="21"/>
                <w:highlight w:val="none"/>
              </w:rPr>
            </w:pPr>
            <w:r>
              <w:rPr>
                <w:color w:val="auto"/>
                <w:szCs w:val="21"/>
                <w:highlight w:val="none"/>
              </w:rPr>
              <w:t>居住区</w:t>
            </w:r>
          </w:p>
        </w:tc>
        <w:tc>
          <w:tcPr>
            <w:tcW w:w="1127"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400</w:t>
            </w:r>
          </w:p>
        </w:tc>
        <w:tc>
          <w:tcPr>
            <w:tcW w:w="1387" w:type="dxa"/>
            <w:vMerge w:val="continue"/>
            <w:vAlign w:val="center"/>
          </w:tcPr>
          <w:p>
            <w:pPr>
              <w:jc w:val="center"/>
              <w:rPr>
                <w:color w:val="auto"/>
                <w:szCs w:val="21"/>
                <w:highlight w:val="none"/>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75" w:hRule="atLeast"/>
          <w:jc w:val="center"/>
        </w:trPr>
        <w:tc>
          <w:tcPr>
            <w:tcW w:w="674" w:type="dxa"/>
            <w:vAlign w:val="center"/>
          </w:tcPr>
          <w:p>
            <w:pPr>
              <w:jc w:val="center"/>
              <w:rPr>
                <w:rFonts w:hint="eastAsia" w:eastAsia="宋体"/>
                <w:color w:val="auto"/>
                <w:szCs w:val="21"/>
                <w:highlight w:val="none"/>
                <w:lang w:eastAsia="zh-CN"/>
              </w:rPr>
            </w:pPr>
            <w:r>
              <w:rPr>
                <w:rFonts w:hint="eastAsia"/>
                <w:color w:val="auto"/>
                <w:szCs w:val="21"/>
                <w:highlight w:val="none"/>
                <w:lang w:val="en-US" w:eastAsia="zh-CN"/>
              </w:rPr>
              <w:t>5</w:t>
            </w:r>
          </w:p>
        </w:tc>
        <w:tc>
          <w:tcPr>
            <w:tcW w:w="2130" w:type="dxa"/>
            <w:vAlign w:val="center"/>
          </w:tcPr>
          <w:p>
            <w:pPr>
              <w:jc w:val="center"/>
              <w:rPr>
                <w:rFonts w:hint="eastAsia" w:eastAsia="宋体"/>
                <w:color w:val="auto"/>
                <w:szCs w:val="21"/>
                <w:highlight w:val="none"/>
                <w:lang w:eastAsia="zh-CN"/>
              </w:rPr>
            </w:pPr>
            <w:r>
              <w:rPr>
                <w:rFonts w:hint="eastAsia"/>
                <w:color w:val="auto"/>
                <w:szCs w:val="21"/>
                <w:highlight w:val="none"/>
                <w:lang w:eastAsia="zh-CN"/>
              </w:rPr>
              <w:t>窝棚社区</w:t>
            </w:r>
          </w:p>
        </w:tc>
        <w:tc>
          <w:tcPr>
            <w:tcW w:w="708"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NE</w:t>
            </w:r>
          </w:p>
        </w:tc>
        <w:tc>
          <w:tcPr>
            <w:tcW w:w="1590"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2300</w:t>
            </w:r>
          </w:p>
        </w:tc>
        <w:tc>
          <w:tcPr>
            <w:tcW w:w="1670" w:type="dxa"/>
            <w:vMerge w:val="continue"/>
          </w:tcPr>
          <w:p>
            <w:pPr>
              <w:jc w:val="center"/>
              <w:rPr>
                <w:color w:val="auto"/>
                <w:highlight w:val="none"/>
              </w:rPr>
            </w:pPr>
          </w:p>
        </w:tc>
        <w:tc>
          <w:tcPr>
            <w:tcW w:w="1127" w:type="dxa"/>
            <w:vAlign w:val="center"/>
          </w:tcPr>
          <w:p>
            <w:pPr>
              <w:jc w:val="center"/>
              <w:rPr>
                <w:color w:val="auto"/>
                <w:szCs w:val="21"/>
                <w:highlight w:val="none"/>
              </w:rPr>
            </w:pPr>
            <w:r>
              <w:rPr>
                <w:color w:val="auto"/>
                <w:szCs w:val="21"/>
                <w:highlight w:val="none"/>
              </w:rPr>
              <w:t>3000</w:t>
            </w:r>
          </w:p>
        </w:tc>
        <w:tc>
          <w:tcPr>
            <w:tcW w:w="1387" w:type="dxa"/>
            <w:vMerge w:val="continue"/>
            <w:vAlign w:val="center"/>
          </w:tcPr>
          <w:p>
            <w:pPr>
              <w:jc w:val="center"/>
              <w:rPr>
                <w:color w:val="auto"/>
                <w:szCs w:val="21"/>
                <w:highlight w:val="none"/>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75" w:hRule="atLeast"/>
          <w:jc w:val="center"/>
        </w:trPr>
        <w:tc>
          <w:tcPr>
            <w:tcW w:w="674" w:type="dxa"/>
            <w:vAlign w:val="center"/>
          </w:tcPr>
          <w:p>
            <w:pPr>
              <w:jc w:val="center"/>
              <w:rPr>
                <w:color w:val="auto"/>
                <w:szCs w:val="21"/>
                <w:highlight w:val="none"/>
              </w:rPr>
            </w:pPr>
            <w:r>
              <w:rPr>
                <w:color w:val="auto"/>
                <w:szCs w:val="21"/>
                <w:highlight w:val="none"/>
              </w:rPr>
              <w:t>6</w:t>
            </w:r>
          </w:p>
        </w:tc>
        <w:tc>
          <w:tcPr>
            <w:tcW w:w="2130" w:type="dxa"/>
            <w:vAlign w:val="center"/>
          </w:tcPr>
          <w:p>
            <w:pPr>
              <w:jc w:val="center"/>
              <w:rPr>
                <w:rFonts w:hint="eastAsia" w:eastAsia="宋体"/>
                <w:color w:val="auto"/>
                <w:szCs w:val="21"/>
                <w:highlight w:val="none"/>
                <w:lang w:eastAsia="zh-CN"/>
              </w:rPr>
            </w:pPr>
            <w:r>
              <w:rPr>
                <w:rFonts w:hint="eastAsia"/>
                <w:color w:val="auto"/>
                <w:szCs w:val="21"/>
                <w:highlight w:val="none"/>
                <w:lang w:eastAsia="zh-CN"/>
              </w:rPr>
              <w:t>澎湖岛社区</w:t>
            </w:r>
          </w:p>
        </w:tc>
        <w:tc>
          <w:tcPr>
            <w:tcW w:w="708"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NE</w:t>
            </w:r>
          </w:p>
        </w:tc>
        <w:tc>
          <w:tcPr>
            <w:tcW w:w="1590"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2264</w:t>
            </w:r>
          </w:p>
        </w:tc>
        <w:tc>
          <w:tcPr>
            <w:tcW w:w="1670" w:type="dxa"/>
            <w:vMerge w:val="continue"/>
          </w:tcPr>
          <w:p>
            <w:pPr>
              <w:jc w:val="center"/>
              <w:rPr>
                <w:color w:val="auto"/>
                <w:highlight w:val="none"/>
              </w:rPr>
            </w:pPr>
          </w:p>
        </w:tc>
        <w:tc>
          <w:tcPr>
            <w:tcW w:w="1127" w:type="dxa"/>
          </w:tcPr>
          <w:p>
            <w:pPr>
              <w:jc w:val="center"/>
              <w:rPr>
                <w:color w:val="auto"/>
                <w:highlight w:val="none"/>
              </w:rPr>
            </w:pPr>
            <w:r>
              <w:rPr>
                <w:rFonts w:hint="eastAsia"/>
                <w:color w:val="auto"/>
                <w:szCs w:val="21"/>
                <w:highlight w:val="none"/>
                <w:lang w:val="en-US" w:eastAsia="zh-CN"/>
              </w:rPr>
              <w:t>1</w:t>
            </w:r>
            <w:r>
              <w:rPr>
                <w:color w:val="auto"/>
                <w:szCs w:val="21"/>
                <w:highlight w:val="none"/>
              </w:rPr>
              <w:t>200</w:t>
            </w:r>
          </w:p>
        </w:tc>
        <w:tc>
          <w:tcPr>
            <w:tcW w:w="1387" w:type="dxa"/>
            <w:vMerge w:val="continue"/>
            <w:vAlign w:val="center"/>
          </w:tcPr>
          <w:p>
            <w:pPr>
              <w:jc w:val="center"/>
              <w:rPr>
                <w:color w:val="auto"/>
                <w:szCs w:val="21"/>
                <w:highlight w:val="none"/>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75" w:hRule="atLeast"/>
          <w:jc w:val="center"/>
        </w:trPr>
        <w:tc>
          <w:tcPr>
            <w:tcW w:w="674" w:type="dxa"/>
            <w:vAlign w:val="center"/>
          </w:tcPr>
          <w:p>
            <w:pPr>
              <w:jc w:val="center"/>
              <w:rPr>
                <w:color w:val="auto"/>
                <w:szCs w:val="21"/>
                <w:highlight w:val="none"/>
              </w:rPr>
            </w:pPr>
            <w:r>
              <w:rPr>
                <w:color w:val="auto"/>
                <w:szCs w:val="21"/>
                <w:highlight w:val="none"/>
              </w:rPr>
              <w:t>7</w:t>
            </w:r>
          </w:p>
        </w:tc>
        <w:tc>
          <w:tcPr>
            <w:tcW w:w="2130"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新港花园</w:t>
            </w:r>
          </w:p>
        </w:tc>
        <w:tc>
          <w:tcPr>
            <w:tcW w:w="708"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SW</w:t>
            </w:r>
          </w:p>
        </w:tc>
        <w:tc>
          <w:tcPr>
            <w:tcW w:w="1590"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1700</w:t>
            </w:r>
          </w:p>
        </w:tc>
        <w:tc>
          <w:tcPr>
            <w:tcW w:w="1670" w:type="dxa"/>
            <w:vMerge w:val="continue"/>
          </w:tcPr>
          <w:p>
            <w:pPr>
              <w:jc w:val="center"/>
              <w:rPr>
                <w:color w:val="auto"/>
                <w:highlight w:val="none"/>
              </w:rPr>
            </w:pPr>
          </w:p>
        </w:tc>
        <w:tc>
          <w:tcPr>
            <w:tcW w:w="1127" w:type="dxa"/>
          </w:tcPr>
          <w:p>
            <w:pPr>
              <w:jc w:val="center"/>
              <w:rPr>
                <w:color w:val="auto"/>
                <w:highlight w:val="none"/>
              </w:rPr>
            </w:pPr>
            <w:r>
              <w:rPr>
                <w:rFonts w:hint="eastAsia"/>
                <w:color w:val="auto"/>
                <w:szCs w:val="21"/>
                <w:highlight w:val="none"/>
                <w:lang w:val="en-US" w:eastAsia="zh-CN"/>
              </w:rPr>
              <w:t>6</w:t>
            </w:r>
            <w:r>
              <w:rPr>
                <w:color w:val="auto"/>
                <w:szCs w:val="21"/>
                <w:highlight w:val="none"/>
              </w:rPr>
              <w:t>00</w:t>
            </w:r>
          </w:p>
        </w:tc>
        <w:tc>
          <w:tcPr>
            <w:tcW w:w="1387" w:type="dxa"/>
            <w:vMerge w:val="continue"/>
            <w:vAlign w:val="center"/>
          </w:tcPr>
          <w:p>
            <w:pPr>
              <w:jc w:val="center"/>
              <w:rPr>
                <w:color w:val="auto"/>
                <w:szCs w:val="21"/>
                <w:highlight w:val="none"/>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75" w:hRule="atLeast"/>
          <w:jc w:val="center"/>
        </w:trPr>
        <w:tc>
          <w:tcPr>
            <w:tcW w:w="674" w:type="dxa"/>
            <w:vAlign w:val="center"/>
          </w:tcPr>
          <w:p>
            <w:pPr>
              <w:jc w:val="center"/>
              <w:rPr>
                <w:color w:val="auto"/>
                <w:szCs w:val="21"/>
                <w:highlight w:val="none"/>
              </w:rPr>
            </w:pPr>
            <w:r>
              <w:rPr>
                <w:color w:val="auto"/>
                <w:szCs w:val="21"/>
                <w:highlight w:val="none"/>
              </w:rPr>
              <w:t>8</w:t>
            </w:r>
          </w:p>
        </w:tc>
        <w:tc>
          <w:tcPr>
            <w:tcW w:w="2130" w:type="dxa"/>
            <w:vAlign w:val="center"/>
          </w:tcPr>
          <w:p>
            <w:pPr>
              <w:jc w:val="center"/>
              <w:rPr>
                <w:color w:val="auto"/>
                <w:szCs w:val="21"/>
                <w:highlight w:val="none"/>
              </w:rPr>
            </w:pPr>
            <w:r>
              <w:rPr>
                <w:rFonts w:hint="eastAsia"/>
                <w:color w:val="auto"/>
                <w:szCs w:val="21"/>
                <w:highlight w:val="none"/>
                <w:lang w:eastAsia="zh-CN"/>
              </w:rPr>
              <w:t>天海</w:t>
            </w:r>
            <w:r>
              <w:rPr>
                <w:color w:val="auto"/>
                <w:szCs w:val="21"/>
                <w:highlight w:val="none"/>
              </w:rPr>
              <w:t>花园</w:t>
            </w:r>
          </w:p>
        </w:tc>
        <w:tc>
          <w:tcPr>
            <w:tcW w:w="708"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SW</w:t>
            </w:r>
          </w:p>
        </w:tc>
        <w:tc>
          <w:tcPr>
            <w:tcW w:w="1590"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1910</w:t>
            </w:r>
          </w:p>
        </w:tc>
        <w:tc>
          <w:tcPr>
            <w:tcW w:w="1670" w:type="dxa"/>
            <w:vMerge w:val="continue"/>
          </w:tcPr>
          <w:p>
            <w:pPr>
              <w:jc w:val="center"/>
              <w:rPr>
                <w:color w:val="auto"/>
                <w:highlight w:val="none"/>
              </w:rPr>
            </w:pPr>
          </w:p>
        </w:tc>
        <w:tc>
          <w:tcPr>
            <w:tcW w:w="1127" w:type="dxa"/>
          </w:tcPr>
          <w:p>
            <w:pPr>
              <w:jc w:val="center"/>
              <w:rPr>
                <w:color w:val="auto"/>
                <w:highlight w:val="none"/>
              </w:rPr>
            </w:pPr>
            <w:r>
              <w:rPr>
                <w:rFonts w:hint="eastAsia"/>
                <w:color w:val="auto"/>
                <w:szCs w:val="21"/>
                <w:highlight w:val="none"/>
                <w:lang w:val="en-US" w:eastAsia="zh-CN"/>
              </w:rPr>
              <w:t>8</w:t>
            </w:r>
            <w:r>
              <w:rPr>
                <w:color w:val="auto"/>
                <w:szCs w:val="21"/>
                <w:highlight w:val="none"/>
              </w:rPr>
              <w:t>00</w:t>
            </w:r>
          </w:p>
        </w:tc>
        <w:tc>
          <w:tcPr>
            <w:tcW w:w="1387" w:type="dxa"/>
            <w:vMerge w:val="continue"/>
            <w:vAlign w:val="center"/>
          </w:tcPr>
          <w:p>
            <w:pPr>
              <w:jc w:val="center"/>
              <w:rPr>
                <w:color w:val="auto"/>
                <w:szCs w:val="21"/>
                <w:highlight w:val="none"/>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75" w:hRule="atLeast"/>
          <w:jc w:val="center"/>
        </w:trPr>
        <w:tc>
          <w:tcPr>
            <w:tcW w:w="674" w:type="dxa"/>
            <w:vAlign w:val="center"/>
          </w:tcPr>
          <w:p>
            <w:pPr>
              <w:jc w:val="center"/>
              <w:rPr>
                <w:color w:val="auto"/>
                <w:szCs w:val="21"/>
                <w:highlight w:val="none"/>
              </w:rPr>
            </w:pPr>
            <w:r>
              <w:rPr>
                <w:color w:val="auto"/>
                <w:szCs w:val="21"/>
                <w:highlight w:val="none"/>
              </w:rPr>
              <w:t>9</w:t>
            </w:r>
          </w:p>
        </w:tc>
        <w:tc>
          <w:tcPr>
            <w:tcW w:w="2130" w:type="dxa"/>
            <w:vAlign w:val="center"/>
          </w:tcPr>
          <w:p>
            <w:pPr>
              <w:jc w:val="center"/>
              <w:rPr>
                <w:rFonts w:hint="eastAsia" w:eastAsia="宋体"/>
                <w:color w:val="auto"/>
                <w:szCs w:val="21"/>
                <w:highlight w:val="none"/>
                <w:lang w:eastAsia="zh-CN"/>
              </w:rPr>
            </w:pPr>
            <w:r>
              <w:rPr>
                <w:rFonts w:hint="eastAsia"/>
                <w:color w:val="auto"/>
                <w:szCs w:val="21"/>
                <w:highlight w:val="none"/>
                <w:lang w:eastAsia="zh-CN"/>
              </w:rPr>
              <w:t>港头刘村</w:t>
            </w:r>
          </w:p>
        </w:tc>
        <w:tc>
          <w:tcPr>
            <w:tcW w:w="708"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SW</w:t>
            </w:r>
          </w:p>
        </w:tc>
        <w:tc>
          <w:tcPr>
            <w:tcW w:w="1590"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2280</w:t>
            </w:r>
          </w:p>
        </w:tc>
        <w:tc>
          <w:tcPr>
            <w:tcW w:w="1670" w:type="dxa"/>
            <w:vMerge w:val="continue"/>
          </w:tcPr>
          <w:p>
            <w:pPr>
              <w:jc w:val="center"/>
              <w:rPr>
                <w:color w:val="auto"/>
                <w:highlight w:val="none"/>
              </w:rPr>
            </w:pPr>
          </w:p>
        </w:tc>
        <w:tc>
          <w:tcPr>
            <w:tcW w:w="1127" w:type="dxa"/>
          </w:tcPr>
          <w:p>
            <w:pPr>
              <w:jc w:val="center"/>
              <w:rPr>
                <w:color w:val="auto"/>
                <w:szCs w:val="21"/>
                <w:highlight w:val="none"/>
              </w:rPr>
            </w:pPr>
            <w:r>
              <w:rPr>
                <w:rFonts w:hint="eastAsia"/>
                <w:color w:val="auto"/>
                <w:szCs w:val="21"/>
                <w:highlight w:val="none"/>
                <w:lang w:val="en-US" w:eastAsia="zh-CN"/>
              </w:rPr>
              <w:t>61</w:t>
            </w:r>
            <w:r>
              <w:rPr>
                <w:color w:val="auto"/>
                <w:szCs w:val="21"/>
                <w:highlight w:val="none"/>
              </w:rPr>
              <w:t>0</w:t>
            </w:r>
          </w:p>
        </w:tc>
        <w:tc>
          <w:tcPr>
            <w:tcW w:w="1387" w:type="dxa"/>
            <w:vMerge w:val="continue"/>
            <w:vAlign w:val="center"/>
          </w:tcPr>
          <w:p>
            <w:pPr>
              <w:jc w:val="center"/>
              <w:rPr>
                <w:color w:val="auto"/>
                <w:szCs w:val="21"/>
                <w:highlight w:val="none"/>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75" w:hRule="atLeast"/>
          <w:jc w:val="center"/>
        </w:trPr>
        <w:tc>
          <w:tcPr>
            <w:tcW w:w="674" w:type="dxa"/>
            <w:vAlign w:val="center"/>
          </w:tcPr>
          <w:p>
            <w:pPr>
              <w:jc w:val="center"/>
              <w:rPr>
                <w:color w:val="auto"/>
                <w:szCs w:val="21"/>
                <w:highlight w:val="none"/>
              </w:rPr>
            </w:pPr>
            <w:r>
              <w:rPr>
                <w:color w:val="auto"/>
                <w:szCs w:val="21"/>
                <w:highlight w:val="none"/>
              </w:rPr>
              <w:t>10</w:t>
            </w:r>
          </w:p>
        </w:tc>
        <w:tc>
          <w:tcPr>
            <w:tcW w:w="2130" w:type="dxa"/>
            <w:vAlign w:val="center"/>
          </w:tcPr>
          <w:p>
            <w:pPr>
              <w:jc w:val="center"/>
              <w:rPr>
                <w:rFonts w:hint="eastAsia" w:eastAsia="宋体"/>
                <w:color w:val="auto"/>
                <w:szCs w:val="21"/>
                <w:highlight w:val="none"/>
                <w:lang w:eastAsia="zh-CN"/>
              </w:rPr>
            </w:pPr>
            <w:r>
              <w:rPr>
                <w:rFonts w:hint="eastAsia"/>
                <w:color w:val="auto"/>
                <w:szCs w:val="21"/>
                <w:highlight w:val="none"/>
                <w:lang w:eastAsia="zh-CN"/>
              </w:rPr>
              <w:t>港头臧家村</w:t>
            </w:r>
          </w:p>
        </w:tc>
        <w:tc>
          <w:tcPr>
            <w:tcW w:w="708"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SW</w:t>
            </w:r>
          </w:p>
        </w:tc>
        <w:tc>
          <w:tcPr>
            <w:tcW w:w="1590"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1970</w:t>
            </w:r>
          </w:p>
        </w:tc>
        <w:tc>
          <w:tcPr>
            <w:tcW w:w="1670" w:type="dxa"/>
            <w:vMerge w:val="continue"/>
          </w:tcPr>
          <w:p>
            <w:pPr>
              <w:jc w:val="center"/>
              <w:rPr>
                <w:color w:val="auto"/>
                <w:highlight w:val="none"/>
              </w:rPr>
            </w:pPr>
          </w:p>
        </w:tc>
        <w:tc>
          <w:tcPr>
            <w:tcW w:w="1127" w:type="dxa"/>
          </w:tcPr>
          <w:p>
            <w:pPr>
              <w:jc w:val="center"/>
              <w:rPr>
                <w:color w:val="auto"/>
                <w:szCs w:val="21"/>
                <w:highlight w:val="none"/>
              </w:rPr>
            </w:pPr>
            <w:r>
              <w:rPr>
                <w:rFonts w:hint="eastAsia"/>
                <w:color w:val="auto"/>
                <w:szCs w:val="21"/>
                <w:highlight w:val="none"/>
                <w:lang w:val="en-US" w:eastAsia="zh-CN"/>
              </w:rPr>
              <w:t>2</w:t>
            </w:r>
            <w:r>
              <w:rPr>
                <w:color w:val="auto"/>
                <w:szCs w:val="21"/>
                <w:highlight w:val="none"/>
              </w:rPr>
              <w:t>500</w:t>
            </w:r>
          </w:p>
        </w:tc>
        <w:tc>
          <w:tcPr>
            <w:tcW w:w="1387" w:type="dxa"/>
            <w:vMerge w:val="continue"/>
            <w:vAlign w:val="center"/>
          </w:tcPr>
          <w:p>
            <w:pPr>
              <w:jc w:val="center"/>
              <w:rPr>
                <w:color w:val="auto"/>
                <w:szCs w:val="21"/>
                <w:highlight w:val="none"/>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75" w:hRule="atLeast"/>
          <w:jc w:val="center"/>
        </w:trPr>
        <w:tc>
          <w:tcPr>
            <w:tcW w:w="674" w:type="dxa"/>
            <w:vAlign w:val="center"/>
          </w:tcPr>
          <w:p>
            <w:pPr>
              <w:jc w:val="center"/>
              <w:rPr>
                <w:color w:val="auto"/>
                <w:szCs w:val="21"/>
                <w:highlight w:val="none"/>
              </w:rPr>
            </w:pPr>
            <w:r>
              <w:rPr>
                <w:color w:val="auto"/>
                <w:szCs w:val="21"/>
                <w:highlight w:val="none"/>
              </w:rPr>
              <w:t>11</w:t>
            </w:r>
          </w:p>
        </w:tc>
        <w:tc>
          <w:tcPr>
            <w:tcW w:w="2130" w:type="dxa"/>
            <w:vAlign w:val="center"/>
          </w:tcPr>
          <w:p>
            <w:pPr>
              <w:jc w:val="center"/>
              <w:rPr>
                <w:rFonts w:hint="eastAsia" w:eastAsia="宋体"/>
                <w:color w:val="auto"/>
                <w:szCs w:val="21"/>
                <w:highlight w:val="none"/>
                <w:lang w:eastAsia="zh-CN"/>
              </w:rPr>
            </w:pPr>
            <w:r>
              <w:rPr>
                <w:rFonts w:hint="eastAsia"/>
                <w:color w:val="auto"/>
                <w:szCs w:val="21"/>
                <w:highlight w:val="none"/>
                <w:lang w:eastAsia="zh-CN"/>
              </w:rPr>
              <w:t>未来城</w:t>
            </w:r>
          </w:p>
        </w:tc>
        <w:tc>
          <w:tcPr>
            <w:tcW w:w="708"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SW</w:t>
            </w:r>
          </w:p>
        </w:tc>
        <w:tc>
          <w:tcPr>
            <w:tcW w:w="1590"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2840</w:t>
            </w:r>
          </w:p>
        </w:tc>
        <w:tc>
          <w:tcPr>
            <w:tcW w:w="1670" w:type="dxa"/>
            <w:vMerge w:val="continue"/>
          </w:tcPr>
          <w:p>
            <w:pPr>
              <w:jc w:val="center"/>
              <w:rPr>
                <w:color w:val="auto"/>
                <w:highlight w:val="none"/>
              </w:rPr>
            </w:pPr>
          </w:p>
        </w:tc>
        <w:tc>
          <w:tcPr>
            <w:tcW w:w="1127" w:type="dxa"/>
          </w:tcPr>
          <w:p>
            <w:pPr>
              <w:jc w:val="center"/>
              <w:rPr>
                <w:color w:val="auto"/>
                <w:szCs w:val="21"/>
                <w:highlight w:val="none"/>
              </w:rPr>
            </w:pPr>
            <w:r>
              <w:rPr>
                <w:color w:val="auto"/>
                <w:szCs w:val="21"/>
                <w:highlight w:val="none"/>
              </w:rPr>
              <w:t>1300</w:t>
            </w:r>
          </w:p>
        </w:tc>
        <w:tc>
          <w:tcPr>
            <w:tcW w:w="1387" w:type="dxa"/>
            <w:vMerge w:val="continue"/>
            <w:vAlign w:val="center"/>
          </w:tcPr>
          <w:p>
            <w:pPr>
              <w:jc w:val="center"/>
              <w:rPr>
                <w:color w:val="auto"/>
                <w:szCs w:val="21"/>
                <w:highlight w:val="none"/>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75" w:hRule="atLeast"/>
          <w:jc w:val="center"/>
        </w:trPr>
        <w:tc>
          <w:tcPr>
            <w:tcW w:w="674" w:type="dxa"/>
            <w:vAlign w:val="center"/>
          </w:tcPr>
          <w:p>
            <w:pPr>
              <w:jc w:val="center"/>
              <w:rPr>
                <w:color w:val="auto"/>
                <w:szCs w:val="21"/>
                <w:highlight w:val="none"/>
              </w:rPr>
            </w:pPr>
            <w:r>
              <w:rPr>
                <w:color w:val="auto"/>
                <w:szCs w:val="21"/>
                <w:highlight w:val="none"/>
              </w:rPr>
              <w:t>12</w:t>
            </w:r>
          </w:p>
        </w:tc>
        <w:tc>
          <w:tcPr>
            <w:tcW w:w="2130" w:type="dxa"/>
            <w:vAlign w:val="center"/>
          </w:tcPr>
          <w:p>
            <w:pPr>
              <w:jc w:val="center"/>
              <w:rPr>
                <w:color w:val="auto"/>
                <w:szCs w:val="21"/>
                <w:highlight w:val="none"/>
              </w:rPr>
            </w:pPr>
            <w:r>
              <w:rPr>
                <w:rFonts w:hint="eastAsia"/>
                <w:color w:val="auto"/>
                <w:szCs w:val="21"/>
                <w:highlight w:val="none"/>
                <w:lang w:eastAsia="zh-CN"/>
              </w:rPr>
              <w:t>港头陈村</w:t>
            </w:r>
          </w:p>
        </w:tc>
        <w:tc>
          <w:tcPr>
            <w:tcW w:w="708"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SW</w:t>
            </w:r>
          </w:p>
        </w:tc>
        <w:tc>
          <w:tcPr>
            <w:tcW w:w="1590"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2010</w:t>
            </w:r>
          </w:p>
        </w:tc>
        <w:tc>
          <w:tcPr>
            <w:tcW w:w="1670" w:type="dxa"/>
            <w:vMerge w:val="continue"/>
          </w:tcPr>
          <w:p>
            <w:pPr>
              <w:jc w:val="center"/>
              <w:rPr>
                <w:color w:val="auto"/>
                <w:highlight w:val="none"/>
              </w:rPr>
            </w:pPr>
          </w:p>
        </w:tc>
        <w:tc>
          <w:tcPr>
            <w:tcW w:w="1127" w:type="dxa"/>
          </w:tcPr>
          <w:p>
            <w:pPr>
              <w:jc w:val="center"/>
              <w:rPr>
                <w:color w:val="auto"/>
                <w:szCs w:val="21"/>
                <w:highlight w:val="none"/>
              </w:rPr>
            </w:pPr>
            <w:r>
              <w:rPr>
                <w:rFonts w:hint="eastAsia"/>
                <w:color w:val="auto"/>
                <w:szCs w:val="21"/>
                <w:highlight w:val="none"/>
                <w:lang w:val="en-US" w:eastAsia="zh-CN"/>
              </w:rPr>
              <w:t>46</w:t>
            </w:r>
            <w:r>
              <w:rPr>
                <w:color w:val="auto"/>
                <w:szCs w:val="21"/>
                <w:highlight w:val="none"/>
              </w:rPr>
              <w:t>00</w:t>
            </w:r>
          </w:p>
        </w:tc>
        <w:tc>
          <w:tcPr>
            <w:tcW w:w="1387" w:type="dxa"/>
            <w:vMerge w:val="continue"/>
            <w:vAlign w:val="center"/>
          </w:tcPr>
          <w:p>
            <w:pPr>
              <w:jc w:val="center"/>
              <w:rPr>
                <w:color w:val="auto"/>
                <w:szCs w:val="21"/>
                <w:highlight w:val="none"/>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75" w:hRule="atLeast"/>
          <w:jc w:val="center"/>
        </w:trPr>
        <w:tc>
          <w:tcPr>
            <w:tcW w:w="674" w:type="dxa"/>
            <w:vAlign w:val="center"/>
          </w:tcPr>
          <w:p>
            <w:pPr>
              <w:jc w:val="center"/>
              <w:rPr>
                <w:color w:val="auto"/>
                <w:szCs w:val="21"/>
                <w:highlight w:val="none"/>
              </w:rPr>
            </w:pPr>
            <w:r>
              <w:rPr>
                <w:color w:val="auto"/>
                <w:szCs w:val="21"/>
                <w:highlight w:val="none"/>
              </w:rPr>
              <w:t>13</w:t>
            </w:r>
          </w:p>
        </w:tc>
        <w:tc>
          <w:tcPr>
            <w:tcW w:w="2130" w:type="dxa"/>
            <w:vAlign w:val="center"/>
          </w:tcPr>
          <w:p>
            <w:pPr>
              <w:jc w:val="center"/>
              <w:rPr>
                <w:rFonts w:hint="eastAsia" w:eastAsia="宋体"/>
                <w:color w:val="auto"/>
                <w:szCs w:val="21"/>
                <w:highlight w:val="none"/>
                <w:lang w:eastAsia="zh-CN"/>
              </w:rPr>
            </w:pPr>
            <w:r>
              <w:rPr>
                <w:rFonts w:hint="eastAsia"/>
                <w:color w:val="auto"/>
                <w:szCs w:val="21"/>
                <w:highlight w:val="none"/>
                <w:lang w:eastAsia="zh-CN"/>
              </w:rPr>
              <w:t>港头李村</w:t>
            </w:r>
          </w:p>
        </w:tc>
        <w:tc>
          <w:tcPr>
            <w:tcW w:w="708"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SW</w:t>
            </w:r>
          </w:p>
        </w:tc>
        <w:tc>
          <w:tcPr>
            <w:tcW w:w="1590"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3137</w:t>
            </w:r>
          </w:p>
        </w:tc>
        <w:tc>
          <w:tcPr>
            <w:tcW w:w="1670" w:type="dxa"/>
            <w:vMerge w:val="continue"/>
          </w:tcPr>
          <w:p>
            <w:pPr>
              <w:jc w:val="center"/>
              <w:rPr>
                <w:color w:val="auto"/>
                <w:highlight w:val="none"/>
              </w:rPr>
            </w:pPr>
          </w:p>
        </w:tc>
        <w:tc>
          <w:tcPr>
            <w:tcW w:w="1127" w:type="dxa"/>
          </w:tcPr>
          <w:p>
            <w:pPr>
              <w:jc w:val="center"/>
              <w:rPr>
                <w:rFonts w:hint="eastAsia" w:eastAsia="宋体"/>
                <w:color w:val="auto"/>
                <w:szCs w:val="21"/>
                <w:highlight w:val="none"/>
                <w:lang w:val="en-US" w:eastAsia="zh-CN"/>
              </w:rPr>
            </w:pPr>
            <w:r>
              <w:rPr>
                <w:color w:val="auto"/>
                <w:szCs w:val="21"/>
                <w:highlight w:val="none"/>
              </w:rPr>
              <w:t>1</w:t>
            </w:r>
            <w:r>
              <w:rPr>
                <w:rFonts w:hint="eastAsia"/>
                <w:color w:val="auto"/>
                <w:szCs w:val="21"/>
                <w:highlight w:val="none"/>
                <w:lang w:val="en-US" w:eastAsia="zh-CN"/>
              </w:rPr>
              <w:t>500</w:t>
            </w:r>
          </w:p>
        </w:tc>
        <w:tc>
          <w:tcPr>
            <w:tcW w:w="1387" w:type="dxa"/>
            <w:vMerge w:val="continue"/>
            <w:vAlign w:val="center"/>
          </w:tcPr>
          <w:p>
            <w:pPr>
              <w:jc w:val="center"/>
              <w:rPr>
                <w:color w:val="auto"/>
                <w:szCs w:val="21"/>
                <w:highlight w:val="none"/>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75" w:hRule="atLeast"/>
          <w:jc w:val="center"/>
        </w:trPr>
        <w:tc>
          <w:tcPr>
            <w:tcW w:w="674" w:type="dxa"/>
            <w:vAlign w:val="center"/>
          </w:tcPr>
          <w:p>
            <w:pPr>
              <w:jc w:val="center"/>
              <w:rPr>
                <w:color w:val="auto"/>
                <w:szCs w:val="21"/>
                <w:highlight w:val="none"/>
              </w:rPr>
            </w:pPr>
            <w:r>
              <w:rPr>
                <w:color w:val="auto"/>
                <w:szCs w:val="21"/>
                <w:highlight w:val="none"/>
              </w:rPr>
              <w:t>14</w:t>
            </w:r>
          </w:p>
        </w:tc>
        <w:tc>
          <w:tcPr>
            <w:tcW w:w="2130" w:type="dxa"/>
            <w:vAlign w:val="center"/>
          </w:tcPr>
          <w:p>
            <w:pPr>
              <w:jc w:val="center"/>
              <w:rPr>
                <w:rFonts w:hint="eastAsia" w:eastAsia="宋体"/>
                <w:color w:val="auto"/>
                <w:szCs w:val="21"/>
                <w:highlight w:val="none"/>
                <w:lang w:eastAsia="zh-CN"/>
              </w:rPr>
            </w:pPr>
            <w:r>
              <w:rPr>
                <w:rFonts w:hint="eastAsia"/>
                <w:color w:val="auto"/>
                <w:szCs w:val="21"/>
                <w:highlight w:val="none"/>
                <w:lang w:eastAsia="zh-CN"/>
              </w:rPr>
              <w:t>台头村</w:t>
            </w:r>
          </w:p>
        </w:tc>
        <w:tc>
          <w:tcPr>
            <w:tcW w:w="708" w:type="dxa"/>
            <w:vAlign w:val="center"/>
          </w:tcPr>
          <w:p>
            <w:pPr>
              <w:jc w:val="center"/>
              <w:rPr>
                <w:color w:val="auto"/>
                <w:szCs w:val="21"/>
                <w:highlight w:val="none"/>
              </w:rPr>
            </w:pPr>
            <w:r>
              <w:rPr>
                <w:rFonts w:hint="eastAsia"/>
                <w:color w:val="auto"/>
                <w:szCs w:val="21"/>
                <w:highlight w:val="none"/>
                <w:lang w:val="en-US" w:eastAsia="zh-CN"/>
              </w:rPr>
              <w:t>S</w:t>
            </w:r>
            <w:r>
              <w:rPr>
                <w:color w:val="auto"/>
                <w:szCs w:val="21"/>
                <w:highlight w:val="none"/>
              </w:rPr>
              <w:t>W</w:t>
            </w:r>
          </w:p>
        </w:tc>
        <w:tc>
          <w:tcPr>
            <w:tcW w:w="1590" w:type="dxa"/>
            <w:vAlign w:val="center"/>
          </w:tcPr>
          <w:p>
            <w:pPr>
              <w:jc w:val="center"/>
              <w:rPr>
                <w:rFonts w:hint="eastAsia" w:eastAsia="宋体"/>
                <w:color w:val="auto"/>
                <w:szCs w:val="21"/>
                <w:highlight w:val="none"/>
                <w:lang w:val="en-US" w:eastAsia="zh-CN"/>
              </w:rPr>
            </w:pPr>
            <w:r>
              <w:rPr>
                <w:color w:val="auto"/>
                <w:szCs w:val="21"/>
                <w:highlight w:val="none"/>
              </w:rPr>
              <w:t>2</w:t>
            </w:r>
            <w:r>
              <w:rPr>
                <w:rFonts w:hint="eastAsia"/>
                <w:color w:val="auto"/>
                <w:szCs w:val="21"/>
                <w:highlight w:val="none"/>
                <w:lang w:val="en-US" w:eastAsia="zh-CN"/>
              </w:rPr>
              <w:t>960</w:t>
            </w:r>
          </w:p>
        </w:tc>
        <w:tc>
          <w:tcPr>
            <w:tcW w:w="1670" w:type="dxa"/>
            <w:vMerge w:val="continue"/>
          </w:tcPr>
          <w:p>
            <w:pPr>
              <w:jc w:val="center"/>
              <w:rPr>
                <w:color w:val="auto"/>
                <w:highlight w:val="none"/>
              </w:rPr>
            </w:pPr>
          </w:p>
        </w:tc>
        <w:tc>
          <w:tcPr>
            <w:tcW w:w="1127" w:type="dxa"/>
          </w:tcPr>
          <w:p>
            <w:pPr>
              <w:jc w:val="center"/>
              <w:rPr>
                <w:rFonts w:hint="eastAsia" w:eastAsia="宋体"/>
                <w:color w:val="auto"/>
                <w:szCs w:val="21"/>
                <w:highlight w:val="none"/>
                <w:lang w:val="en-US" w:eastAsia="zh-CN"/>
              </w:rPr>
            </w:pPr>
            <w:r>
              <w:rPr>
                <w:rFonts w:hint="eastAsia"/>
                <w:color w:val="auto"/>
                <w:szCs w:val="21"/>
                <w:highlight w:val="none"/>
                <w:lang w:val="en-US" w:eastAsia="zh-CN"/>
              </w:rPr>
              <w:t>2200</w:t>
            </w:r>
          </w:p>
        </w:tc>
        <w:tc>
          <w:tcPr>
            <w:tcW w:w="1387" w:type="dxa"/>
            <w:vMerge w:val="continue"/>
            <w:vAlign w:val="center"/>
          </w:tcPr>
          <w:p>
            <w:pPr>
              <w:jc w:val="center"/>
              <w:rPr>
                <w:color w:val="auto"/>
                <w:szCs w:val="21"/>
                <w:highlight w:val="none"/>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75" w:hRule="atLeast"/>
          <w:jc w:val="center"/>
        </w:trPr>
        <w:tc>
          <w:tcPr>
            <w:tcW w:w="674" w:type="dxa"/>
            <w:vAlign w:val="center"/>
          </w:tcPr>
          <w:p>
            <w:pPr>
              <w:jc w:val="center"/>
              <w:rPr>
                <w:color w:val="auto"/>
                <w:szCs w:val="21"/>
                <w:highlight w:val="none"/>
              </w:rPr>
            </w:pPr>
            <w:r>
              <w:rPr>
                <w:color w:val="auto"/>
                <w:szCs w:val="21"/>
                <w:highlight w:val="none"/>
              </w:rPr>
              <w:t>15</w:t>
            </w:r>
          </w:p>
        </w:tc>
        <w:tc>
          <w:tcPr>
            <w:tcW w:w="2130"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德立沟社区</w:t>
            </w:r>
          </w:p>
        </w:tc>
        <w:tc>
          <w:tcPr>
            <w:tcW w:w="708" w:type="dxa"/>
            <w:vAlign w:val="center"/>
          </w:tcPr>
          <w:p>
            <w:pPr>
              <w:jc w:val="center"/>
              <w:rPr>
                <w:color w:val="auto"/>
                <w:szCs w:val="21"/>
                <w:highlight w:val="none"/>
              </w:rPr>
            </w:pPr>
            <w:r>
              <w:rPr>
                <w:color w:val="auto"/>
                <w:szCs w:val="21"/>
                <w:highlight w:val="none"/>
              </w:rPr>
              <w:t>S</w:t>
            </w:r>
          </w:p>
        </w:tc>
        <w:tc>
          <w:tcPr>
            <w:tcW w:w="1590" w:type="dxa"/>
            <w:vAlign w:val="center"/>
          </w:tcPr>
          <w:p>
            <w:pPr>
              <w:jc w:val="center"/>
              <w:rPr>
                <w:color w:val="auto"/>
                <w:szCs w:val="21"/>
                <w:highlight w:val="none"/>
              </w:rPr>
            </w:pPr>
            <w:r>
              <w:rPr>
                <w:color w:val="auto"/>
                <w:szCs w:val="21"/>
                <w:highlight w:val="none"/>
              </w:rPr>
              <w:t>1187</w:t>
            </w:r>
          </w:p>
        </w:tc>
        <w:tc>
          <w:tcPr>
            <w:tcW w:w="1670" w:type="dxa"/>
            <w:vMerge w:val="continue"/>
          </w:tcPr>
          <w:p>
            <w:pPr>
              <w:jc w:val="center"/>
              <w:rPr>
                <w:color w:val="auto"/>
                <w:highlight w:val="none"/>
              </w:rPr>
            </w:pPr>
          </w:p>
        </w:tc>
        <w:tc>
          <w:tcPr>
            <w:tcW w:w="1127" w:type="dxa"/>
          </w:tcPr>
          <w:p>
            <w:pPr>
              <w:jc w:val="center"/>
              <w:rPr>
                <w:color w:val="auto"/>
                <w:szCs w:val="21"/>
                <w:highlight w:val="none"/>
              </w:rPr>
            </w:pPr>
            <w:r>
              <w:rPr>
                <w:color w:val="auto"/>
                <w:szCs w:val="21"/>
                <w:highlight w:val="none"/>
              </w:rPr>
              <w:t>1200</w:t>
            </w:r>
          </w:p>
        </w:tc>
        <w:tc>
          <w:tcPr>
            <w:tcW w:w="1387" w:type="dxa"/>
            <w:vMerge w:val="continue"/>
            <w:vAlign w:val="center"/>
          </w:tcPr>
          <w:p>
            <w:pPr>
              <w:jc w:val="center"/>
              <w:rPr>
                <w:color w:val="auto"/>
                <w:szCs w:val="21"/>
                <w:highlight w:val="none"/>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75" w:hRule="atLeast"/>
          <w:jc w:val="center"/>
        </w:trPr>
        <w:tc>
          <w:tcPr>
            <w:tcW w:w="674" w:type="dxa"/>
            <w:vAlign w:val="center"/>
          </w:tcPr>
          <w:p>
            <w:pPr>
              <w:jc w:val="center"/>
              <w:rPr>
                <w:color w:val="auto"/>
                <w:szCs w:val="21"/>
                <w:highlight w:val="none"/>
              </w:rPr>
            </w:pPr>
            <w:r>
              <w:rPr>
                <w:color w:val="auto"/>
                <w:szCs w:val="21"/>
                <w:highlight w:val="none"/>
              </w:rPr>
              <w:t>16</w:t>
            </w:r>
          </w:p>
        </w:tc>
        <w:tc>
          <w:tcPr>
            <w:tcW w:w="2130"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星河嘉园</w:t>
            </w:r>
          </w:p>
        </w:tc>
        <w:tc>
          <w:tcPr>
            <w:tcW w:w="708" w:type="dxa"/>
            <w:vAlign w:val="center"/>
          </w:tcPr>
          <w:p>
            <w:pPr>
              <w:jc w:val="center"/>
              <w:rPr>
                <w:rFonts w:hint="eastAsia" w:eastAsia="宋体"/>
                <w:color w:val="auto"/>
                <w:szCs w:val="21"/>
                <w:highlight w:val="none"/>
                <w:lang w:val="en-US" w:eastAsia="zh-CN"/>
              </w:rPr>
            </w:pPr>
            <w:r>
              <w:rPr>
                <w:color w:val="auto"/>
                <w:szCs w:val="21"/>
                <w:highlight w:val="none"/>
              </w:rPr>
              <w:t>S</w:t>
            </w:r>
            <w:r>
              <w:rPr>
                <w:rFonts w:hint="eastAsia"/>
                <w:color w:val="auto"/>
                <w:szCs w:val="21"/>
                <w:highlight w:val="none"/>
                <w:lang w:val="en-US" w:eastAsia="zh-CN"/>
              </w:rPr>
              <w:t>W</w:t>
            </w:r>
          </w:p>
        </w:tc>
        <w:tc>
          <w:tcPr>
            <w:tcW w:w="1590" w:type="dxa"/>
            <w:vAlign w:val="center"/>
          </w:tcPr>
          <w:p>
            <w:pPr>
              <w:jc w:val="center"/>
              <w:rPr>
                <w:rFonts w:hint="eastAsia" w:eastAsia="宋体"/>
                <w:color w:val="auto"/>
                <w:szCs w:val="21"/>
                <w:highlight w:val="none"/>
                <w:lang w:val="en-US" w:eastAsia="zh-CN"/>
              </w:rPr>
            </w:pPr>
            <w:r>
              <w:rPr>
                <w:color w:val="auto"/>
                <w:szCs w:val="21"/>
                <w:highlight w:val="none"/>
              </w:rPr>
              <w:t>1</w:t>
            </w:r>
            <w:r>
              <w:rPr>
                <w:rFonts w:hint="eastAsia"/>
                <w:color w:val="auto"/>
                <w:szCs w:val="21"/>
                <w:highlight w:val="none"/>
                <w:lang w:val="en-US" w:eastAsia="zh-CN"/>
              </w:rPr>
              <w:t>900</w:t>
            </w:r>
          </w:p>
        </w:tc>
        <w:tc>
          <w:tcPr>
            <w:tcW w:w="1670" w:type="dxa"/>
            <w:vMerge w:val="continue"/>
          </w:tcPr>
          <w:p>
            <w:pPr>
              <w:jc w:val="center"/>
              <w:rPr>
                <w:color w:val="auto"/>
                <w:highlight w:val="none"/>
              </w:rPr>
            </w:pPr>
          </w:p>
        </w:tc>
        <w:tc>
          <w:tcPr>
            <w:tcW w:w="1127" w:type="dxa"/>
          </w:tcPr>
          <w:p>
            <w:pPr>
              <w:jc w:val="center"/>
              <w:rPr>
                <w:color w:val="auto"/>
                <w:szCs w:val="21"/>
                <w:highlight w:val="none"/>
              </w:rPr>
            </w:pPr>
            <w:r>
              <w:rPr>
                <w:color w:val="auto"/>
                <w:szCs w:val="21"/>
                <w:highlight w:val="none"/>
              </w:rPr>
              <w:t>700</w:t>
            </w:r>
          </w:p>
        </w:tc>
        <w:tc>
          <w:tcPr>
            <w:tcW w:w="1387" w:type="dxa"/>
            <w:vMerge w:val="continue"/>
            <w:vAlign w:val="center"/>
          </w:tcPr>
          <w:p>
            <w:pPr>
              <w:jc w:val="center"/>
              <w:rPr>
                <w:color w:val="auto"/>
                <w:szCs w:val="21"/>
                <w:highlight w:val="none"/>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75" w:hRule="atLeast"/>
          <w:jc w:val="center"/>
        </w:trPr>
        <w:tc>
          <w:tcPr>
            <w:tcW w:w="674" w:type="dxa"/>
            <w:vAlign w:val="center"/>
          </w:tcPr>
          <w:p>
            <w:pPr>
              <w:jc w:val="center"/>
              <w:rPr>
                <w:color w:val="auto"/>
                <w:szCs w:val="21"/>
                <w:highlight w:val="none"/>
              </w:rPr>
            </w:pPr>
            <w:r>
              <w:rPr>
                <w:color w:val="auto"/>
                <w:szCs w:val="21"/>
                <w:highlight w:val="none"/>
              </w:rPr>
              <w:t>17</w:t>
            </w:r>
          </w:p>
        </w:tc>
        <w:tc>
          <w:tcPr>
            <w:tcW w:w="2130"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鲁泽观</w:t>
            </w:r>
          </w:p>
        </w:tc>
        <w:tc>
          <w:tcPr>
            <w:tcW w:w="708" w:type="dxa"/>
            <w:vAlign w:val="center"/>
          </w:tcPr>
          <w:p>
            <w:pPr>
              <w:jc w:val="center"/>
              <w:rPr>
                <w:rFonts w:hint="eastAsia" w:eastAsia="宋体"/>
                <w:color w:val="auto"/>
                <w:szCs w:val="21"/>
                <w:highlight w:val="none"/>
                <w:lang w:eastAsia="zh-CN"/>
              </w:rPr>
            </w:pPr>
            <w:r>
              <w:rPr>
                <w:rFonts w:hint="eastAsia"/>
                <w:color w:val="auto"/>
                <w:szCs w:val="21"/>
                <w:highlight w:val="none"/>
                <w:lang w:val="en-US" w:eastAsia="zh-CN"/>
              </w:rPr>
              <w:t>W</w:t>
            </w:r>
          </w:p>
        </w:tc>
        <w:tc>
          <w:tcPr>
            <w:tcW w:w="1590"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1015</w:t>
            </w:r>
          </w:p>
        </w:tc>
        <w:tc>
          <w:tcPr>
            <w:tcW w:w="1670" w:type="dxa"/>
            <w:vMerge w:val="continue"/>
          </w:tcPr>
          <w:p>
            <w:pPr>
              <w:jc w:val="center"/>
              <w:rPr>
                <w:color w:val="auto"/>
                <w:highlight w:val="none"/>
              </w:rPr>
            </w:pPr>
          </w:p>
        </w:tc>
        <w:tc>
          <w:tcPr>
            <w:tcW w:w="1127" w:type="dxa"/>
          </w:tcPr>
          <w:p>
            <w:pPr>
              <w:jc w:val="center"/>
              <w:rPr>
                <w:rFonts w:hint="eastAsia" w:eastAsia="宋体"/>
                <w:color w:val="auto"/>
                <w:szCs w:val="21"/>
                <w:highlight w:val="none"/>
                <w:lang w:val="en-US" w:eastAsia="zh-CN"/>
              </w:rPr>
            </w:pPr>
            <w:r>
              <w:rPr>
                <w:rFonts w:hint="eastAsia"/>
                <w:color w:val="auto"/>
                <w:szCs w:val="21"/>
                <w:highlight w:val="none"/>
                <w:lang w:val="en-US" w:eastAsia="zh-CN"/>
              </w:rPr>
              <w:t>750</w:t>
            </w:r>
          </w:p>
        </w:tc>
        <w:tc>
          <w:tcPr>
            <w:tcW w:w="1387" w:type="dxa"/>
            <w:vMerge w:val="continue"/>
            <w:vAlign w:val="center"/>
          </w:tcPr>
          <w:p>
            <w:pPr>
              <w:jc w:val="center"/>
              <w:rPr>
                <w:color w:val="auto"/>
                <w:szCs w:val="21"/>
                <w:highlight w:val="none"/>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75" w:hRule="atLeast"/>
          <w:jc w:val="center"/>
        </w:trPr>
        <w:tc>
          <w:tcPr>
            <w:tcW w:w="674" w:type="dxa"/>
            <w:vAlign w:val="center"/>
          </w:tcPr>
          <w:p>
            <w:pPr>
              <w:jc w:val="center"/>
              <w:rPr>
                <w:color w:val="auto"/>
                <w:szCs w:val="21"/>
                <w:highlight w:val="none"/>
              </w:rPr>
            </w:pPr>
            <w:r>
              <w:rPr>
                <w:color w:val="auto"/>
                <w:szCs w:val="21"/>
                <w:highlight w:val="none"/>
              </w:rPr>
              <w:t>18</w:t>
            </w:r>
          </w:p>
        </w:tc>
        <w:tc>
          <w:tcPr>
            <w:tcW w:w="2130" w:type="dxa"/>
            <w:vAlign w:val="center"/>
          </w:tcPr>
          <w:p>
            <w:pPr>
              <w:jc w:val="center"/>
              <w:rPr>
                <w:rFonts w:hint="eastAsia" w:eastAsia="宋体"/>
                <w:color w:val="auto"/>
                <w:szCs w:val="21"/>
                <w:highlight w:val="none"/>
                <w:lang w:eastAsia="zh-CN"/>
              </w:rPr>
            </w:pPr>
            <w:r>
              <w:rPr>
                <w:rFonts w:hint="eastAsia"/>
                <w:color w:val="auto"/>
                <w:szCs w:val="21"/>
                <w:highlight w:val="none"/>
                <w:lang w:eastAsia="zh-CN"/>
              </w:rPr>
              <w:t>铁路小区</w:t>
            </w:r>
          </w:p>
        </w:tc>
        <w:tc>
          <w:tcPr>
            <w:tcW w:w="708" w:type="dxa"/>
            <w:vAlign w:val="center"/>
          </w:tcPr>
          <w:p>
            <w:pPr>
              <w:jc w:val="center"/>
              <w:rPr>
                <w:rFonts w:hint="eastAsia" w:eastAsia="宋体"/>
                <w:color w:val="auto"/>
                <w:szCs w:val="21"/>
                <w:highlight w:val="none"/>
                <w:lang w:eastAsia="zh-CN"/>
              </w:rPr>
            </w:pPr>
            <w:r>
              <w:rPr>
                <w:rFonts w:hint="eastAsia"/>
                <w:color w:val="auto"/>
                <w:szCs w:val="21"/>
                <w:highlight w:val="none"/>
                <w:lang w:val="en-US" w:eastAsia="zh-CN"/>
              </w:rPr>
              <w:t>NW</w:t>
            </w:r>
          </w:p>
        </w:tc>
        <w:tc>
          <w:tcPr>
            <w:tcW w:w="1590"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1100</w:t>
            </w:r>
          </w:p>
        </w:tc>
        <w:tc>
          <w:tcPr>
            <w:tcW w:w="1670" w:type="dxa"/>
            <w:vMerge w:val="continue"/>
          </w:tcPr>
          <w:p>
            <w:pPr>
              <w:jc w:val="center"/>
              <w:rPr>
                <w:color w:val="auto"/>
                <w:highlight w:val="none"/>
              </w:rPr>
            </w:pPr>
          </w:p>
        </w:tc>
        <w:tc>
          <w:tcPr>
            <w:tcW w:w="1127" w:type="dxa"/>
          </w:tcPr>
          <w:p>
            <w:pPr>
              <w:jc w:val="center"/>
              <w:rPr>
                <w:rFonts w:hint="eastAsia" w:eastAsia="宋体"/>
                <w:color w:val="auto"/>
                <w:szCs w:val="21"/>
                <w:highlight w:val="none"/>
                <w:lang w:val="en-US" w:eastAsia="zh-CN"/>
              </w:rPr>
            </w:pPr>
            <w:r>
              <w:rPr>
                <w:rFonts w:hint="eastAsia"/>
                <w:color w:val="auto"/>
                <w:szCs w:val="21"/>
                <w:highlight w:val="none"/>
                <w:lang w:val="en-US" w:eastAsia="zh-CN"/>
              </w:rPr>
              <w:t>600</w:t>
            </w:r>
          </w:p>
        </w:tc>
        <w:tc>
          <w:tcPr>
            <w:tcW w:w="1387" w:type="dxa"/>
            <w:vMerge w:val="continue"/>
            <w:vAlign w:val="center"/>
          </w:tcPr>
          <w:p>
            <w:pPr>
              <w:jc w:val="center"/>
              <w:rPr>
                <w:color w:val="auto"/>
                <w:szCs w:val="21"/>
                <w:highlight w:val="none"/>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75" w:hRule="atLeast"/>
          <w:jc w:val="center"/>
        </w:trPr>
        <w:tc>
          <w:tcPr>
            <w:tcW w:w="674" w:type="dxa"/>
            <w:vAlign w:val="center"/>
          </w:tcPr>
          <w:p>
            <w:pPr>
              <w:jc w:val="center"/>
              <w:rPr>
                <w:color w:val="auto"/>
                <w:szCs w:val="21"/>
                <w:highlight w:val="none"/>
              </w:rPr>
            </w:pPr>
            <w:r>
              <w:rPr>
                <w:color w:val="auto"/>
                <w:szCs w:val="21"/>
                <w:highlight w:val="none"/>
              </w:rPr>
              <w:t>19</w:t>
            </w:r>
          </w:p>
        </w:tc>
        <w:tc>
          <w:tcPr>
            <w:tcW w:w="2130" w:type="dxa"/>
            <w:vAlign w:val="center"/>
          </w:tcPr>
          <w:p>
            <w:pPr>
              <w:jc w:val="center"/>
              <w:rPr>
                <w:rFonts w:hint="eastAsia" w:eastAsia="宋体"/>
                <w:color w:val="auto"/>
                <w:szCs w:val="21"/>
                <w:highlight w:val="none"/>
                <w:lang w:eastAsia="zh-CN"/>
              </w:rPr>
            </w:pPr>
            <w:r>
              <w:rPr>
                <w:rFonts w:hint="eastAsia"/>
                <w:color w:val="auto"/>
                <w:szCs w:val="21"/>
                <w:highlight w:val="none"/>
                <w:lang w:eastAsia="zh-CN"/>
              </w:rPr>
              <w:t>东盐滩社区</w:t>
            </w:r>
          </w:p>
        </w:tc>
        <w:tc>
          <w:tcPr>
            <w:tcW w:w="708" w:type="dxa"/>
            <w:vAlign w:val="center"/>
          </w:tcPr>
          <w:p>
            <w:pPr>
              <w:jc w:val="center"/>
              <w:rPr>
                <w:rFonts w:hint="eastAsia" w:eastAsia="宋体"/>
                <w:color w:val="auto"/>
                <w:szCs w:val="21"/>
                <w:highlight w:val="none"/>
                <w:lang w:val="en-US" w:eastAsia="zh-CN"/>
              </w:rPr>
            </w:pPr>
            <w:r>
              <w:rPr>
                <w:color w:val="auto"/>
                <w:szCs w:val="21"/>
                <w:highlight w:val="none"/>
              </w:rPr>
              <w:t>N</w:t>
            </w:r>
            <w:r>
              <w:rPr>
                <w:rFonts w:hint="eastAsia"/>
                <w:color w:val="auto"/>
                <w:szCs w:val="21"/>
                <w:highlight w:val="none"/>
                <w:lang w:val="en-US" w:eastAsia="zh-CN"/>
              </w:rPr>
              <w:t>W</w:t>
            </w:r>
          </w:p>
        </w:tc>
        <w:tc>
          <w:tcPr>
            <w:tcW w:w="1590"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1130</w:t>
            </w:r>
          </w:p>
        </w:tc>
        <w:tc>
          <w:tcPr>
            <w:tcW w:w="1670" w:type="dxa"/>
            <w:vMerge w:val="continue"/>
          </w:tcPr>
          <w:p>
            <w:pPr>
              <w:jc w:val="center"/>
              <w:rPr>
                <w:color w:val="auto"/>
                <w:highlight w:val="none"/>
              </w:rPr>
            </w:pPr>
          </w:p>
        </w:tc>
        <w:tc>
          <w:tcPr>
            <w:tcW w:w="1127" w:type="dxa"/>
          </w:tcPr>
          <w:p>
            <w:pPr>
              <w:jc w:val="center"/>
              <w:rPr>
                <w:rFonts w:hint="eastAsia" w:eastAsia="宋体"/>
                <w:color w:val="auto"/>
                <w:szCs w:val="21"/>
                <w:highlight w:val="none"/>
                <w:lang w:val="en-US" w:eastAsia="zh-CN"/>
              </w:rPr>
            </w:pPr>
            <w:r>
              <w:rPr>
                <w:rFonts w:hint="eastAsia"/>
                <w:color w:val="auto"/>
                <w:szCs w:val="21"/>
                <w:highlight w:val="none"/>
                <w:lang w:val="en-US" w:eastAsia="zh-CN"/>
              </w:rPr>
              <w:t>22420</w:t>
            </w:r>
          </w:p>
        </w:tc>
        <w:tc>
          <w:tcPr>
            <w:tcW w:w="1387" w:type="dxa"/>
            <w:vMerge w:val="continue"/>
            <w:vAlign w:val="center"/>
          </w:tcPr>
          <w:p>
            <w:pPr>
              <w:jc w:val="center"/>
              <w:rPr>
                <w:color w:val="auto"/>
                <w:szCs w:val="21"/>
                <w:highlight w:val="none"/>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75" w:hRule="atLeast"/>
          <w:jc w:val="center"/>
        </w:trPr>
        <w:tc>
          <w:tcPr>
            <w:tcW w:w="674" w:type="dxa"/>
            <w:vAlign w:val="center"/>
          </w:tcPr>
          <w:p>
            <w:pPr>
              <w:jc w:val="center"/>
              <w:rPr>
                <w:color w:val="auto"/>
                <w:szCs w:val="21"/>
                <w:highlight w:val="none"/>
              </w:rPr>
            </w:pPr>
            <w:r>
              <w:rPr>
                <w:color w:val="auto"/>
                <w:szCs w:val="21"/>
                <w:highlight w:val="none"/>
              </w:rPr>
              <w:t>20</w:t>
            </w:r>
          </w:p>
        </w:tc>
        <w:tc>
          <w:tcPr>
            <w:tcW w:w="2130" w:type="dxa"/>
            <w:vAlign w:val="center"/>
          </w:tcPr>
          <w:p>
            <w:pPr>
              <w:jc w:val="center"/>
              <w:rPr>
                <w:rFonts w:hint="eastAsia" w:eastAsia="宋体"/>
                <w:color w:val="auto"/>
                <w:szCs w:val="21"/>
                <w:highlight w:val="none"/>
                <w:lang w:eastAsia="zh-CN"/>
              </w:rPr>
            </w:pPr>
            <w:r>
              <w:rPr>
                <w:rFonts w:hint="eastAsia"/>
                <w:color w:val="auto"/>
                <w:szCs w:val="21"/>
                <w:highlight w:val="none"/>
                <w:lang w:eastAsia="zh-CN"/>
              </w:rPr>
              <w:t>江山花园</w:t>
            </w:r>
          </w:p>
        </w:tc>
        <w:tc>
          <w:tcPr>
            <w:tcW w:w="708" w:type="dxa"/>
            <w:vAlign w:val="center"/>
          </w:tcPr>
          <w:p>
            <w:pPr>
              <w:jc w:val="center"/>
              <w:rPr>
                <w:rFonts w:hint="eastAsia" w:eastAsia="宋体"/>
                <w:color w:val="auto"/>
                <w:szCs w:val="21"/>
                <w:highlight w:val="none"/>
                <w:lang w:eastAsia="zh-CN"/>
              </w:rPr>
            </w:pPr>
            <w:r>
              <w:rPr>
                <w:color w:val="auto"/>
                <w:szCs w:val="21"/>
                <w:highlight w:val="none"/>
              </w:rPr>
              <w:t>N</w:t>
            </w:r>
            <w:r>
              <w:rPr>
                <w:rFonts w:hint="eastAsia"/>
                <w:color w:val="auto"/>
                <w:szCs w:val="21"/>
                <w:highlight w:val="none"/>
                <w:lang w:val="en-US" w:eastAsia="zh-CN"/>
              </w:rPr>
              <w:t>W</w:t>
            </w:r>
          </w:p>
        </w:tc>
        <w:tc>
          <w:tcPr>
            <w:tcW w:w="1590"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1280</w:t>
            </w:r>
          </w:p>
        </w:tc>
        <w:tc>
          <w:tcPr>
            <w:tcW w:w="1670" w:type="dxa"/>
            <w:vMerge w:val="continue"/>
          </w:tcPr>
          <w:p>
            <w:pPr>
              <w:jc w:val="center"/>
              <w:rPr>
                <w:color w:val="auto"/>
                <w:highlight w:val="none"/>
              </w:rPr>
            </w:pPr>
          </w:p>
        </w:tc>
        <w:tc>
          <w:tcPr>
            <w:tcW w:w="1127" w:type="dxa"/>
          </w:tcPr>
          <w:p>
            <w:pPr>
              <w:jc w:val="center"/>
              <w:rPr>
                <w:color w:val="auto"/>
                <w:szCs w:val="21"/>
                <w:highlight w:val="none"/>
              </w:rPr>
            </w:pPr>
            <w:r>
              <w:rPr>
                <w:rFonts w:hint="eastAsia"/>
                <w:color w:val="auto"/>
                <w:szCs w:val="21"/>
                <w:highlight w:val="none"/>
                <w:lang w:val="en-US" w:eastAsia="zh-CN"/>
              </w:rPr>
              <w:t>5</w:t>
            </w:r>
            <w:r>
              <w:rPr>
                <w:color w:val="auto"/>
                <w:szCs w:val="21"/>
                <w:highlight w:val="none"/>
              </w:rPr>
              <w:t>00</w:t>
            </w:r>
          </w:p>
        </w:tc>
        <w:tc>
          <w:tcPr>
            <w:tcW w:w="1387" w:type="dxa"/>
            <w:vMerge w:val="continue"/>
            <w:vAlign w:val="center"/>
          </w:tcPr>
          <w:p>
            <w:pPr>
              <w:jc w:val="center"/>
              <w:rPr>
                <w:color w:val="auto"/>
                <w:szCs w:val="21"/>
                <w:highlight w:val="none"/>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75" w:hRule="atLeast"/>
          <w:jc w:val="center"/>
        </w:trPr>
        <w:tc>
          <w:tcPr>
            <w:tcW w:w="674" w:type="dxa"/>
            <w:vAlign w:val="center"/>
          </w:tcPr>
          <w:p>
            <w:pPr>
              <w:jc w:val="center"/>
              <w:rPr>
                <w:color w:val="auto"/>
                <w:szCs w:val="21"/>
                <w:highlight w:val="none"/>
              </w:rPr>
            </w:pPr>
            <w:r>
              <w:rPr>
                <w:color w:val="auto"/>
                <w:szCs w:val="21"/>
                <w:highlight w:val="none"/>
              </w:rPr>
              <w:t>21</w:t>
            </w:r>
          </w:p>
        </w:tc>
        <w:tc>
          <w:tcPr>
            <w:tcW w:w="2130" w:type="dxa"/>
            <w:vAlign w:val="center"/>
          </w:tcPr>
          <w:p>
            <w:pPr>
              <w:jc w:val="center"/>
              <w:rPr>
                <w:rFonts w:hint="eastAsia" w:eastAsia="宋体"/>
                <w:color w:val="auto"/>
                <w:szCs w:val="21"/>
                <w:highlight w:val="none"/>
                <w:lang w:eastAsia="zh-CN"/>
              </w:rPr>
            </w:pPr>
            <w:r>
              <w:rPr>
                <w:rFonts w:hint="eastAsia"/>
                <w:color w:val="auto"/>
                <w:szCs w:val="21"/>
                <w:highlight w:val="none"/>
                <w:lang w:eastAsia="zh-CN"/>
              </w:rPr>
              <w:t>青港公寓</w:t>
            </w:r>
          </w:p>
        </w:tc>
        <w:tc>
          <w:tcPr>
            <w:tcW w:w="708"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NW</w:t>
            </w:r>
          </w:p>
        </w:tc>
        <w:tc>
          <w:tcPr>
            <w:tcW w:w="1590"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1290</w:t>
            </w:r>
          </w:p>
        </w:tc>
        <w:tc>
          <w:tcPr>
            <w:tcW w:w="1670" w:type="dxa"/>
            <w:vMerge w:val="continue"/>
          </w:tcPr>
          <w:p>
            <w:pPr>
              <w:jc w:val="center"/>
              <w:rPr>
                <w:color w:val="auto"/>
                <w:highlight w:val="none"/>
              </w:rPr>
            </w:pPr>
          </w:p>
        </w:tc>
        <w:tc>
          <w:tcPr>
            <w:tcW w:w="1127" w:type="dxa"/>
          </w:tcPr>
          <w:p>
            <w:pPr>
              <w:jc w:val="center"/>
              <w:rPr>
                <w:color w:val="auto"/>
                <w:szCs w:val="21"/>
                <w:highlight w:val="none"/>
              </w:rPr>
            </w:pPr>
            <w:r>
              <w:rPr>
                <w:color w:val="auto"/>
                <w:szCs w:val="21"/>
                <w:highlight w:val="none"/>
              </w:rPr>
              <w:t>460</w:t>
            </w:r>
          </w:p>
        </w:tc>
        <w:tc>
          <w:tcPr>
            <w:tcW w:w="1387" w:type="dxa"/>
            <w:vMerge w:val="continue"/>
            <w:vAlign w:val="center"/>
          </w:tcPr>
          <w:p>
            <w:pPr>
              <w:jc w:val="center"/>
              <w:rPr>
                <w:color w:val="auto"/>
                <w:szCs w:val="21"/>
                <w:highlight w:val="none"/>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75" w:hRule="atLeast"/>
          <w:jc w:val="center"/>
        </w:trPr>
        <w:tc>
          <w:tcPr>
            <w:tcW w:w="674" w:type="dxa"/>
            <w:vAlign w:val="center"/>
          </w:tcPr>
          <w:p>
            <w:pPr>
              <w:jc w:val="center"/>
              <w:rPr>
                <w:color w:val="auto"/>
                <w:szCs w:val="21"/>
                <w:highlight w:val="none"/>
              </w:rPr>
            </w:pPr>
            <w:r>
              <w:rPr>
                <w:color w:val="auto"/>
                <w:szCs w:val="21"/>
                <w:highlight w:val="none"/>
              </w:rPr>
              <w:t>22</w:t>
            </w:r>
          </w:p>
        </w:tc>
        <w:tc>
          <w:tcPr>
            <w:tcW w:w="2130" w:type="dxa"/>
            <w:vAlign w:val="center"/>
          </w:tcPr>
          <w:p>
            <w:pPr>
              <w:jc w:val="center"/>
              <w:rPr>
                <w:rFonts w:hint="eastAsia" w:eastAsia="宋体"/>
                <w:color w:val="auto"/>
                <w:szCs w:val="21"/>
                <w:highlight w:val="none"/>
                <w:lang w:eastAsia="zh-CN"/>
              </w:rPr>
            </w:pPr>
            <w:r>
              <w:rPr>
                <w:rFonts w:hint="eastAsia"/>
                <w:color w:val="auto"/>
                <w:szCs w:val="21"/>
                <w:highlight w:val="none"/>
                <w:lang w:eastAsia="zh-CN"/>
              </w:rPr>
              <w:t>青青世界社区</w:t>
            </w:r>
          </w:p>
        </w:tc>
        <w:tc>
          <w:tcPr>
            <w:tcW w:w="708" w:type="dxa"/>
            <w:vAlign w:val="center"/>
          </w:tcPr>
          <w:p>
            <w:pPr>
              <w:jc w:val="center"/>
              <w:rPr>
                <w:color w:val="auto"/>
                <w:szCs w:val="21"/>
                <w:highlight w:val="none"/>
              </w:rPr>
            </w:pPr>
            <w:r>
              <w:rPr>
                <w:color w:val="auto"/>
                <w:szCs w:val="21"/>
                <w:highlight w:val="none"/>
              </w:rPr>
              <w:t>NW</w:t>
            </w:r>
          </w:p>
        </w:tc>
        <w:tc>
          <w:tcPr>
            <w:tcW w:w="1590"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1240</w:t>
            </w:r>
          </w:p>
        </w:tc>
        <w:tc>
          <w:tcPr>
            <w:tcW w:w="1670" w:type="dxa"/>
            <w:vMerge w:val="continue"/>
          </w:tcPr>
          <w:p>
            <w:pPr>
              <w:jc w:val="center"/>
              <w:rPr>
                <w:color w:val="auto"/>
                <w:highlight w:val="none"/>
              </w:rPr>
            </w:pPr>
          </w:p>
        </w:tc>
        <w:tc>
          <w:tcPr>
            <w:tcW w:w="1127" w:type="dxa"/>
          </w:tcPr>
          <w:p>
            <w:pPr>
              <w:jc w:val="center"/>
              <w:rPr>
                <w:color w:val="auto"/>
                <w:szCs w:val="21"/>
                <w:highlight w:val="none"/>
              </w:rPr>
            </w:pPr>
            <w:r>
              <w:rPr>
                <w:color w:val="auto"/>
                <w:szCs w:val="21"/>
                <w:highlight w:val="none"/>
              </w:rPr>
              <w:t>1600</w:t>
            </w:r>
          </w:p>
        </w:tc>
        <w:tc>
          <w:tcPr>
            <w:tcW w:w="1387" w:type="dxa"/>
            <w:vMerge w:val="continue"/>
            <w:vAlign w:val="center"/>
          </w:tcPr>
          <w:p>
            <w:pPr>
              <w:jc w:val="center"/>
              <w:rPr>
                <w:color w:val="auto"/>
                <w:szCs w:val="21"/>
                <w:highlight w:val="none"/>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75" w:hRule="atLeast"/>
          <w:jc w:val="center"/>
        </w:trPr>
        <w:tc>
          <w:tcPr>
            <w:tcW w:w="674" w:type="dxa"/>
            <w:vAlign w:val="center"/>
          </w:tcPr>
          <w:p>
            <w:pPr>
              <w:jc w:val="center"/>
              <w:rPr>
                <w:color w:val="auto"/>
                <w:szCs w:val="21"/>
                <w:highlight w:val="none"/>
              </w:rPr>
            </w:pPr>
            <w:r>
              <w:rPr>
                <w:color w:val="auto"/>
                <w:szCs w:val="21"/>
                <w:highlight w:val="none"/>
              </w:rPr>
              <w:t>23</w:t>
            </w:r>
          </w:p>
        </w:tc>
        <w:tc>
          <w:tcPr>
            <w:tcW w:w="2130" w:type="dxa"/>
            <w:vAlign w:val="center"/>
          </w:tcPr>
          <w:p>
            <w:pPr>
              <w:jc w:val="center"/>
              <w:rPr>
                <w:rFonts w:hint="eastAsia" w:eastAsia="宋体"/>
                <w:color w:val="auto"/>
                <w:szCs w:val="21"/>
                <w:highlight w:val="none"/>
                <w:lang w:eastAsia="zh-CN"/>
              </w:rPr>
            </w:pPr>
            <w:r>
              <w:rPr>
                <w:rFonts w:hint="eastAsia"/>
                <w:color w:val="auto"/>
                <w:szCs w:val="21"/>
                <w:highlight w:val="none"/>
                <w:lang w:eastAsia="zh-CN"/>
              </w:rPr>
              <w:t>泊子社区</w:t>
            </w:r>
          </w:p>
        </w:tc>
        <w:tc>
          <w:tcPr>
            <w:tcW w:w="708" w:type="dxa"/>
            <w:vAlign w:val="center"/>
          </w:tcPr>
          <w:p>
            <w:pPr>
              <w:jc w:val="center"/>
              <w:rPr>
                <w:rFonts w:hint="eastAsia" w:eastAsia="宋体"/>
                <w:color w:val="auto"/>
                <w:szCs w:val="21"/>
                <w:highlight w:val="none"/>
                <w:lang w:eastAsia="zh-CN"/>
              </w:rPr>
            </w:pPr>
            <w:r>
              <w:rPr>
                <w:rFonts w:hint="eastAsia"/>
                <w:color w:val="auto"/>
                <w:szCs w:val="21"/>
                <w:highlight w:val="none"/>
                <w:lang w:val="en-US" w:eastAsia="zh-CN"/>
              </w:rPr>
              <w:t>W</w:t>
            </w:r>
          </w:p>
        </w:tc>
        <w:tc>
          <w:tcPr>
            <w:tcW w:w="1590"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1660</w:t>
            </w:r>
          </w:p>
        </w:tc>
        <w:tc>
          <w:tcPr>
            <w:tcW w:w="1670" w:type="dxa"/>
            <w:vMerge w:val="continue"/>
          </w:tcPr>
          <w:p>
            <w:pPr>
              <w:jc w:val="center"/>
              <w:rPr>
                <w:color w:val="auto"/>
                <w:highlight w:val="none"/>
              </w:rPr>
            </w:pPr>
          </w:p>
        </w:tc>
        <w:tc>
          <w:tcPr>
            <w:tcW w:w="1127" w:type="dxa"/>
          </w:tcPr>
          <w:p>
            <w:pPr>
              <w:jc w:val="center"/>
              <w:rPr>
                <w:color w:val="auto"/>
                <w:szCs w:val="21"/>
                <w:highlight w:val="none"/>
              </w:rPr>
            </w:pPr>
            <w:r>
              <w:rPr>
                <w:color w:val="auto"/>
                <w:szCs w:val="21"/>
                <w:highlight w:val="none"/>
              </w:rPr>
              <w:t>2</w:t>
            </w:r>
            <w:r>
              <w:rPr>
                <w:rFonts w:hint="eastAsia"/>
                <w:color w:val="auto"/>
                <w:szCs w:val="21"/>
                <w:highlight w:val="none"/>
                <w:lang w:val="en-US" w:eastAsia="zh-CN"/>
              </w:rPr>
              <w:t>5</w:t>
            </w:r>
            <w:r>
              <w:rPr>
                <w:color w:val="auto"/>
                <w:szCs w:val="21"/>
                <w:highlight w:val="none"/>
              </w:rPr>
              <w:t>00</w:t>
            </w:r>
          </w:p>
        </w:tc>
        <w:tc>
          <w:tcPr>
            <w:tcW w:w="1387" w:type="dxa"/>
            <w:vMerge w:val="continue"/>
            <w:vAlign w:val="center"/>
          </w:tcPr>
          <w:p>
            <w:pPr>
              <w:jc w:val="center"/>
              <w:rPr>
                <w:color w:val="auto"/>
                <w:szCs w:val="21"/>
                <w:highlight w:val="none"/>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75" w:hRule="atLeast"/>
          <w:jc w:val="center"/>
        </w:trPr>
        <w:tc>
          <w:tcPr>
            <w:tcW w:w="674" w:type="dxa"/>
            <w:vAlign w:val="center"/>
          </w:tcPr>
          <w:p>
            <w:pPr>
              <w:jc w:val="center"/>
              <w:rPr>
                <w:color w:val="auto"/>
                <w:szCs w:val="21"/>
                <w:highlight w:val="none"/>
              </w:rPr>
            </w:pPr>
            <w:r>
              <w:rPr>
                <w:color w:val="auto"/>
                <w:szCs w:val="21"/>
                <w:highlight w:val="none"/>
              </w:rPr>
              <w:t>24</w:t>
            </w:r>
          </w:p>
        </w:tc>
        <w:tc>
          <w:tcPr>
            <w:tcW w:w="2130" w:type="dxa"/>
            <w:vAlign w:val="center"/>
          </w:tcPr>
          <w:p>
            <w:pPr>
              <w:jc w:val="center"/>
              <w:rPr>
                <w:rFonts w:hint="eastAsia" w:eastAsia="宋体"/>
                <w:color w:val="auto"/>
                <w:szCs w:val="21"/>
                <w:highlight w:val="none"/>
                <w:lang w:eastAsia="zh-CN"/>
              </w:rPr>
            </w:pPr>
            <w:r>
              <w:rPr>
                <w:rFonts w:hint="eastAsia"/>
                <w:color w:val="auto"/>
                <w:szCs w:val="21"/>
                <w:highlight w:val="none"/>
                <w:lang w:eastAsia="zh-CN"/>
              </w:rPr>
              <w:t>珠山苑</w:t>
            </w:r>
          </w:p>
        </w:tc>
        <w:tc>
          <w:tcPr>
            <w:tcW w:w="708" w:type="dxa"/>
            <w:vAlign w:val="center"/>
          </w:tcPr>
          <w:p>
            <w:pPr>
              <w:jc w:val="center"/>
              <w:rPr>
                <w:color w:val="auto"/>
                <w:szCs w:val="21"/>
                <w:highlight w:val="none"/>
              </w:rPr>
            </w:pPr>
            <w:r>
              <w:rPr>
                <w:rFonts w:hint="eastAsia"/>
                <w:color w:val="auto"/>
                <w:szCs w:val="21"/>
                <w:highlight w:val="none"/>
                <w:lang w:val="en-US" w:eastAsia="zh-CN"/>
              </w:rPr>
              <w:t>W</w:t>
            </w:r>
          </w:p>
        </w:tc>
        <w:tc>
          <w:tcPr>
            <w:tcW w:w="1590"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1565</w:t>
            </w:r>
          </w:p>
        </w:tc>
        <w:tc>
          <w:tcPr>
            <w:tcW w:w="1670" w:type="dxa"/>
            <w:vMerge w:val="continue"/>
          </w:tcPr>
          <w:p>
            <w:pPr>
              <w:jc w:val="center"/>
              <w:rPr>
                <w:color w:val="auto"/>
                <w:highlight w:val="none"/>
              </w:rPr>
            </w:pPr>
          </w:p>
        </w:tc>
        <w:tc>
          <w:tcPr>
            <w:tcW w:w="1127" w:type="dxa"/>
          </w:tcPr>
          <w:p>
            <w:pPr>
              <w:jc w:val="center"/>
              <w:rPr>
                <w:rFonts w:hint="eastAsia" w:eastAsia="宋体"/>
                <w:color w:val="auto"/>
                <w:szCs w:val="21"/>
                <w:highlight w:val="none"/>
                <w:lang w:val="en-US" w:eastAsia="zh-CN"/>
              </w:rPr>
            </w:pPr>
            <w:r>
              <w:rPr>
                <w:rFonts w:hint="eastAsia"/>
                <w:color w:val="auto"/>
                <w:szCs w:val="21"/>
                <w:highlight w:val="none"/>
                <w:lang w:val="en-US" w:eastAsia="zh-CN"/>
              </w:rPr>
              <w:t>450</w:t>
            </w:r>
          </w:p>
        </w:tc>
        <w:tc>
          <w:tcPr>
            <w:tcW w:w="1387" w:type="dxa"/>
            <w:vMerge w:val="continue"/>
            <w:vAlign w:val="center"/>
          </w:tcPr>
          <w:p>
            <w:pPr>
              <w:jc w:val="center"/>
              <w:rPr>
                <w:color w:val="auto"/>
                <w:szCs w:val="21"/>
                <w:highlight w:val="none"/>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75" w:hRule="atLeast"/>
          <w:jc w:val="center"/>
        </w:trPr>
        <w:tc>
          <w:tcPr>
            <w:tcW w:w="674" w:type="dxa"/>
            <w:vAlign w:val="center"/>
          </w:tcPr>
          <w:p>
            <w:pPr>
              <w:jc w:val="center"/>
              <w:rPr>
                <w:color w:val="auto"/>
                <w:szCs w:val="21"/>
                <w:highlight w:val="none"/>
              </w:rPr>
            </w:pPr>
            <w:r>
              <w:rPr>
                <w:color w:val="auto"/>
                <w:szCs w:val="21"/>
                <w:highlight w:val="none"/>
              </w:rPr>
              <w:t>25</w:t>
            </w:r>
          </w:p>
        </w:tc>
        <w:tc>
          <w:tcPr>
            <w:tcW w:w="2130" w:type="dxa"/>
            <w:vAlign w:val="center"/>
          </w:tcPr>
          <w:p>
            <w:pPr>
              <w:jc w:val="center"/>
              <w:rPr>
                <w:rFonts w:hint="eastAsia" w:eastAsia="宋体"/>
                <w:color w:val="auto"/>
                <w:szCs w:val="21"/>
                <w:highlight w:val="none"/>
                <w:lang w:eastAsia="zh-CN"/>
              </w:rPr>
            </w:pPr>
            <w:r>
              <w:rPr>
                <w:rFonts w:hint="eastAsia"/>
                <w:color w:val="auto"/>
                <w:szCs w:val="21"/>
                <w:highlight w:val="none"/>
                <w:lang w:eastAsia="zh-CN"/>
              </w:rPr>
              <w:t>世纪新村</w:t>
            </w:r>
          </w:p>
        </w:tc>
        <w:tc>
          <w:tcPr>
            <w:tcW w:w="708" w:type="dxa"/>
            <w:vAlign w:val="center"/>
          </w:tcPr>
          <w:p>
            <w:pPr>
              <w:jc w:val="center"/>
              <w:rPr>
                <w:rFonts w:hint="eastAsia" w:eastAsia="宋体"/>
                <w:color w:val="auto"/>
                <w:szCs w:val="21"/>
                <w:highlight w:val="none"/>
                <w:lang w:eastAsia="zh-CN"/>
              </w:rPr>
            </w:pPr>
            <w:r>
              <w:rPr>
                <w:rFonts w:hint="eastAsia"/>
                <w:color w:val="auto"/>
                <w:szCs w:val="21"/>
                <w:highlight w:val="none"/>
                <w:lang w:val="en-US" w:eastAsia="zh-CN"/>
              </w:rPr>
              <w:t>W</w:t>
            </w:r>
          </w:p>
        </w:tc>
        <w:tc>
          <w:tcPr>
            <w:tcW w:w="1590" w:type="dxa"/>
            <w:vAlign w:val="center"/>
          </w:tcPr>
          <w:p>
            <w:pPr>
              <w:jc w:val="center"/>
              <w:rPr>
                <w:rFonts w:hint="eastAsia" w:eastAsia="宋体"/>
                <w:color w:val="auto"/>
                <w:szCs w:val="21"/>
                <w:highlight w:val="none"/>
                <w:lang w:val="en-US" w:eastAsia="zh-CN"/>
              </w:rPr>
            </w:pPr>
            <w:r>
              <w:rPr>
                <w:color w:val="auto"/>
                <w:szCs w:val="21"/>
                <w:highlight w:val="none"/>
              </w:rPr>
              <w:t>1</w:t>
            </w:r>
            <w:r>
              <w:rPr>
                <w:rFonts w:hint="eastAsia"/>
                <w:color w:val="auto"/>
                <w:szCs w:val="21"/>
                <w:highlight w:val="none"/>
                <w:lang w:val="en-US" w:eastAsia="zh-CN"/>
              </w:rPr>
              <w:t>695</w:t>
            </w:r>
          </w:p>
        </w:tc>
        <w:tc>
          <w:tcPr>
            <w:tcW w:w="1670" w:type="dxa"/>
            <w:vMerge w:val="continue"/>
          </w:tcPr>
          <w:p>
            <w:pPr>
              <w:jc w:val="center"/>
              <w:rPr>
                <w:color w:val="auto"/>
                <w:highlight w:val="none"/>
              </w:rPr>
            </w:pPr>
          </w:p>
        </w:tc>
        <w:tc>
          <w:tcPr>
            <w:tcW w:w="1127" w:type="dxa"/>
          </w:tcPr>
          <w:p>
            <w:pPr>
              <w:jc w:val="center"/>
              <w:rPr>
                <w:color w:val="auto"/>
                <w:szCs w:val="21"/>
                <w:highlight w:val="none"/>
              </w:rPr>
            </w:pPr>
            <w:r>
              <w:rPr>
                <w:rFonts w:hint="eastAsia"/>
                <w:color w:val="auto"/>
                <w:szCs w:val="21"/>
                <w:highlight w:val="none"/>
                <w:lang w:val="en-US" w:eastAsia="zh-CN"/>
              </w:rPr>
              <w:t>5</w:t>
            </w:r>
            <w:r>
              <w:rPr>
                <w:color w:val="auto"/>
                <w:szCs w:val="21"/>
                <w:highlight w:val="none"/>
              </w:rPr>
              <w:t>80</w:t>
            </w:r>
          </w:p>
        </w:tc>
        <w:tc>
          <w:tcPr>
            <w:tcW w:w="1387" w:type="dxa"/>
            <w:vMerge w:val="continue"/>
            <w:vAlign w:val="center"/>
          </w:tcPr>
          <w:p>
            <w:pPr>
              <w:jc w:val="center"/>
              <w:rPr>
                <w:color w:val="auto"/>
                <w:szCs w:val="21"/>
                <w:highlight w:val="none"/>
              </w:rPr>
            </w:pPr>
          </w:p>
        </w:tc>
      </w:tr>
      <w:tr>
        <w:tblPrEx>
          <w:tblCellMar>
            <w:top w:w="0" w:type="dxa"/>
            <w:left w:w="108" w:type="dxa"/>
            <w:bottom w:w="0" w:type="dxa"/>
            <w:right w:w="108" w:type="dxa"/>
          </w:tblCellMar>
        </w:tblPrEx>
        <w:trPr>
          <w:trHeight w:val="75" w:hRule="atLeast"/>
          <w:jc w:val="center"/>
        </w:trPr>
        <w:tc>
          <w:tcPr>
            <w:tcW w:w="674" w:type="dxa"/>
            <w:vAlign w:val="center"/>
          </w:tcPr>
          <w:p>
            <w:pPr>
              <w:jc w:val="center"/>
              <w:rPr>
                <w:color w:val="auto"/>
                <w:szCs w:val="21"/>
                <w:highlight w:val="none"/>
              </w:rPr>
            </w:pPr>
            <w:r>
              <w:rPr>
                <w:color w:val="auto"/>
                <w:szCs w:val="21"/>
                <w:highlight w:val="none"/>
              </w:rPr>
              <w:t>26</w:t>
            </w:r>
          </w:p>
        </w:tc>
        <w:tc>
          <w:tcPr>
            <w:tcW w:w="2130" w:type="dxa"/>
            <w:vAlign w:val="center"/>
          </w:tcPr>
          <w:p>
            <w:pPr>
              <w:jc w:val="center"/>
              <w:rPr>
                <w:rFonts w:hint="eastAsia" w:eastAsia="宋体"/>
                <w:color w:val="auto"/>
                <w:szCs w:val="21"/>
                <w:highlight w:val="none"/>
                <w:lang w:eastAsia="zh-CN"/>
              </w:rPr>
            </w:pPr>
            <w:r>
              <w:rPr>
                <w:rFonts w:hint="eastAsia"/>
                <w:color w:val="auto"/>
                <w:szCs w:val="21"/>
                <w:highlight w:val="none"/>
                <w:lang w:eastAsia="zh-CN"/>
              </w:rPr>
              <w:t>海滨御苑</w:t>
            </w:r>
          </w:p>
        </w:tc>
        <w:tc>
          <w:tcPr>
            <w:tcW w:w="708" w:type="dxa"/>
            <w:vAlign w:val="center"/>
          </w:tcPr>
          <w:p>
            <w:pPr>
              <w:jc w:val="center"/>
              <w:rPr>
                <w:color w:val="auto"/>
                <w:szCs w:val="21"/>
                <w:highlight w:val="none"/>
              </w:rPr>
            </w:pPr>
            <w:r>
              <w:rPr>
                <w:rFonts w:hint="eastAsia"/>
                <w:color w:val="auto"/>
                <w:szCs w:val="21"/>
                <w:highlight w:val="none"/>
                <w:lang w:val="en-US" w:eastAsia="zh-CN"/>
              </w:rPr>
              <w:t>S</w:t>
            </w:r>
            <w:r>
              <w:rPr>
                <w:color w:val="auto"/>
                <w:szCs w:val="21"/>
                <w:highlight w:val="none"/>
              </w:rPr>
              <w:t>W</w:t>
            </w:r>
          </w:p>
        </w:tc>
        <w:tc>
          <w:tcPr>
            <w:tcW w:w="1590" w:type="dxa"/>
            <w:vAlign w:val="center"/>
          </w:tcPr>
          <w:p>
            <w:pPr>
              <w:jc w:val="center"/>
              <w:rPr>
                <w:rFonts w:hint="eastAsia" w:eastAsia="宋体"/>
                <w:color w:val="auto"/>
                <w:szCs w:val="21"/>
                <w:highlight w:val="none"/>
                <w:lang w:val="en-US" w:eastAsia="zh-CN"/>
              </w:rPr>
            </w:pPr>
            <w:r>
              <w:rPr>
                <w:color w:val="auto"/>
                <w:szCs w:val="21"/>
                <w:highlight w:val="none"/>
              </w:rPr>
              <w:t>1</w:t>
            </w:r>
            <w:r>
              <w:rPr>
                <w:rFonts w:hint="eastAsia"/>
                <w:color w:val="auto"/>
                <w:szCs w:val="21"/>
                <w:highlight w:val="none"/>
                <w:lang w:val="en-US" w:eastAsia="zh-CN"/>
              </w:rPr>
              <w:t>770</w:t>
            </w:r>
          </w:p>
        </w:tc>
        <w:tc>
          <w:tcPr>
            <w:tcW w:w="1670" w:type="dxa"/>
            <w:vMerge w:val="continue"/>
          </w:tcPr>
          <w:p>
            <w:pPr>
              <w:jc w:val="center"/>
              <w:rPr>
                <w:color w:val="auto"/>
                <w:highlight w:val="none"/>
              </w:rPr>
            </w:pPr>
          </w:p>
        </w:tc>
        <w:tc>
          <w:tcPr>
            <w:tcW w:w="1127" w:type="dxa"/>
          </w:tcPr>
          <w:p>
            <w:pPr>
              <w:jc w:val="center"/>
              <w:rPr>
                <w:rFonts w:hint="eastAsia" w:eastAsia="宋体"/>
                <w:color w:val="auto"/>
                <w:szCs w:val="21"/>
                <w:highlight w:val="none"/>
                <w:lang w:val="en-US" w:eastAsia="zh-CN"/>
              </w:rPr>
            </w:pPr>
            <w:r>
              <w:rPr>
                <w:rFonts w:hint="eastAsia"/>
                <w:color w:val="auto"/>
                <w:szCs w:val="21"/>
                <w:highlight w:val="none"/>
                <w:lang w:val="en-US" w:eastAsia="zh-CN"/>
              </w:rPr>
              <w:t>1600</w:t>
            </w:r>
          </w:p>
        </w:tc>
        <w:tc>
          <w:tcPr>
            <w:tcW w:w="1387" w:type="dxa"/>
            <w:vMerge w:val="continue"/>
            <w:vAlign w:val="center"/>
          </w:tcPr>
          <w:p>
            <w:pPr>
              <w:jc w:val="center"/>
              <w:rPr>
                <w:color w:val="auto"/>
                <w:szCs w:val="21"/>
                <w:highlight w:val="none"/>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75" w:hRule="atLeast"/>
          <w:jc w:val="center"/>
        </w:trPr>
        <w:tc>
          <w:tcPr>
            <w:tcW w:w="674"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27</w:t>
            </w:r>
          </w:p>
        </w:tc>
        <w:tc>
          <w:tcPr>
            <w:tcW w:w="2130" w:type="dxa"/>
            <w:vAlign w:val="center"/>
          </w:tcPr>
          <w:p>
            <w:pPr>
              <w:jc w:val="center"/>
              <w:rPr>
                <w:rFonts w:hint="eastAsia" w:eastAsia="宋体"/>
                <w:color w:val="auto"/>
                <w:szCs w:val="21"/>
                <w:highlight w:val="none"/>
                <w:lang w:eastAsia="zh-CN"/>
              </w:rPr>
            </w:pPr>
            <w:r>
              <w:rPr>
                <w:rFonts w:hint="eastAsia"/>
                <w:color w:val="auto"/>
                <w:szCs w:val="21"/>
                <w:highlight w:val="none"/>
                <w:lang w:eastAsia="zh-CN"/>
              </w:rPr>
              <w:t>开发区实验小学</w:t>
            </w:r>
          </w:p>
        </w:tc>
        <w:tc>
          <w:tcPr>
            <w:tcW w:w="708" w:type="dxa"/>
            <w:vAlign w:val="center"/>
          </w:tcPr>
          <w:p>
            <w:pPr>
              <w:jc w:val="center"/>
              <w:rPr>
                <w:rFonts w:hint="eastAsia" w:eastAsia="宋体"/>
                <w:color w:val="auto"/>
                <w:szCs w:val="21"/>
                <w:highlight w:val="none"/>
                <w:lang w:eastAsia="zh-CN"/>
              </w:rPr>
            </w:pPr>
            <w:r>
              <w:rPr>
                <w:color w:val="auto"/>
                <w:szCs w:val="21"/>
                <w:highlight w:val="none"/>
              </w:rPr>
              <w:t>N</w:t>
            </w:r>
            <w:r>
              <w:rPr>
                <w:rFonts w:hint="eastAsia"/>
                <w:color w:val="auto"/>
                <w:szCs w:val="21"/>
                <w:highlight w:val="none"/>
                <w:lang w:val="en-US" w:eastAsia="zh-CN"/>
              </w:rPr>
              <w:t>E</w:t>
            </w:r>
          </w:p>
        </w:tc>
        <w:tc>
          <w:tcPr>
            <w:tcW w:w="1590"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2753</w:t>
            </w:r>
          </w:p>
        </w:tc>
        <w:tc>
          <w:tcPr>
            <w:tcW w:w="1670" w:type="dxa"/>
            <w:vMerge w:val="restart"/>
          </w:tcPr>
          <w:p>
            <w:pPr>
              <w:jc w:val="center"/>
              <w:rPr>
                <w:rFonts w:hint="eastAsia" w:eastAsia="宋体"/>
                <w:color w:val="auto"/>
                <w:highlight w:val="none"/>
                <w:lang w:val="en-US" w:eastAsia="zh-CN"/>
              </w:rPr>
            </w:pPr>
            <w:r>
              <w:rPr>
                <w:rFonts w:hint="eastAsia"/>
                <w:color w:val="auto"/>
                <w:highlight w:val="none"/>
                <w:lang w:val="en-US" w:eastAsia="zh-CN"/>
              </w:rPr>
              <w:t>学校</w:t>
            </w:r>
          </w:p>
        </w:tc>
        <w:tc>
          <w:tcPr>
            <w:tcW w:w="1127" w:type="dxa"/>
          </w:tcPr>
          <w:p>
            <w:pPr>
              <w:jc w:val="center"/>
              <w:rPr>
                <w:color w:val="auto"/>
                <w:szCs w:val="21"/>
                <w:highlight w:val="none"/>
              </w:rPr>
            </w:pPr>
            <w:r>
              <w:rPr>
                <w:color w:val="auto"/>
                <w:szCs w:val="21"/>
                <w:highlight w:val="none"/>
              </w:rPr>
              <w:t>3160</w:t>
            </w:r>
          </w:p>
        </w:tc>
        <w:tc>
          <w:tcPr>
            <w:tcW w:w="1387" w:type="dxa"/>
            <w:vMerge w:val="restart"/>
            <w:vAlign w:val="center"/>
          </w:tcPr>
          <w:p>
            <w:pPr>
              <w:jc w:val="center"/>
              <w:rPr>
                <w:color w:val="auto"/>
                <w:szCs w:val="21"/>
                <w:highlight w:val="none"/>
              </w:rPr>
            </w:pPr>
            <w:r>
              <w:rPr>
                <w:color w:val="auto"/>
                <w:szCs w:val="21"/>
                <w:highlight w:val="none"/>
              </w:rPr>
              <w:t>环境风险</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75" w:hRule="atLeast"/>
          <w:jc w:val="center"/>
        </w:trPr>
        <w:tc>
          <w:tcPr>
            <w:tcW w:w="674"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28</w:t>
            </w:r>
          </w:p>
        </w:tc>
        <w:tc>
          <w:tcPr>
            <w:tcW w:w="2130" w:type="dxa"/>
            <w:vAlign w:val="center"/>
          </w:tcPr>
          <w:p>
            <w:pPr>
              <w:jc w:val="center"/>
              <w:rPr>
                <w:rFonts w:hint="eastAsia" w:eastAsia="宋体"/>
                <w:color w:val="auto"/>
                <w:szCs w:val="21"/>
                <w:highlight w:val="none"/>
                <w:lang w:eastAsia="zh-CN"/>
              </w:rPr>
            </w:pPr>
            <w:r>
              <w:rPr>
                <w:rFonts w:hint="eastAsia"/>
                <w:color w:val="auto"/>
                <w:szCs w:val="21"/>
                <w:highlight w:val="none"/>
                <w:lang w:eastAsia="zh-CN"/>
              </w:rPr>
              <w:t>青岛西海岸新区</w:t>
            </w:r>
            <w:r>
              <w:rPr>
                <w:rFonts w:hint="eastAsia" w:eastAsia="宋体"/>
                <w:color w:val="auto"/>
                <w:szCs w:val="21"/>
                <w:highlight w:val="none"/>
                <w:lang w:eastAsia="zh-CN"/>
              </w:rPr>
              <w:t>辛安小学</w:t>
            </w:r>
          </w:p>
        </w:tc>
        <w:tc>
          <w:tcPr>
            <w:tcW w:w="708"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SW</w:t>
            </w:r>
          </w:p>
        </w:tc>
        <w:tc>
          <w:tcPr>
            <w:tcW w:w="1590"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2786</w:t>
            </w:r>
          </w:p>
        </w:tc>
        <w:tc>
          <w:tcPr>
            <w:tcW w:w="1670" w:type="dxa"/>
            <w:vMerge w:val="continue"/>
          </w:tcPr>
          <w:p>
            <w:pPr>
              <w:jc w:val="center"/>
              <w:rPr>
                <w:color w:val="auto"/>
                <w:highlight w:val="none"/>
              </w:rPr>
            </w:pPr>
          </w:p>
        </w:tc>
        <w:tc>
          <w:tcPr>
            <w:tcW w:w="1127" w:type="dxa"/>
          </w:tcPr>
          <w:p>
            <w:pPr>
              <w:jc w:val="center"/>
              <w:rPr>
                <w:rFonts w:hint="eastAsia" w:eastAsia="宋体"/>
                <w:color w:val="auto"/>
                <w:szCs w:val="21"/>
                <w:highlight w:val="none"/>
                <w:lang w:val="en-US" w:eastAsia="zh-CN"/>
              </w:rPr>
            </w:pPr>
            <w:r>
              <w:rPr>
                <w:rFonts w:hint="eastAsia"/>
                <w:color w:val="auto"/>
                <w:szCs w:val="21"/>
                <w:highlight w:val="none"/>
                <w:lang w:val="en-US" w:eastAsia="zh-CN"/>
              </w:rPr>
              <w:t>800</w:t>
            </w:r>
          </w:p>
        </w:tc>
        <w:tc>
          <w:tcPr>
            <w:tcW w:w="1387" w:type="dxa"/>
            <w:vMerge w:val="continue"/>
            <w:vAlign w:val="center"/>
          </w:tcPr>
          <w:p>
            <w:pPr>
              <w:jc w:val="center"/>
              <w:rPr>
                <w:color w:val="auto"/>
                <w:szCs w:val="21"/>
                <w:highlight w:val="none"/>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75" w:hRule="atLeast"/>
          <w:jc w:val="center"/>
        </w:trPr>
        <w:tc>
          <w:tcPr>
            <w:tcW w:w="674"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29</w:t>
            </w:r>
          </w:p>
        </w:tc>
        <w:tc>
          <w:tcPr>
            <w:tcW w:w="2130" w:type="dxa"/>
            <w:vAlign w:val="center"/>
          </w:tcPr>
          <w:p>
            <w:pPr>
              <w:jc w:val="center"/>
              <w:rPr>
                <w:rFonts w:hint="eastAsia" w:eastAsia="宋体"/>
                <w:color w:val="auto"/>
                <w:szCs w:val="21"/>
                <w:highlight w:val="none"/>
                <w:lang w:eastAsia="zh-CN"/>
              </w:rPr>
            </w:pPr>
            <w:r>
              <w:rPr>
                <w:rFonts w:hint="eastAsia"/>
                <w:color w:val="auto"/>
                <w:szCs w:val="21"/>
                <w:highlight w:val="none"/>
                <w:lang w:eastAsia="zh-CN"/>
              </w:rPr>
              <w:t>黑山小区</w:t>
            </w:r>
          </w:p>
        </w:tc>
        <w:tc>
          <w:tcPr>
            <w:tcW w:w="708"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NE</w:t>
            </w:r>
          </w:p>
        </w:tc>
        <w:tc>
          <w:tcPr>
            <w:tcW w:w="1590"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2680</w:t>
            </w:r>
          </w:p>
        </w:tc>
        <w:tc>
          <w:tcPr>
            <w:tcW w:w="1670" w:type="dxa"/>
            <w:vMerge w:val="restart"/>
          </w:tcPr>
          <w:p>
            <w:pPr>
              <w:jc w:val="center"/>
              <w:rPr>
                <w:color w:val="auto"/>
                <w:highlight w:val="none"/>
              </w:rPr>
            </w:pPr>
            <w:r>
              <w:rPr>
                <w:color w:val="auto"/>
                <w:highlight w:val="none"/>
              </w:rPr>
              <w:t>居住区</w:t>
            </w:r>
          </w:p>
        </w:tc>
        <w:tc>
          <w:tcPr>
            <w:tcW w:w="1127" w:type="dxa"/>
          </w:tcPr>
          <w:p>
            <w:pPr>
              <w:jc w:val="center"/>
              <w:rPr>
                <w:rFonts w:hint="eastAsia" w:eastAsia="宋体"/>
                <w:color w:val="auto"/>
                <w:szCs w:val="21"/>
                <w:highlight w:val="none"/>
                <w:lang w:val="en-US" w:eastAsia="zh-CN"/>
              </w:rPr>
            </w:pPr>
            <w:r>
              <w:rPr>
                <w:rFonts w:hint="eastAsia"/>
                <w:color w:val="auto"/>
                <w:szCs w:val="21"/>
                <w:highlight w:val="none"/>
                <w:lang w:val="en-US" w:eastAsia="zh-CN"/>
              </w:rPr>
              <w:t>460</w:t>
            </w:r>
          </w:p>
        </w:tc>
        <w:tc>
          <w:tcPr>
            <w:tcW w:w="1387" w:type="dxa"/>
            <w:vMerge w:val="continue"/>
            <w:vAlign w:val="center"/>
          </w:tcPr>
          <w:p>
            <w:pPr>
              <w:jc w:val="center"/>
              <w:rPr>
                <w:color w:val="auto"/>
                <w:szCs w:val="21"/>
                <w:highlight w:val="none"/>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75" w:hRule="atLeast"/>
          <w:jc w:val="center"/>
        </w:trPr>
        <w:tc>
          <w:tcPr>
            <w:tcW w:w="674"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30</w:t>
            </w:r>
          </w:p>
        </w:tc>
        <w:tc>
          <w:tcPr>
            <w:tcW w:w="2130" w:type="dxa"/>
            <w:vAlign w:val="center"/>
          </w:tcPr>
          <w:p>
            <w:pPr>
              <w:jc w:val="center"/>
              <w:rPr>
                <w:rFonts w:hint="eastAsia" w:eastAsia="宋体"/>
                <w:color w:val="auto"/>
                <w:szCs w:val="21"/>
                <w:highlight w:val="none"/>
                <w:lang w:eastAsia="zh-CN"/>
              </w:rPr>
            </w:pPr>
            <w:r>
              <w:rPr>
                <w:rFonts w:hint="eastAsia"/>
                <w:color w:val="auto"/>
                <w:szCs w:val="21"/>
                <w:highlight w:val="none"/>
                <w:lang w:eastAsia="zh-CN"/>
              </w:rPr>
              <w:t>柳沟社区</w:t>
            </w:r>
          </w:p>
        </w:tc>
        <w:tc>
          <w:tcPr>
            <w:tcW w:w="708" w:type="dxa"/>
            <w:vAlign w:val="center"/>
          </w:tcPr>
          <w:p>
            <w:pPr>
              <w:jc w:val="center"/>
              <w:rPr>
                <w:color w:val="auto"/>
                <w:szCs w:val="21"/>
                <w:highlight w:val="none"/>
              </w:rPr>
            </w:pPr>
            <w:r>
              <w:rPr>
                <w:rFonts w:hint="eastAsia"/>
                <w:color w:val="auto"/>
                <w:szCs w:val="21"/>
                <w:highlight w:val="none"/>
                <w:lang w:val="en-US" w:eastAsia="zh-CN"/>
              </w:rPr>
              <w:t>NE</w:t>
            </w:r>
          </w:p>
        </w:tc>
        <w:tc>
          <w:tcPr>
            <w:tcW w:w="1590" w:type="dxa"/>
            <w:vAlign w:val="center"/>
          </w:tcPr>
          <w:p>
            <w:pPr>
              <w:jc w:val="center"/>
              <w:rPr>
                <w:color w:val="auto"/>
                <w:szCs w:val="21"/>
                <w:highlight w:val="none"/>
              </w:rPr>
            </w:pPr>
            <w:r>
              <w:rPr>
                <w:rFonts w:hint="eastAsia"/>
                <w:color w:val="auto"/>
                <w:szCs w:val="21"/>
                <w:highlight w:val="none"/>
                <w:lang w:val="en-US" w:eastAsia="zh-CN"/>
              </w:rPr>
              <w:t>2800</w:t>
            </w:r>
          </w:p>
        </w:tc>
        <w:tc>
          <w:tcPr>
            <w:tcW w:w="1670" w:type="dxa"/>
            <w:vMerge w:val="continue"/>
          </w:tcPr>
          <w:p>
            <w:pPr>
              <w:jc w:val="center"/>
              <w:rPr>
                <w:color w:val="auto"/>
                <w:highlight w:val="none"/>
              </w:rPr>
            </w:pPr>
          </w:p>
        </w:tc>
        <w:tc>
          <w:tcPr>
            <w:tcW w:w="1127" w:type="dxa"/>
          </w:tcPr>
          <w:p>
            <w:pPr>
              <w:jc w:val="center"/>
              <w:rPr>
                <w:rFonts w:hint="eastAsia" w:eastAsia="宋体"/>
                <w:color w:val="auto"/>
                <w:szCs w:val="21"/>
                <w:highlight w:val="none"/>
                <w:lang w:val="en-US" w:eastAsia="zh-CN"/>
              </w:rPr>
            </w:pPr>
            <w:r>
              <w:rPr>
                <w:rFonts w:hint="eastAsia"/>
                <w:color w:val="auto"/>
                <w:szCs w:val="21"/>
                <w:highlight w:val="none"/>
                <w:lang w:val="en-US" w:eastAsia="zh-CN"/>
              </w:rPr>
              <w:t>4000</w:t>
            </w:r>
          </w:p>
        </w:tc>
        <w:tc>
          <w:tcPr>
            <w:tcW w:w="1387" w:type="dxa"/>
            <w:vMerge w:val="continue"/>
            <w:vAlign w:val="center"/>
          </w:tcPr>
          <w:p>
            <w:pPr>
              <w:jc w:val="center"/>
              <w:rPr>
                <w:color w:val="auto"/>
                <w:szCs w:val="21"/>
                <w:highlight w:val="none"/>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75" w:hRule="atLeast"/>
          <w:jc w:val="center"/>
        </w:trPr>
        <w:tc>
          <w:tcPr>
            <w:tcW w:w="674"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31</w:t>
            </w:r>
          </w:p>
        </w:tc>
        <w:tc>
          <w:tcPr>
            <w:tcW w:w="2130" w:type="dxa"/>
            <w:vAlign w:val="center"/>
          </w:tcPr>
          <w:p>
            <w:pPr>
              <w:jc w:val="center"/>
              <w:rPr>
                <w:rFonts w:hint="eastAsia" w:eastAsia="宋体"/>
                <w:color w:val="auto"/>
                <w:szCs w:val="21"/>
                <w:highlight w:val="none"/>
                <w:lang w:eastAsia="zh-CN"/>
              </w:rPr>
            </w:pPr>
            <w:r>
              <w:rPr>
                <w:rFonts w:hint="eastAsia"/>
                <w:color w:val="auto"/>
                <w:szCs w:val="21"/>
                <w:highlight w:val="none"/>
                <w:lang w:eastAsia="zh-CN"/>
              </w:rPr>
              <w:t>兴悦华城</w:t>
            </w:r>
          </w:p>
        </w:tc>
        <w:tc>
          <w:tcPr>
            <w:tcW w:w="708"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SW</w:t>
            </w:r>
          </w:p>
        </w:tc>
        <w:tc>
          <w:tcPr>
            <w:tcW w:w="1590"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2660</w:t>
            </w:r>
          </w:p>
        </w:tc>
        <w:tc>
          <w:tcPr>
            <w:tcW w:w="1670" w:type="dxa"/>
            <w:vMerge w:val="continue"/>
          </w:tcPr>
          <w:p>
            <w:pPr>
              <w:jc w:val="center"/>
              <w:rPr>
                <w:color w:val="auto"/>
                <w:highlight w:val="none"/>
              </w:rPr>
            </w:pPr>
          </w:p>
        </w:tc>
        <w:tc>
          <w:tcPr>
            <w:tcW w:w="1127" w:type="dxa"/>
          </w:tcPr>
          <w:p>
            <w:pPr>
              <w:jc w:val="center"/>
              <w:rPr>
                <w:rFonts w:hint="eastAsia" w:eastAsia="宋体"/>
                <w:color w:val="auto"/>
                <w:szCs w:val="21"/>
                <w:highlight w:val="none"/>
                <w:lang w:val="en-US" w:eastAsia="zh-CN"/>
              </w:rPr>
            </w:pPr>
            <w:r>
              <w:rPr>
                <w:rFonts w:hint="eastAsia"/>
                <w:color w:val="auto"/>
                <w:szCs w:val="21"/>
                <w:highlight w:val="none"/>
                <w:lang w:val="en-US" w:eastAsia="zh-CN"/>
              </w:rPr>
              <w:t>2000</w:t>
            </w:r>
          </w:p>
        </w:tc>
        <w:tc>
          <w:tcPr>
            <w:tcW w:w="1387" w:type="dxa"/>
            <w:vMerge w:val="continue"/>
            <w:vAlign w:val="center"/>
          </w:tcPr>
          <w:p>
            <w:pPr>
              <w:jc w:val="center"/>
              <w:rPr>
                <w:color w:val="auto"/>
                <w:szCs w:val="21"/>
                <w:highlight w:val="none"/>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75" w:hRule="atLeast"/>
          <w:jc w:val="center"/>
        </w:trPr>
        <w:tc>
          <w:tcPr>
            <w:tcW w:w="674"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32</w:t>
            </w:r>
          </w:p>
        </w:tc>
        <w:tc>
          <w:tcPr>
            <w:tcW w:w="2130" w:type="dxa"/>
            <w:vAlign w:val="center"/>
          </w:tcPr>
          <w:p>
            <w:pPr>
              <w:jc w:val="center"/>
              <w:rPr>
                <w:color w:val="auto"/>
                <w:szCs w:val="21"/>
                <w:highlight w:val="none"/>
              </w:rPr>
            </w:pPr>
            <w:r>
              <w:rPr>
                <w:rFonts w:hint="eastAsia"/>
                <w:color w:val="auto"/>
                <w:szCs w:val="21"/>
                <w:highlight w:val="none"/>
                <w:lang w:eastAsia="zh-CN"/>
              </w:rPr>
              <w:t>兴宝苑</w:t>
            </w:r>
          </w:p>
        </w:tc>
        <w:tc>
          <w:tcPr>
            <w:tcW w:w="708"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SW</w:t>
            </w:r>
          </w:p>
        </w:tc>
        <w:tc>
          <w:tcPr>
            <w:tcW w:w="1590"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2560</w:t>
            </w:r>
          </w:p>
        </w:tc>
        <w:tc>
          <w:tcPr>
            <w:tcW w:w="1670" w:type="dxa"/>
            <w:vMerge w:val="continue"/>
          </w:tcPr>
          <w:p>
            <w:pPr>
              <w:jc w:val="center"/>
              <w:rPr>
                <w:color w:val="auto"/>
                <w:highlight w:val="none"/>
              </w:rPr>
            </w:pPr>
          </w:p>
        </w:tc>
        <w:tc>
          <w:tcPr>
            <w:tcW w:w="1127" w:type="dxa"/>
          </w:tcPr>
          <w:p>
            <w:pPr>
              <w:jc w:val="center"/>
              <w:rPr>
                <w:rFonts w:hint="eastAsia" w:eastAsia="宋体"/>
                <w:color w:val="auto"/>
                <w:szCs w:val="21"/>
                <w:highlight w:val="none"/>
                <w:lang w:val="en-US" w:eastAsia="zh-CN"/>
              </w:rPr>
            </w:pPr>
            <w:r>
              <w:rPr>
                <w:rFonts w:hint="eastAsia"/>
                <w:color w:val="auto"/>
                <w:szCs w:val="21"/>
                <w:highlight w:val="none"/>
                <w:lang w:val="en-US" w:eastAsia="zh-CN"/>
              </w:rPr>
              <w:t>1000</w:t>
            </w:r>
          </w:p>
        </w:tc>
        <w:tc>
          <w:tcPr>
            <w:tcW w:w="1387" w:type="dxa"/>
            <w:vMerge w:val="continue"/>
            <w:vAlign w:val="center"/>
          </w:tcPr>
          <w:p>
            <w:pPr>
              <w:jc w:val="center"/>
              <w:rPr>
                <w:color w:val="auto"/>
                <w:szCs w:val="21"/>
                <w:highlight w:val="none"/>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75" w:hRule="atLeast"/>
          <w:jc w:val="center"/>
        </w:trPr>
        <w:tc>
          <w:tcPr>
            <w:tcW w:w="674"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33</w:t>
            </w:r>
          </w:p>
        </w:tc>
        <w:tc>
          <w:tcPr>
            <w:tcW w:w="2130" w:type="dxa"/>
            <w:vAlign w:val="center"/>
          </w:tcPr>
          <w:p>
            <w:pPr>
              <w:jc w:val="center"/>
              <w:rPr>
                <w:rFonts w:hint="eastAsia"/>
                <w:color w:val="auto"/>
                <w:szCs w:val="21"/>
                <w:highlight w:val="none"/>
                <w:lang w:eastAsia="zh-CN"/>
              </w:rPr>
            </w:pPr>
            <w:r>
              <w:rPr>
                <w:rFonts w:hint="eastAsia"/>
                <w:color w:val="auto"/>
                <w:szCs w:val="21"/>
                <w:highlight w:val="none"/>
                <w:lang w:eastAsia="zh-CN"/>
              </w:rPr>
              <w:t>芙蓉苑</w:t>
            </w:r>
          </w:p>
        </w:tc>
        <w:tc>
          <w:tcPr>
            <w:tcW w:w="708"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W</w:t>
            </w:r>
          </w:p>
        </w:tc>
        <w:tc>
          <w:tcPr>
            <w:tcW w:w="1590"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2530</w:t>
            </w:r>
          </w:p>
        </w:tc>
        <w:tc>
          <w:tcPr>
            <w:tcW w:w="1670" w:type="dxa"/>
            <w:vMerge w:val="continue"/>
          </w:tcPr>
          <w:p>
            <w:pPr>
              <w:jc w:val="center"/>
              <w:rPr>
                <w:color w:val="auto"/>
                <w:highlight w:val="none"/>
              </w:rPr>
            </w:pPr>
          </w:p>
        </w:tc>
        <w:tc>
          <w:tcPr>
            <w:tcW w:w="1127" w:type="dxa"/>
          </w:tcPr>
          <w:p>
            <w:pPr>
              <w:jc w:val="center"/>
              <w:rPr>
                <w:rFonts w:hint="eastAsia" w:eastAsia="宋体"/>
                <w:color w:val="auto"/>
                <w:szCs w:val="21"/>
                <w:highlight w:val="none"/>
                <w:lang w:val="en-US" w:eastAsia="zh-CN"/>
              </w:rPr>
            </w:pPr>
            <w:r>
              <w:rPr>
                <w:rFonts w:hint="eastAsia"/>
                <w:color w:val="auto"/>
                <w:szCs w:val="21"/>
                <w:highlight w:val="none"/>
                <w:lang w:val="en-US" w:eastAsia="zh-CN"/>
              </w:rPr>
              <w:t>1100</w:t>
            </w:r>
          </w:p>
        </w:tc>
        <w:tc>
          <w:tcPr>
            <w:tcW w:w="1387" w:type="dxa"/>
            <w:vMerge w:val="continue"/>
            <w:vAlign w:val="center"/>
          </w:tcPr>
          <w:p>
            <w:pPr>
              <w:jc w:val="center"/>
              <w:rPr>
                <w:color w:val="auto"/>
                <w:szCs w:val="21"/>
                <w:highlight w:val="none"/>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75" w:hRule="atLeast"/>
          <w:jc w:val="center"/>
        </w:trPr>
        <w:tc>
          <w:tcPr>
            <w:tcW w:w="674"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34</w:t>
            </w:r>
          </w:p>
        </w:tc>
        <w:tc>
          <w:tcPr>
            <w:tcW w:w="2130" w:type="dxa"/>
            <w:vAlign w:val="center"/>
          </w:tcPr>
          <w:p>
            <w:pPr>
              <w:jc w:val="center"/>
              <w:rPr>
                <w:rFonts w:hint="eastAsia"/>
                <w:color w:val="auto"/>
                <w:szCs w:val="21"/>
                <w:highlight w:val="none"/>
                <w:lang w:eastAsia="zh-CN"/>
              </w:rPr>
            </w:pPr>
            <w:r>
              <w:rPr>
                <w:rFonts w:hint="eastAsia"/>
                <w:color w:val="auto"/>
                <w:szCs w:val="21"/>
                <w:highlight w:val="none"/>
                <w:lang w:eastAsia="zh-CN"/>
              </w:rPr>
              <w:t>冷家沟社区</w:t>
            </w:r>
          </w:p>
        </w:tc>
        <w:tc>
          <w:tcPr>
            <w:tcW w:w="708"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W</w:t>
            </w:r>
          </w:p>
        </w:tc>
        <w:tc>
          <w:tcPr>
            <w:tcW w:w="1590"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2530</w:t>
            </w:r>
          </w:p>
        </w:tc>
        <w:tc>
          <w:tcPr>
            <w:tcW w:w="1670" w:type="dxa"/>
            <w:vMerge w:val="continue"/>
          </w:tcPr>
          <w:p>
            <w:pPr>
              <w:jc w:val="center"/>
              <w:rPr>
                <w:color w:val="auto"/>
                <w:highlight w:val="none"/>
              </w:rPr>
            </w:pPr>
          </w:p>
        </w:tc>
        <w:tc>
          <w:tcPr>
            <w:tcW w:w="1127" w:type="dxa"/>
          </w:tcPr>
          <w:p>
            <w:pPr>
              <w:jc w:val="center"/>
              <w:rPr>
                <w:rFonts w:hint="eastAsia" w:eastAsia="宋体"/>
                <w:color w:val="auto"/>
                <w:szCs w:val="21"/>
                <w:highlight w:val="none"/>
                <w:lang w:val="en-US" w:eastAsia="zh-CN"/>
              </w:rPr>
            </w:pPr>
            <w:r>
              <w:rPr>
                <w:rFonts w:hint="eastAsia"/>
                <w:color w:val="auto"/>
                <w:szCs w:val="21"/>
                <w:highlight w:val="none"/>
                <w:lang w:val="en-US" w:eastAsia="zh-CN"/>
              </w:rPr>
              <w:t>360</w:t>
            </w:r>
          </w:p>
        </w:tc>
        <w:tc>
          <w:tcPr>
            <w:tcW w:w="1387" w:type="dxa"/>
            <w:vMerge w:val="continue"/>
            <w:vAlign w:val="center"/>
          </w:tcPr>
          <w:p>
            <w:pPr>
              <w:jc w:val="center"/>
              <w:rPr>
                <w:color w:val="auto"/>
                <w:szCs w:val="21"/>
                <w:highlight w:val="none"/>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75" w:hRule="atLeast"/>
          <w:jc w:val="center"/>
        </w:trPr>
        <w:tc>
          <w:tcPr>
            <w:tcW w:w="674"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35</w:t>
            </w:r>
          </w:p>
        </w:tc>
        <w:tc>
          <w:tcPr>
            <w:tcW w:w="2130" w:type="dxa"/>
            <w:vAlign w:val="center"/>
          </w:tcPr>
          <w:p>
            <w:pPr>
              <w:jc w:val="center"/>
              <w:rPr>
                <w:rFonts w:hint="eastAsia"/>
                <w:color w:val="auto"/>
                <w:szCs w:val="21"/>
                <w:highlight w:val="none"/>
                <w:lang w:val="en-US" w:eastAsia="zh-CN"/>
              </w:rPr>
            </w:pPr>
            <w:r>
              <w:rPr>
                <w:rFonts w:hint="eastAsia"/>
                <w:color w:val="auto"/>
                <w:szCs w:val="21"/>
                <w:highlight w:val="none"/>
                <w:lang w:val="en-US" w:eastAsia="zh-CN"/>
              </w:rPr>
              <w:t>十字路园村</w:t>
            </w:r>
          </w:p>
        </w:tc>
        <w:tc>
          <w:tcPr>
            <w:tcW w:w="708" w:type="dxa"/>
            <w:vAlign w:val="center"/>
          </w:tcPr>
          <w:p>
            <w:pPr>
              <w:jc w:val="center"/>
              <w:rPr>
                <w:rFonts w:hint="eastAsia"/>
                <w:color w:val="auto"/>
                <w:szCs w:val="21"/>
                <w:highlight w:val="none"/>
                <w:lang w:val="en-US" w:eastAsia="zh-CN"/>
              </w:rPr>
            </w:pPr>
            <w:r>
              <w:rPr>
                <w:rFonts w:hint="eastAsia"/>
                <w:color w:val="auto"/>
                <w:szCs w:val="21"/>
                <w:highlight w:val="none"/>
                <w:lang w:val="en-US" w:eastAsia="zh-CN"/>
              </w:rPr>
              <w:t>NW</w:t>
            </w:r>
          </w:p>
        </w:tc>
        <w:tc>
          <w:tcPr>
            <w:tcW w:w="1590" w:type="dxa"/>
            <w:vAlign w:val="center"/>
          </w:tcPr>
          <w:p>
            <w:pPr>
              <w:jc w:val="center"/>
              <w:rPr>
                <w:rFonts w:hint="eastAsia"/>
                <w:color w:val="auto"/>
                <w:szCs w:val="21"/>
                <w:highlight w:val="none"/>
                <w:lang w:val="en-US" w:eastAsia="zh-CN"/>
              </w:rPr>
            </w:pPr>
            <w:r>
              <w:rPr>
                <w:rFonts w:hint="eastAsia"/>
                <w:color w:val="auto"/>
                <w:szCs w:val="21"/>
                <w:highlight w:val="none"/>
                <w:lang w:val="en-US" w:eastAsia="zh-CN"/>
              </w:rPr>
              <w:t>2850</w:t>
            </w:r>
          </w:p>
        </w:tc>
        <w:tc>
          <w:tcPr>
            <w:tcW w:w="1670" w:type="dxa"/>
            <w:vMerge w:val="continue"/>
          </w:tcPr>
          <w:p>
            <w:pPr>
              <w:jc w:val="center"/>
              <w:rPr>
                <w:color w:val="auto"/>
                <w:highlight w:val="none"/>
              </w:rPr>
            </w:pPr>
          </w:p>
        </w:tc>
        <w:tc>
          <w:tcPr>
            <w:tcW w:w="1127" w:type="dxa"/>
          </w:tcPr>
          <w:p>
            <w:pPr>
              <w:jc w:val="center"/>
              <w:rPr>
                <w:rFonts w:hint="eastAsia" w:eastAsia="宋体"/>
                <w:color w:val="auto"/>
                <w:szCs w:val="21"/>
                <w:highlight w:val="none"/>
                <w:lang w:val="en-US" w:eastAsia="zh-CN"/>
              </w:rPr>
            </w:pPr>
            <w:r>
              <w:rPr>
                <w:rFonts w:hint="eastAsia"/>
                <w:color w:val="auto"/>
                <w:szCs w:val="21"/>
                <w:highlight w:val="none"/>
                <w:lang w:val="en-US" w:eastAsia="zh-CN"/>
              </w:rPr>
              <w:t>1600</w:t>
            </w:r>
          </w:p>
        </w:tc>
        <w:tc>
          <w:tcPr>
            <w:tcW w:w="1387" w:type="dxa"/>
            <w:vMerge w:val="continue"/>
            <w:vAlign w:val="center"/>
          </w:tcPr>
          <w:p>
            <w:pPr>
              <w:jc w:val="center"/>
              <w:rPr>
                <w:color w:val="auto"/>
                <w:szCs w:val="21"/>
                <w:highlight w:val="none"/>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75" w:hRule="atLeast"/>
          <w:jc w:val="center"/>
        </w:trPr>
        <w:tc>
          <w:tcPr>
            <w:tcW w:w="674"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36</w:t>
            </w:r>
          </w:p>
        </w:tc>
        <w:tc>
          <w:tcPr>
            <w:tcW w:w="2130" w:type="dxa"/>
            <w:vAlign w:val="center"/>
          </w:tcPr>
          <w:p>
            <w:pPr>
              <w:jc w:val="center"/>
              <w:rPr>
                <w:rFonts w:hint="eastAsia"/>
                <w:color w:val="auto"/>
                <w:szCs w:val="21"/>
                <w:highlight w:val="none"/>
                <w:lang w:eastAsia="zh-CN"/>
              </w:rPr>
            </w:pPr>
            <w:r>
              <w:rPr>
                <w:rFonts w:hint="eastAsia"/>
                <w:color w:val="auto"/>
                <w:szCs w:val="21"/>
                <w:highlight w:val="none"/>
                <w:lang w:eastAsia="zh-CN"/>
              </w:rPr>
              <w:t>徐戈庄村</w:t>
            </w:r>
          </w:p>
        </w:tc>
        <w:tc>
          <w:tcPr>
            <w:tcW w:w="708" w:type="dxa"/>
            <w:vAlign w:val="center"/>
          </w:tcPr>
          <w:p>
            <w:pPr>
              <w:jc w:val="center"/>
              <w:rPr>
                <w:rFonts w:hint="eastAsia"/>
                <w:color w:val="auto"/>
                <w:szCs w:val="21"/>
                <w:highlight w:val="none"/>
                <w:lang w:val="en-US" w:eastAsia="zh-CN"/>
              </w:rPr>
            </w:pPr>
            <w:r>
              <w:rPr>
                <w:rFonts w:hint="eastAsia"/>
                <w:color w:val="auto"/>
                <w:szCs w:val="21"/>
                <w:highlight w:val="none"/>
                <w:lang w:val="en-US" w:eastAsia="zh-CN"/>
              </w:rPr>
              <w:t>N</w:t>
            </w:r>
          </w:p>
        </w:tc>
        <w:tc>
          <w:tcPr>
            <w:tcW w:w="1590" w:type="dxa"/>
            <w:vAlign w:val="center"/>
          </w:tcPr>
          <w:p>
            <w:pPr>
              <w:jc w:val="center"/>
              <w:rPr>
                <w:rFonts w:hint="eastAsia"/>
                <w:color w:val="auto"/>
                <w:szCs w:val="21"/>
                <w:highlight w:val="none"/>
                <w:lang w:val="en-US" w:eastAsia="zh-CN"/>
              </w:rPr>
            </w:pPr>
            <w:r>
              <w:rPr>
                <w:rFonts w:hint="eastAsia"/>
                <w:color w:val="auto"/>
                <w:szCs w:val="21"/>
                <w:highlight w:val="none"/>
                <w:lang w:val="en-US" w:eastAsia="zh-CN"/>
              </w:rPr>
              <w:t>2600</w:t>
            </w:r>
          </w:p>
        </w:tc>
        <w:tc>
          <w:tcPr>
            <w:tcW w:w="1670" w:type="dxa"/>
            <w:vMerge w:val="continue"/>
          </w:tcPr>
          <w:p>
            <w:pPr>
              <w:jc w:val="center"/>
              <w:rPr>
                <w:color w:val="auto"/>
                <w:highlight w:val="none"/>
              </w:rPr>
            </w:pPr>
          </w:p>
        </w:tc>
        <w:tc>
          <w:tcPr>
            <w:tcW w:w="1127" w:type="dxa"/>
          </w:tcPr>
          <w:p>
            <w:pPr>
              <w:jc w:val="center"/>
              <w:rPr>
                <w:rFonts w:hint="eastAsia" w:eastAsia="宋体"/>
                <w:color w:val="auto"/>
                <w:szCs w:val="21"/>
                <w:highlight w:val="none"/>
                <w:lang w:val="en-US" w:eastAsia="zh-CN"/>
              </w:rPr>
            </w:pPr>
            <w:r>
              <w:rPr>
                <w:rFonts w:hint="eastAsia"/>
                <w:color w:val="auto"/>
                <w:szCs w:val="21"/>
                <w:highlight w:val="none"/>
                <w:lang w:val="en-US" w:eastAsia="zh-CN"/>
              </w:rPr>
              <w:t>1230</w:t>
            </w:r>
          </w:p>
        </w:tc>
        <w:tc>
          <w:tcPr>
            <w:tcW w:w="1387" w:type="dxa"/>
            <w:vMerge w:val="continue"/>
            <w:vAlign w:val="center"/>
          </w:tcPr>
          <w:p>
            <w:pPr>
              <w:jc w:val="center"/>
              <w:rPr>
                <w:color w:val="auto"/>
                <w:szCs w:val="21"/>
                <w:highlight w:val="none"/>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81" w:hRule="atLeast"/>
          <w:jc w:val="center"/>
        </w:trPr>
        <w:tc>
          <w:tcPr>
            <w:tcW w:w="674"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37</w:t>
            </w:r>
          </w:p>
        </w:tc>
        <w:tc>
          <w:tcPr>
            <w:tcW w:w="2130" w:type="dxa"/>
            <w:vAlign w:val="center"/>
          </w:tcPr>
          <w:p>
            <w:pPr>
              <w:jc w:val="center"/>
              <w:rPr>
                <w:color w:val="auto"/>
                <w:szCs w:val="21"/>
                <w:highlight w:val="none"/>
              </w:rPr>
            </w:pPr>
            <w:r>
              <w:rPr>
                <w:rFonts w:hint="eastAsia"/>
                <w:color w:val="auto"/>
                <w:szCs w:val="21"/>
                <w:highlight w:val="none"/>
                <w:lang w:eastAsia="zh-CN"/>
              </w:rPr>
              <w:t>镰湾河</w:t>
            </w:r>
          </w:p>
        </w:tc>
        <w:tc>
          <w:tcPr>
            <w:tcW w:w="708" w:type="dxa"/>
            <w:vAlign w:val="center"/>
          </w:tcPr>
          <w:p>
            <w:pPr>
              <w:jc w:val="center"/>
              <w:rPr>
                <w:rFonts w:hint="eastAsia" w:eastAsia="宋体"/>
                <w:color w:val="auto"/>
                <w:szCs w:val="21"/>
                <w:highlight w:val="none"/>
                <w:lang w:eastAsia="zh-CN"/>
              </w:rPr>
            </w:pPr>
            <w:r>
              <w:rPr>
                <w:rFonts w:hint="eastAsia"/>
                <w:color w:val="auto"/>
                <w:szCs w:val="21"/>
                <w:highlight w:val="none"/>
                <w:lang w:val="en-US" w:eastAsia="zh-CN"/>
              </w:rPr>
              <w:t>W</w:t>
            </w:r>
          </w:p>
        </w:tc>
        <w:tc>
          <w:tcPr>
            <w:tcW w:w="1590"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250</w:t>
            </w:r>
          </w:p>
        </w:tc>
        <w:tc>
          <w:tcPr>
            <w:tcW w:w="1670"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河流</w:t>
            </w:r>
          </w:p>
        </w:tc>
        <w:tc>
          <w:tcPr>
            <w:tcW w:w="1127" w:type="dxa"/>
            <w:vAlign w:val="center"/>
          </w:tcPr>
          <w:p>
            <w:pPr>
              <w:jc w:val="center"/>
              <w:rPr>
                <w:color w:val="auto"/>
                <w:szCs w:val="21"/>
                <w:highlight w:val="none"/>
              </w:rPr>
            </w:pPr>
            <w:r>
              <w:rPr>
                <w:color w:val="auto"/>
                <w:szCs w:val="21"/>
                <w:highlight w:val="none"/>
              </w:rPr>
              <w:t>—</w:t>
            </w:r>
          </w:p>
        </w:tc>
        <w:tc>
          <w:tcPr>
            <w:tcW w:w="1387" w:type="dxa"/>
            <w:vAlign w:val="center"/>
          </w:tcPr>
          <w:p>
            <w:pPr>
              <w:jc w:val="center"/>
              <w:rPr>
                <w:color w:val="auto"/>
                <w:szCs w:val="21"/>
                <w:highlight w:val="none"/>
              </w:rPr>
            </w:pPr>
            <w:r>
              <w:rPr>
                <w:color w:val="auto"/>
                <w:szCs w:val="21"/>
                <w:highlight w:val="none"/>
              </w:rPr>
              <w:t>地表水</w:t>
            </w:r>
            <w:r>
              <w:rPr>
                <w:rFonts w:ascii="宋体" w:hAnsi="宋体" w:cs="宋体"/>
                <w:color w:val="auto"/>
                <w:szCs w:val="21"/>
                <w:highlight w:val="none"/>
              </w:rPr>
              <w:t>V</w:t>
            </w:r>
            <w:r>
              <w:rPr>
                <w:snapToGrid w:val="0"/>
                <w:color w:val="auto"/>
                <w:kern w:val="0"/>
                <w:szCs w:val="21"/>
                <w:highlight w:val="none"/>
              </w:rPr>
              <w:t>类</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70" w:hRule="atLeast"/>
          <w:jc w:val="center"/>
        </w:trPr>
        <w:tc>
          <w:tcPr>
            <w:tcW w:w="674"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38</w:t>
            </w:r>
          </w:p>
        </w:tc>
        <w:tc>
          <w:tcPr>
            <w:tcW w:w="4428" w:type="dxa"/>
            <w:gridSpan w:val="3"/>
            <w:vAlign w:val="center"/>
          </w:tcPr>
          <w:p>
            <w:pPr>
              <w:jc w:val="center"/>
              <w:rPr>
                <w:color w:val="auto"/>
                <w:szCs w:val="21"/>
                <w:highlight w:val="none"/>
              </w:rPr>
            </w:pPr>
            <w:r>
              <w:rPr>
                <w:snapToGrid w:val="0"/>
                <w:color w:val="auto"/>
                <w:kern w:val="0"/>
                <w:szCs w:val="21"/>
                <w:highlight w:val="none"/>
              </w:rPr>
              <w:t>厂区及其下游地下水</w:t>
            </w:r>
          </w:p>
        </w:tc>
        <w:tc>
          <w:tcPr>
            <w:tcW w:w="1670" w:type="dxa"/>
            <w:vAlign w:val="center"/>
          </w:tcPr>
          <w:p>
            <w:pPr>
              <w:jc w:val="center"/>
              <w:rPr>
                <w:color w:val="auto"/>
                <w:szCs w:val="21"/>
                <w:highlight w:val="none"/>
              </w:rPr>
            </w:pPr>
            <w:r>
              <w:rPr>
                <w:color w:val="auto"/>
                <w:szCs w:val="21"/>
                <w:highlight w:val="none"/>
              </w:rPr>
              <w:t>—</w:t>
            </w:r>
          </w:p>
        </w:tc>
        <w:tc>
          <w:tcPr>
            <w:tcW w:w="1127" w:type="dxa"/>
            <w:vAlign w:val="center"/>
          </w:tcPr>
          <w:p>
            <w:pPr>
              <w:jc w:val="center"/>
              <w:rPr>
                <w:color w:val="auto"/>
                <w:szCs w:val="21"/>
                <w:highlight w:val="none"/>
              </w:rPr>
            </w:pPr>
            <w:r>
              <w:rPr>
                <w:color w:val="auto"/>
                <w:szCs w:val="21"/>
                <w:highlight w:val="none"/>
              </w:rPr>
              <w:t>—</w:t>
            </w:r>
          </w:p>
        </w:tc>
        <w:tc>
          <w:tcPr>
            <w:tcW w:w="1387" w:type="dxa"/>
            <w:vAlign w:val="center"/>
          </w:tcPr>
          <w:p>
            <w:pPr>
              <w:jc w:val="center"/>
              <w:rPr>
                <w:color w:val="auto"/>
                <w:szCs w:val="21"/>
                <w:highlight w:val="none"/>
              </w:rPr>
            </w:pPr>
            <w:r>
              <w:rPr>
                <w:color w:val="auto"/>
                <w:szCs w:val="21"/>
                <w:highlight w:val="none"/>
              </w:rPr>
              <w:t>地下水</w:t>
            </w:r>
            <w:r>
              <w:rPr>
                <w:rFonts w:hint="eastAsia"/>
                <w:color w:val="auto"/>
                <w:szCs w:val="21"/>
                <w:highlight w:val="none"/>
              </w:rPr>
              <w:t>IV</w:t>
            </w:r>
            <w:r>
              <w:rPr>
                <w:color w:val="auto"/>
                <w:szCs w:val="21"/>
                <w:highlight w:val="none"/>
              </w:rPr>
              <w:t>类</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PrEx>
        <w:trPr>
          <w:trHeight w:val="274" w:hRule="atLeast"/>
          <w:jc w:val="center"/>
        </w:trPr>
        <w:tc>
          <w:tcPr>
            <w:tcW w:w="674"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39</w:t>
            </w:r>
          </w:p>
        </w:tc>
        <w:tc>
          <w:tcPr>
            <w:tcW w:w="4428" w:type="dxa"/>
            <w:gridSpan w:val="3"/>
            <w:vAlign w:val="center"/>
          </w:tcPr>
          <w:p>
            <w:pPr>
              <w:jc w:val="center"/>
              <w:rPr>
                <w:color w:val="auto"/>
                <w:szCs w:val="21"/>
                <w:highlight w:val="none"/>
              </w:rPr>
            </w:pPr>
            <w:r>
              <w:rPr>
                <w:color w:val="auto"/>
                <w:szCs w:val="21"/>
                <w:highlight w:val="none"/>
              </w:rPr>
              <w:t>厂界四周</w:t>
            </w:r>
          </w:p>
        </w:tc>
        <w:tc>
          <w:tcPr>
            <w:tcW w:w="1670" w:type="dxa"/>
            <w:vAlign w:val="center"/>
          </w:tcPr>
          <w:p>
            <w:pPr>
              <w:jc w:val="center"/>
              <w:rPr>
                <w:color w:val="auto"/>
                <w:szCs w:val="21"/>
                <w:highlight w:val="none"/>
              </w:rPr>
            </w:pPr>
            <w:r>
              <w:rPr>
                <w:color w:val="auto"/>
                <w:szCs w:val="21"/>
                <w:highlight w:val="none"/>
              </w:rPr>
              <w:t>—</w:t>
            </w:r>
          </w:p>
        </w:tc>
        <w:tc>
          <w:tcPr>
            <w:tcW w:w="1127" w:type="dxa"/>
            <w:vAlign w:val="center"/>
          </w:tcPr>
          <w:p>
            <w:pPr>
              <w:jc w:val="center"/>
              <w:rPr>
                <w:color w:val="auto"/>
                <w:szCs w:val="21"/>
                <w:highlight w:val="none"/>
              </w:rPr>
            </w:pPr>
            <w:r>
              <w:rPr>
                <w:color w:val="auto"/>
                <w:szCs w:val="21"/>
                <w:highlight w:val="none"/>
              </w:rPr>
              <w:t>—</w:t>
            </w:r>
          </w:p>
        </w:tc>
        <w:tc>
          <w:tcPr>
            <w:tcW w:w="1387" w:type="dxa"/>
            <w:vAlign w:val="center"/>
          </w:tcPr>
          <w:p>
            <w:pPr>
              <w:jc w:val="center"/>
              <w:rPr>
                <w:color w:val="auto"/>
                <w:szCs w:val="21"/>
                <w:highlight w:val="none"/>
              </w:rPr>
            </w:pPr>
            <w:r>
              <w:rPr>
                <w:color w:val="auto"/>
                <w:szCs w:val="21"/>
                <w:highlight w:val="none"/>
              </w:rPr>
              <w:t>声环境3类</w:t>
            </w:r>
          </w:p>
        </w:tc>
      </w:tr>
      <w:bookmarkEnd w:id="46"/>
      <w:bookmarkEnd w:id="47"/>
    </w:tbl>
    <w:p>
      <w:pPr>
        <w:adjustRightInd w:val="0"/>
        <w:snapToGrid w:val="0"/>
        <w:spacing w:line="360" w:lineRule="auto"/>
        <w:ind w:firstLine="420" w:firstLineChars="200"/>
        <w:rPr>
          <w:color w:val="auto"/>
          <w:highlight w:val="none"/>
        </w:rPr>
      </w:pPr>
    </w:p>
    <w:p>
      <w:pPr>
        <w:adjustRightInd w:val="0"/>
        <w:snapToGrid w:val="0"/>
        <w:spacing w:line="360" w:lineRule="auto"/>
        <w:outlineLvl w:val="0"/>
        <w:rPr>
          <w:rFonts w:eastAsia="黑体"/>
          <w:color w:val="auto"/>
          <w:sz w:val="28"/>
          <w:szCs w:val="28"/>
          <w:highlight w:val="none"/>
        </w:rPr>
        <w:sectPr>
          <w:headerReference r:id="rId7" w:type="default"/>
          <w:footerReference r:id="rId8" w:type="default"/>
          <w:pgSz w:w="11906" w:h="16838"/>
          <w:pgMar w:top="1440" w:right="1418" w:bottom="1440" w:left="1418"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bookmarkStart w:id="48" w:name="_Toc519063294"/>
    </w:p>
    <w:p>
      <w:pPr>
        <w:adjustRightInd w:val="0"/>
        <w:snapToGrid w:val="0"/>
        <w:spacing w:line="360" w:lineRule="auto"/>
        <w:outlineLvl w:val="0"/>
        <w:rPr>
          <w:rFonts w:eastAsia="黑体"/>
          <w:color w:val="auto"/>
          <w:sz w:val="28"/>
          <w:szCs w:val="28"/>
          <w:highlight w:val="none"/>
        </w:rPr>
      </w:pPr>
      <w:bookmarkStart w:id="49" w:name="_Toc24456"/>
      <w:bookmarkStart w:id="50" w:name="_Toc530655594"/>
      <w:r>
        <w:rPr>
          <w:rFonts w:eastAsia="黑体"/>
          <w:color w:val="auto"/>
          <w:sz w:val="28"/>
          <w:szCs w:val="28"/>
          <w:highlight w:val="none"/>
        </w:rPr>
        <w:t>2 工程概况及工程分析</w:t>
      </w:r>
      <w:bookmarkEnd w:id="48"/>
      <w:bookmarkEnd w:id="49"/>
      <w:bookmarkEnd w:id="50"/>
    </w:p>
    <w:p>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1"/>
        <w:rPr>
          <w:rFonts w:eastAsia="黑体"/>
          <w:color w:val="auto"/>
          <w:sz w:val="24"/>
          <w:highlight w:val="none"/>
        </w:rPr>
      </w:pPr>
      <w:bookmarkStart w:id="51" w:name="_Toc10680"/>
      <w:r>
        <w:rPr>
          <w:rFonts w:hint="eastAsia" w:eastAsia="黑体"/>
          <w:color w:val="auto"/>
          <w:sz w:val="24"/>
          <w:highlight w:val="none"/>
        </w:rPr>
        <w:t>2.1项目基本概况回顾</w:t>
      </w:r>
      <w:bookmarkEnd w:id="51"/>
    </w:p>
    <w:p>
      <w:pPr>
        <w:adjustRightInd w:val="0"/>
        <w:snapToGrid w:val="0"/>
        <w:spacing w:line="360" w:lineRule="auto"/>
        <w:ind w:firstLine="480" w:firstLineChars="200"/>
        <w:rPr>
          <w:rFonts w:hint="eastAsia" w:eastAsiaTheme="minorEastAsia"/>
          <w:color w:val="auto"/>
          <w:sz w:val="24"/>
          <w:highlight w:val="none"/>
          <w:lang w:eastAsia="zh-CN"/>
        </w:rPr>
      </w:pPr>
      <w:r>
        <w:rPr>
          <w:rFonts w:hint="eastAsia" w:eastAsiaTheme="minorEastAsia"/>
          <w:color w:val="auto"/>
          <w:sz w:val="24"/>
          <w:highlight w:val="none"/>
        </w:rPr>
        <w:t>青岛源润宏防腐精饰科技有限公司</w:t>
      </w:r>
      <w:r>
        <w:rPr>
          <w:rFonts w:hint="eastAsia" w:eastAsiaTheme="minorEastAsia"/>
          <w:color w:val="auto"/>
          <w:sz w:val="24"/>
          <w:highlight w:val="none"/>
          <w:lang w:eastAsia="zh-CN"/>
        </w:rPr>
        <w:t>(前身为青岛古田防腐精饰科技有限公司，于</w:t>
      </w:r>
      <w:r>
        <w:rPr>
          <w:rFonts w:hint="eastAsia" w:eastAsiaTheme="minorEastAsia"/>
          <w:color w:val="auto"/>
          <w:sz w:val="24"/>
          <w:highlight w:val="none"/>
          <w:lang w:val="en-US" w:eastAsia="zh-CN"/>
        </w:rPr>
        <w:t>2018年8月变更为</w:t>
      </w:r>
      <w:r>
        <w:rPr>
          <w:rFonts w:hint="eastAsia" w:eastAsiaTheme="minorEastAsia"/>
          <w:color w:val="auto"/>
          <w:sz w:val="24"/>
          <w:highlight w:val="none"/>
        </w:rPr>
        <w:t>青岛源润宏防腐精饰科技有限公司</w:t>
      </w:r>
      <w:r>
        <w:rPr>
          <w:rFonts w:hint="eastAsia" w:eastAsiaTheme="minorEastAsia"/>
          <w:color w:val="auto"/>
          <w:sz w:val="24"/>
          <w:highlight w:val="none"/>
          <w:lang w:eastAsia="zh-CN"/>
        </w:rPr>
        <w:t>)</w:t>
      </w:r>
      <w:r>
        <w:rPr>
          <w:rFonts w:hint="eastAsia" w:eastAsiaTheme="minorEastAsia"/>
          <w:color w:val="auto"/>
          <w:sz w:val="24"/>
          <w:highlight w:val="none"/>
        </w:rPr>
        <w:t>是一家专业从事</w:t>
      </w:r>
      <w:r>
        <w:rPr>
          <w:rFonts w:hint="eastAsia" w:eastAsiaTheme="minorEastAsia"/>
          <w:color w:val="auto"/>
          <w:sz w:val="24"/>
          <w:highlight w:val="none"/>
          <w:lang w:eastAsia="zh-CN"/>
        </w:rPr>
        <w:t>金属制品表面处理</w:t>
      </w:r>
      <w:r>
        <w:rPr>
          <w:rFonts w:hint="eastAsia" w:eastAsiaTheme="minorEastAsia"/>
          <w:color w:val="auto"/>
          <w:sz w:val="24"/>
          <w:highlight w:val="none"/>
        </w:rPr>
        <w:t>生产的企业，厂址位于</w:t>
      </w:r>
      <w:r>
        <w:rPr>
          <w:rFonts w:hint="eastAsia" w:eastAsiaTheme="minorEastAsia"/>
          <w:color w:val="auto"/>
          <w:sz w:val="24"/>
          <w:highlight w:val="none"/>
          <w:lang w:eastAsia="zh-CN"/>
        </w:rPr>
        <w:t>青岛西海岸新区</w:t>
      </w:r>
      <w:r>
        <w:rPr>
          <w:rFonts w:hint="eastAsia" w:eastAsiaTheme="minorEastAsia"/>
          <w:color w:val="auto"/>
          <w:sz w:val="24"/>
          <w:highlight w:val="none"/>
        </w:rPr>
        <w:t xml:space="preserve">黄河东路139号青岛经济技术开发区电镀工业园内，租赁青岛经济技术开发区电镀工业园 </w:t>
      </w:r>
      <w:r>
        <w:rPr>
          <w:rFonts w:hint="eastAsia" w:eastAsiaTheme="minorEastAsia"/>
          <w:color w:val="auto"/>
          <w:sz w:val="24"/>
          <w:highlight w:val="none"/>
          <w:lang w:val="en-US" w:eastAsia="zh-CN"/>
        </w:rPr>
        <w:t>1</w:t>
      </w:r>
      <w:r>
        <w:rPr>
          <w:rFonts w:hint="eastAsia" w:eastAsiaTheme="minorEastAsia"/>
          <w:color w:val="auto"/>
          <w:sz w:val="24"/>
          <w:highlight w:val="none"/>
        </w:rPr>
        <w:t>#</w:t>
      </w:r>
      <w:r>
        <w:rPr>
          <w:rFonts w:hint="eastAsia" w:eastAsiaTheme="minorEastAsia"/>
          <w:color w:val="auto"/>
          <w:sz w:val="24"/>
          <w:highlight w:val="none"/>
          <w:lang w:eastAsia="zh-CN"/>
        </w:rPr>
        <w:t>楼</w:t>
      </w:r>
      <w:r>
        <w:rPr>
          <w:rFonts w:hint="eastAsia" w:eastAsiaTheme="minorEastAsia"/>
          <w:color w:val="auto"/>
          <w:sz w:val="24"/>
          <w:highlight w:val="none"/>
          <w:lang w:val="en-US" w:eastAsia="zh-CN"/>
        </w:rPr>
        <w:t>3处车间、3#楼2处车间</w:t>
      </w:r>
      <w:r>
        <w:rPr>
          <w:rFonts w:hint="eastAsia" w:eastAsiaTheme="minorEastAsia"/>
          <w:color w:val="auto"/>
          <w:sz w:val="24"/>
          <w:highlight w:val="none"/>
        </w:rPr>
        <w:t>和4#</w:t>
      </w:r>
      <w:r>
        <w:rPr>
          <w:rFonts w:hint="eastAsia" w:eastAsiaTheme="minorEastAsia"/>
          <w:color w:val="auto"/>
          <w:sz w:val="24"/>
          <w:highlight w:val="none"/>
          <w:lang w:eastAsia="zh-CN"/>
        </w:rPr>
        <w:t>楼</w:t>
      </w:r>
      <w:r>
        <w:rPr>
          <w:rFonts w:hint="eastAsia" w:eastAsiaTheme="minorEastAsia"/>
          <w:color w:val="auto"/>
          <w:sz w:val="24"/>
          <w:highlight w:val="none"/>
          <w:lang w:val="en-US" w:eastAsia="zh-CN"/>
        </w:rPr>
        <w:t>1处车间共</w:t>
      </w:r>
      <w:r>
        <w:rPr>
          <w:rFonts w:hint="eastAsia" w:eastAsiaTheme="minorEastAsia"/>
          <w:color w:val="auto"/>
          <w:sz w:val="24"/>
          <w:highlight w:val="none"/>
          <w:lang w:eastAsia="zh-CN"/>
        </w:rPr>
        <w:t>六</w:t>
      </w:r>
      <w:r>
        <w:rPr>
          <w:rFonts w:hint="eastAsia" w:eastAsiaTheme="minorEastAsia"/>
          <w:color w:val="auto"/>
          <w:sz w:val="24"/>
          <w:highlight w:val="none"/>
        </w:rPr>
        <w:t>个车间进行生产。公</w:t>
      </w:r>
      <w:r>
        <w:rPr>
          <w:rFonts w:hint="eastAsia" w:eastAsiaTheme="minorEastAsia"/>
          <w:color w:val="auto"/>
          <w:sz w:val="24"/>
          <w:highlight w:val="none"/>
        </w:rPr>
        <w:t>司主要产品为镀锌</w:t>
      </w:r>
      <w:r>
        <w:rPr>
          <w:rFonts w:hint="eastAsia" w:eastAsiaTheme="minorEastAsia"/>
          <w:color w:val="auto"/>
          <w:sz w:val="24"/>
          <w:highlight w:val="none"/>
          <w:lang w:eastAsia="zh-CN"/>
        </w:rPr>
        <w:t>、镀铜、镀铬、镀镍、镀锡、镀银</w:t>
      </w:r>
      <w:r>
        <w:rPr>
          <w:rFonts w:hint="eastAsia" w:eastAsiaTheme="minorEastAsia"/>
          <w:color w:val="auto"/>
          <w:sz w:val="24"/>
          <w:highlight w:val="none"/>
          <w:lang w:val="en-US" w:eastAsia="zh-CN"/>
        </w:rPr>
        <w:t>表面处理</w:t>
      </w:r>
      <w:r>
        <w:rPr>
          <w:rFonts w:hint="eastAsia" w:eastAsiaTheme="minorEastAsia"/>
          <w:color w:val="auto"/>
          <w:sz w:val="24"/>
          <w:highlight w:val="none"/>
        </w:rPr>
        <w:t>件，生产规模为</w:t>
      </w:r>
      <w:r>
        <w:rPr>
          <w:rFonts w:hint="eastAsia" w:eastAsiaTheme="minorEastAsia"/>
          <w:color w:val="auto"/>
          <w:sz w:val="24"/>
          <w:highlight w:val="none"/>
          <w:lang w:eastAsia="zh-CN"/>
        </w:rPr>
        <w:t>镀锌</w:t>
      </w:r>
      <w:r>
        <w:rPr>
          <w:rFonts w:hint="eastAsia" w:eastAsiaTheme="minorEastAsia"/>
          <w:color w:val="auto"/>
          <w:sz w:val="24"/>
          <w:highlight w:val="none"/>
          <w:lang w:val="en-US" w:eastAsia="zh-CN"/>
        </w:rPr>
        <w:t>1000t/a、镀铜、铬、镍6</w:t>
      </w:r>
      <w:r>
        <w:rPr>
          <w:rFonts w:hint="eastAsia" w:eastAsiaTheme="minorEastAsia"/>
          <w:color w:val="auto"/>
          <w:sz w:val="24"/>
          <w:highlight w:val="none"/>
        </w:rPr>
        <w:t>万m</w:t>
      </w:r>
      <w:r>
        <w:rPr>
          <w:rFonts w:hint="eastAsia" w:eastAsiaTheme="minorEastAsia"/>
          <w:color w:val="auto"/>
          <w:sz w:val="24"/>
          <w:highlight w:val="none"/>
          <w:vertAlign w:val="superscript"/>
        </w:rPr>
        <w:t>2</w:t>
      </w:r>
      <w:r>
        <w:rPr>
          <w:rFonts w:hint="eastAsia" w:eastAsiaTheme="minorEastAsia"/>
          <w:color w:val="auto"/>
          <w:sz w:val="24"/>
          <w:highlight w:val="none"/>
        </w:rPr>
        <w:t>/a</w:t>
      </w:r>
      <w:r>
        <w:rPr>
          <w:rFonts w:hint="eastAsia" w:eastAsiaTheme="minorEastAsia"/>
          <w:color w:val="auto"/>
          <w:sz w:val="24"/>
          <w:highlight w:val="none"/>
          <w:lang w:eastAsia="zh-CN"/>
        </w:rPr>
        <w:t>、特殊材料电镀</w:t>
      </w:r>
      <w:r>
        <w:rPr>
          <w:rFonts w:hint="eastAsia" w:eastAsiaTheme="minorEastAsia"/>
          <w:color w:val="auto"/>
          <w:sz w:val="24"/>
          <w:highlight w:val="none"/>
          <w:lang w:val="en-US" w:eastAsia="zh-CN"/>
        </w:rPr>
        <w:t>1</w:t>
      </w:r>
      <w:r>
        <w:rPr>
          <w:rFonts w:hint="eastAsia" w:eastAsiaTheme="minorEastAsia"/>
          <w:color w:val="auto"/>
          <w:sz w:val="24"/>
          <w:highlight w:val="none"/>
        </w:rPr>
        <w:t>万m</w:t>
      </w:r>
      <w:r>
        <w:rPr>
          <w:rFonts w:hint="eastAsia" w:eastAsiaTheme="minorEastAsia"/>
          <w:color w:val="auto"/>
          <w:sz w:val="24"/>
          <w:highlight w:val="none"/>
          <w:vertAlign w:val="superscript"/>
        </w:rPr>
        <w:t>2</w:t>
      </w:r>
      <w:r>
        <w:rPr>
          <w:rFonts w:hint="eastAsia" w:eastAsiaTheme="minorEastAsia"/>
          <w:color w:val="auto"/>
          <w:sz w:val="24"/>
          <w:highlight w:val="none"/>
        </w:rPr>
        <w:t>/a</w:t>
      </w:r>
      <w:r>
        <w:rPr>
          <w:rFonts w:hint="eastAsia" w:eastAsiaTheme="minorEastAsia"/>
          <w:color w:val="auto"/>
          <w:sz w:val="24"/>
          <w:highlight w:val="none"/>
          <w:lang w:eastAsia="zh-CN"/>
        </w:rPr>
        <w:t>(镀银、锡)。</w:t>
      </w:r>
    </w:p>
    <w:p>
      <w:pPr>
        <w:adjustRightInd w:val="0"/>
        <w:snapToGrid w:val="0"/>
        <w:spacing w:line="360" w:lineRule="auto"/>
        <w:ind w:firstLine="480" w:firstLineChars="200"/>
        <w:rPr>
          <w:rFonts w:eastAsiaTheme="minorEastAsia"/>
          <w:color w:val="auto"/>
          <w:sz w:val="24"/>
          <w:highlight w:val="none"/>
        </w:rPr>
      </w:pPr>
      <w:r>
        <w:rPr>
          <w:rFonts w:hint="eastAsia" w:eastAsiaTheme="minorEastAsia"/>
          <w:color w:val="auto"/>
          <w:sz w:val="24"/>
          <w:highlight w:val="none"/>
          <w:lang w:val="en-US" w:eastAsia="zh-CN"/>
        </w:rPr>
        <w:t>2002年9月25日，</w:t>
      </w:r>
      <w:r>
        <w:rPr>
          <w:rFonts w:hint="eastAsia" w:eastAsiaTheme="minorEastAsia"/>
          <w:color w:val="auto"/>
          <w:sz w:val="24"/>
          <w:highlight w:val="none"/>
        </w:rPr>
        <w:t>青岛源润宏防腐精饰科技有限公司</w:t>
      </w:r>
      <w:r>
        <w:rPr>
          <w:rFonts w:hint="eastAsia" w:eastAsiaTheme="minorEastAsia"/>
          <w:color w:val="auto"/>
          <w:sz w:val="24"/>
          <w:highlight w:val="none"/>
          <w:lang w:val="en-US" w:eastAsia="zh-CN"/>
        </w:rPr>
        <w:t>电镀项目</w:t>
      </w:r>
      <w:r>
        <w:rPr>
          <w:rFonts w:hint="eastAsia" w:eastAsiaTheme="minorEastAsia"/>
          <w:color w:val="auto"/>
          <w:sz w:val="24"/>
          <w:highlight w:val="none"/>
        </w:rPr>
        <w:t>取得青岛市环境保护局</w:t>
      </w:r>
      <w:r>
        <w:rPr>
          <w:rFonts w:hint="eastAsia" w:eastAsiaTheme="minorEastAsia"/>
          <w:color w:val="auto"/>
          <w:sz w:val="24"/>
          <w:highlight w:val="none"/>
          <w:lang w:eastAsia="zh-CN"/>
        </w:rPr>
        <w:t>黄岛分局</w:t>
      </w:r>
      <w:r>
        <w:rPr>
          <w:rFonts w:hint="eastAsia" w:eastAsiaTheme="minorEastAsia"/>
          <w:color w:val="auto"/>
          <w:sz w:val="24"/>
          <w:highlight w:val="none"/>
        </w:rPr>
        <w:t>关于</w:t>
      </w:r>
      <w:r>
        <w:rPr>
          <w:rFonts w:hint="eastAsia" w:eastAsiaTheme="minorEastAsia"/>
          <w:color w:val="auto"/>
          <w:sz w:val="24"/>
          <w:highlight w:val="none"/>
          <w:lang w:eastAsia="zh-CN"/>
        </w:rPr>
        <w:t>该</w:t>
      </w:r>
      <w:r>
        <w:rPr>
          <w:rFonts w:hint="eastAsia" w:eastAsiaTheme="minorEastAsia"/>
          <w:color w:val="auto"/>
          <w:sz w:val="24"/>
          <w:highlight w:val="none"/>
        </w:rPr>
        <w:t>建设项目环境影响</w:t>
      </w:r>
      <w:r>
        <w:rPr>
          <w:rFonts w:hint="eastAsia" w:eastAsiaTheme="minorEastAsia"/>
          <w:color w:val="auto"/>
          <w:sz w:val="24"/>
          <w:highlight w:val="none"/>
          <w:lang w:eastAsia="zh-CN"/>
        </w:rPr>
        <w:t>登记表</w:t>
      </w:r>
      <w:r>
        <w:rPr>
          <w:rFonts w:hint="eastAsia" w:eastAsiaTheme="minorEastAsia"/>
          <w:color w:val="auto"/>
          <w:sz w:val="24"/>
          <w:highlight w:val="none"/>
        </w:rPr>
        <w:t>的</w:t>
      </w:r>
      <w:r>
        <w:rPr>
          <w:rFonts w:hint="eastAsia" w:eastAsiaTheme="minorEastAsia"/>
          <w:color w:val="auto"/>
          <w:sz w:val="24"/>
          <w:highlight w:val="none"/>
          <w:lang w:eastAsia="zh-CN"/>
        </w:rPr>
        <w:t>审查意见</w:t>
      </w:r>
      <w:r>
        <w:rPr>
          <w:rFonts w:hint="eastAsia" w:eastAsiaTheme="minorEastAsia"/>
          <w:color w:val="auto"/>
          <w:sz w:val="24"/>
          <w:highlight w:val="none"/>
        </w:rPr>
        <w:t>(</w:t>
      </w:r>
      <w:r>
        <w:rPr>
          <w:rFonts w:hint="eastAsia" w:eastAsiaTheme="minorEastAsia"/>
          <w:color w:val="auto"/>
          <w:sz w:val="24"/>
          <w:highlight w:val="none"/>
          <w:lang w:eastAsia="zh-CN"/>
        </w:rPr>
        <w:t>见附件</w:t>
      </w:r>
      <w:r>
        <w:rPr>
          <w:rFonts w:hint="eastAsia" w:eastAsiaTheme="minorEastAsia"/>
          <w:color w:val="auto"/>
          <w:sz w:val="24"/>
          <w:highlight w:val="none"/>
          <w:lang w:val="en-US" w:eastAsia="zh-CN"/>
        </w:rPr>
        <w:t>7</w:t>
      </w:r>
      <w:r>
        <w:rPr>
          <w:rFonts w:hint="eastAsia" w:eastAsiaTheme="minorEastAsia"/>
          <w:color w:val="auto"/>
          <w:sz w:val="24"/>
          <w:highlight w:val="none"/>
        </w:rPr>
        <w:t>)，并于200</w:t>
      </w:r>
      <w:r>
        <w:rPr>
          <w:rFonts w:hint="eastAsia" w:eastAsiaTheme="minorEastAsia"/>
          <w:color w:val="auto"/>
          <w:sz w:val="24"/>
          <w:highlight w:val="none"/>
          <w:lang w:val="en-US" w:eastAsia="zh-CN"/>
        </w:rPr>
        <w:t>8</w:t>
      </w:r>
      <w:r>
        <w:rPr>
          <w:rFonts w:hint="eastAsia" w:eastAsiaTheme="minorEastAsia"/>
          <w:color w:val="auto"/>
          <w:sz w:val="24"/>
          <w:highlight w:val="none"/>
        </w:rPr>
        <w:t>年</w:t>
      </w:r>
      <w:r>
        <w:rPr>
          <w:rFonts w:hint="eastAsia" w:eastAsiaTheme="minorEastAsia"/>
          <w:color w:val="auto"/>
          <w:sz w:val="24"/>
          <w:highlight w:val="none"/>
          <w:lang w:val="en-US" w:eastAsia="zh-CN"/>
        </w:rPr>
        <w:t>5</w:t>
      </w:r>
      <w:r>
        <w:rPr>
          <w:rFonts w:hint="eastAsia" w:eastAsiaTheme="minorEastAsia"/>
          <w:color w:val="auto"/>
          <w:sz w:val="24"/>
          <w:highlight w:val="none"/>
        </w:rPr>
        <w:t>月</w:t>
      </w:r>
      <w:r>
        <w:rPr>
          <w:rFonts w:hint="eastAsia" w:eastAsiaTheme="minorEastAsia"/>
          <w:color w:val="auto"/>
          <w:sz w:val="24"/>
          <w:highlight w:val="none"/>
          <w:lang w:eastAsia="zh-CN"/>
        </w:rPr>
        <w:t>取得</w:t>
      </w:r>
      <w:r>
        <w:rPr>
          <w:rFonts w:hint="eastAsia" w:eastAsiaTheme="minorEastAsia"/>
          <w:color w:val="auto"/>
          <w:sz w:val="24"/>
          <w:highlight w:val="none"/>
        </w:rPr>
        <w:t>由青岛市环境保护局</w:t>
      </w:r>
      <w:r>
        <w:rPr>
          <w:rFonts w:hint="eastAsia" w:eastAsiaTheme="minorEastAsia"/>
          <w:color w:val="auto"/>
          <w:sz w:val="24"/>
          <w:highlight w:val="none"/>
          <w:lang w:eastAsia="zh-CN"/>
        </w:rPr>
        <w:t>黄岛分局</w:t>
      </w:r>
      <w:r>
        <w:rPr>
          <w:rFonts w:hint="eastAsia" w:eastAsiaTheme="minorEastAsia"/>
          <w:color w:val="auto"/>
          <w:sz w:val="24"/>
          <w:highlight w:val="none"/>
        </w:rPr>
        <w:t>进行</w:t>
      </w:r>
      <w:r>
        <w:rPr>
          <w:rFonts w:hint="eastAsia" w:eastAsiaTheme="minorEastAsia"/>
          <w:color w:val="auto"/>
          <w:sz w:val="24"/>
          <w:highlight w:val="none"/>
          <w:lang w:eastAsia="zh-CN"/>
        </w:rPr>
        <w:t>的建设项目竣工环境保护</w:t>
      </w:r>
      <w:r>
        <w:rPr>
          <w:rFonts w:hint="eastAsia" w:eastAsiaTheme="minorEastAsia"/>
          <w:color w:val="auto"/>
          <w:sz w:val="24"/>
          <w:highlight w:val="none"/>
        </w:rPr>
        <w:t>验收</w:t>
      </w:r>
      <w:r>
        <w:rPr>
          <w:rFonts w:hint="eastAsia" w:eastAsiaTheme="minorEastAsia"/>
          <w:color w:val="auto"/>
          <w:sz w:val="24"/>
          <w:highlight w:val="none"/>
          <w:lang w:eastAsia="zh-CN"/>
        </w:rPr>
        <w:t>报告</w:t>
      </w:r>
      <w:r>
        <w:rPr>
          <w:rFonts w:hint="eastAsia" w:eastAsiaTheme="minorEastAsia"/>
          <w:color w:val="auto"/>
          <w:sz w:val="24"/>
          <w:highlight w:val="none"/>
        </w:rPr>
        <w:t>(青环验200</w:t>
      </w:r>
      <w:r>
        <w:rPr>
          <w:rFonts w:hint="eastAsia" w:eastAsiaTheme="minorEastAsia"/>
          <w:color w:val="auto"/>
          <w:sz w:val="24"/>
          <w:highlight w:val="none"/>
          <w:lang w:val="en-US" w:eastAsia="zh-CN"/>
        </w:rPr>
        <w:t>8</w:t>
      </w:r>
      <w:r>
        <w:rPr>
          <w:rFonts w:hint="eastAsia" w:eastAsiaTheme="minorEastAsia"/>
          <w:color w:val="auto"/>
          <w:sz w:val="24"/>
          <w:highlight w:val="none"/>
        </w:rPr>
        <w:t>-</w:t>
      </w:r>
      <w:r>
        <w:rPr>
          <w:rFonts w:hint="eastAsia" w:eastAsiaTheme="minorEastAsia"/>
          <w:color w:val="auto"/>
          <w:sz w:val="24"/>
          <w:highlight w:val="none"/>
          <w:lang w:val="en-US" w:eastAsia="zh-CN"/>
        </w:rPr>
        <w:t>108，</w:t>
      </w:r>
      <w:r>
        <w:rPr>
          <w:rFonts w:hint="eastAsia" w:eastAsiaTheme="minorEastAsia"/>
          <w:color w:val="auto"/>
          <w:sz w:val="24"/>
          <w:highlight w:val="none"/>
          <w:lang w:eastAsia="zh-CN"/>
        </w:rPr>
        <w:t>见附件</w:t>
      </w:r>
      <w:r>
        <w:rPr>
          <w:rFonts w:hint="eastAsia" w:eastAsiaTheme="minorEastAsia"/>
          <w:color w:val="auto"/>
          <w:sz w:val="24"/>
          <w:highlight w:val="none"/>
          <w:lang w:val="en-US" w:eastAsia="zh-CN"/>
        </w:rPr>
        <w:t>8</w:t>
      </w:r>
      <w:r>
        <w:rPr>
          <w:rFonts w:hint="eastAsia" w:eastAsiaTheme="minorEastAsia"/>
          <w:color w:val="auto"/>
          <w:sz w:val="24"/>
          <w:highlight w:val="none"/>
        </w:rPr>
        <w:t>)。</w:t>
      </w:r>
    </w:p>
    <w:p>
      <w:pPr>
        <w:adjustRightInd w:val="0"/>
        <w:snapToGrid w:val="0"/>
        <w:spacing w:line="360" w:lineRule="auto"/>
        <w:ind w:firstLine="480" w:firstLineChars="200"/>
        <w:rPr>
          <w:color w:val="auto"/>
          <w:sz w:val="24"/>
          <w:highlight w:val="none"/>
        </w:rPr>
      </w:pPr>
      <w:r>
        <w:rPr>
          <w:rFonts w:hint="eastAsia"/>
          <w:color w:val="auto"/>
          <w:sz w:val="24"/>
          <w:highlight w:val="none"/>
        </w:rPr>
        <w:t>青岛源润宏防腐精饰科技有限公司于20</w:t>
      </w:r>
      <w:r>
        <w:rPr>
          <w:rFonts w:hint="eastAsia"/>
          <w:color w:val="auto"/>
          <w:sz w:val="24"/>
          <w:highlight w:val="none"/>
          <w:lang w:val="en-US" w:eastAsia="zh-CN"/>
        </w:rPr>
        <w:t>02</w:t>
      </w:r>
      <w:r>
        <w:rPr>
          <w:rFonts w:hint="eastAsia"/>
          <w:color w:val="auto"/>
          <w:sz w:val="24"/>
          <w:highlight w:val="none"/>
        </w:rPr>
        <w:t>年注册</w:t>
      </w:r>
      <w:r>
        <w:rPr>
          <w:rFonts w:hint="eastAsia"/>
          <w:color w:val="auto"/>
          <w:sz w:val="24"/>
          <w:highlight w:val="none"/>
          <w:lang w:eastAsia="zh-CN"/>
        </w:rPr>
        <w:t>(</w:t>
      </w:r>
      <w:r>
        <w:rPr>
          <w:rFonts w:hint="eastAsia"/>
          <w:color w:val="auto"/>
          <w:sz w:val="24"/>
          <w:highlight w:val="none"/>
        </w:rPr>
        <w:t>见附件2</w:t>
      </w:r>
      <w:r>
        <w:rPr>
          <w:rFonts w:hint="eastAsia"/>
          <w:color w:val="auto"/>
          <w:sz w:val="24"/>
          <w:highlight w:val="none"/>
          <w:lang w:eastAsia="zh-CN"/>
        </w:rPr>
        <w:t>)，原有的项目环评登记表编制时，原辅材料、生产设备、产品叙述不清楚，污染源强核算和防治措施</w:t>
      </w:r>
      <w:r>
        <w:rPr>
          <w:rFonts w:hint="eastAsia"/>
          <w:color w:val="auto"/>
          <w:sz w:val="24"/>
          <w:highlight w:val="none"/>
          <w:lang w:val="en-US" w:eastAsia="zh-CN"/>
        </w:rPr>
        <w:t>未进行</w:t>
      </w:r>
      <w:r>
        <w:rPr>
          <w:rFonts w:hint="eastAsia"/>
          <w:color w:val="auto"/>
          <w:sz w:val="24"/>
          <w:highlight w:val="none"/>
          <w:lang w:eastAsia="zh-CN"/>
        </w:rPr>
        <w:t>编制</w:t>
      </w:r>
      <w:r>
        <w:rPr>
          <w:rFonts w:hint="eastAsia"/>
          <w:color w:val="auto"/>
          <w:sz w:val="24"/>
          <w:highlight w:val="none"/>
        </w:rPr>
        <w:t>。</w:t>
      </w:r>
      <w:r>
        <w:rPr>
          <w:rFonts w:ascii="宋体" w:hAnsi="宋体"/>
          <w:color w:val="auto"/>
          <w:sz w:val="24"/>
          <w:highlight w:val="none"/>
        </w:rPr>
        <w:t>本章节通过回顾</w:t>
      </w:r>
      <w:r>
        <w:rPr>
          <w:rFonts w:hint="eastAsia" w:eastAsiaTheme="minorEastAsia"/>
          <w:color w:val="auto"/>
          <w:sz w:val="24"/>
          <w:highlight w:val="none"/>
        </w:rPr>
        <w:t>青岛源润宏防腐精饰科技有限公司</w:t>
      </w:r>
      <w:r>
        <w:rPr>
          <w:rFonts w:ascii="宋体" w:hAnsi="宋体"/>
          <w:color w:val="auto"/>
          <w:sz w:val="24"/>
          <w:highlight w:val="none"/>
        </w:rPr>
        <w:t>现有环保手续</w:t>
      </w:r>
      <w:r>
        <w:rPr>
          <w:rFonts w:hint="eastAsia"/>
          <w:color w:val="auto"/>
          <w:sz w:val="24"/>
          <w:highlight w:val="none"/>
          <w:lang w:eastAsia="zh-CN"/>
        </w:rPr>
        <w:t>(</w:t>
      </w:r>
      <w:r>
        <w:rPr>
          <w:rFonts w:ascii="宋体" w:hAnsi="宋体"/>
          <w:color w:val="auto"/>
          <w:sz w:val="24"/>
          <w:highlight w:val="none"/>
        </w:rPr>
        <w:t>环评报告、验收意见等</w:t>
      </w:r>
      <w:r>
        <w:rPr>
          <w:rFonts w:hint="eastAsia"/>
          <w:color w:val="auto"/>
          <w:sz w:val="24"/>
          <w:highlight w:val="none"/>
          <w:lang w:eastAsia="zh-CN"/>
        </w:rPr>
        <w:t>)</w:t>
      </w:r>
      <w:r>
        <w:rPr>
          <w:rFonts w:ascii="宋体" w:hAnsi="宋体"/>
          <w:color w:val="auto"/>
          <w:sz w:val="24"/>
          <w:highlight w:val="none"/>
        </w:rPr>
        <w:t>，尽可能将原有工程组成、工艺、污染物排放情况等真实还原。</w:t>
      </w:r>
    </w:p>
    <w:p>
      <w:pPr>
        <w:adjustRightInd w:val="0"/>
        <w:snapToGrid w:val="0"/>
        <w:spacing w:line="360" w:lineRule="auto"/>
        <w:outlineLvl w:val="2"/>
        <w:rPr>
          <w:rFonts w:eastAsia="黑体"/>
          <w:color w:val="auto"/>
          <w:sz w:val="24"/>
          <w:highlight w:val="none"/>
        </w:rPr>
      </w:pPr>
      <w:bookmarkStart w:id="52" w:name="_Toc519063295"/>
      <w:bookmarkStart w:id="53" w:name="_Toc530655595"/>
      <w:r>
        <w:rPr>
          <w:rFonts w:hint="eastAsia" w:eastAsia="黑体"/>
          <w:color w:val="auto"/>
          <w:sz w:val="24"/>
          <w:highlight w:val="none"/>
        </w:rPr>
        <w:t>2.1.1</w:t>
      </w:r>
      <w:r>
        <w:rPr>
          <w:rFonts w:eastAsia="黑体"/>
          <w:color w:val="auto"/>
          <w:sz w:val="24"/>
          <w:highlight w:val="none"/>
        </w:rPr>
        <w:t>建设地点及周边环境</w:t>
      </w:r>
      <w:bookmarkEnd w:id="52"/>
      <w:bookmarkEnd w:id="53"/>
    </w:p>
    <w:p>
      <w:pPr>
        <w:adjustRightInd w:val="0"/>
        <w:snapToGrid w:val="0"/>
        <w:spacing w:line="360" w:lineRule="auto"/>
        <w:ind w:firstLine="470" w:firstLineChars="196"/>
        <w:rPr>
          <w:color w:val="auto"/>
          <w:sz w:val="24"/>
          <w:highlight w:val="none"/>
        </w:rPr>
      </w:pPr>
      <w:r>
        <w:rPr>
          <w:rFonts w:hint="eastAsia"/>
          <w:color w:val="auto"/>
          <w:sz w:val="24"/>
          <w:highlight w:val="none"/>
        </w:rPr>
        <w:t>青岛源润宏防腐精饰科技有限公司位于</w:t>
      </w:r>
      <w:r>
        <w:rPr>
          <w:rFonts w:hint="eastAsia" w:eastAsiaTheme="minorEastAsia"/>
          <w:color w:val="auto"/>
          <w:sz w:val="24"/>
          <w:highlight w:val="none"/>
          <w:lang w:eastAsia="zh-CN"/>
        </w:rPr>
        <w:t>青岛西海岸新区</w:t>
      </w:r>
      <w:r>
        <w:rPr>
          <w:rFonts w:hint="eastAsia" w:eastAsiaTheme="minorEastAsia"/>
          <w:color w:val="auto"/>
          <w:sz w:val="24"/>
          <w:highlight w:val="none"/>
        </w:rPr>
        <w:t>黄河东路139号</w:t>
      </w:r>
      <w:r>
        <w:rPr>
          <w:rFonts w:hint="eastAsia"/>
          <w:color w:val="auto"/>
          <w:sz w:val="24"/>
          <w:highlight w:val="none"/>
        </w:rPr>
        <w:t>，项目地理位置详见附图1。</w:t>
      </w:r>
    </w:p>
    <w:p>
      <w:pPr>
        <w:adjustRightInd w:val="0"/>
        <w:snapToGrid w:val="0"/>
        <w:spacing w:line="360" w:lineRule="auto"/>
        <w:ind w:firstLine="470" w:firstLineChars="196"/>
        <w:rPr>
          <w:color w:val="auto"/>
          <w:sz w:val="24"/>
          <w:highlight w:val="none"/>
        </w:rPr>
      </w:pPr>
      <w:r>
        <w:rPr>
          <w:rFonts w:hint="eastAsia"/>
          <w:color w:val="auto"/>
          <w:sz w:val="24"/>
          <w:highlight w:val="none"/>
        </w:rPr>
        <w:t>项目所在园区</w:t>
      </w:r>
      <w:r>
        <w:rPr>
          <w:rStyle w:val="51"/>
          <w:rFonts w:hint="eastAsia" w:ascii="Times New Roman" w:hAnsi="Times New Roman" w:eastAsiaTheme="minorEastAsia"/>
          <w:color w:val="auto"/>
          <w:sz w:val="24"/>
          <w:szCs w:val="24"/>
          <w:highlight w:val="none"/>
        </w:rPr>
        <w:t>东侧为瑞源广场</w:t>
      </w:r>
      <w:r>
        <w:rPr>
          <w:rStyle w:val="51"/>
          <w:rFonts w:hint="eastAsia" w:eastAsiaTheme="minorEastAsia"/>
          <w:color w:val="auto"/>
          <w:sz w:val="24"/>
          <w:szCs w:val="24"/>
          <w:highlight w:val="none"/>
          <w:lang w:eastAsia="zh-CN"/>
        </w:rPr>
        <w:t>、青岛益群漆业集团有限公司、青岛文达通科技发展有限公司</w:t>
      </w:r>
      <w:r>
        <w:rPr>
          <w:rStyle w:val="51"/>
          <w:rFonts w:hint="eastAsia" w:ascii="Times New Roman" w:hAnsi="Times New Roman" w:eastAsiaTheme="minorEastAsia"/>
          <w:color w:val="auto"/>
          <w:sz w:val="24"/>
          <w:szCs w:val="24"/>
          <w:highlight w:val="none"/>
        </w:rPr>
        <w:t>，南侧为黄河东路，隔路为</w:t>
      </w:r>
      <w:r>
        <w:rPr>
          <w:rStyle w:val="51"/>
          <w:rFonts w:hint="eastAsia" w:eastAsiaTheme="minorEastAsia"/>
          <w:color w:val="auto"/>
          <w:sz w:val="24"/>
          <w:szCs w:val="24"/>
          <w:highlight w:val="none"/>
          <w:lang w:val="en-US" w:eastAsia="zh-CN"/>
        </w:rPr>
        <w:t>自贸</w:t>
      </w:r>
      <w:r>
        <w:rPr>
          <w:rStyle w:val="51"/>
          <w:rFonts w:hint="eastAsia" w:ascii="Times New Roman" w:hAnsi="Times New Roman" w:eastAsiaTheme="minorEastAsia"/>
          <w:color w:val="auto"/>
          <w:sz w:val="24"/>
          <w:szCs w:val="24"/>
          <w:highlight w:val="none"/>
        </w:rPr>
        <w:t>大厦</w:t>
      </w:r>
      <w:r>
        <w:rPr>
          <w:rStyle w:val="51"/>
          <w:rFonts w:hint="eastAsia" w:ascii="Times New Roman" w:hAnsi="Times New Roman" w:eastAsiaTheme="minorEastAsia"/>
          <w:color w:val="auto"/>
          <w:sz w:val="24"/>
          <w:szCs w:val="24"/>
          <w:highlight w:val="none"/>
        </w:rPr>
        <w:t>；西侧为</w:t>
      </w:r>
      <w:r>
        <w:rPr>
          <w:rStyle w:val="51"/>
          <w:rFonts w:hint="eastAsia" w:eastAsiaTheme="minorEastAsia"/>
          <w:color w:val="auto"/>
          <w:sz w:val="24"/>
          <w:szCs w:val="24"/>
          <w:highlight w:val="none"/>
          <w:lang w:eastAsia="zh-CN"/>
        </w:rPr>
        <w:t>港航中心</w:t>
      </w:r>
      <w:r>
        <w:rPr>
          <w:rStyle w:val="51"/>
          <w:rFonts w:hint="eastAsia" w:ascii="Times New Roman" w:hAnsi="Times New Roman" w:eastAsiaTheme="minorEastAsia"/>
          <w:color w:val="auto"/>
          <w:sz w:val="24"/>
          <w:szCs w:val="24"/>
          <w:highlight w:val="none"/>
        </w:rPr>
        <w:t>和远洋大亚集装箱堆放地；北侧为青岛远洋大亚物流有限公司</w:t>
      </w:r>
      <w:r>
        <w:rPr>
          <w:rFonts w:hint="eastAsia"/>
          <w:color w:val="auto"/>
          <w:sz w:val="24"/>
          <w:highlight w:val="none"/>
        </w:rPr>
        <w:t>。项目四邻关系概况见附图2。</w:t>
      </w:r>
    </w:p>
    <w:p>
      <w:pPr>
        <w:adjustRightInd w:val="0"/>
        <w:snapToGrid w:val="0"/>
        <w:spacing w:line="360" w:lineRule="auto"/>
        <w:outlineLvl w:val="2"/>
        <w:rPr>
          <w:rFonts w:eastAsia="黑体"/>
          <w:color w:val="auto"/>
          <w:sz w:val="24"/>
          <w:highlight w:val="none"/>
        </w:rPr>
      </w:pPr>
      <w:r>
        <w:rPr>
          <w:rFonts w:hint="eastAsia" w:eastAsia="黑体"/>
          <w:color w:val="auto"/>
          <w:sz w:val="24"/>
          <w:highlight w:val="none"/>
        </w:rPr>
        <w:t>2.1.2项目环评及验收回顾</w:t>
      </w:r>
      <w:r>
        <w:rPr>
          <w:rFonts w:eastAsia="黑体"/>
          <w:color w:val="auto"/>
          <w:sz w:val="24"/>
          <w:highlight w:val="none"/>
        </w:rPr>
        <w:t>情况</w:t>
      </w:r>
    </w:p>
    <w:p>
      <w:pPr>
        <w:adjustRightInd w:val="0"/>
        <w:snapToGrid w:val="0"/>
        <w:spacing w:line="360" w:lineRule="auto"/>
        <w:ind w:firstLine="480" w:firstLineChars="200"/>
        <w:rPr>
          <w:color w:val="auto"/>
          <w:sz w:val="24"/>
          <w:highlight w:val="none"/>
        </w:rPr>
      </w:pPr>
      <w:r>
        <w:rPr>
          <w:color w:val="auto"/>
          <w:sz w:val="24"/>
          <w:highlight w:val="none"/>
        </w:rPr>
        <w:t>该项目位于</w:t>
      </w:r>
      <w:r>
        <w:rPr>
          <w:rFonts w:hint="eastAsia" w:eastAsiaTheme="minorEastAsia"/>
          <w:color w:val="auto"/>
          <w:sz w:val="24"/>
          <w:highlight w:val="none"/>
        </w:rPr>
        <w:t>青岛经济技术开发区电镀工业园</w:t>
      </w:r>
      <w:r>
        <w:rPr>
          <w:color w:val="auto"/>
          <w:sz w:val="24"/>
          <w:highlight w:val="none"/>
        </w:rPr>
        <w:t>，其环评及验收意见中相关要求执行情况见表2.</w:t>
      </w:r>
      <w:r>
        <w:rPr>
          <w:rFonts w:hint="eastAsia"/>
          <w:color w:val="auto"/>
          <w:sz w:val="24"/>
          <w:highlight w:val="none"/>
        </w:rPr>
        <w:t>1</w:t>
      </w:r>
      <w:r>
        <w:rPr>
          <w:color w:val="auto"/>
          <w:sz w:val="24"/>
          <w:highlight w:val="none"/>
        </w:rPr>
        <w:t>-</w:t>
      </w:r>
      <w:r>
        <w:rPr>
          <w:rFonts w:hint="eastAsia"/>
          <w:color w:val="auto"/>
          <w:sz w:val="24"/>
          <w:highlight w:val="none"/>
        </w:rPr>
        <w:t>1</w:t>
      </w:r>
      <w:r>
        <w:rPr>
          <w:color w:val="auto"/>
          <w:sz w:val="24"/>
          <w:highlight w:val="none"/>
        </w:rPr>
        <w:t>。</w:t>
      </w:r>
    </w:p>
    <w:p>
      <w:pPr>
        <w:snapToGrid w:val="0"/>
        <w:spacing w:line="360" w:lineRule="auto"/>
        <w:jc w:val="center"/>
        <w:rPr>
          <w:rFonts w:eastAsia="黑体"/>
          <w:color w:val="auto"/>
          <w:kern w:val="0"/>
          <w:sz w:val="24"/>
          <w:highlight w:val="none"/>
        </w:rPr>
      </w:pPr>
      <w:r>
        <w:rPr>
          <w:rFonts w:eastAsia="黑体"/>
          <w:color w:val="auto"/>
          <w:kern w:val="0"/>
          <w:sz w:val="24"/>
          <w:highlight w:val="none"/>
        </w:rPr>
        <w:t>表2.</w:t>
      </w:r>
      <w:r>
        <w:rPr>
          <w:rFonts w:hint="eastAsia" w:eastAsia="黑体"/>
          <w:color w:val="auto"/>
          <w:kern w:val="0"/>
          <w:sz w:val="24"/>
          <w:highlight w:val="none"/>
        </w:rPr>
        <w:t>1</w:t>
      </w:r>
      <w:r>
        <w:rPr>
          <w:rFonts w:eastAsia="黑体"/>
          <w:color w:val="auto"/>
          <w:kern w:val="0"/>
          <w:sz w:val="24"/>
          <w:highlight w:val="none"/>
        </w:rPr>
        <w:t>-</w:t>
      </w:r>
      <w:r>
        <w:rPr>
          <w:rFonts w:hint="eastAsia" w:eastAsia="黑体"/>
          <w:color w:val="auto"/>
          <w:kern w:val="0"/>
          <w:sz w:val="24"/>
          <w:highlight w:val="none"/>
        </w:rPr>
        <w:t>1</w:t>
      </w:r>
      <w:r>
        <w:rPr>
          <w:rFonts w:hint="eastAsia" w:eastAsia="黑体"/>
          <w:color w:val="auto"/>
          <w:kern w:val="0"/>
          <w:sz w:val="24"/>
          <w:highlight w:val="none"/>
          <w:lang w:val="en-US" w:eastAsia="zh-CN"/>
        </w:rPr>
        <w:t xml:space="preserve"> </w:t>
      </w:r>
      <w:r>
        <w:rPr>
          <w:rFonts w:hint="eastAsia" w:eastAsia="黑体"/>
          <w:color w:val="auto"/>
          <w:kern w:val="0"/>
          <w:sz w:val="24"/>
          <w:highlight w:val="none"/>
        </w:rPr>
        <w:t xml:space="preserve"> </w:t>
      </w:r>
      <w:r>
        <w:rPr>
          <w:rFonts w:hint="eastAsia" w:eastAsia="黑体"/>
          <w:color w:val="auto"/>
          <w:kern w:val="0"/>
          <w:sz w:val="24"/>
          <w:highlight w:val="none"/>
          <w:lang w:eastAsia="zh-CN"/>
        </w:rPr>
        <w:t>项目</w:t>
      </w:r>
      <w:r>
        <w:rPr>
          <w:rFonts w:eastAsia="黑体"/>
          <w:color w:val="auto"/>
          <w:kern w:val="0"/>
          <w:sz w:val="24"/>
          <w:highlight w:val="none"/>
        </w:rPr>
        <w:t>环评及验收意见执行情况列表</w:t>
      </w:r>
    </w:p>
    <w:tbl>
      <w:tblPr>
        <w:tblStyle w:val="36"/>
        <w:tblW w:w="9620" w:type="dxa"/>
        <w:tblInd w:w="0" w:type="dxa"/>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675"/>
        <w:gridCol w:w="2679"/>
        <w:gridCol w:w="6266"/>
      </w:tblGrid>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trPr>
        <w:tc>
          <w:tcPr>
            <w:tcW w:w="675" w:type="dxa"/>
            <w:tcBorders>
              <w:tl2br w:val="nil"/>
              <w:tr2bl w:val="nil"/>
            </w:tcBorders>
            <w:vAlign w:val="center"/>
          </w:tcPr>
          <w:p>
            <w:pPr>
              <w:adjustRightInd w:val="0"/>
              <w:snapToGrid w:val="0"/>
              <w:jc w:val="center"/>
              <w:rPr>
                <w:rFonts w:eastAsia="黑体"/>
                <w:color w:val="auto"/>
                <w:szCs w:val="21"/>
                <w:highlight w:val="none"/>
              </w:rPr>
            </w:pPr>
            <w:r>
              <w:rPr>
                <w:rFonts w:eastAsia="黑体"/>
                <w:color w:val="auto"/>
                <w:szCs w:val="21"/>
                <w:highlight w:val="none"/>
              </w:rPr>
              <w:t>序号</w:t>
            </w:r>
          </w:p>
        </w:tc>
        <w:tc>
          <w:tcPr>
            <w:tcW w:w="2679" w:type="dxa"/>
            <w:tcBorders>
              <w:tl2br w:val="nil"/>
              <w:tr2bl w:val="nil"/>
            </w:tcBorders>
            <w:vAlign w:val="center"/>
          </w:tcPr>
          <w:p>
            <w:pPr>
              <w:adjustRightInd w:val="0"/>
              <w:snapToGrid w:val="0"/>
              <w:jc w:val="center"/>
              <w:rPr>
                <w:rFonts w:eastAsia="黑体"/>
                <w:color w:val="auto"/>
                <w:szCs w:val="21"/>
                <w:highlight w:val="none"/>
              </w:rPr>
            </w:pPr>
            <w:r>
              <w:rPr>
                <w:rFonts w:eastAsia="黑体"/>
                <w:color w:val="auto"/>
                <w:szCs w:val="21"/>
                <w:highlight w:val="none"/>
              </w:rPr>
              <w:t>文件要求</w:t>
            </w:r>
          </w:p>
        </w:tc>
        <w:tc>
          <w:tcPr>
            <w:tcW w:w="6266" w:type="dxa"/>
            <w:tcBorders>
              <w:tl2br w:val="nil"/>
              <w:tr2bl w:val="nil"/>
            </w:tcBorders>
            <w:vAlign w:val="center"/>
          </w:tcPr>
          <w:p>
            <w:pPr>
              <w:adjustRightInd w:val="0"/>
              <w:snapToGrid w:val="0"/>
              <w:jc w:val="center"/>
              <w:rPr>
                <w:rFonts w:eastAsia="黑体"/>
                <w:color w:val="auto"/>
                <w:szCs w:val="21"/>
                <w:highlight w:val="none"/>
              </w:rPr>
            </w:pPr>
            <w:r>
              <w:rPr>
                <w:rFonts w:eastAsia="黑体"/>
                <w:color w:val="auto"/>
                <w:szCs w:val="21"/>
                <w:highlight w:val="none"/>
              </w:rPr>
              <w:t>实际执行情况</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trPr>
        <w:tc>
          <w:tcPr>
            <w:tcW w:w="9620" w:type="dxa"/>
            <w:gridSpan w:val="3"/>
            <w:tcBorders>
              <w:tl2br w:val="nil"/>
              <w:tr2bl w:val="nil"/>
            </w:tcBorders>
            <w:vAlign w:val="center"/>
          </w:tcPr>
          <w:p>
            <w:pPr>
              <w:adjustRightInd w:val="0"/>
              <w:snapToGrid w:val="0"/>
              <w:jc w:val="center"/>
              <w:rPr>
                <w:color w:val="auto"/>
                <w:szCs w:val="21"/>
                <w:highlight w:val="none"/>
              </w:rPr>
            </w:pPr>
            <w:r>
              <w:rPr>
                <w:color w:val="auto"/>
                <w:szCs w:val="21"/>
                <w:highlight w:val="none"/>
              </w:rPr>
              <w:t>1.</w:t>
            </w:r>
            <w:r>
              <w:rPr>
                <w:rFonts w:hint="eastAsia"/>
                <w:color w:val="auto"/>
                <w:szCs w:val="21"/>
                <w:highlight w:val="none"/>
              </w:rPr>
              <w:t>建设项目环境影响登记表</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trPr>
        <w:tc>
          <w:tcPr>
            <w:tcW w:w="675" w:type="dxa"/>
            <w:tcBorders>
              <w:tl2br w:val="nil"/>
              <w:tr2bl w:val="nil"/>
            </w:tcBorders>
            <w:vAlign w:val="center"/>
          </w:tcPr>
          <w:p>
            <w:pPr>
              <w:adjustRightInd w:val="0"/>
              <w:snapToGrid w:val="0"/>
              <w:jc w:val="center"/>
              <w:rPr>
                <w:color w:val="auto"/>
                <w:szCs w:val="21"/>
                <w:highlight w:val="none"/>
              </w:rPr>
            </w:pPr>
            <w:r>
              <w:rPr>
                <w:color w:val="auto"/>
                <w:szCs w:val="21"/>
                <w:highlight w:val="none"/>
              </w:rPr>
              <w:t>1</w:t>
            </w:r>
          </w:p>
        </w:tc>
        <w:tc>
          <w:tcPr>
            <w:tcW w:w="2679" w:type="dxa"/>
            <w:tcBorders>
              <w:tl2br w:val="nil"/>
              <w:tr2bl w:val="nil"/>
            </w:tcBorders>
            <w:vAlign w:val="center"/>
          </w:tcPr>
          <w:p>
            <w:pPr>
              <w:adjustRightInd w:val="0"/>
              <w:snapToGrid w:val="0"/>
              <w:rPr>
                <w:color w:val="auto"/>
                <w:szCs w:val="21"/>
                <w:highlight w:val="none"/>
              </w:rPr>
            </w:pPr>
            <w:r>
              <w:rPr>
                <w:rFonts w:hint="eastAsia"/>
                <w:color w:val="auto"/>
                <w:szCs w:val="21"/>
                <w:highlight w:val="none"/>
                <w:lang w:eastAsia="zh-CN"/>
              </w:rPr>
              <w:t>大气污染物排放执行《大气污染物排放标准》中的二级标准</w:t>
            </w:r>
            <w:r>
              <w:rPr>
                <w:color w:val="auto"/>
                <w:szCs w:val="21"/>
                <w:highlight w:val="none"/>
              </w:rPr>
              <w:t>。</w:t>
            </w:r>
          </w:p>
        </w:tc>
        <w:tc>
          <w:tcPr>
            <w:tcW w:w="6266" w:type="dxa"/>
            <w:tcBorders>
              <w:tl2br w:val="nil"/>
              <w:tr2bl w:val="nil"/>
            </w:tcBorders>
            <w:vAlign w:val="center"/>
          </w:tcPr>
          <w:p>
            <w:pPr>
              <w:adjustRightInd w:val="0"/>
              <w:snapToGrid w:val="0"/>
              <w:jc w:val="left"/>
              <w:rPr>
                <w:color w:val="auto"/>
                <w:szCs w:val="21"/>
                <w:highlight w:val="none"/>
              </w:rPr>
            </w:pPr>
            <w:r>
              <w:rPr>
                <w:color w:val="auto"/>
                <w:szCs w:val="21"/>
                <w:highlight w:val="none"/>
              </w:rPr>
              <w:t>生产工艺废气种类安装废气净化</w:t>
            </w:r>
            <w:r>
              <w:rPr>
                <w:rFonts w:hint="eastAsia"/>
                <w:color w:val="auto"/>
                <w:szCs w:val="21"/>
                <w:highlight w:val="none"/>
                <w:lang w:val="en-US" w:eastAsia="zh-CN"/>
              </w:rPr>
              <w:t>塔</w:t>
            </w:r>
            <w:r>
              <w:rPr>
                <w:color w:val="auto"/>
                <w:szCs w:val="21"/>
                <w:highlight w:val="none"/>
              </w:rPr>
              <w:t>(酸雾净化塔、铬酸雾净化塔等)，各类废气分类处理后经相应排气筒排放。废气排气筒高度满足15m 要求。</w:t>
            </w:r>
            <w:r>
              <w:rPr>
                <w:rFonts w:hint="eastAsia"/>
                <w:color w:val="auto"/>
                <w:szCs w:val="21"/>
                <w:highlight w:val="none"/>
              </w:rPr>
              <w:t>根据园区例行监测</w:t>
            </w:r>
            <w:r>
              <w:rPr>
                <w:color w:val="auto"/>
                <w:szCs w:val="21"/>
                <w:highlight w:val="none"/>
              </w:rPr>
              <w:t>，电镀废气经处理后均可达标排放。</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trPr>
        <w:tc>
          <w:tcPr>
            <w:tcW w:w="675" w:type="dxa"/>
            <w:tcBorders>
              <w:tl2br w:val="nil"/>
              <w:tr2bl w:val="nil"/>
            </w:tcBorders>
            <w:vAlign w:val="center"/>
          </w:tcPr>
          <w:p>
            <w:pPr>
              <w:adjustRightInd w:val="0"/>
              <w:snapToGrid w:val="0"/>
              <w:jc w:val="center"/>
              <w:rPr>
                <w:color w:val="auto"/>
                <w:szCs w:val="21"/>
                <w:highlight w:val="none"/>
              </w:rPr>
            </w:pPr>
            <w:r>
              <w:rPr>
                <w:color w:val="auto"/>
                <w:szCs w:val="21"/>
                <w:highlight w:val="none"/>
              </w:rPr>
              <w:t>2</w:t>
            </w:r>
          </w:p>
        </w:tc>
        <w:tc>
          <w:tcPr>
            <w:tcW w:w="2679" w:type="dxa"/>
            <w:tcBorders>
              <w:tl2br w:val="nil"/>
              <w:tr2bl w:val="nil"/>
            </w:tcBorders>
            <w:vAlign w:val="center"/>
          </w:tcPr>
          <w:p>
            <w:pPr>
              <w:adjustRightInd w:val="0"/>
              <w:snapToGrid w:val="0"/>
              <w:jc w:val="left"/>
              <w:rPr>
                <w:color w:val="auto"/>
                <w:szCs w:val="21"/>
                <w:highlight w:val="none"/>
              </w:rPr>
            </w:pPr>
            <w:r>
              <w:rPr>
                <w:rFonts w:hint="eastAsia"/>
                <w:color w:val="auto"/>
                <w:szCs w:val="21"/>
                <w:highlight w:val="none"/>
                <w:lang w:eastAsia="zh-CN"/>
              </w:rPr>
              <w:t>电镀废水排放全部统一排放到电镀工业园污水处理池内，统一处理达标排放，排放标准执行《污水综合排放标准》中的二级标准，镰湾河污水厂运营后，排放标准执行三级排放</w:t>
            </w:r>
            <w:r>
              <w:rPr>
                <w:color w:val="auto"/>
                <w:szCs w:val="21"/>
                <w:highlight w:val="none"/>
              </w:rPr>
              <w:t>。</w:t>
            </w:r>
          </w:p>
        </w:tc>
        <w:tc>
          <w:tcPr>
            <w:tcW w:w="6266" w:type="dxa"/>
            <w:tcBorders>
              <w:tl2br w:val="nil"/>
              <w:tr2bl w:val="nil"/>
            </w:tcBorders>
            <w:vAlign w:val="center"/>
          </w:tcPr>
          <w:p>
            <w:pPr>
              <w:adjustRightInd w:val="0"/>
              <w:snapToGrid w:val="0"/>
              <w:rPr>
                <w:color w:val="auto"/>
                <w:szCs w:val="21"/>
                <w:highlight w:val="none"/>
              </w:rPr>
            </w:pPr>
            <w:r>
              <w:rPr>
                <w:color w:val="auto"/>
                <w:szCs w:val="21"/>
                <w:highlight w:val="none"/>
              </w:rPr>
              <w:t>1、</w:t>
            </w:r>
            <w:r>
              <w:rPr>
                <w:rFonts w:hint="eastAsia"/>
                <w:color w:val="auto"/>
                <w:szCs w:val="21"/>
                <w:highlight w:val="none"/>
                <w:lang w:eastAsia="zh-CN"/>
              </w:rPr>
              <w:t>园区</w:t>
            </w:r>
            <w:r>
              <w:rPr>
                <w:color w:val="auto"/>
                <w:szCs w:val="21"/>
                <w:highlight w:val="none"/>
              </w:rPr>
              <w:t>共设有含铬、</w:t>
            </w:r>
            <w:r>
              <w:rPr>
                <w:rFonts w:hint="eastAsia"/>
                <w:color w:val="auto"/>
                <w:szCs w:val="21"/>
                <w:highlight w:val="none"/>
                <w:lang w:eastAsia="zh-CN"/>
              </w:rPr>
              <w:t>镀镍、</w:t>
            </w:r>
            <w:r>
              <w:rPr>
                <w:color w:val="auto"/>
                <w:szCs w:val="21"/>
                <w:highlight w:val="none"/>
              </w:rPr>
              <w:t>综合</w:t>
            </w:r>
            <w:r>
              <w:rPr>
                <w:rFonts w:hint="eastAsia"/>
                <w:color w:val="auto"/>
                <w:szCs w:val="21"/>
                <w:highlight w:val="none"/>
                <w:lang w:eastAsia="zh-CN"/>
              </w:rPr>
              <w:t>三</w:t>
            </w:r>
            <w:r>
              <w:rPr>
                <w:color w:val="auto"/>
                <w:szCs w:val="21"/>
                <w:highlight w:val="none"/>
              </w:rPr>
              <w:t>类废水管道，分别单独收集处理，含铬的废水都排入含铬废水管道</w:t>
            </w:r>
            <w:r>
              <w:rPr>
                <w:rFonts w:hint="eastAsia"/>
                <w:color w:val="auto"/>
                <w:szCs w:val="21"/>
                <w:highlight w:val="none"/>
                <w:lang w:eastAsia="zh-CN"/>
              </w:rPr>
              <w:t>，含镍</w:t>
            </w:r>
            <w:r>
              <w:rPr>
                <w:color w:val="auto"/>
                <w:szCs w:val="21"/>
                <w:highlight w:val="none"/>
              </w:rPr>
              <w:t>的废水都排入</w:t>
            </w:r>
            <w:r>
              <w:rPr>
                <w:rFonts w:hint="eastAsia"/>
                <w:color w:val="auto"/>
                <w:szCs w:val="21"/>
                <w:highlight w:val="none"/>
                <w:lang w:eastAsia="zh-CN"/>
              </w:rPr>
              <w:t>含镍</w:t>
            </w:r>
            <w:r>
              <w:rPr>
                <w:color w:val="auto"/>
                <w:szCs w:val="21"/>
                <w:highlight w:val="none"/>
              </w:rPr>
              <w:t>废水管道。</w:t>
            </w:r>
          </w:p>
          <w:p>
            <w:pPr>
              <w:adjustRightInd w:val="0"/>
              <w:snapToGrid w:val="0"/>
              <w:rPr>
                <w:color w:val="auto"/>
                <w:szCs w:val="21"/>
                <w:highlight w:val="none"/>
              </w:rPr>
            </w:pPr>
            <w:r>
              <w:rPr>
                <w:color w:val="auto"/>
                <w:szCs w:val="21"/>
                <w:highlight w:val="none"/>
              </w:rPr>
              <w:t>2、根据监测报告结果，废水中</w:t>
            </w:r>
            <w:r>
              <w:rPr>
                <w:rFonts w:hint="eastAsia"/>
                <w:color w:val="auto"/>
                <w:szCs w:val="21"/>
                <w:highlight w:val="none"/>
              </w:rPr>
              <w:t>铬</w:t>
            </w:r>
            <w:r>
              <w:rPr>
                <w:rFonts w:hint="eastAsia"/>
                <w:color w:val="auto"/>
                <w:szCs w:val="21"/>
                <w:highlight w:val="none"/>
                <w:lang w:eastAsia="zh-CN"/>
              </w:rPr>
              <w:t>(</w:t>
            </w:r>
            <w:r>
              <w:rPr>
                <w:rFonts w:hint="eastAsia"/>
                <w:color w:val="auto"/>
                <w:szCs w:val="21"/>
                <w:highlight w:val="none"/>
              </w:rPr>
              <w:t>六价</w:t>
            </w:r>
            <w:r>
              <w:rPr>
                <w:rFonts w:hint="eastAsia"/>
                <w:color w:val="auto"/>
                <w:szCs w:val="21"/>
                <w:highlight w:val="none"/>
                <w:lang w:eastAsia="zh-CN"/>
              </w:rPr>
              <w:t>)</w:t>
            </w:r>
            <w:r>
              <w:rPr>
                <w:rFonts w:hint="eastAsia"/>
                <w:color w:val="auto"/>
                <w:szCs w:val="21"/>
                <w:highlight w:val="none"/>
              </w:rPr>
              <w:t>、总铬、总镍、总银、总锡</w:t>
            </w:r>
            <w:r>
              <w:rPr>
                <w:rFonts w:hint="eastAsia"/>
                <w:color w:val="auto"/>
                <w:szCs w:val="21"/>
                <w:highlight w:val="none"/>
                <w:lang w:eastAsia="zh-CN"/>
              </w:rPr>
              <w:t>达到</w:t>
            </w:r>
            <w:r>
              <w:rPr>
                <w:rFonts w:hint="eastAsia"/>
                <w:color w:val="auto"/>
                <w:szCs w:val="21"/>
                <w:highlight w:val="none"/>
              </w:rPr>
              <w:t>《电镀污染物排放标准》(GB21900-2008)表2标准</w:t>
            </w:r>
            <w:r>
              <w:rPr>
                <w:color w:val="auto"/>
                <w:szCs w:val="21"/>
                <w:highlight w:val="none"/>
              </w:rPr>
              <w:t>，其他污染物达到《污水排入城市下水道水质标准》(</w:t>
            </w:r>
            <w:r>
              <w:rPr>
                <w:rFonts w:hint="eastAsia"/>
                <w:color w:val="auto"/>
                <w:szCs w:val="21"/>
                <w:highlight w:val="none"/>
              </w:rPr>
              <w:t>GB/T31962-2015</w:t>
            </w:r>
            <w:r>
              <w:rPr>
                <w:color w:val="auto"/>
                <w:szCs w:val="21"/>
                <w:highlight w:val="none"/>
              </w:rPr>
              <w:t>)</w:t>
            </w:r>
            <w:r>
              <w:rPr>
                <w:rFonts w:hint="eastAsia"/>
                <w:color w:val="auto"/>
                <w:szCs w:val="21"/>
                <w:highlight w:val="none"/>
              </w:rPr>
              <w:t>表1中</w:t>
            </w:r>
            <w:r>
              <w:rPr>
                <w:color w:val="auto"/>
                <w:szCs w:val="21"/>
                <w:highlight w:val="none"/>
              </w:rPr>
              <w:t>B级标准要求。</w:t>
            </w:r>
          </w:p>
          <w:p>
            <w:pPr>
              <w:adjustRightInd w:val="0"/>
              <w:snapToGrid w:val="0"/>
              <w:jc w:val="left"/>
              <w:rPr>
                <w:color w:val="auto"/>
                <w:szCs w:val="21"/>
                <w:highlight w:val="none"/>
              </w:rPr>
            </w:pPr>
            <w:r>
              <w:rPr>
                <w:color w:val="auto"/>
                <w:szCs w:val="21"/>
                <w:highlight w:val="none"/>
              </w:rPr>
              <w:t>3、</w:t>
            </w:r>
            <w:r>
              <w:rPr>
                <w:rFonts w:hint="eastAsia"/>
                <w:color w:val="auto"/>
                <w:szCs w:val="21"/>
                <w:highlight w:val="none"/>
                <w:lang w:eastAsia="zh-CN"/>
              </w:rPr>
              <w:t>园区</w:t>
            </w:r>
            <w:r>
              <w:rPr>
                <w:color w:val="auto"/>
                <w:szCs w:val="21"/>
                <w:highlight w:val="none"/>
              </w:rPr>
              <w:t>设置1个</w:t>
            </w:r>
            <w:r>
              <w:rPr>
                <w:rFonts w:hint="eastAsia"/>
                <w:color w:val="auto"/>
                <w:szCs w:val="21"/>
                <w:highlight w:val="none"/>
                <w:lang w:eastAsia="zh-CN"/>
              </w:rPr>
              <w:t>总</w:t>
            </w:r>
            <w:r>
              <w:rPr>
                <w:color w:val="auto"/>
                <w:szCs w:val="21"/>
                <w:highlight w:val="none"/>
              </w:rPr>
              <w:t>排污口，并进行了规范化建设。</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trPr>
        <w:tc>
          <w:tcPr>
            <w:tcW w:w="675" w:type="dxa"/>
            <w:tcBorders>
              <w:tl2br w:val="nil"/>
              <w:tr2bl w:val="nil"/>
            </w:tcBorders>
            <w:vAlign w:val="center"/>
          </w:tcPr>
          <w:p>
            <w:pPr>
              <w:adjustRightInd w:val="0"/>
              <w:snapToGrid w:val="0"/>
              <w:jc w:val="center"/>
              <w:rPr>
                <w:color w:val="auto"/>
                <w:szCs w:val="21"/>
                <w:highlight w:val="none"/>
              </w:rPr>
            </w:pPr>
            <w:r>
              <w:rPr>
                <w:color w:val="auto"/>
                <w:szCs w:val="21"/>
                <w:highlight w:val="none"/>
              </w:rPr>
              <w:t>3</w:t>
            </w:r>
          </w:p>
        </w:tc>
        <w:tc>
          <w:tcPr>
            <w:tcW w:w="2679" w:type="dxa"/>
            <w:tcBorders>
              <w:tl2br w:val="nil"/>
              <w:tr2bl w:val="nil"/>
            </w:tcBorders>
            <w:vAlign w:val="center"/>
          </w:tcPr>
          <w:p>
            <w:pPr>
              <w:adjustRightInd w:val="0"/>
              <w:snapToGrid w:val="0"/>
              <w:jc w:val="left"/>
              <w:rPr>
                <w:color w:val="auto"/>
                <w:szCs w:val="21"/>
                <w:highlight w:val="none"/>
              </w:rPr>
            </w:pPr>
            <w:r>
              <w:rPr>
                <w:rFonts w:hint="eastAsia"/>
                <w:color w:val="auto"/>
                <w:szCs w:val="21"/>
                <w:highlight w:val="none"/>
                <w:lang w:eastAsia="zh-CN"/>
              </w:rPr>
              <w:t>生活垃圾送环卫部门制定的垃圾处理厂处理，危险废物送青岛绿洁环保公司处理</w:t>
            </w:r>
            <w:r>
              <w:rPr>
                <w:color w:val="auto"/>
                <w:szCs w:val="21"/>
                <w:highlight w:val="none"/>
              </w:rPr>
              <w:t>。</w:t>
            </w:r>
          </w:p>
        </w:tc>
        <w:tc>
          <w:tcPr>
            <w:tcW w:w="6266" w:type="dxa"/>
            <w:tcBorders>
              <w:tl2br w:val="nil"/>
              <w:tr2bl w:val="nil"/>
            </w:tcBorders>
            <w:vAlign w:val="center"/>
          </w:tcPr>
          <w:p>
            <w:pPr>
              <w:adjustRightInd w:val="0"/>
              <w:snapToGrid w:val="0"/>
              <w:jc w:val="left"/>
              <w:rPr>
                <w:color w:val="auto"/>
                <w:szCs w:val="21"/>
                <w:highlight w:val="none"/>
              </w:rPr>
            </w:pPr>
            <w:r>
              <w:rPr>
                <w:rFonts w:hint="eastAsia"/>
                <w:color w:val="auto"/>
                <w:szCs w:val="21"/>
                <w:highlight w:val="none"/>
                <w:lang w:eastAsia="zh-CN"/>
              </w:rPr>
              <w:t>园区</w:t>
            </w:r>
            <w:r>
              <w:rPr>
                <w:color w:val="auto"/>
                <w:szCs w:val="21"/>
                <w:highlight w:val="none"/>
              </w:rPr>
              <w:t>建设有统一的防淋、防渗漏危险废物暂存库，主要用于存放干化污泥；</w:t>
            </w:r>
            <w:r>
              <w:rPr>
                <w:rFonts w:hint="eastAsia"/>
                <w:color w:val="auto"/>
                <w:szCs w:val="21"/>
                <w:highlight w:val="none"/>
              </w:rPr>
              <w:t>废弃滤芯</w:t>
            </w:r>
            <w:r>
              <w:rPr>
                <w:rFonts w:hint="eastAsia"/>
                <w:color w:val="auto"/>
                <w:szCs w:val="21"/>
                <w:highlight w:val="none"/>
                <w:lang w:eastAsia="zh-CN"/>
              </w:rPr>
              <w:t>及</w:t>
            </w:r>
            <w:r>
              <w:rPr>
                <w:color w:val="auto"/>
                <w:szCs w:val="21"/>
                <w:highlight w:val="none"/>
              </w:rPr>
              <w:t>镀槽滤渣、废槽液、废包装物等危废，统一委托有资质单位处理。危废暂存场所建设基本符合《危险废物贮存污染控制标准》要求。</w:t>
            </w:r>
          </w:p>
          <w:p>
            <w:pPr>
              <w:adjustRightInd w:val="0"/>
              <w:snapToGrid w:val="0"/>
              <w:jc w:val="left"/>
              <w:rPr>
                <w:color w:val="auto"/>
                <w:szCs w:val="21"/>
                <w:highlight w:val="none"/>
              </w:rPr>
            </w:pPr>
            <w:r>
              <w:rPr>
                <w:color w:val="auto"/>
                <w:szCs w:val="21"/>
                <w:highlight w:val="none"/>
              </w:rPr>
              <w:t>废酸液、废碱液由基地污水站再利用(调节pH)，</w:t>
            </w:r>
            <w:r>
              <w:rPr>
                <w:rFonts w:hint="eastAsia"/>
                <w:color w:val="auto"/>
                <w:szCs w:val="21"/>
                <w:highlight w:val="none"/>
              </w:rPr>
              <w:t>化工原料包装物</w:t>
            </w:r>
            <w:r>
              <w:rPr>
                <w:color w:val="auto"/>
                <w:szCs w:val="21"/>
                <w:highlight w:val="none"/>
              </w:rPr>
              <w:t>交由具有危险废物经营许可证的供应商回收，重新用于原始用途，其他暂存于基地危废暂存间，定期由基地统一委托有资质单位处置。</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trPr>
        <w:tc>
          <w:tcPr>
            <w:tcW w:w="675" w:type="dxa"/>
            <w:tcBorders>
              <w:tl2br w:val="nil"/>
              <w:tr2bl w:val="nil"/>
            </w:tcBorders>
            <w:vAlign w:val="center"/>
          </w:tcPr>
          <w:p>
            <w:pPr>
              <w:adjustRightInd w:val="0"/>
              <w:snapToGrid w:val="0"/>
              <w:jc w:val="center"/>
              <w:rPr>
                <w:color w:val="auto"/>
                <w:szCs w:val="21"/>
                <w:highlight w:val="none"/>
              </w:rPr>
            </w:pPr>
            <w:r>
              <w:rPr>
                <w:color w:val="auto"/>
                <w:szCs w:val="21"/>
                <w:highlight w:val="none"/>
              </w:rPr>
              <w:t>4</w:t>
            </w:r>
          </w:p>
        </w:tc>
        <w:tc>
          <w:tcPr>
            <w:tcW w:w="2679" w:type="dxa"/>
            <w:tcBorders>
              <w:tl2br w:val="nil"/>
              <w:tr2bl w:val="nil"/>
            </w:tcBorders>
            <w:vAlign w:val="center"/>
          </w:tcPr>
          <w:p>
            <w:pPr>
              <w:adjustRightInd w:val="0"/>
              <w:snapToGrid w:val="0"/>
              <w:jc w:val="left"/>
              <w:rPr>
                <w:rFonts w:hint="eastAsia" w:eastAsia="宋体"/>
                <w:color w:val="auto"/>
                <w:szCs w:val="21"/>
                <w:highlight w:val="none"/>
                <w:lang w:eastAsia="zh-CN"/>
              </w:rPr>
            </w:pPr>
            <w:r>
              <w:rPr>
                <w:rFonts w:hint="eastAsia"/>
                <w:color w:val="auto"/>
                <w:szCs w:val="21"/>
                <w:highlight w:val="none"/>
                <w:lang w:eastAsia="zh-CN"/>
              </w:rPr>
              <w:t>噪声执行工业企业厂界噪声标准</w:t>
            </w:r>
            <w:r>
              <w:rPr>
                <w:color w:val="auto"/>
                <w:szCs w:val="21"/>
                <w:highlight w:val="none"/>
              </w:rPr>
              <w:t>GB12348-</w:t>
            </w:r>
            <w:r>
              <w:rPr>
                <w:rFonts w:hint="eastAsia"/>
                <w:color w:val="auto"/>
                <w:szCs w:val="21"/>
                <w:highlight w:val="none"/>
                <w:lang w:val="en-US" w:eastAsia="zh-CN"/>
              </w:rPr>
              <w:t>90</w:t>
            </w:r>
            <w:r>
              <w:rPr>
                <w:rFonts w:hint="eastAsia"/>
                <w:color w:val="auto"/>
                <w:szCs w:val="21"/>
                <w:highlight w:val="none"/>
                <w:lang w:eastAsia="zh-CN"/>
              </w:rPr>
              <w:t>三级标准。</w:t>
            </w:r>
          </w:p>
        </w:tc>
        <w:tc>
          <w:tcPr>
            <w:tcW w:w="6266" w:type="dxa"/>
            <w:tcBorders>
              <w:tl2br w:val="nil"/>
              <w:tr2bl w:val="nil"/>
            </w:tcBorders>
            <w:vAlign w:val="center"/>
          </w:tcPr>
          <w:p>
            <w:pPr>
              <w:adjustRightInd w:val="0"/>
              <w:snapToGrid w:val="0"/>
              <w:jc w:val="left"/>
              <w:rPr>
                <w:color w:val="auto"/>
                <w:szCs w:val="21"/>
                <w:highlight w:val="none"/>
              </w:rPr>
            </w:pPr>
            <w:r>
              <w:rPr>
                <w:color w:val="auto"/>
                <w:szCs w:val="21"/>
                <w:highlight w:val="none"/>
              </w:rPr>
              <w:t>已执行，根据本次评价期间对</w:t>
            </w:r>
            <w:r>
              <w:rPr>
                <w:rFonts w:hint="eastAsia"/>
                <w:color w:val="auto"/>
                <w:szCs w:val="21"/>
                <w:highlight w:val="none"/>
                <w:lang w:eastAsia="zh-CN"/>
              </w:rPr>
              <w:t>园区</w:t>
            </w:r>
            <w:r>
              <w:rPr>
                <w:color w:val="auto"/>
                <w:szCs w:val="21"/>
                <w:highlight w:val="none"/>
              </w:rPr>
              <w:t>厂界噪声监测结果，靠近该项目的基地东厂界、南厂界、西厂界、北厂界处昼、夜间噪声值均能满足《工业企业厂界环境噪声排放标准》(GB12348-2008)3 类标准要求。</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trPr>
        <w:tc>
          <w:tcPr>
            <w:tcW w:w="675" w:type="dxa"/>
            <w:tcBorders>
              <w:tl2br w:val="nil"/>
              <w:tr2bl w:val="nil"/>
            </w:tcBorders>
            <w:vAlign w:val="center"/>
          </w:tcPr>
          <w:p>
            <w:pPr>
              <w:adjustRightInd w:val="0"/>
              <w:snapToGrid w:val="0"/>
              <w:jc w:val="center"/>
              <w:rPr>
                <w:color w:val="auto"/>
                <w:szCs w:val="21"/>
                <w:highlight w:val="none"/>
              </w:rPr>
            </w:pPr>
            <w:r>
              <w:rPr>
                <w:color w:val="auto"/>
                <w:szCs w:val="21"/>
                <w:highlight w:val="none"/>
              </w:rPr>
              <w:t>5</w:t>
            </w:r>
          </w:p>
        </w:tc>
        <w:tc>
          <w:tcPr>
            <w:tcW w:w="2679" w:type="dxa"/>
            <w:tcBorders>
              <w:tl2br w:val="nil"/>
              <w:tr2bl w:val="nil"/>
            </w:tcBorders>
            <w:vAlign w:val="center"/>
          </w:tcPr>
          <w:p>
            <w:pPr>
              <w:adjustRightInd w:val="0"/>
              <w:snapToGrid w:val="0"/>
              <w:jc w:val="left"/>
              <w:rPr>
                <w:color w:val="auto"/>
                <w:szCs w:val="21"/>
                <w:highlight w:val="none"/>
              </w:rPr>
            </w:pPr>
            <w:r>
              <w:rPr>
                <w:rFonts w:hint="eastAsia"/>
                <w:color w:val="auto"/>
                <w:szCs w:val="21"/>
                <w:highlight w:val="none"/>
                <w:lang w:eastAsia="zh-CN"/>
              </w:rPr>
              <w:t>项目投产后试生产不超过三个月报我局验收后方可投入生产</w:t>
            </w:r>
            <w:r>
              <w:rPr>
                <w:color w:val="auto"/>
                <w:szCs w:val="21"/>
                <w:highlight w:val="none"/>
              </w:rPr>
              <w:t>。</w:t>
            </w:r>
          </w:p>
        </w:tc>
        <w:tc>
          <w:tcPr>
            <w:tcW w:w="6266" w:type="dxa"/>
            <w:tcBorders>
              <w:tl2br w:val="nil"/>
              <w:tr2bl w:val="nil"/>
            </w:tcBorders>
            <w:vAlign w:val="center"/>
          </w:tcPr>
          <w:p>
            <w:pPr>
              <w:adjustRightInd w:val="0"/>
              <w:snapToGrid w:val="0"/>
              <w:jc w:val="center"/>
              <w:rPr>
                <w:rFonts w:eastAsia="黑体"/>
                <w:color w:val="auto"/>
                <w:szCs w:val="21"/>
                <w:highlight w:val="none"/>
              </w:rPr>
            </w:pPr>
            <w:r>
              <w:rPr>
                <w:color w:val="auto"/>
                <w:szCs w:val="21"/>
                <w:highlight w:val="none"/>
              </w:rPr>
              <w:t>已执行</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trPr>
        <w:tc>
          <w:tcPr>
            <w:tcW w:w="9620" w:type="dxa"/>
            <w:gridSpan w:val="3"/>
            <w:tcBorders>
              <w:tl2br w:val="nil"/>
              <w:tr2bl w:val="nil"/>
            </w:tcBorders>
            <w:vAlign w:val="center"/>
          </w:tcPr>
          <w:p>
            <w:pPr>
              <w:adjustRightInd w:val="0"/>
              <w:snapToGrid w:val="0"/>
              <w:jc w:val="center"/>
              <w:rPr>
                <w:color w:val="auto"/>
                <w:szCs w:val="21"/>
                <w:highlight w:val="none"/>
              </w:rPr>
            </w:pPr>
            <w:r>
              <w:rPr>
                <w:color w:val="auto"/>
                <w:szCs w:val="21"/>
                <w:highlight w:val="none"/>
              </w:rPr>
              <w:t>2.</w:t>
            </w:r>
            <w:r>
              <w:rPr>
                <w:rFonts w:hint="eastAsia"/>
                <w:color w:val="auto"/>
                <w:szCs w:val="21"/>
                <w:highlight w:val="none"/>
              </w:rPr>
              <w:t>建设项目竣工环境保护验收报告(青环验2008-108</w:t>
            </w:r>
            <w:r>
              <w:rPr>
                <w:color w:val="auto"/>
                <w:szCs w:val="21"/>
                <w:highlight w:val="none"/>
              </w:rPr>
              <w:t>)</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trPr>
        <w:tc>
          <w:tcPr>
            <w:tcW w:w="675" w:type="dxa"/>
            <w:tcBorders>
              <w:tl2br w:val="nil"/>
              <w:tr2bl w:val="nil"/>
            </w:tcBorders>
            <w:vAlign w:val="center"/>
          </w:tcPr>
          <w:p>
            <w:pPr>
              <w:adjustRightInd w:val="0"/>
              <w:snapToGrid w:val="0"/>
              <w:jc w:val="center"/>
              <w:rPr>
                <w:color w:val="auto"/>
                <w:szCs w:val="21"/>
                <w:highlight w:val="none"/>
              </w:rPr>
            </w:pPr>
            <w:r>
              <w:rPr>
                <w:color w:val="auto"/>
                <w:szCs w:val="21"/>
                <w:highlight w:val="none"/>
              </w:rPr>
              <w:t>1</w:t>
            </w:r>
          </w:p>
        </w:tc>
        <w:tc>
          <w:tcPr>
            <w:tcW w:w="2679" w:type="dxa"/>
            <w:tcBorders>
              <w:tl2br w:val="nil"/>
              <w:tr2bl w:val="nil"/>
            </w:tcBorders>
            <w:vAlign w:val="center"/>
          </w:tcPr>
          <w:p>
            <w:pPr>
              <w:adjustRightInd w:val="0"/>
              <w:snapToGrid w:val="0"/>
              <w:jc w:val="left"/>
              <w:rPr>
                <w:color w:val="auto"/>
                <w:szCs w:val="21"/>
                <w:highlight w:val="none"/>
              </w:rPr>
            </w:pPr>
            <w:r>
              <w:rPr>
                <w:rFonts w:hint="eastAsia"/>
                <w:color w:val="auto"/>
                <w:szCs w:val="21"/>
                <w:highlight w:val="none"/>
                <w:lang w:eastAsia="zh-CN"/>
              </w:rPr>
              <w:t>该项目环保审批手续完备，档案技术资料齐全，污染防治设施按批准的环境影响评价报告及环保部门批复的要求设计、建设</w:t>
            </w:r>
            <w:r>
              <w:rPr>
                <w:color w:val="auto"/>
                <w:szCs w:val="21"/>
                <w:highlight w:val="none"/>
              </w:rPr>
              <w:t>。</w:t>
            </w:r>
          </w:p>
        </w:tc>
        <w:tc>
          <w:tcPr>
            <w:tcW w:w="6266" w:type="dxa"/>
            <w:tcBorders>
              <w:tl2br w:val="nil"/>
              <w:tr2bl w:val="nil"/>
            </w:tcBorders>
            <w:vAlign w:val="center"/>
          </w:tcPr>
          <w:p>
            <w:pPr>
              <w:adjustRightInd w:val="0"/>
              <w:snapToGrid w:val="0"/>
              <w:jc w:val="center"/>
              <w:rPr>
                <w:rFonts w:hint="default" w:eastAsia="宋体"/>
                <w:color w:val="auto"/>
                <w:szCs w:val="21"/>
                <w:highlight w:val="none"/>
                <w:lang w:val="en-US" w:eastAsia="zh-CN"/>
              </w:rPr>
            </w:pPr>
            <w:r>
              <w:rPr>
                <w:color w:val="auto"/>
                <w:szCs w:val="21"/>
                <w:highlight w:val="none"/>
              </w:rPr>
              <w:t>已执行</w:t>
            </w:r>
            <w:r>
              <w:rPr>
                <w:rFonts w:hint="eastAsia"/>
                <w:color w:val="auto"/>
                <w:szCs w:val="21"/>
                <w:highlight w:val="none"/>
                <w:lang w:eastAsia="zh-CN"/>
              </w:rPr>
              <w:t>，</w:t>
            </w:r>
            <w:r>
              <w:rPr>
                <w:rFonts w:hint="eastAsia"/>
                <w:color w:val="auto"/>
                <w:szCs w:val="21"/>
                <w:highlight w:val="none"/>
                <w:lang w:val="en-US" w:eastAsia="zh-CN"/>
              </w:rPr>
              <w:t>项目已</w:t>
            </w:r>
            <w:r>
              <w:rPr>
                <w:rFonts w:hint="eastAsia"/>
                <w:color w:val="auto"/>
                <w:szCs w:val="21"/>
                <w:highlight w:val="none"/>
                <w:lang w:eastAsia="zh-CN"/>
              </w:rPr>
              <w:t>按批准的环境影响评价报告及环保部门批复的要求设计、建设。</w:t>
            </w:r>
            <w:r>
              <w:rPr>
                <w:color w:val="auto"/>
                <w:szCs w:val="21"/>
                <w:highlight w:val="none"/>
              </w:rPr>
              <w:t>各类废气分类处理后经相应排气筒排放</w:t>
            </w:r>
            <w:r>
              <w:rPr>
                <w:rFonts w:hint="eastAsia"/>
                <w:color w:val="auto"/>
                <w:szCs w:val="21"/>
                <w:highlight w:val="none"/>
                <w:lang w:eastAsia="zh-CN"/>
              </w:rPr>
              <w:t>；</w:t>
            </w:r>
            <w:r>
              <w:rPr>
                <w:rFonts w:hint="eastAsia"/>
                <w:color w:val="auto"/>
                <w:szCs w:val="21"/>
                <w:highlight w:val="none"/>
                <w:lang w:val="en-US" w:eastAsia="zh-CN"/>
              </w:rPr>
              <w:t>各类废水</w:t>
            </w:r>
            <w:r>
              <w:rPr>
                <w:color w:val="auto"/>
                <w:szCs w:val="21"/>
                <w:highlight w:val="none"/>
              </w:rPr>
              <w:t>分别单独收集</w:t>
            </w:r>
            <w:r>
              <w:rPr>
                <w:rFonts w:hint="eastAsia"/>
                <w:color w:val="auto"/>
                <w:szCs w:val="21"/>
                <w:highlight w:val="none"/>
                <w:lang w:val="en-US" w:eastAsia="zh-CN"/>
              </w:rPr>
              <w:t>进园区相应处理系统</w:t>
            </w:r>
            <w:r>
              <w:rPr>
                <w:color w:val="auto"/>
                <w:szCs w:val="21"/>
                <w:highlight w:val="none"/>
              </w:rPr>
              <w:t>处理</w:t>
            </w:r>
            <w:r>
              <w:rPr>
                <w:rFonts w:hint="eastAsia"/>
                <w:color w:val="auto"/>
                <w:szCs w:val="21"/>
                <w:highlight w:val="none"/>
                <w:lang w:eastAsia="zh-CN"/>
              </w:rPr>
              <w:t>；</w:t>
            </w:r>
            <w:r>
              <w:rPr>
                <w:rFonts w:hint="eastAsia"/>
                <w:color w:val="auto"/>
                <w:szCs w:val="21"/>
                <w:highlight w:val="none"/>
                <w:lang w:val="en-US" w:eastAsia="zh-CN"/>
              </w:rPr>
              <w:t>噪声采取降噪、减振措施；固废分类处置。</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trPr>
        <w:tc>
          <w:tcPr>
            <w:tcW w:w="675" w:type="dxa"/>
            <w:tcBorders>
              <w:tl2br w:val="nil"/>
              <w:tr2bl w:val="nil"/>
            </w:tcBorders>
            <w:vAlign w:val="center"/>
          </w:tcPr>
          <w:p>
            <w:pPr>
              <w:adjustRightInd w:val="0"/>
              <w:snapToGrid w:val="0"/>
              <w:jc w:val="center"/>
              <w:rPr>
                <w:color w:val="auto"/>
                <w:szCs w:val="21"/>
                <w:highlight w:val="none"/>
              </w:rPr>
            </w:pPr>
            <w:r>
              <w:rPr>
                <w:color w:val="auto"/>
                <w:szCs w:val="21"/>
                <w:highlight w:val="none"/>
              </w:rPr>
              <w:t>2</w:t>
            </w:r>
          </w:p>
        </w:tc>
        <w:tc>
          <w:tcPr>
            <w:tcW w:w="2679" w:type="dxa"/>
            <w:tcBorders>
              <w:tl2br w:val="nil"/>
              <w:tr2bl w:val="nil"/>
            </w:tcBorders>
            <w:vAlign w:val="center"/>
          </w:tcPr>
          <w:p>
            <w:pPr>
              <w:adjustRightInd w:val="0"/>
              <w:snapToGrid w:val="0"/>
              <w:jc w:val="left"/>
              <w:rPr>
                <w:color w:val="auto"/>
                <w:szCs w:val="21"/>
                <w:highlight w:val="none"/>
              </w:rPr>
            </w:pPr>
            <w:r>
              <w:rPr>
                <w:rFonts w:hint="eastAsia"/>
                <w:color w:val="auto"/>
                <w:szCs w:val="21"/>
                <w:highlight w:val="none"/>
                <w:lang w:eastAsia="zh-CN"/>
              </w:rPr>
              <w:t>电镀废水由电镀工业园污水处理站统一处理</w:t>
            </w:r>
            <w:r>
              <w:rPr>
                <w:color w:val="auto"/>
                <w:szCs w:val="21"/>
                <w:highlight w:val="none"/>
              </w:rPr>
              <w:t>。</w:t>
            </w:r>
          </w:p>
        </w:tc>
        <w:tc>
          <w:tcPr>
            <w:tcW w:w="6266" w:type="dxa"/>
            <w:tcBorders>
              <w:tl2br w:val="nil"/>
              <w:tr2bl w:val="nil"/>
            </w:tcBorders>
            <w:vAlign w:val="center"/>
          </w:tcPr>
          <w:p>
            <w:pPr>
              <w:adjustRightInd w:val="0"/>
              <w:snapToGrid w:val="0"/>
              <w:jc w:val="center"/>
              <w:rPr>
                <w:color w:val="auto"/>
                <w:szCs w:val="21"/>
                <w:highlight w:val="none"/>
              </w:rPr>
            </w:pPr>
            <w:r>
              <w:rPr>
                <w:color w:val="auto"/>
                <w:szCs w:val="21"/>
                <w:highlight w:val="none"/>
              </w:rPr>
              <w:t>已执行</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trPr>
        <w:tc>
          <w:tcPr>
            <w:tcW w:w="675" w:type="dxa"/>
            <w:tcBorders>
              <w:tl2br w:val="nil"/>
              <w:tr2bl w:val="nil"/>
            </w:tcBorders>
            <w:vAlign w:val="center"/>
          </w:tcPr>
          <w:p>
            <w:pPr>
              <w:adjustRightInd w:val="0"/>
              <w:snapToGrid w:val="0"/>
              <w:jc w:val="center"/>
              <w:rPr>
                <w:color w:val="auto"/>
                <w:szCs w:val="21"/>
                <w:highlight w:val="none"/>
              </w:rPr>
            </w:pPr>
            <w:r>
              <w:rPr>
                <w:color w:val="auto"/>
                <w:szCs w:val="21"/>
                <w:highlight w:val="none"/>
              </w:rPr>
              <w:t>3</w:t>
            </w:r>
          </w:p>
        </w:tc>
        <w:tc>
          <w:tcPr>
            <w:tcW w:w="2679" w:type="dxa"/>
            <w:tcBorders>
              <w:tl2br w:val="nil"/>
              <w:tr2bl w:val="nil"/>
            </w:tcBorders>
            <w:vAlign w:val="center"/>
          </w:tcPr>
          <w:p>
            <w:pPr>
              <w:adjustRightInd w:val="0"/>
              <w:snapToGrid w:val="0"/>
              <w:jc w:val="left"/>
              <w:rPr>
                <w:color w:val="auto"/>
                <w:szCs w:val="21"/>
                <w:highlight w:val="none"/>
              </w:rPr>
            </w:pPr>
            <w:r>
              <w:rPr>
                <w:rFonts w:hint="eastAsia"/>
                <w:color w:val="auto"/>
                <w:szCs w:val="21"/>
                <w:highlight w:val="none"/>
                <w:lang w:eastAsia="zh-CN"/>
              </w:rPr>
              <w:t>电镀废气经酸雾清洗塔净化处理后经专用烟道高空排放</w:t>
            </w:r>
            <w:r>
              <w:rPr>
                <w:color w:val="auto"/>
                <w:szCs w:val="21"/>
                <w:highlight w:val="none"/>
              </w:rPr>
              <w:t>。</w:t>
            </w:r>
          </w:p>
        </w:tc>
        <w:tc>
          <w:tcPr>
            <w:tcW w:w="6266" w:type="dxa"/>
            <w:tcBorders>
              <w:tl2br w:val="nil"/>
              <w:tr2bl w:val="nil"/>
            </w:tcBorders>
            <w:vAlign w:val="center"/>
          </w:tcPr>
          <w:p>
            <w:pPr>
              <w:adjustRightInd w:val="0"/>
              <w:snapToGrid w:val="0"/>
              <w:jc w:val="center"/>
              <w:rPr>
                <w:color w:val="auto"/>
                <w:szCs w:val="21"/>
                <w:highlight w:val="none"/>
              </w:rPr>
            </w:pPr>
            <w:r>
              <w:rPr>
                <w:color w:val="auto"/>
                <w:szCs w:val="21"/>
                <w:highlight w:val="none"/>
              </w:rPr>
              <w:t>已执行</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trPr>
        <w:tc>
          <w:tcPr>
            <w:tcW w:w="675" w:type="dxa"/>
            <w:tcBorders>
              <w:tl2br w:val="nil"/>
              <w:tr2bl w:val="nil"/>
            </w:tcBorders>
            <w:vAlign w:val="center"/>
          </w:tcPr>
          <w:p>
            <w:pPr>
              <w:adjustRightInd w:val="0"/>
              <w:snapToGrid w:val="0"/>
              <w:jc w:val="center"/>
              <w:rPr>
                <w:color w:val="auto"/>
                <w:szCs w:val="21"/>
                <w:highlight w:val="none"/>
              </w:rPr>
            </w:pPr>
            <w:r>
              <w:rPr>
                <w:color w:val="auto"/>
                <w:szCs w:val="21"/>
                <w:highlight w:val="none"/>
              </w:rPr>
              <w:t>4</w:t>
            </w:r>
          </w:p>
        </w:tc>
        <w:tc>
          <w:tcPr>
            <w:tcW w:w="2679" w:type="dxa"/>
            <w:tcBorders>
              <w:tl2br w:val="nil"/>
              <w:tr2bl w:val="nil"/>
            </w:tcBorders>
            <w:vAlign w:val="center"/>
          </w:tcPr>
          <w:p>
            <w:pPr>
              <w:adjustRightInd w:val="0"/>
              <w:snapToGrid w:val="0"/>
              <w:jc w:val="left"/>
              <w:rPr>
                <w:color w:val="auto"/>
                <w:szCs w:val="21"/>
                <w:highlight w:val="none"/>
              </w:rPr>
            </w:pPr>
            <w:r>
              <w:rPr>
                <w:rFonts w:hint="eastAsia"/>
                <w:color w:val="auto"/>
                <w:szCs w:val="21"/>
                <w:highlight w:val="none"/>
                <w:lang w:eastAsia="zh-CN"/>
              </w:rPr>
              <w:t>电镀废渣委托有资质单位处理</w:t>
            </w:r>
            <w:r>
              <w:rPr>
                <w:color w:val="auto"/>
                <w:szCs w:val="21"/>
                <w:highlight w:val="none"/>
              </w:rPr>
              <w:t>。</w:t>
            </w:r>
          </w:p>
        </w:tc>
        <w:tc>
          <w:tcPr>
            <w:tcW w:w="6266" w:type="dxa"/>
            <w:tcBorders>
              <w:tl2br w:val="nil"/>
              <w:tr2bl w:val="nil"/>
            </w:tcBorders>
            <w:vAlign w:val="center"/>
          </w:tcPr>
          <w:p>
            <w:pPr>
              <w:adjustRightInd w:val="0"/>
              <w:snapToGrid w:val="0"/>
              <w:jc w:val="center"/>
              <w:rPr>
                <w:color w:val="auto"/>
                <w:szCs w:val="21"/>
                <w:highlight w:val="none"/>
              </w:rPr>
            </w:pPr>
            <w:r>
              <w:rPr>
                <w:color w:val="auto"/>
                <w:szCs w:val="21"/>
                <w:highlight w:val="none"/>
              </w:rPr>
              <w:t>已执行</w:t>
            </w:r>
          </w:p>
        </w:tc>
      </w:tr>
    </w:tbl>
    <w:p>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1"/>
        <w:rPr>
          <w:rFonts w:hint="eastAsia" w:ascii="Times New Roman" w:hAnsi="Times New Roman" w:eastAsia="黑体" w:cs="Times New Roman"/>
          <w:color w:val="auto"/>
          <w:sz w:val="24"/>
          <w:highlight w:val="none"/>
        </w:rPr>
      </w:pPr>
      <w:bookmarkStart w:id="54" w:name="_Toc30286"/>
      <w:r>
        <w:rPr>
          <w:rFonts w:hint="eastAsia" w:ascii="Times New Roman" w:hAnsi="Times New Roman" w:eastAsia="黑体" w:cs="Times New Roman"/>
          <w:color w:val="auto"/>
          <w:sz w:val="24"/>
          <w:highlight w:val="none"/>
        </w:rPr>
        <w:t>2.2 项目情况</w:t>
      </w:r>
      <w:bookmarkEnd w:id="54"/>
    </w:p>
    <w:p>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2"/>
        <w:rPr>
          <w:rFonts w:ascii="黑体" w:hAnsi="黑体" w:eastAsia="黑体"/>
          <w:color w:val="auto"/>
          <w:sz w:val="24"/>
          <w:highlight w:val="none"/>
        </w:rPr>
      </w:pPr>
      <w:r>
        <w:rPr>
          <w:rFonts w:hint="eastAsia" w:ascii="黑体" w:hAnsi="黑体" w:eastAsia="黑体"/>
          <w:color w:val="auto"/>
          <w:sz w:val="24"/>
          <w:highlight w:val="none"/>
        </w:rPr>
        <w:t>2.2.1</w:t>
      </w:r>
      <w:r>
        <w:rPr>
          <w:rFonts w:ascii="黑体" w:hAnsi="黑体" w:eastAsia="黑体"/>
          <w:color w:val="auto"/>
          <w:sz w:val="24"/>
          <w:highlight w:val="none"/>
        </w:rPr>
        <w:t>项目组成情况</w:t>
      </w:r>
    </w:p>
    <w:p>
      <w:pPr>
        <w:adjustRightInd w:val="0"/>
        <w:snapToGrid w:val="0"/>
        <w:spacing w:line="360" w:lineRule="auto"/>
        <w:ind w:firstLine="470" w:firstLineChars="196"/>
        <w:rPr>
          <w:color w:val="auto"/>
          <w:sz w:val="24"/>
          <w:highlight w:val="none"/>
        </w:rPr>
      </w:pPr>
      <w:r>
        <w:rPr>
          <w:rFonts w:hint="eastAsia"/>
          <w:color w:val="auto"/>
          <w:sz w:val="24"/>
          <w:highlight w:val="none"/>
        </w:rPr>
        <w:t>青岛源润宏防腐精饰科技有限公司投资3</w:t>
      </w:r>
      <w:r>
        <w:rPr>
          <w:rFonts w:hint="eastAsia"/>
          <w:color w:val="auto"/>
          <w:sz w:val="24"/>
          <w:highlight w:val="none"/>
          <w:lang w:val="en-US" w:eastAsia="zh-CN"/>
        </w:rPr>
        <w:t>6</w:t>
      </w:r>
      <w:r>
        <w:rPr>
          <w:rFonts w:hint="eastAsia"/>
          <w:color w:val="auto"/>
          <w:sz w:val="24"/>
          <w:highlight w:val="none"/>
        </w:rPr>
        <w:t>0万元</w:t>
      </w:r>
      <w:r>
        <w:rPr>
          <w:rFonts w:hint="eastAsia"/>
          <w:color w:val="auto"/>
          <w:sz w:val="24"/>
          <w:highlight w:val="none"/>
          <w:lang w:eastAsia="zh-CN"/>
        </w:rPr>
        <w:t>建设电镀项目</w:t>
      </w:r>
      <w:r>
        <w:rPr>
          <w:rFonts w:hint="eastAsia"/>
          <w:color w:val="auto"/>
          <w:sz w:val="24"/>
          <w:highlight w:val="none"/>
        </w:rPr>
        <w:t>，于2008年建成投产，占地面</w:t>
      </w:r>
      <w:r>
        <w:rPr>
          <w:rFonts w:hint="eastAsia"/>
          <w:color w:val="auto"/>
          <w:sz w:val="24"/>
          <w:highlight w:val="none"/>
        </w:rPr>
        <w:t>积约</w:t>
      </w:r>
      <w:r>
        <w:rPr>
          <w:rFonts w:hint="eastAsia"/>
          <w:color w:val="auto"/>
          <w:sz w:val="24"/>
          <w:highlight w:val="none"/>
          <w:lang w:val="en-US" w:eastAsia="zh-CN"/>
        </w:rPr>
        <w:t>3880</w:t>
      </w:r>
      <w:r>
        <w:rPr>
          <w:rFonts w:hint="eastAsia"/>
          <w:color w:val="auto"/>
          <w:sz w:val="24"/>
          <w:highlight w:val="none"/>
        </w:rPr>
        <w:t>m</w:t>
      </w:r>
      <w:r>
        <w:rPr>
          <w:rFonts w:hint="eastAsia"/>
          <w:color w:val="auto"/>
          <w:sz w:val="24"/>
          <w:highlight w:val="none"/>
          <w:vertAlign w:val="superscript"/>
        </w:rPr>
        <w:t>2</w:t>
      </w:r>
      <w:r>
        <w:rPr>
          <w:rFonts w:hint="eastAsia"/>
          <w:color w:val="auto"/>
          <w:sz w:val="24"/>
          <w:highlight w:val="none"/>
        </w:rPr>
        <w:t>、建筑面积</w:t>
      </w:r>
      <w:r>
        <w:rPr>
          <w:rFonts w:hint="eastAsia"/>
          <w:color w:val="auto"/>
          <w:sz w:val="24"/>
          <w:highlight w:val="none"/>
          <w:lang w:val="en-US" w:eastAsia="zh-CN"/>
        </w:rPr>
        <w:t>3880</w:t>
      </w:r>
      <w:r>
        <w:rPr>
          <w:rFonts w:hint="eastAsia"/>
          <w:color w:val="auto"/>
          <w:sz w:val="24"/>
          <w:highlight w:val="none"/>
        </w:rPr>
        <w:t>m</w:t>
      </w:r>
      <w:r>
        <w:rPr>
          <w:rFonts w:hint="eastAsia"/>
          <w:color w:val="auto"/>
          <w:sz w:val="24"/>
          <w:highlight w:val="none"/>
          <w:vertAlign w:val="superscript"/>
        </w:rPr>
        <w:t>2</w:t>
      </w:r>
      <w:r>
        <w:rPr>
          <w:rFonts w:hint="eastAsia"/>
          <w:color w:val="auto"/>
          <w:sz w:val="24"/>
          <w:highlight w:val="none"/>
        </w:rPr>
        <w:t>。项目车间</w:t>
      </w:r>
      <w:r>
        <w:rPr>
          <w:rFonts w:hint="eastAsia"/>
          <w:color w:val="auto"/>
          <w:sz w:val="24"/>
          <w:highlight w:val="none"/>
        </w:rPr>
        <w:t>平面布置情况见附图4。</w:t>
      </w:r>
      <w:r>
        <w:rPr>
          <w:rFonts w:hint="eastAsia"/>
          <w:color w:val="auto"/>
          <w:sz w:val="24"/>
          <w:highlight w:val="none"/>
          <w:lang w:eastAsia="zh-CN"/>
        </w:rPr>
        <w:t>园区</w:t>
      </w:r>
      <w:r>
        <w:rPr>
          <w:rFonts w:hint="eastAsia"/>
          <w:color w:val="auto"/>
          <w:sz w:val="24"/>
          <w:highlight w:val="none"/>
        </w:rPr>
        <w:t>污水处理站位于</w:t>
      </w:r>
      <w:r>
        <w:rPr>
          <w:rFonts w:hint="eastAsia"/>
          <w:color w:val="auto"/>
          <w:sz w:val="24"/>
          <w:highlight w:val="none"/>
          <w:lang w:eastAsia="zh-CN"/>
        </w:rPr>
        <w:t>园区</w:t>
      </w:r>
      <w:r>
        <w:rPr>
          <w:rFonts w:hint="eastAsia"/>
          <w:color w:val="auto"/>
          <w:sz w:val="24"/>
          <w:highlight w:val="none"/>
        </w:rPr>
        <w:t>东</w:t>
      </w:r>
      <w:r>
        <w:rPr>
          <w:rFonts w:hint="eastAsia"/>
          <w:color w:val="auto"/>
          <w:sz w:val="24"/>
          <w:highlight w:val="none"/>
          <w:lang w:eastAsia="zh-CN"/>
        </w:rPr>
        <w:t>南</w:t>
      </w:r>
      <w:r>
        <w:rPr>
          <w:rFonts w:hint="eastAsia"/>
          <w:color w:val="auto"/>
          <w:sz w:val="24"/>
          <w:highlight w:val="none"/>
        </w:rPr>
        <w:t>侧，危废暂存间位于</w:t>
      </w:r>
      <w:r>
        <w:rPr>
          <w:rFonts w:hint="eastAsia"/>
          <w:color w:val="auto"/>
          <w:sz w:val="24"/>
          <w:highlight w:val="none"/>
          <w:lang w:eastAsia="zh-CN"/>
        </w:rPr>
        <w:t>园区东</w:t>
      </w:r>
      <w:r>
        <w:rPr>
          <w:rFonts w:hint="eastAsia"/>
          <w:color w:val="auto"/>
          <w:sz w:val="24"/>
          <w:highlight w:val="none"/>
        </w:rPr>
        <w:t>南侧。</w:t>
      </w:r>
    </w:p>
    <w:p>
      <w:pPr>
        <w:adjustRightInd w:val="0"/>
        <w:snapToGrid w:val="0"/>
        <w:spacing w:line="360" w:lineRule="auto"/>
        <w:ind w:firstLine="480" w:firstLineChars="200"/>
        <w:rPr>
          <w:color w:val="auto"/>
          <w:sz w:val="24"/>
          <w:highlight w:val="none"/>
        </w:rPr>
      </w:pPr>
      <w:r>
        <w:rPr>
          <w:rFonts w:hint="eastAsia"/>
          <w:color w:val="auto"/>
          <w:sz w:val="24"/>
          <w:highlight w:val="none"/>
          <w:lang w:eastAsia="zh-CN"/>
        </w:rPr>
        <w:t>该项目</w:t>
      </w:r>
      <w:r>
        <w:rPr>
          <w:rFonts w:hint="eastAsia"/>
          <w:color w:val="auto"/>
          <w:sz w:val="24"/>
          <w:highlight w:val="none"/>
        </w:rPr>
        <w:t>工程内容主要包括主体工程、辅助工程和环保工程等几部分，项目组成情况见表2.2-1。</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eastAsia="黑体"/>
          <w:color w:val="auto"/>
          <w:sz w:val="24"/>
          <w:szCs w:val="24"/>
          <w:highlight w:val="none"/>
        </w:rPr>
      </w:pPr>
      <w:r>
        <w:rPr>
          <w:rFonts w:eastAsia="黑体"/>
          <w:color w:val="auto"/>
          <w:sz w:val="24"/>
          <w:szCs w:val="24"/>
          <w:highlight w:val="none"/>
        </w:rPr>
        <w:t>表2.</w:t>
      </w:r>
      <w:r>
        <w:rPr>
          <w:rFonts w:hint="eastAsia" w:eastAsia="黑体"/>
          <w:color w:val="auto"/>
          <w:sz w:val="24"/>
          <w:szCs w:val="24"/>
          <w:highlight w:val="none"/>
        </w:rPr>
        <w:t>2</w:t>
      </w:r>
      <w:r>
        <w:rPr>
          <w:rFonts w:eastAsia="黑体"/>
          <w:color w:val="auto"/>
          <w:sz w:val="24"/>
          <w:szCs w:val="24"/>
          <w:highlight w:val="none"/>
        </w:rPr>
        <w:t>-</w:t>
      </w:r>
      <w:r>
        <w:rPr>
          <w:rFonts w:hint="eastAsia" w:eastAsia="黑体"/>
          <w:color w:val="auto"/>
          <w:sz w:val="24"/>
          <w:szCs w:val="24"/>
          <w:highlight w:val="none"/>
        </w:rPr>
        <w:t>1</w:t>
      </w:r>
      <w:r>
        <w:rPr>
          <w:rFonts w:eastAsia="黑体"/>
          <w:color w:val="auto"/>
          <w:sz w:val="24"/>
          <w:szCs w:val="24"/>
          <w:highlight w:val="none"/>
        </w:rPr>
        <w:t xml:space="preserve"> </w:t>
      </w:r>
      <w:r>
        <w:rPr>
          <w:rFonts w:hint="eastAsia" w:eastAsia="黑体"/>
          <w:color w:val="auto"/>
          <w:sz w:val="24"/>
          <w:szCs w:val="24"/>
          <w:highlight w:val="none"/>
          <w:lang w:val="en-US" w:eastAsia="zh-CN"/>
        </w:rPr>
        <w:t xml:space="preserve"> </w:t>
      </w:r>
      <w:r>
        <w:rPr>
          <w:rFonts w:eastAsia="黑体"/>
          <w:color w:val="auto"/>
          <w:sz w:val="24"/>
          <w:szCs w:val="24"/>
          <w:highlight w:val="none"/>
        </w:rPr>
        <w:t>项目组成情况一览表</w:t>
      </w:r>
    </w:p>
    <w:tbl>
      <w:tblPr>
        <w:tblStyle w:val="36"/>
        <w:tblW w:w="9271" w:type="dxa"/>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430"/>
        <w:gridCol w:w="517"/>
        <w:gridCol w:w="1000"/>
        <w:gridCol w:w="2101"/>
        <w:gridCol w:w="1733"/>
        <w:gridCol w:w="3490"/>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1947" w:type="dxa"/>
            <w:gridSpan w:val="3"/>
            <w:vAlign w:val="center"/>
          </w:tcPr>
          <w:p>
            <w:pPr>
              <w:spacing w:line="300" w:lineRule="exact"/>
              <w:ind w:firstLine="0" w:firstLineChars="0"/>
              <w:jc w:val="center"/>
              <w:rPr>
                <w:b/>
                <w:color w:val="auto"/>
                <w:szCs w:val="21"/>
                <w:highlight w:val="none"/>
              </w:rPr>
            </w:pPr>
            <w:r>
              <w:rPr>
                <w:b/>
                <w:bCs/>
                <w:color w:val="auto"/>
                <w:kern w:val="0"/>
                <w:sz w:val="21"/>
                <w:szCs w:val="21"/>
                <w:highlight w:val="none"/>
              </w:rPr>
              <w:t>项目名称</w:t>
            </w:r>
          </w:p>
        </w:tc>
        <w:tc>
          <w:tcPr>
            <w:tcW w:w="7324" w:type="dxa"/>
            <w:gridSpan w:val="3"/>
            <w:vAlign w:val="center"/>
          </w:tcPr>
          <w:p>
            <w:pPr>
              <w:jc w:val="center"/>
              <w:rPr>
                <w:rFonts w:hint="eastAsia"/>
                <w:b w:val="0"/>
                <w:bCs/>
                <w:color w:val="auto"/>
                <w:szCs w:val="21"/>
                <w:highlight w:val="none"/>
              </w:rPr>
            </w:pPr>
            <w:r>
              <w:rPr>
                <w:rFonts w:hint="eastAsia"/>
                <w:b w:val="0"/>
                <w:bCs/>
                <w:color w:val="auto"/>
                <w:szCs w:val="21"/>
                <w:highlight w:val="none"/>
              </w:rPr>
              <w:t>电镀加工项目</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1947" w:type="dxa"/>
            <w:gridSpan w:val="3"/>
            <w:vAlign w:val="center"/>
          </w:tcPr>
          <w:p>
            <w:pPr>
              <w:spacing w:line="300" w:lineRule="exact"/>
              <w:ind w:firstLine="0" w:firstLineChars="0"/>
              <w:jc w:val="center"/>
              <w:rPr>
                <w:b/>
                <w:color w:val="auto"/>
                <w:szCs w:val="21"/>
                <w:highlight w:val="none"/>
              </w:rPr>
            </w:pPr>
            <w:r>
              <w:rPr>
                <w:b/>
                <w:bCs/>
                <w:color w:val="auto"/>
                <w:kern w:val="0"/>
                <w:sz w:val="21"/>
                <w:szCs w:val="21"/>
                <w:highlight w:val="none"/>
              </w:rPr>
              <w:t>建设单位</w:t>
            </w:r>
          </w:p>
        </w:tc>
        <w:tc>
          <w:tcPr>
            <w:tcW w:w="7324" w:type="dxa"/>
            <w:gridSpan w:val="3"/>
            <w:vAlign w:val="center"/>
          </w:tcPr>
          <w:p>
            <w:pPr>
              <w:jc w:val="center"/>
              <w:rPr>
                <w:rFonts w:hint="eastAsia"/>
                <w:b w:val="0"/>
                <w:bCs/>
                <w:color w:val="auto"/>
                <w:szCs w:val="21"/>
                <w:highlight w:val="none"/>
              </w:rPr>
            </w:pPr>
            <w:r>
              <w:rPr>
                <w:rFonts w:hint="eastAsia"/>
                <w:b w:val="0"/>
                <w:bCs/>
                <w:color w:val="auto"/>
                <w:szCs w:val="21"/>
                <w:highlight w:val="none"/>
              </w:rPr>
              <w:t>青岛源润宏防腐精饰科技有限公司</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1947" w:type="dxa"/>
            <w:gridSpan w:val="3"/>
            <w:vAlign w:val="center"/>
          </w:tcPr>
          <w:p>
            <w:pPr>
              <w:spacing w:line="300" w:lineRule="exact"/>
              <w:ind w:firstLine="0" w:firstLineChars="0"/>
              <w:jc w:val="center"/>
              <w:rPr>
                <w:b/>
                <w:color w:val="auto"/>
                <w:szCs w:val="21"/>
                <w:highlight w:val="none"/>
              </w:rPr>
            </w:pPr>
            <w:r>
              <w:rPr>
                <w:b/>
                <w:bCs/>
                <w:color w:val="auto"/>
                <w:kern w:val="0"/>
                <w:sz w:val="21"/>
                <w:szCs w:val="21"/>
                <w:highlight w:val="none"/>
              </w:rPr>
              <w:t>法人代表</w:t>
            </w:r>
          </w:p>
        </w:tc>
        <w:tc>
          <w:tcPr>
            <w:tcW w:w="2101" w:type="dxa"/>
            <w:vAlign w:val="center"/>
          </w:tcPr>
          <w:p>
            <w:pPr>
              <w:jc w:val="center"/>
              <w:rPr>
                <w:rFonts w:hint="eastAsia"/>
                <w:b/>
                <w:color w:val="auto"/>
                <w:szCs w:val="21"/>
                <w:highlight w:val="none"/>
              </w:rPr>
            </w:pPr>
            <w:r>
              <w:rPr>
                <w:rFonts w:hint="eastAsia" w:ascii="Times New Roman" w:hAnsi="Times New Roman" w:cs="Times New Roman"/>
                <w:color w:val="auto"/>
                <w:spacing w:val="-10"/>
                <w:szCs w:val="21"/>
                <w:highlight w:val="none"/>
                <w:lang w:val="en-US" w:eastAsia="zh-CN"/>
              </w:rPr>
              <w:t>高绪霞</w:t>
            </w:r>
          </w:p>
        </w:tc>
        <w:tc>
          <w:tcPr>
            <w:tcW w:w="1733" w:type="dxa"/>
            <w:vAlign w:val="center"/>
          </w:tcPr>
          <w:p>
            <w:pPr>
              <w:jc w:val="center"/>
              <w:rPr>
                <w:rFonts w:hint="eastAsia"/>
                <w:b/>
                <w:color w:val="auto"/>
                <w:szCs w:val="21"/>
                <w:highlight w:val="none"/>
              </w:rPr>
            </w:pPr>
            <w:r>
              <w:rPr>
                <w:b/>
                <w:bCs/>
                <w:color w:val="auto"/>
                <w:kern w:val="0"/>
                <w:sz w:val="21"/>
                <w:szCs w:val="21"/>
                <w:highlight w:val="none"/>
              </w:rPr>
              <w:t>联系人及电话</w:t>
            </w:r>
          </w:p>
        </w:tc>
        <w:tc>
          <w:tcPr>
            <w:tcW w:w="3490" w:type="dxa"/>
            <w:vAlign w:val="center"/>
          </w:tcPr>
          <w:p>
            <w:pPr>
              <w:jc w:val="center"/>
              <w:rPr>
                <w:rFonts w:hint="eastAsia"/>
                <w:b/>
                <w:color w:val="auto"/>
                <w:szCs w:val="21"/>
                <w:highlight w:val="none"/>
              </w:rPr>
            </w:pPr>
            <w:r>
              <w:rPr>
                <w:rFonts w:hint="eastAsia" w:ascii="Times New Roman" w:hAnsi="Times New Roman" w:cs="Times New Roman"/>
                <w:color w:val="auto"/>
                <w:spacing w:val="-10"/>
                <w:szCs w:val="21"/>
                <w:highlight w:val="none"/>
                <w:lang w:eastAsia="zh-CN"/>
              </w:rPr>
              <w:t>张辉</w:t>
            </w:r>
            <w:r>
              <w:rPr>
                <w:rFonts w:hint="eastAsia" w:ascii="Times New Roman" w:hAnsi="Times New Roman" w:cs="Times New Roman"/>
                <w:color w:val="auto"/>
                <w:spacing w:val="-10"/>
                <w:szCs w:val="21"/>
                <w:highlight w:val="none"/>
                <w:lang w:val="en-US" w:eastAsia="zh-CN"/>
              </w:rPr>
              <w:t xml:space="preserve">  15266250802</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1947" w:type="dxa"/>
            <w:gridSpan w:val="3"/>
            <w:vAlign w:val="center"/>
          </w:tcPr>
          <w:p>
            <w:pPr>
              <w:spacing w:line="300" w:lineRule="exact"/>
              <w:ind w:firstLine="0" w:firstLineChars="0"/>
              <w:jc w:val="center"/>
              <w:rPr>
                <w:b/>
                <w:bCs/>
                <w:color w:val="auto"/>
                <w:kern w:val="0"/>
                <w:sz w:val="21"/>
                <w:szCs w:val="21"/>
                <w:highlight w:val="none"/>
              </w:rPr>
            </w:pPr>
            <w:r>
              <w:rPr>
                <w:b/>
                <w:bCs/>
                <w:color w:val="auto"/>
                <w:kern w:val="0"/>
                <w:sz w:val="21"/>
                <w:szCs w:val="21"/>
                <w:highlight w:val="none"/>
              </w:rPr>
              <w:t>建设地点</w:t>
            </w:r>
          </w:p>
        </w:tc>
        <w:tc>
          <w:tcPr>
            <w:tcW w:w="7324" w:type="dxa"/>
            <w:gridSpan w:val="3"/>
            <w:vAlign w:val="center"/>
          </w:tcPr>
          <w:p>
            <w:pPr>
              <w:jc w:val="center"/>
              <w:rPr>
                <w:rFonts w:hint="eastAsia"/>
                <w:b/>
                <w:color w:val="auto"/>
                <w:szCs w:val="21"/>
                <w:highlight w:val="none"/>
              </w:rPr>
            </w:pPr>
            <w:r>
              <w:rPr>
                <w:rFonts w:hint="eastAsia"/>
                <w:b w:val="0"/>
                <w:bCs/>
                <w:color w:val="auto"/>
                <w:szCs w:val="21"/>
                <w:highlight w:val="none"/>
                <w:lang w:eastAsia="zh-CN"/>
              </w:rPr>
              <w:t>青岛西海岸新区</w:t>
            </w:r>
            <w:r>
              <w:rPr>
                <w:rFonts w:hint="eastAsia"/>
                <w:b w:val="0"/>
                <w:bCs/>
                <w:color w:val="auto"/>
                <w:szCs w:val="21"/>
                <w:highlight w:val="none"/>
              </w:rPr>
              <w:t>黄河东路139号青岛经济技术开发区电镀工业园内</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1947" w:type="dxa"/>
            <w:gridSpan w:val="3"/>
            <w:vAlign w:val="center"/>
          </w:tcPr>
          <w:p>
            <w:pPr>
              <w:jc w:val="center"/>
              <w:rPr>
                <w:b/>
                <w:color w:val="auto"/>
                <w:szCs w:val="21"/>
                <w:highlight w:val="none"/>
              </w:rPr>
            </w:pPr>
            <w:r>
              <w:rPr>
                <w:b/>
                <w:color w:val="auto"/>
                <w:szCs w:val="21"/>
                <w:highlight w:val="none"/>
              </w:rPr>
              <w:t>工程组成</w:t>
            </w:r>
          </w:p>
        </w:tc>
        <w:tc>
          <w:tcPr>
            <w:tcW w:w="7324" w:type="dxa"/>
            <w:gridSpan w:val="3"/>
            <w:vAlign w:val="center"/>
          </w:tcPr>
          <w:p>
            <w:pPr>
              <w:jc w:val="center"/>
              <w:rPr>
                <w:rFonts w:hint="eastAsia"/>
                <w:b/>
                <w:color w:val="auto"/>
                <w:szCs w:val="21"/>
                <w:highlight w:val="none"/>
              </w:rPr>
            </w:pPr>
            <w:r>
              <w:rPr>
                <w:rFonts w:hint="eastAsia"/>
                <w:b/>
                <w:color w:val="auto"/>
                <w:szCs w:val="21"/>
                <w:highlight w:val="none"/>
              </w:rPr>
              <w:t>项目情况</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58" w:hRule="atLeast"/>
          <w:jc w:val="center"/>
        </w:trPr>
        <w:tc>
          <w:tcPr>
            <w:tcW w:w="430" w:type="dxa"/>
            <w:vMerge w:val="restart"/>
            <w:vAlign w:val="center"/>
          </w:tcPr>
          <w:p>
            <w:pPr>
              <w:jc w:val="center"/>
              <w:rPr>
                <w:color w:val="auto"/>
                <w:szCs w:val="21"/>
                <w:highlight w:val="none"/>
              </w:rPr>
            </w:pPr>
            <w:r>
              <w:rPr>
                <w:color w:val="auto"/>
                <w:szCs w:val="21"/>
                <w:highlight w:val="none"/>
              </w:rPr>
              <w:t>主体</w:t>
            </w:r>
          </w:p>
          <w:p>
            <w:pPr>
              <w:jc w:val="center"/>
              <w:rPr>
                <w:b/>
                <w:color w:val="auto"/>
                <w:szCs w:val="21"/>
                <w:highlight w:val="none"/>
              </w:rPr>
            </w:pPr>
            <w:r>
              <w:rPr>
                <w:color w:val="auto"/>
                <w:szCs w:val="21"/>
                <w:highlight w:val="none"/>
              </w:rPr>
              <w:t>工程</w:t>
            </w:r>
          </w:p>
        </w:tc>
        <w:tc>
          <w:tcPr>
            <w:tcW w:w="1517" w:type="dxa"/>
            <w:gridSpan w:val="2"/>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snapToGrid w:val="0"/>
                <w:color w:val="auto"/>
                <w:kern w:val="0"/>
                <w:szCs w:val="21"/>
                <w:highlight w:val="none"/>
                <w:lang w:val="en-US" w:eastAsia="zh-CN"/>
              </w:rPr>
              <w:t>1#</w:t>
            </w:r>
            <w:r>
              <w:rPr>
                <w:rFonts w:hint="default" w:ascii="Times New Roman" w:hAnsi="Times New Roman" w:cs="Times New Roman"/>
                <w:snapToGrid w:val="0"/>
                <w:color w:val="auto"/>
                <w:kern w:val="0"/>
                <w:szCs w:val="21"/>
                <w:highlight w:val="none"/>
              </w:rPr>
              <w:t>车间</w:t>
            </w:r>
          </w:p>
        </w:tc>
        <w:tc>
          <w:tcPr>
            <w:tcW w:w="7324" w:type="dxa"/>
            <w:gridSpan w:val="3"/>
            <w:vAlign w:val="center"/>
          </w:tcPr>
          <w:p>
            <w:pPr>
              <w:jc w:val="left"/>
              <w:rPr>
                <w:color w:val="auto"/>
                <w:szCs w:val="21"/>
                <w:highlight w:val="none"/>
              </w:rPr>
            </w:pPr>
            <w:r>
              <w:rPr>
                <w:rFonts w:hint="eastAsia"/>
                <w:color w:val="auto"/>
                <w:szCs w:val="21"/>
                <w:highlight w:val="none"/>
                <w:lang w:val="en-US" w:eastAsia="zh-CN"/>
              </w:rPr>
              <w:t>1#楼</w:t>
            </w:r>
            <w:r>
              <w:rPr>
                <w:rFonts w:hint="eastAsia"/>
                <w:color w:val="auto"/>
                <w:szCs w:val="21"/>
                <w:highlight w:val="none"/>
                <w:lang w:val="en-US" w:eastAsia="zh-CN"/>
              </w:rPr>
              <w:t>三层</w:t>
            </w:r>
            <w:r>
              <w:rPr>
                <w:rFonts w:hint="eastAsia"/>
                <w:color w:val="auto"/>
                <w:szCs w:val="21"/>
                <w:highlight w:val="none"/>
              </w:rPr>
              <w:t>，</w:t>
            </w:r>
            <w:r>
              <w:rPr>
                <w:rFonts w:hint="eastAsia"/>
                <w:color w:val="auto"/>
                <w:szCs w:val="21"/>
                <w:highlight w:val="none"/>
                <w:lang w:eastAsia="zh-CN"/>
              </w:rPr>
              <w:t>建筑</w:t>
            </w:r>
            <w:r>
              <w:rPr>
                <w:rFonts w:hint="eastAsia"/>
                <w:color w:val="auto"/>
                <w:szCs w:val="21"/>
                <w:highlight w:val="none"/>
              </w:rPr>
              <w:t>面</w:t>
            </w:r>
            <w:r>
              <w:rPr>
                <w:rFonts w:hint="eastAsia"/>
                <w:color w:val="auto"/>
                <w:szCs w:val="21"/>
                <w:highlight w:val="none"/>
              </w:rPr>
              <w:t>积：</w:t>
            </w:r>
            <w:r>
              <w:rPr>
                <w:rFonts w:hint="eastAsia"/>
                <w:color w:val="auto"/>
                <w:szCs w:val="21"/>
                <w:highlight w:val="none"/>
                <w:lang w:val="en-US" w:eastAsia="zh-CN"/>
              </w:rPr>
              <w:t>700</w:t>
            </w:r>
            <w:r>
              <w:rPr>
                <w:rFonts w:hint="eastAsia"/>
                <w:color w:val="auto"/>
                <w:szCs w:val="21"/>
                <w:highlight w:val="none"/>
              </w:rPr>
              <w:t xml:space="preserve"> </w:t>
            </w:r>
            <w:r>
              <w:rPr>
                <w:rFonts w:hint="eastAsia"/>
                <w:snapToGrid w:val="0"/>
                <w:color w:val="auto"/>
                <w:kern w:val="0"/>
                <w:szCs w:val="21"/>
                <w:highlight w:val="none"/>
              </w:rPr>
              <w:t>m</w:t>
            </w:r>
            <w:r>
              <w:rPr>
                <w:rFonts w:hint="eastAsia"/>
                <w:snapToGrid w:val="0"/>
                <w:color w:val="auto"/>
                <w:kern w:val="0"/>
                <w:szCs w:val="21"/>
                <w:highlight w:val="none"/>
                <w:vertAlign w:val="superscript"/>
              </w:rPr>
              <w:t>2</w:t>
            </w:r>
            <w:r>
              <w:rPr>
                <w:rFonts w:hint="eastAsia"/>
                <w:color w:val="auto"/>
                <w:szCs w:val="21"/>
                <w:highlight w:val="none"/>
              </w:rPr>
              <w:t>，</w:t>
            </w:r>
            <w:r>
              <w:rPr>
                <w:color w:val="auto"/>
                <w:kern w:val="0"/>
                <w:sz w:val="21"/>
                <w:szCs w:val="21"/>
                <w:highlight w:val="none"/>
              </w:rPr>
              <w:t>自动</w:t>
            </w:r>
            <w:r>
              <w:rPr>
                <w:rFonts w:hint="eastAsia"/>
                <w:color w:val="auto"/>
                <w:szCs w:val="21"/>
                <w:highlight w:val="none"/>
              </w:rPr>
              <w:t>挂镀锡</w:t>
            </w:r>
            <w:r>
              <w:rPr>
                <w:rFonts w:hint="eastAsia"/>
                <w:color w:val="auto"/>
                <w:szCs w:val="21"/>
                <w:highlight w:val="none"/>
                <w:lang w:eastAsia="zh-CN"/>
              </w:rPr>
              <w:t>线</w:t>
            </w:r>
            <w:r>
              <w:rPr>
                <w:rFonts w:hint="eastAsia"/>
                <w:color w:val="auto"/>
                <w:szCs w:val="21"/>
                <w:highlight w:val="none"/>
                <w:lang w:val="en-US" w:eastAsia="zh-CN"/>
              </w:rPr>
              <w:t>1条，</w:t>
            </w:r>
            <w:r>
              <w:rPr>
                <w:color w:val="auto"/>
                <w:kern w:val="0"/>
                <w:sz w:val="21"/>
                <w:szCs w:val="21"/>
                <w:highlight w:val="none"/>
              </w:rPr>
              <w:t>自动</w:t>
            </w:r>
            <w:r>
              <w:rPr>
                <w:rFonts w:hint="eastAsia"/>
                <w:color w:val="auto"/>
                <w:szCs w:val="21"/>
                <w:highlight w:val="none"/>
                <w:lang w:eastAsia="zh-CN"/>
              </w:rPr>
              <w:t>滚</w:t>
            </w:r>
            <w:r>
              <w:rPr>
                <w:rFonts w:hint="eastAsia"/>
                <w:color w:val="auto"/>
                <w:szCs w:val="21"/>
                <w:highlight w:val="none"/>
              </w:rPr>
              <w:t>镀锡</w:t>
            </w:r>
            <w:r>
              <w:rPr>
                <w:rFonts w:hint="eastAsia"/>
                <w:color w:val="auto"/>
                <w:szCs w:val="21"/>
                <w:highlight w:val="none"/>
                <w:lang w:eastAsia="zh-CN"/>
              </w:rPr>
              <w:t>线</w:t>
            </w:r>
            <w:r>
              <w:rPr>
                <w:rFonts w:hint="eastAsia"/>
                <w:color w:val="auto"/>
                <w:szCs w:val="21"/>
                <w:highlight w:val="none"/>
                <w:lang w:val="en-US" w:eastAsia="zh-CN"/>
              </w:rPr>
              <w:t>1条。</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58" w:hRule="atLeast"/>
          <w:jc w:val="center"/>
        </w:trPr>
        <w:tc>
          <w:tcPr>
            <w:tcW w:w="430" w:type="dxa"/>
            <w:vMerge w:val="continue"/>
            <w:vAlign w:val="center"/>
          </w:tcPr>
          <w:p>
            <w:pPr>
              <w:jc w:val="center"/>
              <w:rPr>
                <w:color w:val="auto"/>
                <w:szCs w:val="21"/>
                <w:highlight w:val="none"/>
              </w:rPr>
            </w:pPr>
          </w:p>
        </w:tc>
        <w:tc>
          <w:tcPr>
            <w:tcW w:w="1517" w:type="dxa"/>
            <w:gridSpan w:val="2"/>
            <w:vAlign w:val="center"/>
          </w:tcPr>
          <w:p>
            <w:pPr>
              <w:jc w:val="center"/>
              <w:rPr>
                <w:rFonts w:hint="default" w:ascii="Times New Roman" w:hAnsi="Times New Roman" w:cs="Times New Roman"/>
                <w:snapToGrid w:val="0"/>
                <w:color w:val="auto"/>
                <w:kern w:val="0"/>
                <w:szCs w:val="21"/>
                <w:highlight w:val="none"/>
              </w:rPr>
            </w:pPr>
            <w:r>
              <w:rPr>
                <w:rFonts w:hint="default" w:ascii="Times New Roman" w:hAnsi="Times New Roman" w:cs="Times New Roman"/>
                <w:snapToGrid w:val="0"/>
                <w:color w:val="auto"/>
                <w:kern w:val="0"/>
                <w:szCs w:val="21"/>
                <w:highlight w:val="none"/>
                <w:lang w:val="en-US" w:eastAsia="zh-CN"/>
              </w:rPr>
              <w:t>2#</w:t>
            </w:r>
            <w:r>
              <w:rPr>
                <w:rFonts w:hint="default" w:ascii="Times New Roman" w:hAnsi="Times New Roman" w:cs="Times New Roman"/>
                <w:snapToGrid w:val="0"/>
                <w:color w:val="auto"/>
                <w:kern w:val="0"/>
                <w:szCs w:val="21"/>
                <w:highlight w:val="none"/>
              </w:rPr>
              <w:t>车间</w:t>
            </w:r>
          </w:p>
        </w:tc>
        <w:tc>
          <w:tcPr>
            <w:tcW w:w="7324" w:type="dxa"/>
            <w:gridSpan w:val="3"/>
            <w:vAlign w:val="center"/>
          </w:tcPr>
          <w:p>
            <w:pPr>
              <w:jc w:val="left"/>
              <w:rPr>
                <w:rFonts w:hint="eastAsia"/>
                <w:color w:val="auto"/>
                <w:szCs w:val="21"/>
                <w:highlight w:val="none"/>
              </w:rPr>
            </w:pPr>
            <w:r>
              <w:rPr>
                <w:rFonts w:hint="eastAsia"/>
                <w:color w:val="auto"/>
                <w:szCs w:val="21"/>
                <w:highlight w:val="none"/>
                <w:lang w:val="en-US" w:eastAsia="zh-CN"/>
              </w:rPr>
              <w:t>1#楼</w:t>
            </w:r>
            <w:r>
              <w:rPr>
                <w:rFonts w:hint="eastAsia"/>
                <w:color w:val="auto"/>
                <w:szCs w:val="21"/>
                <w:highlight w:val="none"/>
                <w:lang w:val="en-US" w:eastAsia="zh-CN"/>
              </w:rPr>
              <w:t>四层</w:t>
            </w:r>
            <w:r>
              <w:rPr>
                <w:rFonts w:hint="eastAsia"/>
                <w:color w:val="auto"/>
                <w:szCs w:val="21"/>
                <w:highlight w:val="none"/>
              </w:rPr>
              <w:t>，</w:t>
            </w:r>
            <w:r>
              <w:rPr>
                <w:rFonts w:hint="eastAsia"/>
                <w:color w:val="auto"/>
                <w:szCs w:val="21"/>
                <w:highlight w:val="none"/>
                <w:lang w:eastAsia="zh-CN"/>
              </w:rPr>
              <w:t>建筑</w:t>
            </w:r>
            <w:r>
              <w:rPr>
                <w:rFonts w:hint="eastAsia"/>
                <w:color w:val="auto"/>
                <w:szCs w:val="21"/>
                <w:highlight w:val="none"/>
              </w:rPr>
              <w:t>面积：</w:t>
            </w:r>
            <w:r>
              <w:rPr>
                <w:rFonts w:hint="eastAsia"/>
                <w:color w:val="auto"/>
                <w:szCs w:val="21"/>
                <w:highlight w:val="none"/>
                <w:lang w:val="en-US" w:eastAsia="zh-CN"/>
              </w:rPr>
              <w:t>768</w:t>
            </w:r>
            <w:r>
              <w:rPr>
                <w:rFonts w:hint="eastAsia"/>
                <w:snapToGrid w:val="0"/>
                <w:color w:val="auto"/>
                <w:kern w:val="0"/>
                <w:szCs w:val="21"/>
                <w:highlight w:val="none"/>
              </w:rPr>
              <w:t>m</w:t>
            </w:r>
            <w:r>
              <w:rPr>
                <w:rFonts w:hint="eastAsia"/>
                <w:snapToGrid w:val="0"/>
                <w:color w:val="auto"/>
                <w:kern w:val="0"/>
                <w:szCs w:val="21"/>
                <w:highlight w:val="none"/>
                <w:vertAlign w:val="superscript"/>
              </w:rPr>
              <w:t>2</w:t>
            </w:r>
            <w:r>
              <w:rPr>
                <w:rFonts w:hint="eastAsia"/>
                <w:color w:val="auto"/>
                <w:szCs w:val="21"/>
                <w:highlight w:val="none"/>
              </w:rPr>
              <w:t>，</w:t>
            </w:r>
            <w:r>
              <w:rPr>
                <w:color w:val="auto"/>
                <w:kern w:val="0"/>
                <w:sz w:val="21"/>
                <w:szCs w:val="21"/>
                <w:highlight w:val="none"/>
              </w:rPr>
              <w:t>自动</w:t>
            </w:r>
            <w:r>
              <w:rPr>
                <w:rFonts w:hint="eastAsia"/>
                <w:color w:val="auto"/>
                <w:szCs w:val="21"/>
                <w:highlight w:val="none"/>
              </w:rPr>
              <w:t>挂镀</w:t>
            </w:r>
            <w:r>
              <w:rPr>
                <w:rFonts w:hint="eastAsia"/>
                <w:color w:val="auto"/>
                <w:szCs w:val="21"/>
                <w:highlight w:val="none"/>
                <w:lang w:eastAsia="zh-CN"/>
              </w:rPr>
              <w:t>锌线</w:t>
            </w:r>
            <w:r>
              <w:rPr>
                <w:rFonts w:hint="eastAsia"/>
                <w:color w:val="auto"/>
                <w:szCs w:val="21"/>
                <w:highlight w:val="none"/>
                <w:lang w:val="en-US" w:eastAsia="zh-CN"/>
              </w:rPr>
              <w:t>1条，</w:t>
            </w:r>
            <w:r>
              <w:rPr>
                <w:color w:val="auto"/>
                <w:kern w:val="0"/>
                <w:sz w:val="21"/>
                <w:szCs w:val="21"/>
                <w:highlight w:val="none"/>
              </w:rPr>
              <w:t>自动</w:t>
            </w:r>
            <w:r>
              <w:rPr>
                <w:rFonts w:hint="eastAsia"/>
                <w:color w:val="auto"/>
                <w:szCs w:val="21"/>
                <w:highlight w:val="none"/>
                <w:lang w:eastAsia="zh-CN"/>
              </w:rPr>
              <w:t>滚</w:t>
            </w:r>
            <w:r>
              <w:rPr>
                <w:rFonts w:hint="eastAsia"/>
                <w:color w:val="auto"/>
                <w:szCs w:val="21"/>
                <w:highlight w:val="none"/>
              </w:rPr>
              <w:t>镀</w:t>
            </w:r>
            <w:r>
              <w:rPr>
                <w:rFonts w:hint="eastAsia"/>
                <w:color w:val="auto"/>
                <w:szCs w:val="21"/>
                <w:highlight w:val="none"/>
                <w:lang w:eastAsia="zh-CN"/>
              </w:rPr>
              <w:t>锌线</w:t>
            </w:r>
            <w:r>
              <w:rPr>
                <w:rFonts w:hint="eastAsia"/>
                <w:color w:val="auto"/>
                <w:szCs w:val="21"/>
                <w:highlight w:val="none"/>
                <w:lang w:val="en-US" w:eastAsia="zh-CN"/>
              </w:rPr>
              <w:t>1条</w:t>
            </w:r>
            <w:r>
              <w:rPr>
                <w:rFonts w:hint="eastAsia"/>
                <w:color w:val="auto"/>
                <w:kern w:val="0"/>
                <w:szCs w:val="21"/>
                <w:highlight w:val="none"/>
                <w:lang w:eastAsia="zh-CN"/>
              </w:rPr>
              <w:t>(碱</w:t>
            </w:r>
            <w:r>
              <w:rPr>
                <w:rFonts w:hint="eastAsia"/>
                <w:color w:val="auto"/>
                <w:kern w:val="0"/>
                <w:szCs w:val="21"/>
                <w:highlight w:val="none"/>
              </w:rPr>
              <w:t>锌</w:t>
            </w:r>
            <w:r>
              <w:rPr>
                <w:rFonts w:hint="eastAsia"/>
                <w:color w:val="auto"/>
                <w:kern w:val="0"/>
                <w:szCs w:val="21"/>
                <w:highlight w:val="none"/>
                <w:lang w:eastAsia="zh-CN"/>
              </w:rPr>
              <w:t>)</w:t>
            </w:r>
            <w:r>
              <w:rPr>
                <w:rFonts w:hint="eastAsia"/>
                <w:color w:val="auto"/>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58" w:hRule="atLeast"/>
          <w:jc w:val="center"/>
        </w:trPr>
        <w:tc>
          <w:tcPr>
            <w:tcW w:w="430" w:type="dxa"/>
            <w:vMerge w:val="continue"/>
            <w:vAlign w:val="center"/>
          </w:tcPr>
          <w:p>
            <w:pPr>
              <w:jc w:val="center"/>
              <w:rPr>
                <w:color w:val="auto"/>
                <w:szCs w:val="21"/>
                <w:highlight w:val="none"/>
              </w:rPr>
            </w:pPr>
          </w:p>
        </w:tc>
        <w:tc>
          <w:tcPr>
            <w:tcW w:w="1517" w:type="dxa"/>
            <w:gridSpan w:val="2"/>
            <w:vAlign w:val="center"/>
          </w:tcPr>
          <w:p>
            <w:pPr>
              <w:jc w:val="center"/>
              <w:rPr>
                <w:rFonts w:hint="default" w:ascii="Times New Roman" w:hAnsi="Times New Roman" w:cs="Times New Roman"/>
                <w:snapToGrid w:val="0"/>
                <w:color w:val="auto"/>
                <w:kern w:val="0"/>
                <w:szCs w:val="21"/>
                <w:highlight w:val="none"/>
              </w:rPr>
            </w:pPr>
            <w:r>
              <w:rPr>
                <w:rFonts w:hint="default" w:ascii="Times New Roman" w:hAnsi="Times New Roman" w:cs="Times New Roman"/>
                <w:snapToGrid w:val="0"/>
                <w:color w:val="auto"/>
                <w:kern w:val="0"/>
                <w:szCs w:val="21"/>
                <w:highlight w:val="none"/>
                <w:lang w:val="en-US" w:eastAsia="zh-CN"/>
              </w:rPr>
              <w:t>3#</w:t>
            </w:r>
            <w:r>
              <w:rPr>
                <w:rFonts w:hint="default" w:ascii="Times New Roman" w:hAnsi="Times New Roman" w:cs="Times New Roman"/>
                <w:snapToGrid w:val="0"/>
                <w:color w:val="auto"/>
                <w:kern w:val="0"/>
                <w:szCs w:val="21"/>
                <w:highlight w:val="none"/>
              </w:rPr>
              <w:t>车间</w:t>
            </w:r>
          </w:p>
        </w:tc>
        <w:tc>
          <w:tcPr>
            <w:tcW w:w="7324" w:type="dxa"/>
            <w:gridSpan w:val="3"/>
            <w:vAlign w:val="center"/>
          </w:tcPr>
          <w:p>
            <w:pPr>
              <w:jc w:val="left"/>
              <w:rPr>
                <w:rFonts w:hint="eastAsia"/>
                <w:color w:val="auto"/>
                <w:szCs w:val="21"/>
                <w:highlight w:val="none"/>
              </w:rPr>
            </w:pPr>
            <w:r>
              <w:rPr>
                <w:rFonts w:hint="eastAsia"/>
                <w:color w:val="auto"/>
                <w:szCs w:val="21"/>
                <w:highlight w:val="none"/>
                <w:lang w:val="en-US" w:eastAsia="zh-CN"/>
              </w:rPr>
              <w:t>1#楼</w:t>
            </w:r>
            <w:r>
              <w:rPr>
                <w:rFonts w:hint="eastAsia"/>
                <w:color w:val="auto"/>
                <w:szCs w:val="21"/>
                <w:highlight w:val="none"/>
                <w:lang w:val="en-US" w:eastAsia="zh-CN"/>
              </w:rPr>
              <w:t>二层</w:t>
            </w:r>
            <w:r>
              <w:rPr>
                <w:rFonts w:hint="eastAsia"/>
                <w:color w:val="auto"/>
                <w:szCs w:val="21"/>
                <w:highlight w:val="none"/>
              </w:rPr>
              <w:t>，</w:t>
            </w:r>
            <w:r>
              <w:rPr>
                <w:rFonts w:hint="eastAsia"/>
                <w:color w:val="auto"/>
                <w:szCs w:val="21"/>
                <w:highlight w:val="none"/>
                <w:lang w:eastAsia="zh-CN"/>
              </w:rPr>
              <w:t>建筑</w:t>
            </w:r>
            <w:r>
              <w:rPr>
                <w:rFonts w:hint="eastAsia"/>
                <w:color w:val="auto"/>
                <w:szCs w:val="21"/>
                <w:highlight w:val="none"/>
              </w:rPr>
              <w:t>面积：</w:t>
            </w:r>
            <w:r>
              <w:rPr>
                <w:rFonts w:hint="eastAsia"/>
                <w:color w:val="auto"/>
                <w:szCs w:val="21"/>
                <w:highlight w:val="none"/>
                <w:lang w:val="en-US" w:eastAsia="zh-CN"/>
              </w:rPr>
              <w:t>600</w:t>
            </w:r>
            <w:r>
              <w:rPr>
                <w:rFonts w:hint="eastAsia"/>
                <w:snapToGrid w:val="0"/>
                <w:color w:val="auto"/>
                <w:kern w:val="0"/>
                <w:szCs w:val="21"/>
                <w:highlight w:val="none"/>
              </w:rPr>
              <w:t>m</w:t>
            </w:r>
            <w:r>
              <w:rPr>
                <w:rFonts w:hint="eastAsia"/>
                <w:snapToGrid w:val="0"/>
                <w:color w:val="auto"/>
                <w:kern w:val="0"/>
                <w:szCs w:val="21"/>
                <w:highlight w:val="none"/>
                <w:vertAlign w:val="superscript"/>
              </w:rPr>
              <w:t>2</w:t>
            </w:r>
            <w:r>
              <w:rPr>
                <w:rFonts w:hint="eastAsia"/>
                <w:color w:val="auto"/>
                <w:szCs w:val="21"/>
                <w:highlight w:val="none"/>
              </w:rPr>
              <w:t>，</w:t>
            </w:r>
            <w:r>
              <w:rPr>
                <w:color w:val="auto"/>
                <w:kern w:val="0"/>
                <w:sz w:val="21"/>
                <w:szCs w:val="21"/>
                <w:highlight w:val="none"/>
              </w:rPr>
              <w:t>自动镀电镀综合线</w:t>
            </w:r>
            <w:r>
              <w:rPr>
                <w:rFonts w:hint="eastAsia"/>
                <w:color w:val="auto"/>
                <w:kern w:val="0"/>
                <w:sz w:val="21"/>
                <w:szCs w:val="21"/>
                <w:highlight w:val="none"/>
                <w:lang w:eastAsia="zh-CN"/>
              </w:rPr>
              <w:t>(</w:t>
            </w:r>
            <w:r>
              <w:rPr>
                <w:color w:val="auto"/>
                <w:kern w:val="0"/>
                <w:sz w:val="21"/>
                <w:szCs w:val="21"/>
                <w:highlight w:val="none"/>
              </w:rPr>
              <w:t>铜、</w:t>
            </w:r>
            <w:r>
              <w:rPr>
                <w:rFonts w:hint="eastAsia"/>
                <w:color w:val="auto"/>
                <w:kern w:val="0"/>
                <w:sz w:val="21"/>
                <w:szCs w:val="21"/>
                <w:highlight w:val="none"/>
                <w:lang w:eastAsia="zh-CN"/>
              </w:rPr>
              <w:t>铬</w:t>
            </w:r>
            <w:r>
              <w:rPr>
                <w:color w:val="auto"/>
                <w:kern w:val="0"/>
                <w:sz w:val="21"/>
                <w:szCs w:val="21"/>
                <w:highlight w:val="none"/>
              </w:rPr>
              <w:t>、镍</w:t>
            </w:r>
            <w:r>
              <w:rPr>
                <w:rFonts w:hint="eastAsia"/>
                <w:color w:val="auto"/>
                <w:kern w:val="0"/>
                <w:sz w:val="21"/>
                <w:szCs w:val="21"/>
                <w:highlight w:val="none"/>
                <w:lang w:eastAsia="zh-CN"/>
              </w:rPr>
              <w:t>)</w:t>
            </w:r>
            <w:r>
              <w:rPr>
                <w:color w:val="auto"/>
                <w:kern w:val="0"/>
                <w:sz w:val="21"/>
                <w:szCs w:val="21"/>
                <w:highlight w:val="none"/>
              </w:rPr>
              <w:t>线1条</w:t>
            </w:r>
            <w:r>
              <w:rPr>
                <w:rFonts w:hint="eastAsia"/>
                <w:color w:val="auto"/>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58" w:hRule="atLeast"/>
          <w:jc w:val="center"/>
        </w:trPr>
        <w:tc>
          <w:tcPr>
            <w:tcW w:w="430" w:type="dxa"/>
            <w:vMerge w:val="continue"/>
            <w:vAlign w:val="center"/>
          </w:tcPr>
          <w:p>
            <w:pPr>
              <w:jc w:val="center"/>
              <w:rPr>
                <w:color w:val="auto"/>
                <w:szCs w:val="21"/>
                <w:highlight w:val="none"/>
              </w:rPr>
            </w:pPr>
          </w:p>
        </w:tc>
        <w:tc>
          <w:tcPr>
            <w:tcW w:w="1517" w:type="dxa"/>
            <w:gridSpan w:val="2"/>
            <w:vAlign w:val="center"/>
          </w:tcPr>
          <w:p>
            <w:pPr>
              <w:jc w:val="center"/>
              <w:rPr>
                <w:rFonts w:hint="default" w:ascii="Times New Roman" w:hAnsi="Times New Roman" w:cs="Times New Roman"/>
                <w:snapToGrid w:val="0"/>
                <w:color w:val="auto"/>
                <w:kern w:val="0"/>
                <w:szCs w:val="21"/>
                <w:highlight w:val="none"/>
              </w:rPr>
            </w:pPr>
            <w:r>
              <w:rPr>
                <w:rFonts w:hint="default" w:ascii="Times New Roman" w:hAnsi="Times New Roman" w:cs="Times New Roman"/>
                <w:snapToGrid w:val="0"/>
                <w:color w:val="auto"/>
                <w:kern w:val="0"/>
                <w:szCs w:val="21"/>
                <w:highlight w:val="none"/>
                <w:lang w:val="en-US" w:eastAsia="zh-CN"/>
              </w:rPr>
              <w:t>4#</w:t>
            </w:r>
            <w:r>
              <w:rPr>
                <w:rFonts w:hint="default" w:ascii="Times New Roman" w:hAnsi="Times New Roman" w:cs="Times New Roman"/>
                <w:snapToGrid w:val="0"/>
                <w:color w:val="auto"/>
                <w:kern w:val="0"/>
                <w:szCs w:val="21"/>
                <w:highlight w:val="none"/>
              </w:rPr>
              <w:t>车间</w:t>
            </w:r>
          </w:p>
        </w:tc>
        <w:tc>
          <w:tcPr>
            <w:tcW w:w="7324" w:type="dxa"/>
            <w:gridSpan w:val="3"/>
            <w:vAlign w:val="center"/>
          </w:tcPr>
          <w:p>
            <w:pPr>
              <w:jc w:val="left"/>
              <w:rPr>
                <w:rFonts w:hint="eastAsia"/>
                <w:color w:val="auto"/>
                <w:szCs w:val="21"/>
                <w:highlight w:val="none"/>
              </w:rPr>
            </w:pPr>
            <w:r>
              <w:rPr>
                <w:rFonts w:hint="eastAsia"/>
                <w:color w:val="auto"/>
                <w:szCs w:val="21"/>
                <w:highlight w:val="none"/>
                <w:lang w:val="en-US" w:eastAsia="zh-CN"/>
              </w:rPr>
              <w:t>3#</w:t>
            </w:r>
            <w:r>
              <w:rPr>
                <w:rFonts w:hint="eastAsia"/>
                <w:color w:val="auto"/>
                <w:szCs w:val="21"/>
                <w:highlight w:val="none"/>
                <w:lang w:val="en-US" w:eastAsia="zh-CN"/>
              </w:rPr>
              <w:t>楼一层</w:t>
            </w:r>
            <w:r>
              <w:rPr>
                <w:rFonts w:hint="eastAsia"/>
                <w:color w:val="auto"/>
                <w:szCs w:val="21"/>
                <w:highlight w:val="none"/>
              </w:rPr>
              <w:t>，</w:t>
            </w:r>
            <w:r>
              <w:rPr>
                <w:rFonts w:hint="eastAsia"/>
                <w:color w:val="auto"/>
                <w:szCs w:val="21"/>
                <w:highlight w:val="none"/>
                <w:lang w:eastAsia="zh-CN"/>
              </w:rPr>
              <w:t>建</w:t>
            </w:r>
            <w:r>
              <w:rPr>
                <w:rFonts w:hint="eastAsia"/>
                <w:color w:val="auto"/>
                <w:szCs w:val="21"/>
                <w:highlight w:val="none"/>
                <w:lang w:eastAsia="zh-CN"/>
              </w:rPr>
              <w:t>筑</w:t>
            </w:r>
            <w:r>
              <w:rPr>
                <w:rFonts w:hint="eastAsia"/>
                <w:color w:val="auto"/>
                <w:szCs w:val="21"/>
                <w:highlight w:val="none"/>
              </w:rPr>
              <w:t>面积：</w:t>
            </w:r>
            <w:r>
              <w:rPr>
                <w:rFonts w:hint="eastAsia"/>
                <w:color w:val="auto"/>
                <w:szCs w:val="21"/>
                <w:highlight w:val="none"/>
                <w:lang w:val="en-US" w:eastAsia="zh-CN"/>
              </w:rPr>
              <w:t>888</w:t>
            </w:r>
            <w:r>
              <w:rPr>
                <w:rFonts w:hint="eastAsia"/>
                <w:snapToGrid w:val="0"/>
                <w:color w:val="auto"/>
                <w:kern w:val="0"/>
                <w:szCs w:val="21"/>
                <w:highlight w:val="none"/>
              </w:rPr>
              <w:t>m</w:t>
            </w:r>
            <w:r>
              <w:rPr>
                <w:rFonts w:hint="eastAsia"/>
                <w:snapToGrid w:val="0"/>
                <w:color w:val="auto"/>
                <w:kern w:val="0"/>
                <w:szCs w:val="21"/>
                <w:highlight w:val="none"/>
                <w:vertAlign w:val="superscript"/>
              </w:rPr>
              <w:t>2</w:t>
            </w:r>
            <w:r>
              <w:rPr>
                <w:rFonts w:hint="eastAsia"/>
                <w:color w:val="auto"/>
                <w:szCs w:val="21"/>
                <w:highlight w:val="none"/>
              </w:rPr>
              <w:t>，</w:t>
            </w:r>
            <w:r>
              <w:rPr>
                <w:rFonts w:hint="eastAsia"/>
                <w:color w:val="auto"/>
                <w:kern w:val="0"/>
                <w:sz w:val="21"/>
                <w:szCs w:val="21"/>
                <w:highlight w:val="none"/>
                <w:lang w:eastAsia="zh-CN"/>
              </w:rPr>
              <w:t>自动</w:t>
            </w:r>
            <w:r>
              <w:rPr>
                <w:rFonts w:hint="eastAsia"/>
                <w:color w:val="auto"/>
                <w:szCs w:val="21"/>
                <w:highlight w:val="none"/>
              </w:rPr>
              <w:t>挂镀</w:t>
            </w:r>
            <w:r>
              <w:rPr>
                <w:rFonts w:hint="eastAsia"/>
                <w:color w:val="auto"/>
                <w:szCs w:val="21"/>
                <w:highlight w:val="none"/>
                <w:lang w:eastAsia="zh-CN"/>
              </w:rPr>
              <w:t>锌线</w:t>
            </w:r>
            <w:r>
              <w:rPr>
                <w:rFonts w:hint="eastAsia"/>
                <w:color w:val="auto"/>
                <w:szCs w:val="21"/>
                <w:highlight w:val="none"/>
                <w:lang w:val="en-US" w:eastAsia="zh-CN"/>
              </w:rPr>
              <w:t>1条</w:t>
            </w:r>
            <w:r>
              <w:rPr>
                <w:rFonts w:hint="eastAsia"/>
                <w:color w:val="auto"/>
                <w:kern w:val="0"/>
                <w:szCs w:val="21"/>
                <w:highlight w:val="none"/>
                <w:lang w:eastAsia="zh-CN"/>
              </w:rPr>
              <w:t>(</w:t>
            </w:r>
            <w:r>
              <w:rPr>
                <w:rFonts w:hint="eastAsia"/>
                <w:color w:val="auto"/>
                <w:kern w:val="0"/>
                <w:szCs w:val="21"/>
                <w:highlight w:val="none"/>
              </w:rPr>
              <w:t>酸锌</w:t>
            </w:r>
            <w:r>
              <w:rPr>
                <w:rFonts w:hint="eastAsia"/>
                <w:color w:val="auto"/>
                <w:kern w:val="0"/>
                <w:szCs w:val="21"/>
                <w:highlight w:val="none"/>
                <w:lang w:eastAsia="zh-CN"/>
              </w:rPr>
              <w:t>)</w:t>
            </w:r>
            <w:r>
              <w:rPr>
                <w:rFonts w:hint="eastAsia"/>
                <w:color w:val="auto"/>
                <w:szCs w:val="21"/>
                <w:highlight w:val="none"/>
                <w:lang w:val="en-US" w:eastAsia="zh-CN"/>
              </w:rPr>
              <w:t>，</w:t>
            </w:r>
            <w:r>
              <w:rPr>
                <w:color w:val="auto"/>
                <w:kern w:val="0"/>
                <w:sz w:val="21"/>
                <w:szCs w:val="21"/>
                <w:highlight w:val="none"/>
              </w:rPr>
              <w:t>自动</w:t>
            </w:r>
            <w:r>
              <w:rPr>
                <w:rFonts w:hint="eastAsia"/>
                <w:color w:val="auto"/>
                <w:szCs w:val="21"/>
                <w:highlight w:val="none"/>
                <w:lang w:eastAsia="zh-CN"/>
              </w:rPr>
              <w:t>滚</w:t>
            </w:r>
            <w:r>
              <w:rPr>
                <w:rFonts w:hint="eastAsia"/>
                <w:color w:val="auto"/>
                <w:szCs w:val="21"/>
                <w:highlight w:val="none"/>
              </w:rPr>
              <w:t>镀</w:t>
            </w:r>
            <w:r>
              <w:rPr>
                <w:rFonts w:hint="eastAsia"/>
                <w:color w:val="auto"/>
                <w:szCs w:val="21"/>
                <w:highlight w:val="none"/>
                <w:lang w:eastAsia="zh-CN"/>
              </w:rPr>
              <w:t>锌线</w:t>
            </w:r>
            <w:r>
              <w:rPr>
                <w:rFonts w:hint="eastAsia"/>
                <w:color w:val="auto"/>
                <w:szCs w:val="21"/>
                <w:highlight w:val="none"/>
                <w:lang w:val="en-US" w:eastAsia="zh-CN"/>
              </w:rPr>
              <w:t>1条</w:t>
            </w:r>
            <w:r>
              <w:rPr>
                <w:rFonts w:hint="eastAsia"/>
                <w:color w:val="auto"/>
                <w:kern w:val="0"/>
                <w:szCs w:val="21"/>
                <w:highlight w:val="none"/>
                <w:lang w:eastAsia="zh-CN"/>
              </w:rPr>
              <w:t>(碱</w:t>
            </w:r>
            <w:r>
              <w:rPr>
                <w:rFonts w:hint="eastAsia"/>
                <w:color w:val="auto"/>
                <w:kern w:val="0"/>
                <w:szCs w:val="21"/>
                <w:highlight w:val="none"/>
              </w:rPr>
              <w:t>锌</w:t>
            </w:r>
            <w:r>
              <w:rPr>
                <w:rFonts w:hint="eastAsia"/>
                <w:color w:val="auto"/>
                <w:kern w:val="0"/>
                <w:szCs w:val="21"/>
                <w:highlight w:val="none"/>
                <w:lang w:eastAsia="zh-CN"/>
              </w:rPr>
              <w:t>)</w:t>
            </w:r>
            <w:r>
              <w:rPr>
                <w:rFonts w:hint="eastAsia"/>
                <w:color w:val="auto"/>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58" w:hRule="atLeast"/>
          <w:jc w:val="center"/>
        </w:trPr>
        <w:tc>
          <w:tcPr>
            <w:tcW w:w="430" w:type="dxa"/>
            <w:vMerge w:val="continue"/>
            <w:vAlign w:val="center"/>
          </w:tcPr>
          <w:p>
            <w:pPr>
              <w:jc w:val="center"/>
              <w:rPr>
                <w:color w:val="auto"/>
                <w:szCs w:val="21"/>
                <w:highlight w:val="none"/>
              </w:rPr>
            </w:pPr>
          </w:p>
        </w:tc>
        <w:tc>
          <w:tcPr>
            <w:tcW w:w="1517" w:type="dxa"/>
            <w:gridSpan w:val="2"/>
            <w:vAlign w:val="center"/>
          </w:tcPr>
          <w:p>
            <w:pPr>
              <w:jc w:val="center"/>
              <w:rPr>
                <w:rFonts w:hint="default" w:ascii="Times New Roman" w:hAnsi="Times New Roman" w:cs="Times New Roman"/>
                <w:snapToGrid w:val="0"/>
                <w:color w:val="auto"/>
                <w:kern w:val="0"/>
                <w:szCs w:val="21"/>
                <w:highlight w:val="none"/>
              </w:rPr>
            </w:pPr>
            <w:r>
              <w:rPr>
                <w:rFonts w:hint="default" w:ascii="Times New Roman" w:hAnsi="Times New Roman" w:cs="Times New Roman"/>
                <w:snapToGrid w:val="0"/>
                <w:color w:val="auto"/>
                <w:kern w:val="0"/>
                <w:szCs w:val="21"/>
                <w:highlight w:val="none"/>
                <w:lang w:val="en-US" w:eastAsia="zh-CN"/>
              </w:rPr>
              <w:t>5#</w:t>
            </w:r>
            <w:r>
              <w:rPr>
                <w:rFonts w:hint="default" w:ascii="Times New Roman" w:hAnsi="Times New Roman" w:cs="Times New Roman"/>
                <w:snapToGrid w:val="0"/>
                <w:color w:val="auto"/>
                <w:kern w:val="0"/>
                <w:szCs w:val="21"/>
                <w:highlight w:val="none"/>
              </w:rPr>
              <w:t>车间</w:t>
            </w:r>
          </w:p>
        </w:tc>
        <w:tc>
          <w:tcPr>
            <w:tcW w:w="7324" w:type="dxa"/>
            <w:gridSpan w:val="3"/>
            <w:vAlign w:val="center"/>
          </w:tcPr>
          <w:p>
            <w:pPr>
              <w:jc w:val="left"/>
              <w:rPr>
                <w:rFonts w:hint="eastAsia"/>
                <w:color w:val="auto"/>
                <w:szCs w:val="21"/>
                <w:highlight w:val="none"/>
              </w:rPr>
            </w:pPr>
            <w:r>
              <w:rPr>
                <w:rFonts w:hint="eastAsia"/>
                <w:color w:val="auto"/>
                <w:szCs w:val="21"/>
                <w:highlight w:val="none"/>
                <w:lang w:val="en-US" w:eastAsia="zh-CN"/>
              </w:rPr>
              <w:t>3#</w:t>
            </w:r>
            <w:r>
              <w:rPr>
                <w:rFonts w:hint="eastAsia"/>
                <w:color w:val="auto"/>
                <w:szCs w:val="21"/>
                <w:highlight w:val="none"/>
                <w:lang w:val="en-US" w:eastAsia="zh-CN"/>
              </w:rPr>
              <w:t>楼三层</w:t>
            </w:r>
            <w:r>
              <w:rPr>
                <w:rFonts w:hint="eastAsia"/>
                <w:color w:val="auto"/>
                <w:szCs w:val="21"/>
                <w:highlight w:val="none"/>
              </w:rPr>
              <w:t>，</w:t>
            </w:r>
            <w:r>
              <w:rPr>
                <w:rFonts w:hint="eastAsia"/>
                <w:color w:val="auto"/>
                <w:szCs w:val="21"/>
                <w:highlight w:val="none"/>
                <w:lang w:eastAsia="zh-CN"/>
              </w:rPr>
              <w:t>建筑</w:t>
            </w:r>
            <w:r>
              <w:rPr>
                <w:rFonts w:hint="eastAsia"/>
                <w:color w:val="auto"/>
                <w:szCs w:val="21"/>
                <w:highlight w:val="none"/>
              </w:rPr>
              <w:t>面积：</w:t>
            </w:r>
            <w:r>
              <w:rPr>
                <w:rFonts w:hint="eastAsia"/>
                <w:color w:val="auto"/>
                <w:szCs w:val="21"/>
                <w:highlight w:val="none"/>
                <w:lang w:val="en-US" w:eastAsia="zh-CN"/>
              </w:rPr>
              <w:t>124</w:t>
            </w:r>
            <w:r>
              <w:rPr>
                <w:rFonts w:hint="eastAsia"/>
                <w:snapToGrid w:val="0"/>
                <w:color w:val="auto"/>
                <w:kern w:val="0"/>
                <w:szCs w:val="21"/>
                <w:highlight w:val="none"/>
              </w:rPr>
              <w:t>m</w:t>
            </w:r>
            <w:r>
              <w:rPr>
                <w:rFonts w:hint="eastAsia"/>
                <w:snapToGrid w:val="0"/>
                <w:color w:val="auto"/>
                <w:kern w:val="0"/>
                <w:szCs w:val="21"/>
                <w:highlight w:val="none"/>
                <w:vertAlign w:val="superscript"/>
              </w:rPr>
              <w:t>2</w:t>
            </w:r>
            <w:r>
              <w:rPr>
                <w:rFonts w:hint="eastAsia"/>
                <w:color w:val="auto"/>
                <w:szCs w:val="21"/>
                <w:highlight w:val="none"/>
              </w:rPr>
              <w:t>，</w:t>
            </w:r>
            <w:r>
              <w:rPr>
                <w:rFonts w:hint="eastAsia"/>
                <w:color w:val="auto"/>
                <w:kern w:val="0"/>
                <w:sz w:val="21"/>
                <w:szCs w:val="21"/>
                <w:highlight w:val="none"/>
                <w:lang w:eastAsia="zh-CN"/>
              </w:rPr>
              <w:t>自动</w:t>
            </w:r>
            <w:r>
              <w:rPr>
                <w:color w:val="auto"/>
                <w:kern w:val="0"/>
                <w:sz w:val="21"/>
                <w:szCs w:val="21"/>
                <w:highlight w:val="none"/>
              </w:rPr>
              <w:t>镀电镀</w:t>
            </w:r>
            <w:r>
              <w:rPr>
                <w:rFonts w:hint="eastAsia"/>
                <w:color w:val="auto"/>
                <w:kern w:val="0"/>
                <w:sz w:val="21"/>
                <w:szCs w:val="21"/>
                <w:highlight w:val="none"/>
                <w:lang w:eastAsia="zh-CN"/>
              </w:rPr>
              <w:t>银</w:t>
            </w:r>
            <w:r>
              <w:rPr>
                <w:color w:val="auto"/>
                <w:kern w:val="0"/>
                <w:sz w:val="21"/>
                <w:szCs w:val="21"/>
                <w:highlight w:val="none"/>
              </w:rPr>
              <w:t>线1条</w:t>
            </w:r>
            <w:r>
              <w:rPr>
                <w:rFonts w:hint="eastAsia"/>
                <w:color w:val="auto"/>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58" w:hRule="atLeast"/>
          <w:jc w:val="center"/>
        </w:trPr>
        <w:tc>
          <w:tcPr>
            <w:tcW w:w="430" w:type="dxa"/>
            <w:vMerge w:val="continue"/>
            <w:vAlign w:val="center"/>
          </w:tcPr>
          <w:p>
            <w:pPr>
              <w:jc w:val="center"/>
              <w:rPr>
                <w:color w:val="auto"/>
                <w:szCs w:val="21"/>
                <w:highlight w:val="none"/>
              </w:rPr>
            </w:pPr>
          </w:p>
        </w:tc>
        <w:tc>
          <w:tcPr>
            <w:tcW w:w="1517" w:type="dxa"/>
            <w:gridSpan w:val="2"/>
            <w:vAlign w:val="center"/>
          </w:tcPr>
          <w:p>
            <w:pPr>
              <w:jc w:val="center"/>
              <w:rPr>
                <w:rFonts w:hint="default" w:ascii="Times New Roman" w:hAnsi="Times New Roman" w:cs="Times New Roman"/>
                <w:snapToGrid w:val="0"/>
                <w:color w:val="auto"/>
                <w:kern w:val="0"/>
                <w:szCs w:val="21"/>
                <w:highlight w:val="none"/>
              </w:rPr>
            </w:pPr>
            <w:r>
              <w:rPr>
                <w:rFonts w:hint="default" w:ascii="Times New Roman" w:hAnsi="Times New Roman" w:cs="Times New Roman"/>
                <w:snapToGrid w:val="0"/>
                <w:color w:val="auto"/>
                <w:kern w:val="0"/>
                <w:szCs w:val="21"/>
                <w:highlight w:val="none"/>
                <w:lang w:val="en-US" w:eastAsia="zh-CN"/>
              </w:rPr>
              <w:t>6#</w:t>
            </w:r>
            <w:r>
              <w:rPr>
                <w:rFonts w:hint="default" w:ascii="Times New Roman" w:hAnsi="Times New Roman" w:cs="Times New Roman"/>
                <w:snapToGrid w:val="0"/>
                <w:color w:val="auto"/>
                <w:kern w:val="0"/>
                <w:szCs w:val="21"/>
                <w:highlight w:val="none"/>
              </w:rPr>
              <w:t>车间</w:t>
            </w:r>
          </w:p>
        </w:tc>
        <w:tc>
          <w:tcPr>
            <w:tcW w:w="7324" w:type="dxa"/>
            <w:gridSpan w:val="3"/>
            <w:vAlign w:val="center"/>
          </w:tcPr>
          <w:p>
            <w:pPr>
              <w:jc w:val="left"/>
              <w:rPr>
                <w:rFonts w:hint="eastAsia"/>
                <w:color w:val="auto"/>
                <w:szCs w:val="21"/>
                <w:highlight w:val="none"/>
              </w:rPr>
            </w:pPr>
            <w:r>
              <w:rPr>
                <w:rFonts w:hint="eastAsia"/>
                <w:color w:val="auto"/>
                <w:szCs w:val="21"/>
                <w:highlight w:val="none"/>
                <w:lang w:val="en-US" w:eastAsia="zh-CN"/>
              </w:rPr>
              <w:t>4#楼</w:t>
            </w:r>
            <w:r>
              <w:rPr>
                <w:rFonts w:hint="eastAsia"/>
                <w:color w:val="auto"/>
                <w:szCs w:val="21"/>
                <w:highlight w:val="none"/>
                <w:lang w:val="en-US" w:eastAsia="zh-CN"/>
              </w:rPr>
              <w:t>三层</w:t>
            </w:r>
            <w:r>
              <w:rPr>
                <w:rFonts w:hint="eastAsia"/>
                <w:color w:val="auto"/>
                <w:szCs w:val="21"/>
                <w:highlight w:val="none"/>
              </w:rPr>
              <w:t>，</w:t>
            </w:r>
            <w:r>
              <w:rPr>
                <w:rFonts w:hint="eastAsia"/>
                <w:color w:val="auto"/>
                <w:szCs w:val="21"/>
                <w:highlight w:val="none"/>
                <w:lang w:eastAsia="zh-CN"/>
              </w:rPr>
              <w:t>建筑</w:t>
            </w:r>
            <w:r>
              <w:rPr>
                <w:rFonts w:hint="eastAsia"/>
                <w:color w:val="auto"/>
                <w:szCs w:val="21"/>
                <w:highlight w:val="none"/>
              </w:rPr>
              <w:t>面</w:t>
            </w:r>
            <w:r>
              <w:rPr>
                <w:rFonts w:hint="eastAsia"/>
                <w:color w:val="auto"/>
                <w:szCs w:val="21"/>
                <w:highlight w:val="none"/>
              </w:rPr>
              <w:t>积：</w:t>
            </w:r>
            <w:r>
              <w:rPr>
                <w:rFonts w:hint="eastAsia"/>
                <w:color w:val="auto"/>
                <w:szCs w:val="21"/>
                <w:highlight w:val="none"/>
                <w:lang w:val="en-US" w:eastAsia="zh-CN"/>
              </w:rPr>
              <w:t>800</w:t>
            </w:r>
            <w:r>
              <w:rPr>
                <w:rFonts w:hint="eastAsia"/>
                <w:snapToGrid w:val="0"/>
                <w:color w:val="auto"/>
                <w:kern w:val="0"/>
                <w:szCs w:val="21"/>
                <w:highlight w:val="none"/>
              </w:rPr>
              <w:t>m</w:t>
            </w:r>
            <w:r>
              <w:rPr>
                <w:rFonts w:hint="eastAsia"/>
                <w:snapToGrid w:val="0"/>
                <w:color w:val="auto"/>
                <w:kern w:val="0"/>
                <w:szCs w:val="21"/>
                <w:highlight w:val="none"/>
                <w:vertAlign w:val="superscript"/>
              </w:rPr>
              <w:t>2</w:t>
            </w:r>
            <w:r>
              <w:rPr>
                <w:rFonts w:hint="eastAsia"/>
                <w:color w:val="auto"/>
                <w:szCs w:val="21"/>
                <w:highlight w:val="none"/>
              </w:rPr>
              <w:t>，</w:t>
            </w:r>
            <w:r>
              <w:rPr>
                <w:color w:val="auto"/>
                <w:kern w:val="0"/>
                <w:sz w:val="21"/>
                <w:szCs w:val="21"/>
                <w:highlight w:val="none"/>
              </w:rPr>
              <w:t>自动</w:t>
            </w:r>
            <w:r>
              <w:rPr>
                <w:rFonts w:hint="eastAsia"/>
                <w:color w:val="auto"/>
                <w:szCs w:val="21"/>
                <w:highlight w:val="none"/>
                <w:lang w:eastAsia="zh-CN"/>
              </w:rPr>
              <w:t>滚</w:t>
            </w:r>
            <w:r>
              <w:rPr>
                <w:rFonts w:hint="eastAsia"/>
                <w:color w:val="auto"/>
                <w:szCs w:val="21"/>
                <w:highlight w:val="none"/>
              </w:rPr>
              <w:t>镀</w:t>
            </w:r>
            <w:r>
              <w:rPr>
                <w:rFonts w:hint="eastAsia"/>
                <w:color w:val="auto"/>
                <w:szCs w:val="21"/>
                <w:highlight w:val="none"/>
                <w:lang w:eastAsia="zh-CN"/>
              </w:rPr>
              <w:t>锌线</w:t>
            </w:r>
            <w:r>
              <w:rPr>
                <w:rFonts w:hint="eastAsia"/>
                <w:color w:val="auto"/>
                <w:szCs w:val="21"/>
                <w:highlight w:val="none"/>
                <w:lang w:val="en-US" w:eastAsia="zh-CN"/>
              </w:rPr>
              <w:t>1条</w:t>
            </w:r>
            <w:r>
              <w:rPr>
                <w:rFonts w:hint="eastAsia"/>
                <w:color w:val="auto"/>
                <w:kern w:val="0"/>
                <w:szCs w:val="21"/>
                <w:highlight w:val="none"/>
                <w:lang w:eastAsia="zh-CN"/>
              </w:rPr>
              <w:t>(碱</w:t>
            </w:r>
            <w:r>
              <w:rPr>
                <w:rFonts w:hint="eastAsia"/>
                <w:color w:val="auto"/>
                <w:kern w:val="0"/>
                <w:szCs w:val="21"/>
                <w:highlight w:val="none"/>
              </w:rPr>
              <w:t>锌</w:t>
            </w:r>
            <w:r>
              <w:rPr>
                <w:rFonts w:hint="eastAsia"/>
                <w:color w:val="auto"/>
                <w:kern w:val="0"/>
                <w:szCs w:val="21"/>
                <w:highlight w:val="none"/>
                <w:lang w:eastAsia="zh-CN"/>
              </w:rPr>
              <w:t>)</w:t>
            </w:r>
            <w:r>
              <w:rPr>
                <w:rFonts w:hint="eastAsia"/>
                <w:color w:val="auto"/>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430" w:type="dxa"/>
            <w:vMerge w:val="restart"/>
            <w:vAlign w:val="center"/>
          </w:tcPr>
          <w:p>
            <w:pPr>
              <w:jc w:val="center"/>
              <w:rPr>
                <w:color w:val="auto"/>
                <w:szCs w:val="21"/>
                <w:highlight w:val="none"/>
              </w:rPr>
            </w:pPr>
            <w:r>
              <w:rPr>
                <w:color w:val="auto"/>
                <w:szCs w:val="21"/>
                <w:highlight w:val="none"/>
              </w:rPr>
              <w:t>公用工程</w:t>
            </w:r>
          </w:p>
        </w:tc>
        <w:tc>
          <w:tcPr>
            <w:tcW w:w="1517" w:type="dxa"/>
            <w:gridSpan w:val="2"/>
            <w:vAlign w:val="center"/>
          </w:tcPr>
          <w:p>
            <w:pPr>
              <w:jc w:val="center"/>
              <w:rPr>
                <w:color w:val="auto"/>
                <w:szCs w:val="21"/>
                <w:highlight w:val="none"/>
              </w:rPr>
            </w:pPr>
            <w:r>
              <w:rPr>
                <w:rFonts w:hint="eastAsia"/>
                <w:color w:val="auto"/>
                <w:szCs w:val="21"/>
                <w:highlight w:val="none"/>
              </w:rPr>
              <w:t>给水</w:t>
            </w:r>
          </w:p>
        </w:tc>
        <w:tc>
          <w:tcPr>
            <w:tcW w:w="7324" w:type="dxa"/>
            <w:gridSpan w:val="3"/>
            <w:vAlign w:val="center"/>
          </w:tcPr>
          <w:p>
            <w:pPr>
              <w:spacing w:line="300" w:lineRule="exact"/>
              <w:ind w:firstLine="0" w:firstLineChars="0"/>
              <w:jc w:val="left"/>
              <w:rPr>
                <w:rFonts w:hint="eastAsia" w:eastAsia="宋体"/>
                <w:color w:val="auto"/>
                <w:kern w:val="0"/>
                <w:sz w:val="21"/>
                <w:szCs w:val="21"/>
                <w:highlight w:val="none"/>
                <w:lang w:eastAsia="zh-CN"/>
              </w:rPr>
            </w:pPr>
            <w:r>
              <w:rPr>
                <w:rFonts w:hint="eastAsia" w:ascii="宋体" w:hAnsi="宋体" w:cs="宋体"/>
                <w:color w:val="auto"/>
                <w:kern w:val="0"/>
                <w:sz w:val="21"/>
                <w:szCs w:val="21"/>
                <w:highlight w:val="none"/>
              </w:rPr>
              <w:t>①</w:t>
            </w:r>
            <w:r>
              <w:rPr>
                <w:color w:val="auto"/>
                <w:kern w:val="0"/>
                <w:sz w:val="21"/>
                <w:szCs w:val="21"/>
                <w:highlight w:val="none"/>
              </w:rPr>
              <w:t>自来水：依托电镀工业园自来水管网</w:t>
            </w:r>
            <w:r>
              <w:rPr>
                <w:rFonts w:hint="eastAsia"/>
                <w:color w:val="auto"/>
                <w:kern w:val="0"/>
                <w:sz w:val="21"/>
                <w:szCs w:val="21"/>
                <w:highlight w:val="none"/>
                <w:lang w:eastAsia="zh-CN"/>
              </w:rPr>
              <w:t>。</w:t>
            </w:r>
          </w:p>
          <w:p>
            <w:pPr>
              <w:spacing w:line="300" w:lineRule="exact"/>
              <w:ind w:firstLine="0" w:firstLineChars="0"/>
              <w:rPr>
                <w:color w:val="auto"/>
                <w:szCs w:val="21"/>
                <w:highlight w:val="none"/>
              </w:rPr>
            </w:pPr>
            <w:r>
              <w:rPr>
                <w:rFonts w:hint="eastAsia" w:ascii="宋体" w:hAnsi="宋体" w:cs="宋体"/>
                <w:color w:val="auto"/>
                <w:kern w:val="0"/>
                <w:sz w:val="21"/>
                <w:szCs w:val="21"/>
                <w:highlight w:val="none"/>
                <w:lang w:eastAsia="ja-JP"/>
              </w:rPr>
              <w:t>②</w:t>
            </w:r>
            <w:r>
              <w:rPr>
                <w:color w:val="auto"/>
                <w:kern w:val="0"/>
                <w:sz w:val="21"/>
                <w:szCs w:val="21"/>
                <w:highlight w:val="none"/>
              </w:rPr>
              <w:t>纯水：依托电镀工业园</w:t>
            </w:r>
            <w:r>
              <w:rPr>
                <w:rFonts w:hint="eastAsia"/>
                <w:color w:val="auto"/>
                <w:kern w:val="0"/>
                <w:sz w:val="21"/>
                <w:szCs w:val="21"/>
                <w:highlight w:val="none"/>
                <w:lang w:eastAsia="zh-CN"/>
              </w:rPr>
              <w:t>纯</w:t>
            </w:r>
            <w:r>
              <w:rPr>
                <w:color w:val="auto"/>
                <w:kern w:val="0"/>
                <w:sz w:val="21"/>
                <w:szCs w:val="21"/>
                <w:highlight w:val="none"/>
              </w:rPr>
              <w:t>水管网。</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430" w:type="dxa"/>
            <w:vMerge w:val="continue"/>
            <w:vAlign w:val="center"/>
          </w:tcPr>
          <w:p>
            <w:pPr>
              <w:jc w:val="center"/>
              <w:rPr>
                <w:color w:val="auto"/>
                <w:szCs w:val="21"/>
                <w:highlight w:val="none"/>
              </w:rPr>
            </w:pPr>
          </w:p>
        </w:tc>
        <w:tc>
          <w:tcPr>
            <w:tcW w:w="1517" w:type="dxa"/>
            <w:gridSpan w:val="2"/>
            <w:vAlign w:val="center"/>
          </w:tcPr>
          <w:p>
            <w:pPr>
              <w:jc w:val="center"/>
              <w:rPr>
                <w:color w:val="auto"/>
                <w:szCs w:val="21"/>
                <w:highlight w:val="none"/>
              </w:rPr>
            </w:pPr>
            <w:r>
              <w:rPr>
                <w:rFonts w:hint="eastAsia"/>
                <w:color w:val="auto"/>
                <w:szCs w:val="21"/>
                <w:highlight w:val="none"/>
              </w:rPr>
              <w:t>排水</w:t>
            </w:r>
          </w:p>
        </w:tc>
        <w:tc>
          <w:tcPr>
            <w:tcW w:w="7324" w:type="dxa"/>
            <w:gridSpan w:val="3"/>
            <w:vAlign w:val="center"/>
          </w:tcPr>
          <w:p>
            <w:pPr>
              <w:jc w:val="both"/>
              <w:rPr>
                <w:color w:val="auto"/>
                <w:szCs w:val="21"/>
                <w:highlight w:val="none"/>
              </w:rPr>
            </w:pPr>
            <w:r>
              <w:rPr>
                <w:rFonts w:hint="eastAsia"/>
                <w:color w:val="auto"/>
                <w:szCs w:val="21"/>
                <w:highlight w:val="none"/>
              </w:rPr>
              <w:t>项目生产废水(含镍废水、含铬废水、综合废水)</w:t>
            </w:r>
            <w:r>
              <w:rPr>
                <w:color w:val="auto"/>
                <w:kern w:val="0"/>
                <w:sz w:val="21"/>
                <w:szCs w:val="21"/>
                <w:highlight w:val="none"/>
              </w:rPr>
              <w:t>先排入车间相应废水池，再经各自专用管道分别进入</w:t>
            </w:r>
            <w:r>
              <w:rPr>
                <w:rFonts w:hint="eastAsia"/>
                <w:color w:val="auto"/>
                <w:szCs w:val="21"/>
                <w:highlight w:val="none"/>
                <w:lang w:eastAsia="zh-CN"/>
              </w:rPr>
              <w:t>园区</w:t>
            </w:r>
            <w:r>
              <w:rPr>
                <w:rFonts w:hint="eastAsia"/>
                <w:color w:val="auto"/>
                <w:szCs w:val="21"/>
                <w:highlight w:val="none"/>
              </w:rPr>
              <w:t>污水站相应处理系统处理达标后，与生活废水一起排入市政污水管网汇入镰湾河水质净化厂。</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430" w:type="dxa"/>
            <w:vMerge w:val="continue"/>
            <w:vAlign w:val="center"/>
          </w:tcPr>
          <w:p>
            <w:pPr>
              <w:jc w:val="center"/>
              <w:rPr>
                <w:color w:val="auto"/>
                <w:szCs w:val="21"/>
                <w:highlight w:val="none"/>
              </w:rPr>
            </w:pPr>
          </w:p>
        </w:tc>
        <w:tc>
          <w:tcPr>
            <w:tcW w:w="1517" w:type="dxa"/>
            <w:gridSpan w:val="2"/>
            <w:vAlign w:val="center"/>
          </w:tcPr>
          <w:p>
            <w:pPr>
              <w:jc w:val="center"/>
              <w:rPr>
                <w:color w:val="auto"/>
                <w:szCs w:val="21"/>
                <w:highlight w:val="none"/>
              </w:rPr>
            </w:pPr>
            <w:r>
              <w:rPr>
                <w:rFonts w:hint="eastAsia"/>
                <w:color w:val="auto"/>
                <w:szCs w:val="21"/>
                <w:highlight w:val="none"/>
              </w:rPr>
              <w:t>供电</w:t>
            </w:r>
          </w:p>
        </w:tc>
        <w:tc>
          <w:tcPr>
            <w:tcW w:w="7324" w:type="dxa"/>
            <w:gridSpan w:val="3"/>
            <w:vAlign w:val="center"/>
          </w:tcPr>
          <w:p>
            <w:pPr>
              <w:jc w:val="left"/>
              <w:rPr>
                <w:color w:val="auto"/>
                <w:szCs w:val="21"/>
                <w:highlight w:val="none"/>
              </w:rPr>
            </w:pPr>
            <w:r>
              <w:rPr>
                <w:rFonts w:hint="eastAsia"/>
                <w:color w:val="auto"/>
                <w:szCs w:val="21"/>
                <w:highlight w:val="none"/>
              </w:rPr>
              <w:t>年耗电量约为</w:t>
            </w:r>
            <w:r>
              <w:rPr>
                <w:rFonts w:hint="eastAsia"/>
                <w:color w:val="auto"/>
                <w:szCs w:val="21"/>
                <w:highlight w:val="none"/>
                <w:lang w:val="en-US" w:eastAsia="zh-CN"/>
              </w:rPr>
              <w:t>120</w:t>
            </w:r>
            <w:r>
              <w:rPr>
                <w:rFonts w:hint="eastAsia"/>
                <w:color w:val="auto"/>
                <w:szCs w:val="21"/>
                <w:highlight w:val="none"/>
              </w:rPr>
              <w:t>万kWh，依托厂区现有的变配电室供电。</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430" w:type="dxa"/>
            <w:vMerge w:val="continue"/>
            <w:vAlign w:val="center"/>
          </w:tcPr>
          <w:p>
            <w:pPr>
              <w:jc w:val="center"/>
              <w:rPr>
                <w:color w:val="auto"/>
                <w:szCs w:val="21"/>
                <w:highlight w:val="none"/>
              </w:rPr>
            </w:pPr>
          </w:p>
        </w:tc>
        <w:tc>
          <w:tcPr>
            <w:tcW w:w="1517" w:type="dxa"/>
            <w:gridSpan w:val="2"/>
            <w:vAlign w:val="center"/>
          </w:tcPr>
          <w:p>
            <w:pPr>
              <w:jc w:val="center"/>
              <w:rPr>
                <w:rFonts w:hint="eastAsia" w:eastAsia="宋体"/>
                <w:color w:val="auto"/>
                <w:szCs w:val="21"/>
                <w:highlight w:val="none"/>
                <w:lang w:eastAsia="zh-CN"/>
              </w:rPr>
            </w:pPr>
            <w:r>
              <w:rPr>
                <w:rFonts w:hint="eastAsia"/>
                <w:color w:val="auto"/>
                <w:szCs w:val="21"/>
                <w:highlight w:val="none"/>
                <w:lang w:eastAsia="zh-CN"/>
              </w:rPr>
              <w:t>供热</w:t>
            </w:r>
          </w:p>
        </w:tc>
        <w:tc>
          <w:tcPr>
            <w:tcW w:w="7324" w:type="dxa"/>
            <w:gridSpan w:val="3"/>
            <w:vAlign w:val="center"/>
          </w:tcPr>
          <w:p>
            <w:pPr>
              <w:jc w:val="left"/>
              <w:rPr>
                <w:rFonts w:hint="eastAsia"/>
                <w:color w:val="auto"/>
                <w:szCs w:val="21"/>
                <w:highlight w:val="none"/>
              </w:rPr>
            </w:pPr>
            <w:r>
              <w:rPr>
                <w:rFonts w:hint="eastAsia"/>
                <w:color w:val="auto"/>
                <w:szCs w:val="21"/>
                <w:highlight w:val="none"/>
              </w:rPr>
              <w:t>项目4#</w:t>
            </w:r>
            <w:r>
              <w:rPr>
                <w:rFonts w:hint="eastAsia"/>
                <w:color w:val="auto"/>
                <w:szCs w:val="21"/>
                <w:highlight w:val="none"/>
                <w:lang w:eastAsia="zh-CN"/>
              </w:rPr>
              <w:t>车间采用天然气加热，其余车间采用电加热。</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430" w:type="dxa"/>
            <w:vMerge w:val="continue"/>
            <w:vAlign w:val="center"/>
          </w:tcPr>
          <w:p>
            <w:pPr>
              <w:jc w:val="center"/>
              <w:rPr>
                <w:color w:val="auto"/>
                <w:szCs w:val="21"/>
                <w:highlight w:val="none"/>
              </w:rPr>
            </w:pPr>
          </w:p>
        </w:tc>
        <w:tc>
          <w:tcPr>
            <w:tcW w:w="1517" w:type="dxa"/>
            <w:gridSpan w:val="2"/>
            <w:vAlign w:val="center"/>
          </w:tcPr>
          <w:p>
            <w:pPr>
              <w:jc w:val="center"/>
              <w:rPr>
                <w:rFonts w:hint="eastAsia" w:eastAsia="宋体"/>
                <w:color w:val="auto"/>
                <w:szCs w:val="21"/>
                <w:highlight w:val="none"/>
                <w:lang w:eastAsia="zh-CN"/>
              </w:rPr>
            </w:pPr>
            <w:r>
              <w:rPr>
                <w:rFonts w:hint="eastAsia"/>
                <w:color w:val="auto"/>
                <w:szCs w:val="21"/>
                <w:highlight w:val="none"/>
                <w:lang w:eastAsia="zh-CN"/>
              </w:rPr>
              <w:t>供气</w:t>
            </w:r>
          </w:p>
        </w:tc>
        <w:tc>
          <w:tcPr>
            <w:tcW w:w="7324" w:type="dxa"/>
            <w:gridSpan w:val="3"/>
            <w:vAlign w:val="center"/>
          </w:tcPr>
          <w:p>
            <w:pPr>
              <w:jc w:val="left"/>
              <w:rPr>
                <w:rFonts w:hint="eastAsia" w:eastAsia="宋体"/>
                <w:color w:val="auto"/>
                <w:szCs w:val="21"/>
                <w:highlight w:val="none"/>
                <w:lang w:eastAsia="zh-CN"/>
              </w:rPr>
            </w:pPr>
            <w:r>
              <w:rPr>
                <w:rFonts w:hint="eastAsia"/>
                <w:color w:val="auto"/>
                <w:szCs w:val="21"/>
                <w:highlight w:val="none"/>
              </w:rPr>
              <w:t>项目4#</w:t>
            </w:r>
            <w:r>
              <w:rPr>
                <w:rFonts w:hint="eastAsia"/>
                <w:color w:val="auto"/>
                <w:szCs w:val="21"/>
                <w:highlight w:val="none"/>
                <w:lang w:eastAsia="zh-CN"/>
              </w:rPr>
              <w:t>车间设天然气锅炉，年用气量</w:t>
            </w:r>
            <w:r>
              <w:rPr>
                <w:rFonts w:hint="eastAsia"/>
                <w:color w:val="auto"/>
                <w:szCs w:val="21"/>
                <w:highlight w:val="none"/>
                <w:lang w:val="en-US" w:eastAsia="zh-CN"/>
              </w:rPr>
              <w:t>3万m</w:t>
            </w:r>
            <w:r>
              <w:rPr>
                <w:rFonts w:hint="eastAsia"/>
                <w:color w:val="auto"/>
                <w:szCs w:val="21"/>
                <w:highlight w:val="none"/>
                <w:vertAlign w:val="superscript"/>
                <w:lang w:val="en-US" w:eastAsia="zh-CN"/>
              </w:rPr>
              <w:t>3</w:t>
            </w:r>
            <w:r>
              <w:rPr>
                <w:rFonts w:hint="eastAsia"/>
                <w:color w:val="auto"/>
                <w:szCs w:val="21"/>
                <w:highlight w:val="none"/>
                <w:lang w:val="en-US" w:eastAsia="zh-CN"/>
              </w:rPr>
              <w:t>，</w:t>
            </w:r>
            <w:r>
              <w:rPr>
                <w:rFonts w:hint="eastAsia"/>
                <w:color w:val="auto"/>
                <w:szCs w:val="21"/>
                <w:highlight w:val="none"/>
              </w:rPr>
              <w:t>由青岛新奥燃气有限公司供气管网提供</w:t>
            </w:r>
            <w:r>
              <w:rPr>
                <w:rFonts w:hint="eastAsia"/>
                <w:color w:val="auto"/>
                <w:szCs w:val="21"/>
                <w:highlight w:val="none"/>
                <w:lang w:eastAsia="zh-CN"/>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548" w:hRule="atLeast"/>
          <w:jc w:val="center"/>
        </w:trPr>
        <w:tc>
          <w:tcPr>
            <w:tcW w:w="430" w:type="dxa"/>
            <w:vMerge w:val="restart"/>
            <w:vAlign w:val="center"/>
          </w:tcPr>
          <w:p>
            <w:pPr>
              <w:jc w:val="center"/>
              <w:rPr>
                <w:color w:val="auto"/>
                <w:szCs w:val="21"/>
                <w:highlight w:val="none"/>
              </w:rPr>
            </w:pPr>
            <w:r>
              <w:rPr>
                <w:rFonts w:hint="eastAsia"/>
                <w:color w:val="auto"/>
                <w:szCs w:val="21"/>
                <w:highlight w:val="none"/>
              </w:rPr>
              <w:t>环保工程</w:t>
            </w:r>
          </w:p>
        </w:tc>
        <w:tc>
          <w:tcPr>
            <w:tcW w:w="517" w:type="dxa"/>
            <w:vMerge w:val="restart"/>
            <w:tcBorders>
              <w:top w:val="dotted" w:color="auto" w:sz="4" w:space="0"/>
            </w:tcBorders>
            <w:vAlign w:val="center"/>
          </w:tcPr>
          <w:p>
            <w:pPr>
              <w:jc w:val="center"/>
              <w:rPr>
                <w:color w:val="auto"/>
                <w:szCs w:val="21"/>
                <w:highlight w:val="none"/>
              </w:rPr>
            </w:pPr>
            <w:r>
              <w:rPr>
                <w:rFonts w:hint="eastAsia"/>
                <w:color w:val="auto"/>
                <w:szCs w:val="21"/>
                <w:highlight w:val="none"/>
              </w:rPr>
              <w:t>废气</w:t>
            </w:r>
          </w:p>
        </w:tc>
        <w:tc>
          <w:tcPr>
            <w:tcW w:w="1000" w:type="dxa"/>
            <w:vAlign w:val="center"/>
          </w:tcPr>
          <w:p>
            <w:pPr>
              <w:jc w:val="center"/>
              <w:rPr>
                <w:color w:val="auto"/>
                <w:szCs w:val="21"/>
                <w:highlight w:val="none"/>
              </w:rPr>
            </w:pPr>
            <w:r>
              <w:rPr>
                <w:rFonts w:hint="default" w:ascii="Times New Roman" w:hAnsi="Times New Roman" w:cs="Times New Roman"/>
                <w:snapToGrid w:val="0"/>
                <w:color w:val="auto"/>
                <w:kern w:val="0"/>
                <w:szCs w:val="21"/>
                <w:highlight w:val="none"/>
                <w:lang w:val="en-US" w:eastAsia="zh-CN"/>
              </w:rPr>
              <w:t>1#</w:t>
            </w:r>
            <w:r>
              <w:rPr>
                <w:rFonts w:hint="default" w:ascii="Times New Roman" w:hAnsi="Times New Roman" w:cs="Times New Roman"/>
                <w:snapToGrid w:val="0"/>
                <w:color w:val="auto"/>
                <w:kern w:val="0"/>
                <w:szCs w:val="21"/>
                <w:highlight w:val="none"/>
              </w:rPr>
              <w:t>车间</w:t>
            </w:r>
          </w:p>
        </w:tc>
        <w:tc>
          <w:tcPr>
            <w:tcW w:w="7324" w:type="dxa"/>
            <w:gridSpan w:val="3"/>
            <w:vAlign w:val="center"/>
          </w:tcPr>
          <w:p>
            <w:pPr>
              <w:wordWrap w:val="0"/>
              <w:jc w:val="left"/>
              <w:rPr>
                <w:color w:val="auto"/>
                <w:szCs w:val="21"/>
                <w:highlight w:val="none"/>
              </w:rPr>
            </w:pPr>
            <w:r>
              <w:rPr>
                <w:rFonts w:hint="eastAsia"/>
                <w:color w:val="auto"/>
                <w:szCs w:val="21"/>
                <w:highlight w:val="none"/>
              </w:rPr>
              <w:t>酸洗</w:t>
            </w:r>
            <w:r>
              <w:rPr>
                <w:rFonts w:hint="eastAsia"/>
                <w:color w:val="auto"/>
                <w:szCs w:val="21"/>
                <w:highlight w:val="none"/>
                <w:lang w:eastAsia="zh-CN"/>
              </w:rPr>
              <w:t>、抛光</w:t>
            </w:r>
            <w:r>
              <w:rPr>
                <w:rFonts w:hint="eastAsia"/>
                <w:color w:val="auto"/>
                <w:szCs w:val="21"/>
                <w:highlight w:val="none"/>
              </w:rPr>
              <w:t>废气(</w:t>
            </w:r>
            <w:r>
              <w:rPr>
                <w:color w:val="auto"/>
                <w:spacing w:val="2"/>
                <w:szCs w:val="21"/>
                <w:highlight w:val="none"/>
              </w:rPr>
              <w:t>硫酸雾、氮氧化物、</w:t>
            </w:r>
            <w:r>
              <w:rPr>
                <w:rFonts w:hint="eastAsia"/>
                <w:color w:val="auto"/>
                <w:szCs w:val="21"/>
                <w:highlight w:val="none"/>
              </w:rPr>
              <w:t>氯化氢</w:t>
            </w:r>
            <w:r>
              <w:rPr>
                <w:rFonts w:hint="eastAsia"/>
                <w:color w:val="auto"/>
                <w:szCs w:val="21"/>
                <w:highlight w:val="none"/>
                <w:lang w:eastAsia="zh-CN"/>
              </w:rPr>
              <w:t>、</w:t>
            </w:r>
            <w:r>
              <w:rPr>
                <w:rFonts w:hint="eastAsia"/>
                <w:color w:val="auto"/>
                <w:szCs w:val="21"/>
                <w:highlight w:val="none"/>
                <w:lang w:val="en-US" w:eastAsia="zh-CN"/>
              </w:rPr>
              <w:t>甲基磺酸雾</w:t>
            </w:r>
            <w:r>
              <w:rPr>
                <w:rFonts w:hint="eastAsia"/>
                <w:color w:val="auto"/>
                <w:szCs w:val="21"/>
                <w:highlight w:val="none"/>
              </w:rPr>
              <w:t>)</w:t>
            </w:r>
            <w:r>
              <w:rPr>
                <w:color w:val="auto"/>
                <w:spacing w:val="2"/>
                <w:szCs w:val="21"/>
                <w:highlight w:val="none"/>
              </w:rPr>
              <w:t>集气罩、侧吸孔收集通过酸雾净化塔处理后</w:t>
            </w:r>
            <w:r>
              <w:rPr>
                <w:rFonts w:hint="eastAsia"/>
                <w:color w:val="auto"/>
                <w:szCs w:val="21"/>
                <w:highlight w:val="none"/>
              </w:rPr>
              <w:t>经过1根</w:t>
            </w:r>
            <w:r>
              <w:rPr>
                <w:rFonts w:hint="eastAsia"/>
                <w:color w:val="auto"/>
                <w:szCs w:val="21"/>
                <w:highlight w:val="none"/>
                <w:lang w:val="en-US" w:eastAsia="zh-CN"/>
              </w:rPr>
              <w:t>18</w:t>
            </w:r>
            <w:r>
              <w:rPr>
                <w:rFonts w:hint="eastAsia"/>
                <w:color w:val="auto"/>
                <w:szCs w:val="21"/>
                <w:highlight w:val="none"/>
              </w:rPr>
              <w:t>m高排气筒P1排放。</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548" w:hRule="atLeast"/>
          <w:jc w:val="center"/>
        </w:trPr>
        <w:tc>
          <w:tcPr>
            <w:tcW w:w="430" w:type="dxa"/>
            <w:vMerge w:val="continue"/>
            <w:vAlign w:val="center"/>
          </w:tcPr>
          <w:p>
            <w:pPr>
              <w:jc w:val="center"/>
              <w:rPr>
                <w:rFonts w:hint="eastAsia"/>
                <w:color w:val="auto"/>
                <w:szCs w:val="21"/>
                <w:highlight w:val="none"/>
              </w:rPr>
            </w:pPr>
          </w:p>
        </w:tc>
        <w:tc>
          <w:tcPr>
            <w:tcW w:w="517" w:type="dxa"/>
            <w:vMerge w:val="continue"/>
            <w:vAlign w:val="center"/>
          </w:tcPr>
          <w:p>
            <w:pPr>
              <w:jc w:val="center"/>
              <w:rPr>
                <w:rFonts w:hint="eastAsia"/>
                <w:color w:val="auto"/>
                <w:szCs w:val="21"/>
                <w:highlight w:val="none"/>
              </w:rPr>
            </w:pPr>
          </w:p>
        </w:tc>
        <w:tc>
          <w:tcPr>
            <w:tcW w:w="1000" w:type="dxa"/>
            <w:vAlign w:val="center"/>
          </w:tcPr>
          <w:p>
            <w:pPr>
              <w:jc w:val="center"/>
              <w:rPr>
                <w:rFonts w:hint="eastAsia"/>
                <w:color w:val="auto"/>
                <w:szCs w:val="21"/>
                <w:highlight w:val="none"/>
              </w:rPr>
            </w:pPr>
            <w:r>
              <w:rPr>
                <w:rFonts w:hint="default" w:ascii="Times New Roman" w:hAnsi="Times New Roman" w:cs="Times New Roman"/>
                <w:snapToGrid w:val="0"/>
                <w:color w:val="auto"/>
                <w:kern w:val="0"/>
                <w:szCs w:val="21"/>
                <w:highlight w:val="none"/>
                <w:lang w:val="en-US" w:eastAsia="zh-CN"/>
              </w:rPr>
              <w:t>2#</w:t>
            </w:r>
            <w:r>
              <w:rPr>
                <w:rFonts w:hint="default" w:ascii="Times New Roman" w:hAnsi="Times New Roman" w:cs="Times New Roman"/>
                <w:snapToGrid w:val="0"/>
                <w:color w:val="auto"/>
                <w:kern w:val="0"/>
                <w:szCs w:val="21"/>
                <w:highlight w:val="none"/>
              </w:rPr>
              <w:t>车间</w:t>
            </w:r>
          </w:p>
        </w:tc>
        <w:tc>
          <w:tcPr>
            <w:tcW w:w="7324" w:type="dxa"/>
            <w:gridSpan w:val="3"/>
            <w:vAlign w:val="center"/>
          </w:tcPr>
          <w:p>
            <w:pPr>
              <w:wordWrap w:val="0"/>
              <w:jc w:val="left"/>
              <w:rPr>
                <w:rFonts w:hint="eastAsia"/>
                <w:color w:val="auto"/>
                <w:szCs w:val="21"/>
                <w:highlight w:val="none"/>
              </w:rPr>
            </w:pPr>
            <w:r>
              <w:rPr>
                <w:color w:val="auto"/>
                <w:spacing w:val="2"/>
                <w:szCs w:val="21"/>
                <w:highlight w:val="none"/>
              </w:rPr>
              <w:t>酸洗废气(氯化氢</w:t>
            </w:r>
            <w:r>
              <w:rPr>
                <w:color w:val="auto"/>
                <w:kern w:val="0"/>
                <w:sz w:val="21"/>
                <w:szCs w:val="21"/>
                <w:highlight w:val="none"/>
              </w:rPr>
              <w:t>、少量碱雾</w:t>
            </w:r>
            <w:r>
              <w:rPr>
                <w:color w:val="auto"/>
                <w:spacing w:val="2"/>
                <w:szCs w:val="21"/>
                <w:highlight w:val="none"/>
              </w:rPr>
              <w:t>)经集气罩、侧吸孔收集通过酸雾净化塔处理后经过1根1</w:t>
            </w:r>
            <w:r>
              <w:rPr>
                <w:rFonts w:hint="eastAsia"/>
                <w:color w:val="auto"/>
                <w:spacing w:val="2"/>
                <w:szCs w:val="21"/>
                <w:highlight w:val="none"/>
                <w:lang w:val="en-US" w:eastAsia="zh-CN"/>
              </w:rPr>
              <w:t>8</w:t>
            </w:r>
            <w:r>
              <w:rPr>
                <w:color w:val="auto"/>
                <w:spacing w:val="2"/>
                <w:szCs w:val="21"/>
                <w:highlight w:val="none"/>
              </w:rPr>
              <w:t>m高排气筒P</w:t>
            </w:r>
            <w:r>
              <w:rPr>
                <w:rFonts w:hint="eastAsia"/>
                <w:color w:val="auto"/>
                <w:spacing w:val="2"/>
                <w:szCs w:val="21"/>
                <w:highlight w:val="none"/>
                <w:lang w:val="en-US" w:eastAsia="zh-CN"/>
              </w:rPr>
              <w:t>2</w:t>
            </w:r>
            <w:r>
              <w:rPr>
                <w:color w:val="auto"/>
                <w:spacing w:val="2"/>
                <w:szCs w:val="21"/>
                <w:highlight w:val="none"/>
              </w:rPr>
              <w:t>排放。</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548" w:hRule="atLeast"/>
          <w:jc w:val="center"/>
        </w:trPr>
        <w:tc>
          <w:tcPr>
            <w:tcW w:w="430" w:type="dxa"/>
            <w:vMerge w:val="continue"/>
            <w:vAlign w:val="center"/>
          </w:tcPr>
          <w:p>
            <w:pPr>
              <w:jc w:val="center"/>
              <w:rPr>
                <w:rFonts w:hint="eastAsia"/>
                <w:color w:val="auto"/>
                <w:szCs w:val="21"/>
                <w:highlight w:val="none"/>
              </w:rPr>
            </w:pPr>
          </w:p>
        </w:tc>
        <w:tc>
          <w:tcPr>
            <w:tcW w:w="517" w:type="dxa"/>
            <w:vMerge w:val="continue"/>
            <w:vAlign w:val="center"/>
          </w:tcPr>
          <w:p>
            <w:pPr>
              <w:jc w:val="center"/>
              <w:rPr>
                <w:rFonts w:hint="eastAsia"/>
                <w:color w:val="auto"/>
                <w:szCs w:val="21"/>
                <w:highlight w:val="none"/>
              </w:rPr>
            </w:pPr>
          </w:p>
        </w:tc>
        <w:tc>
          <w:tcPr>
            <w:tcW w:w="1000" w:type="dxa"/>
            <w:vAlign w:val="center"/>
          </w:tcPr>
          <w:p>
            <w:pPr>
              <w:jc w:val="center"/>
              <w:rPr>
                <w:rFonts w:hint="eastAsia"/>
                <w:color w:val="auto"/>
                <w:szCs w:val="21"/>
                <w:highlight w:val="none"/>
              </w:rPr>
            </w:pPr>
            <w:r>
              <w:rPr>
                <w:rFonts w:hint="default" w:ascii="Times New Roman" w:hAnsi="Times New Roman" w:cs="Times New Roman"/>
                <w:snapToGrid w:val="0"/>
                <w:color w:val="auto"/>
                <w:kern w:val="0"/>
                <w:szCs w:val="21"/>
                <w:highlight w:val="none"/>
                <w:lang w:val="en-US" w:eastAsia="zh-CN"/>
              </w:rPr>
              <w:t>3#</w:t>
            </w:r>
            <w:r>
              <w:rPr>
                <w:rFonts w:hint="default" w:ascii="Times New Roman" w:hAnsi="Times New Roman" w:cs="Times New Roman"/>
                <w:snapToGrid w:val="0"/>
                <w:color w:val="auto"/>
                <w:kern w:val="0"/>
                <w:szCs w:val="21"/>
                <w:highlight w:val="none"/>
              </w:rPr>
              <w:t>车间</w:t>
            </w:r>
          </w:p>
        </w:tc>
        <w:tc>
          <w:tcPr>
            <w:tcW w:w="7324" w:type="dxa"/>
            <w:gridSpan w:val="3"/>
            <w:vAlign w:val="center"/>
          </w:tcPr>
          <w:p>
            <w:pPr>
              <w:wordWrap w:val="0"/>
              <w:jc w:val="left"/>
              <w:rPr>
                <w:rFonts w:hint="eastAsia"/>
                <w:color w:val="auto"/>
                <w:szCs w:val="21"/>
                <w:highlight w:val="none"/>
              </w:rPr>
            </w:pPr>
            <w:r>
              <w:rPr>
                <w:rFonts w:hint="eastAsia"/>
                <w:color w:val="auto"/>
                <w:szCs w:val="21"/>
                <w:highlight w:val="none"/>
                <w:lang w:eastAsia="zh-CN"/>
              </w:rPr>
              <w:t>酸洗、镀铜、镀铬</w:t>
            </w:r>
            <w:r>
              <w:rPr>
                <w:color w:val="auto"/>
                <w:spacing w:val="2"/>
                <w:szCs w:val="21"/>
                <w:highlight w:val="none"/>
              </w:rPr>
              <w:t>废气(</w:t>
            </w:r>
            <w:r>
              <w:rPr>
                <w:rFonts w:hint="eastAsia"/>
                <w:color w:val="auto"/>
                <w:highlight w:val="none"/>
                <w:lang w:eastAsia="zh-CN"/>
              </w:rPr>
              <w:t>氯化氢、硫酸雾、铬酸雾</w:t>
            </w:r>
            <w:r>
              <w:rPr>
                <w:color w:val="auto"/>
                <w:spacing w:val="2"/>
                <w:szCs w:val="21"/>
                <w:highlight w:val="none"/>
              </w:rPr>
              <w:t>)经集气罩、侧吸孔收集通过</w:t>
            </w:r>
            <w:r>
              <w:rPr>
                <w:rFonts w:hint="eastAsia"/>
                <w:color w:val="auto"/>
                <w:spacing w:val="2"/>
                <w:szCs w:val="21"/>
                <w:highlight w:val="none"/>
              </w:rPr>
              <w:t>铬酸雾废气净化</w:t>
            </w:r>
            <w:r>
              <w:rPr>
                <w:color w:val="auto"/>
                <w:spacing w:val="2"/>
                <w:szCs w:val="21"/>
                <w:highlight w:val="none"/>
              </w:rPr>
              <w:t>塔处理后经过1根1</w:t>
            </w:r>
            <w:r>
              <w:rPr>
                <w:rFonts w:hint="eastAsia"/>
                <w:color w:val="auto"/>
                <w:spacing w:val="2"/>
                <w:szCs w:val="21"/>
                <w:highlight w:val="none"/>
                <w:lang w:val="en-US" w:eastAsia="zh-CN"/>
              </w:rPr>
              <w:t>8</w:t>
            </w:r>
            <w:r>
              <w:rPr>
                <w:color w:val="auto"/>
                <w:spacing w:val="2"/>
                <w:szCs w:val="21"/>
                <w:highlight w:val="none"/>
              </w:rPr>
              <w:t>m高排气筒P</w:t>
            </w:r>
            <w:r>
              <w:rPr>
                <w:rFonts w:hint="eastAsia"/>
                <w:color w:val="auto"/>
                <w:spacing w:val="2"/>
                <w:szCs w:val="21"/>
                <w:highlight w:val="none"/>
                <w:lang w:val="en-US" w:eastAsia="zh-CN"/>
              </w:rPr>
              <w:t>3</w:t>
            </w:r>
            <w:r>
              <w:rPr>
                <w:color w:val="auto"/>
                <w:spacing w:val="2"/>
                <w:szCs w:val="21"/>
                <w:highlight w:val="none"/>
              </w:rPr>
              <w:t>排放。</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71" w:hRule="atLeast"/>
          <w:jc w:val="center"/>
        </w:trPr>
        <w:tc>
          <w:tcPr>
            <w:tcW w:w="430" w:type="dxa"/>
            <w:vMerge w:val="continue"/>
            <w:vAlign w:val="center"/>
          </w:tcPr>
          <w:p>
            <w:pPr>
              <w:jc w:val="center"/>
              <w:rPr>
                <w:rFonts w:hint="eastAsia"/>
                <w:color w:val="auto"/>
                <w:szCs w:val="21"/>
                <w:highlight w:val="none"/>
              </w:rPr>
            </w:pPr>
          </w:p>
        </w:tc>
        <w:tc>
          <w:tcPr>
            <w:tcW w:w="517" w:type="dxa"/>
            <w:vMerge w:val="continue"/>
            <w:vAlign w:val="center"/>
          </w:tcPr>
          <w:p>
            <w:pPr>
              <w:jc w:val="center"/>
              <w:rPr>
                <w:rFonts w:hint="eastAsia"/>
                <w:color w:val="auto"/>
                <w:szCs w:val="21"/>
                <w:highlight w:val="none"/>
              </w:rPr>
            </w:pPr>
          </w:p>
        </w:tc>
        <w:tc>
          <w:tcPr>
            <w:tcW w:w="1000" w:type="dxa"/>
            <w:vMerge w:val="restart"/>
            <w:vAlign w:val="center"/>
          </w:tcPr>
          <w:p>
            <w:pPr>
              <w:jc w:val="center"/>
              <w:rPr>
                <w:rFonts w:hint="eastAsia"/>
                <w:color w:val="auto"/>
                <w:szCs w:val="21"/>
                <w:highlight w:val="none"/>
              </w:rPr>
            </w:pPr>
            <w:r>
              <w:rPr>
                <w:rFonts w:hint="default" w:ascii="Times New Roman" w:hAnsi="Times New Roman" w:cs="Times New Roman"/>
                <w:snapToGrid w:val="0"/>
                <w:color w:val="auto"/>
                <w:kern w:val="0"/>
                <w:szCs w:val="21"/>
                <w:highlight w:val="none"/>
                <w:lang w:val="en-US" w:eastAsia="zh-CN"/>
              </w:rPr>
              <w:t>4#</w:t>
            </w:r>
            <w:r>
              <w:rPr>
                <w:rFonts w:hint="default" w:ascii="Times New Roman" w:hAnsi="Times New Roman" w:cs="Times New Roman"/>
                <w:snapToGrid w:val="0"/>
                <w:color w:val="auto"/>
                <w:kern w:val="0"/>
                <w:szCs w:val="21"/>
                <w:highlight w:val="none"/>
              </w:rPr>
              <w:t>车间</w:t>
            </w:r>
          </w:p>
        </w:tc>
        <w:tc>
          <w:tcPr>
            <w:tcW w:w="7324" w:type="dxa"/>
            <w:gridSpan w:val="3"/>
            <w:vAlign w:val="center"/>
          </w:tcPr>
          <w:p>
            <w:pPr>
              <w:wordWrap w:val="0"/>
              <w:jc w:val="left"/>
              <w:rPr>
                <w:rFonts w:hint="eastAsia"/>
                <w:color w:val="auto"/>
                <w:szCs w:val="21"/>
                <w:highlight w:val="none"/>
                <w:lang w:val="en-US"/>
              </w:rPr>
            </w:pPr>
            <w:r>
              <w:rPr>
                <w:rFonts w:hint="eastAsia"/>
                <w:color w:val="auto"/>
                <w:szCs w:val="21"/>
                <w:highlight w:val="none"/>
                <w:lang w:eastAsia="zh-CN"/>
              </w:rPr>
              <w:t>天然气锅炉</w:t>
            </w:r>
            <w:r>
              <w:rPr>
                <w:rFonts w:hint="eastAsia"/>
                <w:color w:val="auto"/>
                <w:szCs w:val="21"/>
                <w:highlight w:val="none"/>
                <w:lang w:val="en-US" w:eastAsia="zh-CN"/>
              </w:rPr>
              <w:t>废气经收集</w:t>
            </w:r>
            <w:r>
              <w:rPr>
                <w:color w:val="auto"/>
                <w:spacing w:val="2"/>
                <w:szCs w:val="21"/>
                <w:highlight w:val="none"/>
              </w:rPr>
              <w:t>后经过1根</w:t>
            </w:r>
            <w:r>
              <w:rPr>
                <w:rFonts w:hint="eastAsia"/>
                <w:color w:val="auto"/>
                <w:spacing w:val="2"/>
                <w:szCs w:val="21"/>
                <w:highlight w:val="none"/>
                <w:lang w:val="en-US" w:eastAsia="zh-CN"/>
              </w:rPr>
              <w:t>15</w:t>
            </w:r>
            <w:r>
              <w:rPr>
                <w:color w:val="auto"/>
                <w:spacing w:val="2"/>
                <w:szCs w:val="21"/>
                <w:highlight w:val="none"/>
              </w:rPr>
              <w:t>m高排气筒P</w:t>
            </w:r>
            <w:r>
              <w:rPr>
                <w:rFonts w:hint="eastAsia"/>
                <w:color w:val="auto"/>
                <w:spacing w:val="2"/>
                <w:szCs w:val="21"/>
                <w:highlight w:val="none"/>
                <w:lang w:val="en-US" w:eastAsia="zh-CN"/>
              </w:rPr>
              <w:t>4-1</w:t>
            </w:r>
            <w:r>
              <w:rPr>
                <w:color w:val="auto"/>
                <w:spacing w:val="2"/>
                <w:szCs w:val="21"/>
                <w:highlight w:val="none"/>
              </w:rPr>
              <w:t>排放。</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430" w:type="dxa"/>
            <w:vMerge w:val="continue"/>
            <w:vAlign w:val="center"/>
          </w:tcPr>
          <w:p>
            <w:pPr>
              <w:jc w:val="center"/>
              <w:rPr>
                <w:rFonts w:hint="eastAsia"/>
                <w:color w:val="auto"/>
                <w:szCs w:val="21"/>
                <w:highlight w:val="none"/>
              </w:rPr>
            </w:pPr>
          </w:p>
        </w:tc>
        <w:tc>
          <w:tcPr>
            <w:tcW w:w="517" w:type="dxa"/>
            <w:vMerge w:val="continue"/>
            <w:vAlign w:val="center"/>
          </w:tcPr>
          <w:p>
            <w:pPr>
              <w:jc w:val="center"/>
              <w:rPr>
                <w:rFonts w:hint="eastAsia"/>
                <w:color w:val="auto"/>
                <w:szCs w:val="21"/>
                <w:highlight w:val="none"/>
              </w:rPr>
            </w:pPr>
          </w:p>
        </w:tc>
        <w:tc>
          <w:tcPr>
            <w:tcW w:w="1000" w:type="dxa"/>
            <w:vMerge w:val="continue"/>
            <w:vAlign w:val="center"/>
          </w:tcPr>
          <w:p>
            <w:pPr>
              <w:jc w:val="center"/>
              <w:rPr>
                <w:rFonts w:hint="eastAsia"/>
                <w:color w:val="auto"/>
                <w:szCs w:val="21"/>
                <w:highlight w:val="none"/>
              </w:rPr>
            </w:pPr>
          </w:p>
        </w:tc>
        <w:tc>
          <w:tcPr>
            <w:tcW w:w="7324" w:type="dxa"/>
            <w:gridSpan w:val="3"/>
            <w:vAlign w:val="center"/>
          </w:tcPr>
          <w:p>
            <w:pPr>
              <w:wordWrap w:val="0"/>
              <w:jc w:val="left"/>
              <w:rPr>
                <w:rFonts w:hint="eastAsia"/>
                <w:color w:val="auto"/>
                <w:szCs w:val="21"/>
                <w:highlight w:val="none"/>
              </w:rPr>
            </w:pPr>
            <w:r>
              <w:rPr>
                <w:color w:val="auto"/>
                <w:spacing w:val="2"/>
                <w:szCs w:val="21"/>
                <w:highlight w:val="none"/>
              </w:rPr>
              <w:t>酸洗</w:t>
            </w:r>
            <w:r>
              <w:rPr>
                <w:rFonts w:hint="eastAsia"/>
                <w:color w:val="auto"/>
                <w:spacing w:val="2"/>
                <w:szCs w:val="21"/>
                <w:highlight w:val="none"/>
                <w:lang w:eastAsia="zh-CN"/>
              </w:rPr>
              <w:t>、</w:t>
            </w:r>
            <w:r>
              <w:rPr>
                <w:rFonts w:hint="eastAsia"/>
                <w:color w:val="auto"/>
                <w:spacing w:val="2"/>
                <w:szCs w:val="21"/>
                <w:highlight w:val="none"/>
                <w:lang w:val="en-US" w:eastAsia="zh-CN"/>
              </w:rPr>
              <w:t>电解</w:t>
            </w:r>
            <w:r>
              <w:rPr>
                <w:color w:val="auto"/>
                <w:spacing w:val="2"/>
                <w:szCs w:val="21"/>
                <w:highlight w:val="none"/>
              </w:rPr>
              <w:t>废气(氯化氢</w:t>
            </w:r>
            <w:r>
              <w:rPr>
                <w:color w:val="auto"/>
                <w:kern w:val="0"/>
                <w:sz w:val="21"/>
                <w:szCs w:val="21"/>
                <w:highlight w:val="none"/>
              </w:rPr>
              <w:t>、</w:t>
            </w:r>
            <w:r>
              <w:rPr>
                <w:rFonts w:hint="eastAsia"/>
                <w:color w:val="auto"/>
                <w:highlight w:val="none"/>
                <w:lang w:eastAsia="zh-CN"/>
              </w:rPr>
              <w:t>硫酸雾</w:t>
            </w:r>
            <w:r>
              <w:rPr>
                <w:color w:val="auto"/>
                <w:spacing w:val="2"/>
                <w:szCs w:val="21"/>
                <w:highlight w:val="none"/>
              </w:rPr>
              <w:t>)经集气罩、侧吸孔收集通过酸雾净化塔处理后经过1根</w:t>
            </w:r>
            <w:r>
              <w:rPr>
                <w:rFonts w:hint="eastAsia"/>
                <w:color w:val="auto"/>
                <w:spacing w:val="2"/>
                <w:szCs w:val="21"/>
                <w:highlight w:val="none"/>
                <w:lang w:val="en-US" w:eastAsia="zh-CN"/>
              </w:rPr>
              <w:t>25</w:t>
            </w:r>
            <w:r>
              <w:rPr>
                <w:color w:val="auto"/>
                <w:spacing w:val="2"/>
                <w:szCs w:val="21"/>
                <w:highlight w:val="none"/>
              </w:rPr>
              <w:t>m高排气筒P</w:t>
            </w:r>
            <w:r>
              <w:rPr>
                <w:rFonts w:hint="eastAsia"/>
                <w:color w:val="auto"/>
                <w:spacing w:val="2"/>
                <w:szCs w:val="21"/>
                <w:highlight w:val="none"/>
                <w:lang w:val="en-US" w:eastAsia="zh-CN"/>
              </w:rPr>
              <w:t>4-2</w:t>
            </w:r>
            <w:r>
              <w:rPr>
                <w:color w:val="auto"/>
                <w:spacing w:val="2"/>
                <w:szCs w:val="21"/>
                <w:highlight w:val="none"/>
              </w:rPr>
              <w:t>排放。</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548" w:hRule="atLeast"/>
          <w:jc w:val="center"/>
        </w:trPr>
        <w:tc>
          <w:tcPr>
            <w:tcW w:w="430" w:type="dxa"/>
            <w:vMerge w:val="continue"/>
            <w:vAlign w:val="center"/>
          </w:tcPr>
          <w:p>
            <w:pPr>
              <w:jc w:val="center"/>
              <w:rPr>
                <w:rFonts w:hint="eastAsia"/>
                <w:color w:val="auto"/>
                <w:szCs w:val="21"/>
                <w:highlight w:val="none"/>
              </w:rPr>
            </w:pPr>
          </w:p>
        </w:tc>
        <w:tc>
          <w:tcPr>
            <w:tcW w:w="517" w:type="dxa"/>
            <w:vMerge w:val="continue"/>
            <w:vAlign w:val="center"/>
          </w:tcPr>
          <w:p>
            <w:pPr>
              <w:jc w:val="center"/>
              <w:rPr>
                <w:rFonts w:hint="eastAsia"/>
                <w:color w:val="auto"/>
                <w:szCs w:val="21"/>
                <w:highlight w:val="none"/>
              </w:rPr>
            </w:pPr>
          </w:p>
        </w:tc>
        <w:tc>
          <w:tcPr>
            <w:tcW w:w="1000" w:type="dxa"/>
            <w:vAlign w:val="center"/>
          </w:tcPr>
          <w:p>
            <w:pPr>
              <w:jc w:val="center"/>
              <w:rPr>
                <w:rFonts w:hint="eastAsia"/>
                <w:color w:val="auto"/>
                <w:szCs w:val="21"/>
                <w:highlight w:val="none"/>
              </w:rPr>
            </w:pPr>
            <w:r>
              <w:rPr>
                <w:rFonts w:hint="default" w:ascii="Times New Roman" w:hAnsi="Times New Roman" w:cs="Times New Roman"/>
                <w:snapToGrid w:val="0"/>
                <w:color w:val="auto"/>
                <w:kern w:val="0"/>
                <w:szCs w:val="21"/>
                <w:highlight w:val="none"/>
                <w:lang w:val="en-US" w:eastAsia="zh-CN"/>
              </w:rPr>
              <w:t>5#</w:t>
            </w:r>
            <w:r>
              <w:rPr>
                <w:rFonts w:hint="default" w:ascii="Times New Roman" w:hAnsi="Times New Roman" w:cs="Times New Roman"/>
                <w:snapToGrid w:val="0"/>
                <w:color w:val="auto"/>
                <w:kern w:val="0"/>
                <w:szCs w:val="21"/>
                <w:highlight w:val="none"/>
              </w:rPr>
              <w:t>车间</w:t>
            </w:r>
          </w:p>
        </w:tc>
        <w:tc>
          <w:tcPr>
            <w:tcW w:w="7324" w:type="dxa"/>
            <w:gridSpan w:val="3"/>
            <w:vAlign w:val="center"/>
          </w:tcPr>
          <w:p>
            <w:pPr>
              <w:wordWrap w:val="0"/>
              <w:jc w:val="left"/>
              <w:rPr>
                <w:rFonts w:hint="eastAsia"/>
                <w:color w:val="auto"/>
                <w:szCs w:val="21"/>
                <w:highlight w:val="none"/>
              </w:rPr>
            </w:pPr>
            <w:r>
              <w:rPr>
                <w:rFonts w:hint="eastAsia"/>
                <w:color w:val="auto"/>
                <w:szCs w:val="21"/>
                <w:highlight w:val="none"/>
                <w:lang w:eastAsia="zh-CN"/>
              </w:rPr>
              <w:t>镀银、粗化、敏化</w:t>
            </w:r>
            <w:r>
              <w:rPr>
                <w:rFonts w:hint="eastAsia"/>
                <w:color w:val="auto"/>
                <w:szCs w:val="21"/>
                <w:highlight w:val="none"/>
                <w:lang w:val="en-US" w:eastAsia="zh-CN"/>
              </w:rPr>
              <w:t>废气</w:t>
            </w:r>
            <w:r>
              <w:rPr>
                <w:color w:val="auto"/>
                <w:spacing w:val="2"/>
                <w:szCs w:val="21"/>
                <w:highlight w:val="none"/>
              </w:rPr>
              <w:t>(</w:t>
            </w:r>
            <w:r>
              <w:rPr>
                <w:rFonts w:hint="eastAsia"/>
                <w:color w:val="auto"/>
                <w:spacing w:val="2"/>
                <w:szCs w:val="21"/>
                <w:highlight w:val="none"/>
                <w:lang w:val="en-US" w:eastAsia="zh-CN"/>
              </w:rPr>
              <w:t>铬</w:t>
            </w:r>
            <w:r>
              <w:rPr>
                <w:rFonts w:hint="eastAsia"/>
                <w:color w:val="auto"/>
                <w:highlight w:val="none"/>
                <w:lang w:val="en-US" w:eastAsia="zh-CN"/>
              </w:rPr>
              <w:t>酸雾</w:t>
            </w:r>
            <w:r>
              <w:rPr>
                <w:rFonts w:hint="eastAsia"/>
                <w:color w:val="auto"/>
                <w:highlight w:val="none"/>
                <w:lang w:val="en-US" w:eastAsia="zh-CN"/>
              </w:rPr>
              <w:t>、氯化氢、氨</w:t>
            </w:r>
            <w:r>
              <w:rPr>
                <w:color w:val="auto"/>
                <w:spacing w:val="2"/>
                <w:szCs w:val="21"/>
                <w:highlight w:val="none"/>
              </w:rPr>
              <w:t>)经集气罩、侧吸孔收集通过</w:t>
            </w:r>
            <w:r>
              <w:rPr>
                <w:rFonts w:hint="eastAsia"/>
                <w:color w:val="auto"/>
                <w:spacing w:val="2"/>
                <w:szCs w:val="21"/>
                <w:highlight w:val="none"/>
              </w:rPr>
              <w:t>铬酸雾废气净化</w:t>
            </w:r>
            <w:r>
              <w:rPr>
                <w:rFonts w:hint="eastAsia"/>
                <w:color w:val="auto"/>
                <w:spacing w:val="2"/>
                <w:szCs w:val="21"/>
                <w:highlight w:val="none"/>
                <w:lang w:val="en-US" w:eastAsia="zh-CN"/>
              </w:rPr>
              <w:t>器+二级喷淋</w:t>
            </w:r>
            <w:r>
              <w:rPr>
                <w:color w:val="auto"/>
                <w:spacing w:val="2"/>
                <w:szCs w:val="21"/>
                <w:highlight w:val="none"/>
              </w:rPr>
              <w:t>处理后经过1根</w:t>
            </w:r>
            <w:r>
              <w:rPr>
                <w:rFonts w:hint="eastAsia"/>
                <w:color w:val="auto"/>
                <w:spacing w:val="2"/>
                <w:szCs w:val="21"/>
                <w:highlight w:val="none"/>
                <w:lang w:val="en-US" w:eastAsia="zh-CN"/>
              </w:rPr>
              <w:t>25</w:t>
            </w:r>
            <w:r>
              <w:rPr>
                <w:color w:val="auto"/>
                <w:spacing w:val="2"/>
                <w:szCs w:val="21"/>
                <w:highlight w:val="none"/>
              </w:rPr>
              <w:t>m高排气筒P</w:t>
            </w:r>
            <w:r>
              <w:rPr>
                <w:rFonts w:hint="eastAsia"/>
                <w:color w:val="auto"/>
                <w:spacing w:val="2"/>
                <w:szCs w:val="21"/>
                <w:highlight w:val="none"/>
                <w:lang w:val="en-US" w:eastAsia="zh-CN"/>
              </w:rPr>
              <w:t>5</w:t>
            </w:r>
            <w:r>
              <w:rPr>
                <w:color w:val="auto"/>
                <w:spacing w:val="2"/>
                <w:szCs w:val="21"/>
                <w:highlight w:val="none"/>
              </w:rPr>
              <w:t>排放</w:t>
            </w:r>
            <w:r>
              <w:rPr>
                <w:color w:val="auto"/>
                <w:spacing w:val="2"/>
                <w:szCs w:val="21"/>
                <w:highlight w:val="none"/>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548" w:hRule="atLeast"/>
          <w:jc w:val="center"/>
        </w:trPr>
        <w:tc>
          <w:tcPr>
            <w:tcW w:w="430" w:type="dxa"/>
            <w:vMerge w:val="continue"/>
            <w:vAlign w:val="center"/>
          </w:tcPr>
          <w:p>
            <w:pPr>
              <w:jc w:val="center"/>
              <w:rPr>
                <w:rFonts w:hint="eastAsia"/>
                <w:color w:val="auto"/>
                <w:szCs w:val="21"/>
                <w:highlight w:val="none"/>
              </w:rPr>
            </w:pPr>
          </w:p>
        </w:tc>
        <w:tc>
          <w:tcPr>
            <w:tcW w:w="517" w:type="dxa"/>
            <w:vMerge w:val="continue"/>
            <w:vAlign w:val="center"/>
          </w:tcPr>
          <w:p>
            <w:pPr>
              <w:jc w:val="center"/>
              <w:rPr>
                <w:rFonts w:hint="eastAsia"/>
                <w:color w:val="auto"/>
                <w:szCs w:val="21"/>
                <w:highlight w:val="none"/>
              </w:rPr>
            </w:pPr>
          </w:p>
        </w:tc>
        <w:tc>
          <w:tcPr>
            <w:tcW w:w="1000" w:type="dxa"/>
            <w:vAlign w:val="center"/>
          </w:tcPr>
          <w:p>
            <w:pPr>
              <w:jc w:val="center"/>
              <w:rPr>
                <w:rFonts w:hint="eastAsia"/>
                <w:color w:val="auto"/>
                <w:szCs w:val="21"/>
                <w:highlight w:val="none"/>
              </w:rPr>
            </w:pPr>
            <w:r>
              <w:rPr>
                <w:rFonts w:hint="default" w:ascii="Times New Roman" w:hAnsi="Times New Roman" w:cs="Times New Roman"/>
                <w:snapToGrid w:val="0"/>
                <w:color w:val="auto"/>
                <w:kern w:val="0"/>
                <w:szCs w:val="21"/>
                <w:highlight w:val="none"/>
                <w:lang w:val="en-US" w:eastAsia="zh-CN"/>
              </w:rPr>
              <w:t>6#</w:t>
            </w:r>
            <w:r>
              <w:rPr>
                <w:rFonts w:hint="default" w:ascii="Times New Roman" w:hAnsi="Times New Roman" w:cs="Times New Roman"/>
                <w:snapToGrid w:val="0"/>
                <w:color w:val="auto"/>
                <w:kern w:val="0"/>
                <w:szCs w:val="21"/>
                <w:highlight w:val="none"/>
              </w:rPr>
              <w:t>车间</w:t>
            </w:r>
          </w:p>
        </w:tc>
        <w:tc>
          <w:tcPr>
            <w:tcW w:w="7324" w:type="dxa"/>
            <w:gridSpan w:val="3"/>
            <w:vAlign w:val="center"/>
          </w:tcPr>
          <w:p>
            <w:pPr>
              <w:wordWrap w:val="0"/>
              <w:jc w:val="left"/>
              <w:rPr>
                <w:rFonts w:hint="eastAsia"/>
                <w:color w:val="auto"/>
                <w:szCs w:val="21"/>
                <w:highlight w:val="none"/>
              </w:rPr>
            </w:pPr>
            <w:r>
              <w:rPr>
                <w:color w:val="auto"/>
                <w:spacing w:val="2"/>
                <w:szCs w:val="21"/>
                <w:highlight w:val="none"/>
              </w:rPr>
              <w:t>酸洗废气(氯化氢</w:t>
            </w:r>
            <w:r>
              <w:rPr>
                <w:color w:val="auto"/>
                <w:kern w:val="0"/>
                <w:sz w:val="21"/>
                <w:szCs w:val="21"/>
                <w:highlight w:val="none"/>
              </w:rPr>
              <w:t>、少量碱雾</w:t>
            </w:r>
            <w:r>
              <w:rPr>
                <w:color w:val="auto"/>
                <w:spacing w:val="2"/>
                <w:szCs w:val="21"/>
                <w:highlight w:val="none"/>
              </w:rPr>
              <w:t>)经集气罩、侧吸孔收集通过酸雾净化塔处理后经过1根</w:t>
            </w:r>
            <w:r>
              <w:rPr>
                <w:rFonts w:hint="eastAsia"/>
                <w:color w:val="auto"/>
                <w:spacing w:val="2"/>
                <w:szCs w:val="21"/>
                <w:highlight w:val="none"/>
                <w:lang w:val="en-US" w:eastAsia="zh-CN"/>
              </w:rPr>
              <w:t>25</w:t>
            </w:r>
            <w:r>
              <w:rPr>
                <w:color w:val="auto"/>
                <w:spacing w:val="2"/>
                <w:szCs w:val="21"/>
                <w:highlight w:val="none"/>
              </w:rPr>
              <w:t>m高排气筒P</w:t>
            </w:r>
            <w:r>
              <w:rPr>
                <w:rFonts w:hint="eastAsia"/>
                <w:color w:val="auto"/>
                <w:spacing w:val="2"/>
                <w:szCs w:val="21"/>
                <w:highlight w:val="none"/>
                <w:lang w:val="en-US" w:eastAsia="zh-CN"/>
              </w:rPr>
              <w:t>6</w:t>
            </w:r>
            <w:r>
              <w:rPr>
                <w:color w:val="auto"/>
                <w:spacing w:val="2"/>
                <w:szCs w:val="21"/>
                <w:highlight w:val="none"/>
              </w:rPr>
              <w:t>排放。</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430" w:type="dxa"/>
            <w:vMerge w:val="continue"/>
            <w:vAlign w:val="center"/>
          </w:tcPr>
          <w:p>
            <w:pPr>
              <w:jc w:val="center"/>
              <w:rPr>
                <w:color w:val="auto"/>
                <w:szCs w:val="21"/>
                <w:highlight w:val="none"/>
              </w:rPr>
            </w:pPr>
          </w:p>
        </w:tc>
        <w:tc>
          <w:tcPr>
            <w:tcW w:w="1517" w:type="dxa"/>
            <w:gridSpan w:val="2"/>
            <w:vAlign w:val="center"/>
          </w:tcPr>
          <w:p>
            <w:pPr>
              <w:jc w:val="center"/>
              <w:rPr>
                <w:color w:val="auto"/>
                <w:szCs w:val="21"/>
                <w:highlight w:val="none"/>
              </w:rPr>
            </w:pPr>
            <w:r>
              <w:rPr>
                <w:rFonts w:hint="eastAsia"/>
                <w:color w:val="auto"/>
                <w:szCs w:val="21"/>
                <w:highlight w:val="none"/>
              </w:rPr>
              <w:t>废水</w:t>
            </w:r>
          </w:p>
        </w:tc>
        <w:tc>
          <w:tcPr>
            <w:tcW w:w="7324" w:type="dxa"/>
            <w:gridSpan w:val="3"/>
            <w:vAlign w:val="center"/>
          </w:tcPr>
          <w:p>
            <w:pPr>
              <w:jc w:val="both"/>
              <w:rPr>
                <w:color w:val="auto"/>
                <w:spacing w:val="2"/>
                <w:szCs w:val="21"/>
                <w:highlight w:val="none"/>
              </w:rPr>
            </w:pPr>
            <w:r>
              <w:rPr>
                <w:color w:val="auto"/>
                <w:spacing w:val="2"/>
                <w:szCs w:val="21"/>
                <w:highlight w:val="none"/>
              </w:rPr>
              <w:t>生产废水：设有综合废水、含镍废水、含铬废水排放口各1个，车间内设相应的废水收集管道，车间外设有综合、含镍、含铬废水收集池各1个。</w:t>
            </w:r>
          </w:p>
          <w:p>
            <w:pPr>
              <w:jc w:val="both"/>
              <w:rPr>
                <w:color w:val="auto"/>
                <w:szCs w:val="21"/>
                <w:highlight w:val="none"/>
              </w:rPr>
            </w:pPr>
            <w:r>
              <w:rPr>
                <w:rFonts w:hint="eastAsia"/>
                <w:color w:val="auto"/>
                <w:szCs w:val="21"/>
                <w:highlight w:val="none"/>
              </w:rPr>
              <w:t>综合生产废水经收集进</w:t>
            </w:r>
            <w:r>
              <w:rPr>
                <w:rFonts w:hint="eastAsia"/>
                <w:color w:val="auto"/>
                <w:szCs w:val="21"/>
                <w:highlight w:val="none"/>
                <w:lang w:val="en-US" w:eastAsia="zh-CN"/>
              </w:rPr>
              <w:t>园区</w:t>
            </w:r>
            <w:r>
              <w:rPr>
                <w:rFonts w:hint="eastAsia"/>
                <w:color w:val="auto"/>
                <w:szCs w:val="21"/>
                <w:highlight w:val="none"/>
              </w:rPr>
              <w:t>污水处理站处理达到《污水排入城镇下水道水质标准》(GB/T31962-2015)中B等级标准后通过市政污水管网排入</w:t>
            </w:r>
            <w:r>
              <w:rPr>
                <w:rFonts w:hint="eastAsia"/>
                <w:color w:val="auto"/>
                <w:szCs w:val="21"/>
                <w:highlight w:val="none"/>
                <w:lang w:eastAsia="zh-CN"/>
              </w:rPr>
              <w:t>镰湾河水质净化厂</w:t>
            </w:r>
            <w:r>
              <w:rPr>
                <w:rFonts w:hint="eastAsia"/>
                <w:color w:val="auto"/>
                <w:szCs w:val="21"/>
                <w:highlight w:val="none"/>
              </w:rPr>
              <w:t>。</w:t>
            </w:r>
          </w:p>
          <w:p>
            <w:pPr>
              <w:wordWrap w:val="0"/>
              <w:jc w:val="both"/>
              <w:rPr>
                <w:rFonts w:hint="eastAsia"/>
                <w:color w:val="auto"/>
                <w:szCs w:val="21"/>
                <w:highlight w:val="none"/>
              </w:rPr>
            </w:pPr>
            <w:r>
              <w:rPr>
                <w:rFonts w:hint="eastAsia"/>
                <w:color w:val="auto"/>
                <w:szCs w:val="21"/>
                <w:highlight w:val="none"/>
              </w:rPr>
              <w:t>含铬生产废水经收集进</w:t>
            </w:r>
            <w:r>
              <w:rPr>
                <w:rFonts w:hint="eastAsia"/>
                <w:color w:val="auto"/>
                <w:szCs w:val="21"/>
                <w:highlight w:val="none"/>
                <w:lang w:val="en-US" w:eastAsia="zh-CN"/>
              </w:rPr>
              <w:t>园区</w:t>
            </w:r>
            <w:r>
              <w:rPr>
                <w:rFonts w:hint="eastAsia"/>
                <w:color w:val="auto"/>
                <w:szCs w:val="21"/>
                <w:highlight w:val="none"/>
              </w:rPr>
              <w:t>污水处理站处理达到《电镀污染物排放标准》(GB21900-2008)表2标准后通过市政污水管网排入</w:t>
            </w:r>
            <w:r>
              <w:rPr>
                <w:rFonts w:hint="eastAsia"/>
                <w:color w:val="auto"/>
                <w:szCs w:val="21"/>
                <w:highlight w:val="none"/>
                <w:lang w:eastAsia="zh-CN"/>
              </w:rPr>
              <w:t>镰湾河水质净化厂</w:t>
            </w:r>
            <w:r>
              <w:rPr>
                <w:rFonts w:hint="eastAsia"/>
                <w:color w:val="auto"/>
                <w:szCs w:val="21"/>
                <w:highlight w:val="none"/>
              </w:rPr>
              <w:t>。</w:t>
            </w:r>
          </w:p>
          <w:p>
            <w:pPr>
              <w:wordWrap w:val="0"/>
              <w:jc w:val="both"/>
              <w:rPr>
                <w:rFonts w:hint="eastAsia"/>
                <w:color w:val="auto"/>
                <w:szCs w:val="21"/>
                <w:highlight w:val="none"/>
              </w:rPr>
            </w:pPr>
            <w:r>
              <w:rPr>
                <w:rFonts w:hint="eastAsia"/>
                <w:color w:val="auto"/>
                <w:szCs w:val="21"/>
                <w:highlight w:val="none"/>
              </w:rPr>
              <w:t>含</w:t>
            </w:r>
            <w:r>
              <w:rPr>
                <w:rFonts w:hint="eastAsia"/>
                <w:color w:val="auto"/>
                <w:szCs w:val="21"/>
                <w:highlight w:val="none"/>
                <w:lang w:val="en-US" w:eastAsia="zh-CN"/>
              </w:rPr>
              <w:t>镍</w:t>
            </w:r>
            <w:r>
              <w:rPr>
                <w:rFonts w:hint="eastAsia"/>
                <w:color w:val="auto"/>
                <w:szCs w:val="21"/>
                <w:highlight w:val="none"/>
              </w:rPr>
              <w:t>生产废水经收集进</w:t>
            </w:r>
            <w:r>
              <w:rPr>
                <w:rFonts w:hint="eastAsia"/>
                <w:color w:val="auto"/>
                <w:szCs w:val="21"/>
                <w:highlight w:val="none"/>
                <w:lang w:val="en-US" w:eastAsia="zh-CN"/>
              </w:rPr>
              <w:t>园区</w:t>
            </w:r>
            <w:r>
              <w:rPr>
                <w:rFonts w:hint="eastAsia"/>
                <w:color w:val="auto"/>
                <w:szCs w:val="21"/>
                <w:highlight w:val="none"/>
              </w:rPr>
              <w:t>污水处理站处理达到《电镀污染物排放标准》(GB21900-2008)表2标准后通过市政污水管网排入</w:t>
            </w:r>
            <w:r>
              <w:rPr>
                <w:rFonts w:hint="eastAsia"/>
                <w:color w:val="auto"/>
                <w:szCs w:val="21"/>
                <w:highlight w:val="none"/>
                <w:lang w:eastAsia="zh-CN"/>
              </w:rPr>
              <w:t>镰湾河水质净化厂</w:t>
            </w:r>
            <w:r>
              <w:rPr>
                <w:rFonts w:hint="eastAsia"/>
                <w:color w:val="auto"/>
                <w:szCs w:val="21"/>
                <w:highlight w:val="none"/>
              </w:rPr>
              <w:t>。</w:t>
            </w:r>
          </w:p>
          <w:p>
            <w:pPr>
              <w:wordWrap w:val="0"/>
              <w:jc w:val="both"/>
              <w:rPr>
                <w:color w:val="auto"/>
                <w:szCs w:val="21"/>
                <w:highlight w:val="none"/>
              </w:rPr>
            </w:pPr>
            <w:r>
              <w:rPr>
                <w:rFonts w:hint="eastAsia"/>
                <w:color w:val="auto"/>
                <w:szCs w:val="21"/>
                <w:highlight w:val="none"/>
              </w:rPr>
              <w:t>车间地面分区防治，整个生产区、废水管道区地面列为重点防渗区，采取严格的、符合规定要求的防渗、防腐处理。污水管线选用优质PVC 管，均为地上明管，外包防渗膜。</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430" w:type="dxa"/>
            <w:vMerge w:val="continue"/>
            <w:vAlign w:val="center"/>
          </w:tcPr>
          <w:p>
            <w:pPr>
              <w:jc w:val="center"/>
              <w:rPr>
                <w:color w:val="auto"/>
                <w:szCs w:val="21"/>
                <w:highlight w:val="none"/>
              </w:rPr>
            </w:pPr>
          </w:p>
        </w:tc>
        <w:tc>
          <w:tcPr>
            <w:tcW w:w="1517" w:type="dxa"/>
            <w:gridSpan w:val="2"/>
            <w:vAlign w:val="center"/>
          </w:tcPr>
          <w:p>
            <w:pPr>
              <w:jc w:val="center"/>
              <w:rPr>
                <w:color w:val="auto"/>
                <w:szCs w:val="21"/>
                <w:highlight w:val="none"/>
              </w:rPr>
            </w:pPr>
            <w:r>
              <w:rPr>
                <w:color w:val="auto"/>
                <w:szCs w:val="21"/>
                <w:highlight w:val="none"/>
              </w:rPr>
              <w:t>噪声防治措施</w:t>
            </w:r>
          </w:p>
        </w:tc>
        <w:tc>
          <w:tcPr>
            <w:tcW w:w="7324" w:type="dxa"/>
            <w:gridSpan w:val="3"/>
            <w:vAlign w:val="center"/>
          </w:tcPr>
          <w:p>
            <w:pPr>
              <w:jc w:val="left"/>
              <w:rPr>
                <w:color w:val="auto"/>
                <w:szCs w:val="21"/>
                <w:highlight w:val="none"/>
              </w:rPr>
            </w:pPr>
            <w:r>
              <w:rPr>
                <w:rFonts w:hint="eastAsia"/>
                <w:color w:val="auto"/>
                <w:szCs w:val="21"/>
                <w:highlight w:val="none"/>
              </w:rPr>
              <w:t>优选低噪声设备，采取隔声、减振、消声措施</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430" w:type="dxa"/>
            <w:vMerge w:val="continue"/>
            <w:vAlign w:val="center"/>
          </w:tcPr>
          <w:p>
            <w:pPr>
              <w:jc w:val="center"/>
              <w:rPr>
                <w:color w:val="auto"/>
                <w:szCs w:val="21"/>
                <w:highlight w:val="none"/>
              </w:rPr>
            </w:pPr>
          </w:p>
        </w:tc>
        <w:tc>
          <w:tcPr>
            <w:tcW w:w="1517" w:type="dxa"/>
            <w:gridSpan w:val="2"/>
            <w:vAlign w:val="center"/>
          </w:tcPr>
          <w:p>
            <w:pPr>
              <w:jc w:val="center"/>
              <w:rPr>
                <w:color w:val="auto"/>
                <w:szCs w:val="21"/>
                <w:highlight w:val="none"/>
              </w:rPr>
            </w:pPr>
            <w:r>
              <w:rPr>
                <w:rFonts w:hint="eastAsia"/>
                <w:color w:val="auto"/>
                <w:szCs w:val="21"/>
                <w:highlight w:val="none"/>
              </w:rPr>
              <w:t>固废</w:t>
            </w:r>
            <w:r>
              <w:rPr>
                <w:color w:val="auto"/>
                <w:szCs w:val="21"/>
                <w:highlight w:val="none"/>
              </w:rPr>
              <w:t>防治措施</w:t>
            </w:r>
          </w:p>
        </w:tc>
        <w:tc>
          <w:tcPr>
            <w:tcW w:w="7324" w:type="dxa"/>
            <w:gridSpan w:val="3"/>
            <w:vAlign w:val="center"/>
          </w:tcPr>
          <w:p>
            <w:pPr>
              <w:spacing w:line="320" w:lineRule="exact"/>
              <w:jc w:val="left"/>
              <w:rPr>
                <w:color w:val="auto"/>
                <w:szCs w:val="21"/>
                <w:highlight w:val="none"/>
              </w:rPr>
            </w:pPr>
            <w:r>
              <w:rPr>
                <w:rFonts w:hint="eastAsia"/>
                <w:color w:val="auto"/>
                <w:kern w:val="0"/>
                <w:szCs w:val="21"/>
                <w:highlight w:val="none"/>
              </w:rPr>
              <w:t>危险废物委托</w:t>
            </w:r>
            <w:r>
              <w:rPr>
                <w:rFonts w:hint="eastAsia"/>
                <w:color w:val="auto"/>
                <w:kern w:val="0"/>
                <w:szCs w:val="21"/>
                <w:highlight w:val="none"/>
                <w:lang w:val="en-US" w:eastAsia="zh-CN"/>
              </w:rPr>
              <w:t>园区</w:t>
            </w:r>
            <w:r>
              <w:rPr>
                <w:rFonts w:hint="eastAsia"/>
                <w:color w:val="auto"/>
                <w:kern w:val="0"/>
                <w:szCs w:val="21"/>
                <w:highlight w:val="none"/>
              </w:rPr>
              <w:t>清运、暂存，定期交由有资质单位处置；</w:t>
            </w:r>
            <w:r>
              <w:rPr>
                <w:rFonts w:hint="eastAsia"/>
                <w:color w:val="auto"/>
                <w:kern w:val="0"/>
                <w:szCs w:val="21"/>
                <w:highlight w:val="none"/>
                <w:lang w:val="en-US" w:eastAsia="zh-CN"/>
              </w:rPr>
              <w:t>一般固废外售综合利用；</w:t>
            </w:r>
            <w:r>
              <w:rPr>
                <w:rFonts w:hint="eastAsia"/>
                <w:color w:val="auto"/>
                <w:kern w:val="0"/>
                <w:szCs w:val="21"/>
                <w:highlight w:val="none"/>
              </w:rPr>
              <w:t>生活垃圾由环卫部门收集处理</w:t>
            </w:r>
            <w:r>
              <w:rPr>
                <w:color w:val="auto"/>
                <w:szCs w:val="21"/>
                <w:highlight w:val="none"/>
                <w:lang w:val="zh-CN"/>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430" w:type="dxa"/>
            <w:vMerge w:val="restart"/>
            <w:vAlign w:val="center"/>
          </w:tcPr>
          <w:p>
            <w:pPr>
              <w:jc w:val="center"/>
              <w:rPr>
                <w:color w:val="auto"/>
                <w:szCs w:val="21"/>
                <w:highlight w:val="none"/>
              </w:rPr>
            </w:pPr>
            <w:r>
              <w:rPr>
                <w:rFonts w:hint="eastAsia"/>
                <w:color w:val="auto"/>
                <w:szCs w:val="21"/>
                <w:highlight w:val="none"/>
              </w:rPr>
              <w:t>依托工程</w:t>
            </w:r>
          </w:p>
        </w:tc>
        <w:tc>
          <w:tcPr>
            <w:tcW w:w="1517" w:type="dxa"/>
            <w:gridSpan w:val="2"/>
            <w:vAlign w:val="center"/>
          </w:tcPr>
          <w:p>
            <w:pPr>
              <w:jc w:val="center"/>
              <w:rPr>
                <w:color w:val="auto"/>
                <w:szCs w:val="21"/>
                <w:highlight w:val="none"/>
              </w:rPr>
            </w:pPr>
            <w:r>
              <w:rPr>
                <w:color w:val="auto"/>
                <w:szCs w:val="21"/>
                <w:highlight w:val="none"/>
              </w:rPr>
              <w:t>生产废水</w:t>
            </w:r>
          </w:p>
        </w:tc>
        <w:tc>
          <w:tcPr>
            <w:tcW w:w="7324" w:type="dxa"/>
            <w:gridSpan w:val="3"/>
            <w:vAlign w:val="center"/>
          </w:tcPr>
          <w:p>
            <w:pPr>
              <w:jc w:val="left"/>
              <w:rPr>
                <w:color w:val="auto"/>
                <w:szCs w:val="21"/>
                <w:highlight w:val="none"/>
              </w:rPr>
            </w:pPr>
            <w:r>
              <w:rPr>
                <w:color w:val="auto"/>
                <w:spacing w:val="2"/>
                <w:szCs w:val="21"/>
                <w:highlight w:val="none"/>
              </w:rPr>
              <w:t>依托</w:t>
            </w:r>
            <w:r>
              <w:rPr>
                <w:rFonts w:hint="eastAsia"/>
                <w:color w:val="auto"/>
                <w:spacing w:val="2"/>
                <w:szCs w:val="21"/>
                <w:highlight w:val="none"/>
                <w:lang w:val="en-US" w:eastAsia="zh-CN"/>
              </w:rPr>
              <w:t>园区</w:t>
            </w:r>
            <w:r>
              <w:rPr>
                <w:color w:val="auto"/>
                <w:spacing w:val="2"/>
                <w:szCs w:val="21"/>
                <w:highlight w:val="none"/>
              </w:rPr>
              <w:t>污水站处理；</w:t>
            </w:r>
            <w:r>
              <w:rPr>
                <w:rFonts w:hint="eastAsia"/>
                <w:color w:val="auto"/>
                <w:spacing w:val="2"/>
                <w:szCs w:val="21"/>
                <w:highlight w:val="none"/>
                <w:lang w:val="en-US" w:eastAsia="zh-CN"/>
              </w:rPr>
              <w:t>园区</w:t>
            </w:r>
            <w:r>
              <w:rPr>
                <w:color w:val="auto"/>
                <w:spacing w:val="2"/>
                <w:szCs w:val="21"/>
                <w:highlight w:val="none"/>
              </w:rPr>
              <w:t>铺设有含铬废水、</w:t>
            </w:r>
            <w:r>
              <w:rPr>
                <w:rFonts w:hint="eastAsia"/>
                <w:color w:val="auto"/>
                <w:spacing w:val="2"/>
                <w:szCs w:val="21"/>
                <w:highlight w:val="none"/>
                <w:lang w:val="en-US" w:eastAsia="zh-CN"/>
              </w:rPr>
              <w:t>含镍废水、</w:t>
            </w:r>
            <w:r>
              <w:rPr>
                <w:color w:val="auto"/>
                <w:spacing w:val="2"/>
                <w:szCs w:val="21"/>
                <w:highlight w:val="none"/>
              </w:rPr>
              <w:t>酸碱综合废水管道，各</w:t>
            </w:r>
            <w:r>
              <w:rPr>
                <w:rFonts w:hint="eastAsia"/>
                <w:color w:val="auto"/>
                <w:spacing w:val="2"/>
                <w:szCs w:val="21"/>
                <w:highlight w:val="none"/>
                <w:lang w:val="en-US" w:eastAsia="zh-CN"/>
              </w:rPr>
              <w:t>车间</w:t>
            </w:r>
            <w:r>
              <w:rPr>
                <w:color w:val="auto"/>
                <w:spacing w:val="2"/>
                <w:szCs w:val="21"/>
                <w:highlight w:val="none"/>
              </w:rPr>
              <w:t>电镀生产废水分类进入相应管道。污水站建有含铬废水、</w:t>
            </w:r>
            <w:r>
              <w:rPr>
                <w:rFonts w:hint="eastAsia"/>
                <w:color w:val="auto"/>
                <w:spacing w:val="2"/>
                <w:szCs w:val="21"/>
                <w:highlight w:val="none"/>
                <w:lang w:val="en-US" w:eastAsia="zh-CN"/>
              </w:rPr>
              <w:t>含镍废水、</w:t>
            </w:r>
            <w:r>
              <w:rPr>
                <w:color w:val="auto"/>
                <w:spacing w:val="2"/>
                <w:szCs w:val="21"/>
                <w:highlight w:val="none"/>
              </w:rPr>
              <w:t>综合废水处理系统。污水站处理出水一类污染物单独处理设施出口达到《电镀污染物排放标准》(GB21900-2008)表2标准、其它污染物指标总排口达到</w:t>
            </w:r>
            <w:r>
              <w:rPr>
                <w:color w:val="auto"/>
                <w:spacing w:val="2"/>
                <w:szCs w:val="21"/>
                <w:highlight w:val="none"/>
              </w:rPr>
              <w:t>《污水排入城镇下水道水质标准》(GB/T31962-2015)表1中B级</w:t>
            </w:r>
            <w:r>
              <w:rPr>
                <w:color w:val="auto"/>
                <w:spacing w:val="2"/>
                <w:szCs w:val="21"/>
                <w:highlight w:val="none"/>
              </w:rPr>
              <w:t>标准后通过市政污水管网排入</w:t>
            </w:r>
            <w:r>
              <w:rPr>
                <w:rFonts w:hint="eastAsia"/>
                <w:color w:val="auto"/>
                <w:spacing w:val="2"/>
                <w:szCs w:val="21"/>
                <w:highlight w:val="none"/>
                <w:lang w:eastAsia="zh-CN"/>
              </w:rPr>
              <w:t>镰湾河水质净化厂</w:t>
            </w:r>
            <w:r>
              <w:rPr>
                <w:color w:val="auto"/>
                <w:spacing w:val="2"/>
                <w:szCs w:val="21"/>
                <w:highlight w:val="none"/>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430" w:type="dxa"/>
            <w:vMerge w:val="continue"/>
            <w:vAlign w:val="center"/>
          </w:tcPr>
          <w:p>
            <w:pPr>
              <w:jc w:val="center"/>
              <w:rPr>
                <w:color w:val="auto"/>
                <w:szCs w:val="21"/>
                <w:highlight w:val="none"/>
              </w:rPr>
            </w:pPr>
          </w:p>
        </w:tc>
        <w:tc>
          <w:tcPr>
            <w:tcW w:w="1517" w:type="dxa"/>
            <w:gridSpan w:val="2"/>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危险废物</w:t>
            </w:r>
          </w:p>
        </w:tc>
        <w:tc>
          <w:tcPr>
            <w:tcW w:w="7324" w:type="dxa"/>
            <w:gridSpan w:val="3"/>
            <w:vAlign w:val="center"/>
          </w:tcPr>
          <w:p>
            <w:pPr>
              <w:spacing w:line="300" w:lineRule="exact"/>
              <w:jc w:val="left"/>
              <w:rPr>
                <w:color w:val="auto"/>
                <w:szCs w:val="21"/>
                <w:highlight w:val="none"/>
              </w:rPr>
            </w:pPr>
            <w:r>
              <w:rPr>
                <w:color w:val="auto"/>
                <w:spacing w:val="2"/>
                <w:szCs w:val="21"/>
                <w:highlight w:val="none"/>
              </w:rPr>
              <w:t>依托</w:t>
            </w:r>
            <w:r>
              <w:rPr>
                <w:rFonts w:hint="eastAsia"/>
                <w:color w:val="auto"/>
                <w:spacing w:val="2"/>
                <w:szCs w:val="21"/>
                <w:highlight w:val="none"/>
                <w:lang w:val="en-US" w:eastAsia="zh-CN"/>
              </w:rPr>
              <w:t>园区</w:t>
            </w:r>
            <w:r>
              <w:rPr>
                <w:color w:val="auto"/>
                <w:spacing w:val="2"/>
                <w:szCs w:val="21"/>
                <w:highlight w:val="none"/>
              </w:rPr>
              <w:t>危险废物暂存库存放。</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430" w:type="dxa"/>
            <w:vMerge w:val="continue"/>
            <w:vAlign w:val="center"/>
          </w:tcPr>
          <w:p>
            <w:pPr>
              <w:jc w:val="center"/>
              <w:rPr>
                <w:color w:val="auto"/>
                <w:szCs w:val="21"/>
                <w:highlight w:val="none"/>
              </w:rPr>
            </w:pPr>
          </w:p>
        </w:tc>
        <w:tc>
          <w:tcPr>
            <w:tcW w:w="1517" w:type="dxa"/>
            <w:gridSpan w:val="2"/>
            <w:vAlign w:val="center"/>
          </w:tcPr>
          <w:p>
            <w:pPr>
              <w:jc w:val="center"/>
              <w:rPr>
                <w:color w:val="auto"/>
                <w:szCs w:val="21"/>
                <w:highlight w:val="none"/>
              </w:rPr>
            </w:pPr>
            <w:r>
              <w:rPr>
                <w:color w:val="auto"/>
                <w:szCs w:val="21"/>
                <w:highlight w:val="none"/>
              </w:rPr>
              <w:t>风险应急</w:t>
            </w:r>
          </w:p>
        </w:tc>
        <w:tc>
          <w:tcPr>
            <w:tcW w:w="7324" w:type="dxa"/>
            <w:gridSpan w:val="3"/>
            <w:vAlign w:val="center"/>
          </w:tcPr>
          <w:p>
            <w:pPr>
              <w:spacing w:line="300" w:lineRule="exact"/>
              <w:jc w:val="left"/>
              <w:rPr>
                <w:color w:val="auto"/>
                <w:szCs w:val="21"/>
                <w:highlight w:val="none"/>
              </w:rPr>
            </w:pPr>
            <w:r>
              <w:rPr>
                <w:color w:val="auto"/>
                <w:spacing w:val="2"/>
                <w:szCs w:val="21"/>
                <w:highlight w:val="none"/>
              </w:rPr>
              <w:t>企业应急预案与</w:t>
            </w:r>
            <w:r>
              <w:rPr>
                <w:rFonts w:hint="eastAsia"/>
                <w:color w:val="auto"/>
                <w:spacing w:val="2"/>
                <w:szCs w:val="21"/>
                <w:highlight w:val="none"/>
                <w:lang w:val="en-US" w:eastAsia="zh-CN"/>
              </w:rPr>
              <w:t>园区</w:t>
            </w:r>
            <w:r>
              <w:rPr>
                <w:color w:val="auto"/>
                <w:spacing w:val="2"/>
                <w:szCs w:val="21"/>
                <w:highlight w:val="none"/>
              </w:rPr>
              <w:t>环境应急预案联动。</w:t>
            </w:r>
          </w:p>
        </w:tc>
      </w:tr>
    </w:tbl>
    <w:p>
      <w:pPr>
        <w:adjustRightInd w:val="0"/>
        <w:snapToGrid w:val="0"/>
        <w:spacing w:line="360" w:lineRule="auto"/>
        <w:ind w:firstLine="482" w:firstLineChars="200"/>
        <w:rPr>
          <w:color w:val="auto"/>
          <w:sz w:val="24"/>
          <w:highlight w:val="none"/>
        </w:rPr>
      </w:pPr>
      <w:r>
        <w:rPr>
          <w:b/>
          <w:color w:val="auto"/>
          <w:sz w:val="24"/>
          <w:highlight w:val="none"/>
        </w:rPr>
        <w:t>职工人数：</w:t>
      </w:r>
      <w:r>
        <w:rPr>
          <w:rFonts w:hint="eastAsia"/>
          <w:color w:val="auto"/>
          <w:sz w:val="24"/>
          <w:highlight w:val="none"/>
        </w:rPr>
        <w:t>项目职工人数</w:t>
      </w:r>
      <w:r>
        <w:rPr>
          <w:rFonts w:hint="eastAsia"/>
          <w:color w:val="auto"/>
          <w:sz w:val="24"/>
          <w:highlight w:val="none"/>
          <w:lang w:val="en-US" w:eastAsia="zh-CN"/>
        </w:rPr>
        <w:t>50</w:t>
      </w:r>
      <w:r>
        <w:rPr>
          <w:color w:val="auto"/>
          <w:sz w:val="24"/>
          <w:highlight w:val="none"/>
        </w:rPr>
        <w:t>人</w:t>
      </w:r>
      <w:r>
        <w:rPr>
          <w:rFonts w:hint="eastAsia"/>
          <w:color w:val="auto"/>
          <w:sz w:val="24"/>
          <w:highlight w:val="none"/>
        </w:rPr>
        <w:t>，不设</w:t>
      </w:r>
      <w:r>
        <w:rPr>
          <w:color w:val="auto"/>
          <w:sz w:val="24"/>
          <w:highlight w:val="none"/>
        </w:rPr>
        <w:t>食堂</w:t>
      </w:r>
      <w:r>
        <w:rPr>
          <w:rFonts w:hint="eastAsia"/>
          <w:color w:val="auto"/>
          <w:sz w:val="24"/>
          <w:highlight w:val="none"/>
        </w:rPr>
        <w:t>、宿舍。</w:t>
      </w:r>
    </w:p>
    <w:p>
      <w:pPr>
        <w:adjustRightInd w:val="0"/>
        <w:snapToGrid w:val="0"/>
        <w:spacing w:line="360" w:lineRule="auto"/>
        <w:ind w:firstLine="482" w:firstLineChars="200"/>
        <w:rPr>
          <w:color w:val="auto"/>
          <w:sz w:val="24"/>
          <w:highlight w:val="none"/>
        </w:rPr>
      </w:pPr>
      <w:r>
        <w:rPr>
          <w:b/>
          <w:color w:val="auto"/>
          <w:sz w:val="24"/>
          <w:highlight w:val="none"/>
        </w:rPr>
        <w:t>工作制度</w:t>
      </w:r>
      <w:r>
        <w:rPr>
          <w:rFonts w:hint="eastAsia"/>
          <w:b/>
          <w:color w:val="auto"/>
          <w:sz w:val="24"/>
          <w:highlight w:val="none"/>
        </w:rPr>
        <w:t>：</w:t>
      </w:r>
      <w:r>
        <w:rPr>
          <w:color w:val="auto"/>
          <w:sz w:val="24"/>
          <w:highlight w:val="none"/>
        </w:rPr>
        <w:t>年工作天数为300天，采取</w:t>
      </w:r>
      <w:r>
        <w:rPr>
          <w:rFonts w:hint="eastAsia"/>
          <w:color w:val="auto"/>
          <w:sz w:val="24"/>
          <w:highlight w:val="none"/>
        </w:rPr>
        <w:t>一</w:t>
      </w:r>
      <w:r>
        <w:rPr>
          <w:color w:val="auto"/>
          <w:sz w:val="24"/>
          <w:highlight w:val="none"/>
        </w:rPr>
        <w:t>班制生产，每班8小时，</w:t>
      </w:r>
      <w:r>
        <w:rPr>
          <w:rFonts w:hint="eastAsia"/>
          <w:color w:val="auto"/>
          <w:sz w:val="24"/>
          <w:highlight w:val="none"/>
        </w:rPr>
        <w:t>累计年工作2400小时。</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2"/>
        <w:rPr>
          <w:rFonts w:hint="eastAsia" w:ascii="黑体" w:hAnsi="黑体" w:eastAsia="黑体" w:cs="Times New Roman"/>
          <w:color w:val="auto"/>
          <w:sz w:val="24"/>
          <w:highlight w:val="none"/>
        </w:rPr>
      </w:pPr>
      <w:r>
        <w:rPr>
          <w:rFonts w:hint="eastAsia" w:ascii="黑体" w:hAnsi="黑体" w:eastAsia="黑体" w:cs="Times New Roman"/>
          <w:color w:val="auto"/>
          <w:sz w:val="24"/>
          <w:highlight w:val="none"/>
        </w:rPr>
        <w:t>2.2.2项目生产线情况</w:t>
      </w:r>
    </w:p>
    <w:p>
      <w:pPr>
        <w:adjustRightInd w:val="0"/>
        <w:snapToGrid w:val="0"/>
        <w:spacing w:line="360" w:lineRule="auto"/>
        <w:ind w:firstLine="480" w:firstLineChars="200"/>
        <w:rPr>
          <w:rFonts w:eastAsiaTheme="minorEastAsia"/>
          <w:color w:val="auto"/>
          <w:sz w:val="24"/>
          <w:highlight w:val="none"/>
        </w:rPr>
      </w:pPr>
      <w:r>
        <w:rPr>
          <w:rFonts w:eastAsiaTheme="minorEastAsia"/>
          <w:color w:val="auto"/>
          <w:sz w:val="24"/>
          <w:highlight w:val="none"/>
        </w:rPr>
        <w:t>按照已取得环评批复的项目</w:t>
      </w:r>
      <w:r>
        <w:rPr>
          <w:rFonts w:hint="eastAsia" w:eastAsiaTheme="minorEastAsia"/>
          <w:color w:val="auto"/>
          <w:sz w:val="24"/>
          <w:highlight w:val="none"/>
        </w:rPr>
        <w:t>及</w:t>
      </w:r>
      <w:r>
        <w:rPr>
          <w:rFonts w:hint="eastAsia" w:eastAsiaTheme="minorEastAsia"/>
          <w:color w:val="auto"/>
          <w:sz w:val="24"/>
          <w:highlight w:val="none"/>
          <w:lang w:val="en-US" w:eastAsia="zh-CN"/>
        </w:rPr>
        <w:t>实际</w:t>
      </w:r>
      <w:r>
        <w:rPr>
          <w:rFonts w:eastAsiaTheme="minorEastAsia"/>
          <w:color w:val="auto"/>
          <w:sz w:val="24"/>
          <w:highlight w:val="none"/>
        </w:rPr>
        <w:t>生产情况</w:t>
      </w:r>
      <w:r>
        <w:rPr>
          <w:rFonts w:hint="eastAsia" w:eastAsiaTheme="minorEastAsia"/>
          <w:color w:val="auto"/>
          <w:sz w:val="24"/>
          <w:highlight w:val="none"/>
        </w:rPr>
        <w:t>，</w:t>
      </w:r>
      <w:r>
        <w:rPr>
          <w:rFonts w:hint="eastAsia" w:eastAsiaTheme="minorEastAsia"/>
          <w:color w:val="auto"/>
          <w:sz w:val="24"/>
          <w:highlight w:val="none"/>
          <w:lang w:val="en-US" w:eastAsia="zh-CN"/>
        </w:rPr>
        <w:t>项目</w:t>
      </w:r>
      <w:r>
        <w:rPr>
          <w:rFonts w:hint="eastAsia" w:eastAsiaTheme="minorEastAsia"/>
          <w:color w:val="auto"/>
          <w:sz w:val="24"/>
          <w:highlight w:val="none"/>
        </w:rPr>
        <w:t>电镀</w:t>
      </w:r>
      <w:r>
        <w:rPr>
          <w:rFonts w:hint="eastAsia" w:eastAsiaTheme="minorEastAsia"/>
          <w:color w:val="auto"/>
          <w:sz w:val="24"/>
          <w:highlight w:val="none"/>
          <w:lang w:val="en-US" w:eastAsia="zh-CN"/>
        </w:rPr>
        <w:t>各镀种产能未变。</w:t>
      </w:r>
      <w:r>
        <w:rPr>
          <w:rFonts w:hint="eastAsia" w:eastAsiaTheme="minorEastAsia"/>
          <w:color w:val="auto"/>
          <w:sz w:val="24"/>
          <w:highlight w:val="none"/>
        </w:rPr>
        <w:t>项目生产线</w:t>
      </w:r>
      <w:r>
        <w:rPr>
          <w:rFonts w:hint="eastAsia" w:eastAsiaTheme="minorEastAsia"/>
          <w:color w:val="auto"/>
          <w:sz w:val="24"/>
          <w:highlight w:val="none"/>
          <w:lang w:val="en-US" w:eastAsia="zh-CN"/>
        </w:rPr>
        <w:t>产能</w:t>
      </w:r>
      <w:r>
        <w:rPr>
          <w:rFonts w:eastAsiaTheme="minorEastAsia"/>
          <w:color w:val="auto"/>
          <w:sz w:val="24"/>
          <w:highlight w:val="none"/>
        </w:rPr>
        <w:t>见表2.</w:t>
      </w:r>
      <w:r>
        <w:rPr>
          <w:rFonts w:hint="eastAsia" w:eastAsiaTheme="minorEastAsia"/>
          <w:color w:val="auto"/>
          <w:sz w:val="24"/>
          <w:highlight w:val="none"/>
        </w:rPr>
        <w:t>2</w:t>
      </w:r>
      <w:r>
        <w:rPr>
          <w:rFonts w:eastAsiaTheme="minorEastAsia"/>
          <w:color w:val="auto"/>
          <w:sz w:val="24"/>
          <w:highlight w:val="none"/>
        </w:rPr>
        <w:t>-</w:t>
      </w:r>
      <w:r>
        <w:rPr>
          <w:rFonts w:hint="eastAsia" w:eastAsiaTheme="minorEastAsia"/>
          <w:color w:val="auto"/>
          <w:sz w:val="24"/>
          <w:highlight w:val="none"/>
        </w:rPr>
        <w:t>2</w:t>
      </w:r>
      <w:r>
        <w:rPr>
          <w:rFonts w:eastAsiaTheme="minorEastAsia"/>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eastAsia="黑体"/>
          <w:color w:val="auto"/>
          <w:sz w:val="24"/>
          <w:szCs w:val="24"/>
          <w:highlight w:val="none"/>
        </w:rPr>
      </w:pPr>
      <w:r>
        <w:rPr>
          <w:rFonts w:eastAsia="黑体"/>
          <w:color w:val="auto"/>
          <w:sz w:val="24"/>
          <w:szCs w:val="24"/>
          <w:highlight w:val="none"/>
        </w:rPr>
        <w:t>表2.</w:t>
      </w:r>
      <w:r>
        <w:rPr>
          <w:rFonts w:hint="eastAsia" w:eastAsia="黑体"/>
          <w:color w:val="auto"/>
          <w:sz w:val="24"/>
          <w:szCs w:val="24"/>
          <w:highlight w:val="none"/>
        </w:rPr>
        <w:t>2</w:t>
      </w:r>
      <w:r>
        <w:rPr>
          <w:rFonts w:eastAsia="黑体"/>
          <w:color w:val="auto"/>
          <w:sz w:val="24"/>
          <w:szCs w:val="24"/>
          <w:highlight w:val="none"/>
        </w:rPr>
        <w:t>-</w:t>
      </w:r>
      <w:r>
        <w:rPr>
          <w:rFonts w:hint="eastAsia" w:eastAsia="黑体"/>
          <w:color w:val="auto"/>
          <w:sz w:val="24"/>
          <w:szCs w:val="24"/>
          <w:highlight w:val="none"/>
        </w:rPr>
        <w:t>2</w:t>
      </w:r>
      <w:r>
        <w:rPr>
          <w:rFonts w:eastAsia="黑体"/>
          <w:color w:val="auto"/>
          <w:sz w:val="24"/>
          <w:szCs w:val="24"/>
          <w:highlight w:val="none"/>
        </w:rPr>
        <w:t xml:space="preserve"> </w:t>
      </w:r>
      <w:r>
        <w:rPr>
          <w:rFonts w:hint="eastAsia" w:eastAsia="黑体"/>
          <w:color w:val="auto"/>
          <w:sz w:val="24"/>
          <w:szCs w:val="24"/>
          <w:highlight w:val="none"/>
          <w:lang w:val="en-US" w:eastAsia="zh-CN"/>
        </w:rPr>
        <w:t xml:space="preserve"> </w:t>
      </w:r>
      <w:r>
        <w:rPr>
          <w:rFonts w:eastAsia="黑体"/>
          <w:color w:val="auto"/>
          <w:sz w:val="24"/>
          <w:szCs w:val="24"/>
          <w:highlight w:val="none"/>
        </w:rPr>
        <w:t>产品方案</w:t>
      </w:r>
    </w:p>
    <w:tbl>
      <w:tblPr>
        <w:tblStyle w:val="36"/>
        <w:tblW w:w="9197" w:type="dxa"/>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085"/>
        <w:gridCol w:w="2883"/>
        <w:gridCol w:w="917"/>
        <w:gridCol w:w="1834"/>
        <w:gridCol w:w="1150"/>
        <w:gridCol w:w="1328"/>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1085" w:type="dxa"/>
            <w:vAlign w:val="center"/>
          </w:tcPr>
          <w:p>
            <w:pPr>
              <w:adjustRightInd w:val="0"/>
              <w:snapToGrid w:val="0"/>
              <w:jc w:val="center"/>
              <w:textAlignment w:val="center"/>
              <w:rPr>
                <w:rFonts w:hint="default" w:ascii="Times New Roman" w:hAnsi="Times New Roman" w:eastAsia="宋体" w:cs="Times New Roman"/>
                <w:b/>
                <w:snapToGrid w:val="0"/>
                <w:color w:val="auto"/>
                <w:szCs w:val="21"/>
                <w:highlight w:val="none"/>
                <w:lang w:val="en-US" w:eastAsia="zh-CN"/>
              </w:rPr>
            </w:pPr>
            <w:r>
              <w:rPr>
                <w:rFonts w:hint="default" w:ascii="Times New Roman" w:hAnsi="Times New Roman" w:cs="Times New Roman"/>
                <w:b/>
                <w:snapToGrid w:val="0"/>
                <w:color w:val="auto"/>
                <w:szCs w:val="21"/>
                <w:highlight w:val="none"/>
                <w:lang w:val="en-US" w:eastAsia="zh-CN"/>
              </w:rPr>
              <w:t>车间位置</w:t>
            </w:r>
          </w:p>
        </w:tc>
        <w:tc>
          <w:tcPr>
            <w:tcW w:w="2883" w:type="dxa"/>
            <w:vAlign w:val="center"/>
          </w:tcPr>
          <w:p>
            <w:pPr>
              <w:adjustRightInd w:val="0"/>
              <w:snapToGrid w:val="0"/>
              <w:jc w:val="center"/>
              <w:textAlignment w:val="center"/>
              <w:rPr>
                <w:rFonts w:hint="default" w:ascii="Times New Roman" w:hAnsi="Times New Roman" w:cs="Times New Roman"/>
                <w:b/>
                <w:snapToGrid w:val="0"/>
                <w:color w:val="auto"/>
                <w:szCs w:val="21"/>
                <w:highlight w:val="none"/>
              </w:rPr>
            </w:pPr>
            <w:r>
              <w:rPr>
                <w:rFonts w:hint="default" w:ascii="Times New Roman" w:hAnsi="Times New Roman" w:cs="Times New Roman"/>
                <w:b/>
                <w:snapToGrid w:val="0"/>
                <w:color w:val="auto"/>
                <w:szCs w:val="21"/>
                <w:highlight w:val="none"/>
              </w:rPr>
              <w:t>生产线</w:t>
            </w:r>
          </w:p>
        </w:tc>
        <w:tc>
          <w:tcPr>
            <w:tcW w:w="917" w:type="dxa"/>
            <w:vAlign w:val="center"/>
          </w:tcPr>
          <w:p>
            <w:pPr>
              <w:adjustRightInd w:val="0"/>
              <w:snapToGrid w:val="0"/>
              <w:jc w:val="center"/>
              <w:textAlignment w:val="center"/>
              <w:rPr>
                <w:rFonts w:hint="default" w:ascii="Times New Roman" w:hAnsi="Times New Roman" w:eastAsia="宋体" w:cs="Times New Roman"/>
                <w:b/>
                <w:snapToGrid w:val="0"/>
                <w:color w:val="auto"/>
                <w:szCs w:val="21"/>
                <w:highlight w:val="none"/>
                <w:lang w:eastAsia="zh-CN"/>
              </w:rPr>
            </w:pPr>
            <w:r>
              <w:rPr>
                <w:rFonts w:hint="default" w:ascii="Times New Roman" w:hAnsi="Times New Roman" w:cs="Times New Roman"/>
                <w:b/>
                <w:snapToGrid w:val="0"/>
                <w:color w:val="auto"/>
                <w:szCs w:val="21"/>
                <w:highlight w:val="none"/>
                <w:lang w:val="en-US" w:eastAsia="zh-CN"/>
              </w:rPr>
              <w:t>镀种</w:t>
            </w:r>
          </w:p>
        </w:tc>
        <w:tc>
          <w:tcPr>
            <w:tcW w:w="1834" w:type="dxa"/>
            <w:vAlign w:val="center"/>
          </w:tcPr>
          <w:p>
            <w:pPr>
              <w:adjustRightInd w:val="0"/>
              <w:snapToGrid w:val="0"/>
              <w:jc w:val="center"/>
              <w:textAlignment w:val="center"/>
              <w:rPr>
                <w:rFonts w:hint="eastAsia" w:ascii="Times New Roman" w:hAnsi="Times New Roman" w:eastAsia="宋体" w:cs="Times New Roman"/>
                <w:b/>
                <w:snapToGrid w:val="0"/>
                <w:color w:val="auto"/>
                <w:szCs w:val="21"/>
                <w:highlight w:val="none"/>
                <w:lang w:eastAsia="zh-CN"/>
              </w:rPr>
            </w:pPr>
            <w:r>
              <w:rPr>
                <w:rFonts w:hint="default" w:ascii="Times New Roman" w:hAnsi="Times New Roman" w:cs="Times New Roman"/>
                <w:b/>
                <w:snapToGrid w:val="0"/>
                <w:color w:val="auto"/>
                <w:szCs w:val="21"/>
                <w:highlight w:val="none"/>
              </w:rPr>
              <w:t>产量</w:t>
            </w:r>
            <w:r>
              <w:rPr>
                <w:rFonts w:hint="eastAsia" w:cs="Times New Roman"/>
                <w:b/>
                <w:snapToGrid w:val="0"/>
                <w:color w:val="auto"/>
                <w:szCs w:val="21"/>
                <w:highlight w:val="none"/>
                <w:lang w:eastAsia="zh-CN"/>
              </w:rPr>
              <w:t>(</w:t>
            </w:r>
            <w:r>
              <w:rPr>
                <w:rFonts w:hint="default" w:ascii="Times New Roman" w:hAnsi="Times New Roman" w:cs="Times New Roman"/>
                <w:b/>
                <w:color w:val="auto"/>
                <w:sz w:val="24"/>
                <w:highlight w:val="none"/>
              </w:rPr>
              <w:t>m</w:t>
            </w:r>
            <w:r>
              <w:rPr>
                <w:rFonts w:hint="default" w:ascii="Times New Roman" w:hAnsi="Times New Roman" w:cs="Times New Roman"/>
                <w:b/>
                <w:color w:val="auto"/>
                <w:sz w:val="24"/>
                <w:highlight w:val="none"/>
                <w:vertAlign w:val="superscript"/>
              </w:rPr>
              <w:t>2</w:t>
            </w:r>
            <w:r>
              <w:rPr>
                <w:rFonts w:hint="default" w:ascii="Times New Roman" w:hAnsi="Times New Roman" w:cs="Times New Roman"/>
                <w:b/>
                <w:snapToGrid w:val="0"/>
                <w:color w:val="auto"/>
                <w:szCs w:val="21"/>
                <w:highlight w:val="none"/>
              </w:rPr>
              <w:t>/a</w:t>
            </w:r>
            <w:r>
              <w:rPr>
                <w:rFonts w:hint="eastAsia" w:cs="Times New Roman"/>
                <w:b/>
                <w:snapToGrid w:val="0"/>
                <w:color w:val="auto"/>
                <w:szCs w:val="21"/>
                <w:highlight w:val="none"/>
                <w:lang w:eastAsia="zh-CN"/>
              </w:rPr>
              <w:t>)</w:t>
            </w:r>
          </w:p>
        </w:tc>
        <w:tc>
          <w:tcPr>
            <w:tcW w:w="1150" w:type="dxa"/>
            <w:vAlign w:val="center"/>
          </w:tcPr>
          <w:p>
            <w:pPr>
              <w:spacing w:line="320" w:lineRule="exact"/>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镀层厚度</w:t>
            </w:r>
          </w:p>
          <w:p>
            <w:pPr>
              <w:adjustRightInd w:val="0"/>
              <w:snapToGrid w:val="0"/>
              <w:jc w:val="center"/>
              <w:textAlignment w:val="center"/>
              <w:rPr>
                <w:rFonts w:hint="eastAsia" w:ascii="Times New Roman" w:hAnsi="Times New Roman" w:eastAsia="宋体" w:cs="Times New Roman"/>
                <w:b/>
                <w:snapToGrid w:val="0"/>
                <w:color w:val="auto"/>
                <w:szCs w:val="21"/>
                <w:highlight w:val="none"/>
                <w:lang w:eastAsia="zh-CN"/>
              </w:rPr>
            </w:pPr>
            <w:r>
              <w:rPr>
                <w:rFonts w:hint="eastAsia" w:cs="Times New Roman"/>
                <w:b/>
                <w:color w:val="auto"/>
                <w:szCs w:val="21"/>
                <w:highlight w:val="none"/>
                <w:lang w:eastAsia="zh-CN"/>
              </w:rPr>
              <w:t>(</w:t>
            </w:r>
            <w:r>
              <w:rPr>
                <w:rFonts w:hint="default" w:ascii="Times New Roman" w:hAnsi="Times New Roman" w:cs="Times New Roman"/>
                <w:b/>
                <w:color w:val="auto"/>
                <w:szCs w:val="21"/>
                <w:highlight w:val="none"/>
              </w:rPr>
              <w:t>um</w:t>
            </w:r>
            <w:r>
              <w:rPr>
                <w:rFonts w:hint="eastAsia" w:cs="Times New Roman"/>
                <w:b/>
                <w:color w:val="auto"/>
                <w:szCs w:val="21"/>
                <w:highlight w:val="none"/>
                <w:lang w:eastAsia="zh-CN"/>
              </w:rPr>
              <w:t>)</w:t>
            </w:r>
          </w:p>
        </w:tc>
        <w:tc>
          <w:tcPr>
            <w:tcW w:w="1328" w:type="dxa"/>
            <w:vAlign w:val="center"/>
          </w:tcPr>
          <w:p>
            <w:pPr>
              <w:adjustRightInd w:val="0"/>
              <w:snapToGrid w:val="0"/>
              <w:jc w:val="center"/>
              <w:textAlignment w:val="center"/>
              <w:rPr>
                <w:rFonts w:hint="eastAsia" w:ascii="宋体" w:hAnsi="宋体" w:eastAsia="宋体"/>
                <w:b/>
                <w:snapToGrid w:val="0"/>
                <w:color w:val="auto"/>
                <w:szCs w:val="21"/>
                <w:highlight w:val="none"/>
                <w:lang w:val="en-US" w:eastAsia="zh-CN"/>
              </w:rPr>
            </w:pPr>
            <w:r>
              <w:rPr>
                <w:rFonts w:hint="eastAsia" w:ascii="宋体" w:hAnsi="宋体"/>
                <w:b/>
                <w:snapToGrid w:val="0"/>
                <w:color w:val="auto"/>
                <w:szCs w:val="21"/>
                <w:highlight w:val="none"/>
                <w:lang w:val="en-US" w:eastAsia="zh-CN"/>
              </w:rPr>
              <w:t>批准产量</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1085" w:type="dxa"/>
            <w:vAlign w:val="center"/>
          </w:tcPr>
          <w:p>
            <w:pPr>
              <w:adjustRightInd w:val="0"/>
              <w:snapToGrid w:val="0"/>
              <w:jc w:val="center"/>
              <w:textAlignment w:val="center"/>
              <w:rPr>
                <w:rFonts w:hint="default" w:ascii="Times New Roman" w:hAnsi="Times New Roman" w:cs="Times New Roman"/>
                <w:snapToGrid w:val="0"/>
                <w:color w:val="auto"/>
                <w:szCs w:val="21"/>
                <w:highlight w:val="none"/>
                <w:u w:color="0000FF"/>
                <w:lang w:val="en-US"/>
              </w:rPr>
            </w:pPr>
            <w:r>
              <w:rPr>
                <w:rFonts w:hint="default" w:ascii="Times New Roman" w:hAnsi="Times New Roman" w:cs="Times New Roman"/>
                <w:snapToGrid w:val="0"/>
                <w:color w:val="auto"/>
                <w:szCs w:val="21"/>
                <w:highlight w:val="none"/>
                <w:u w:color="0000FF"/>
                <w:lang w:val="en-US" w:eastAsia="zh-CN"/>
              </w:rPr>
              <w:t>1#车间</w:t>
            </w:r>
          </w:p>
        </w:tc>
        <w:tc>
          <w:tcPr>
            <w:tcW w:w="2883" w:type="dxa"/>
            <w:vAlign w:val="center"/>
          </w:tcPr>
          <w:p>
            <w:pPr>
              <w:adjustRightInd w:val="0"/>
              <w:snapToGrid w:val="0"/>
              <w:jc w:val="center"/>
              <w:textAlignment w:val="center"/>
              <w:rPr>
                <w:rFonts w:hint="default" w:ascii="Times New Roman" w:hAnsi="Times New Roman" w:cs="Times New Roman"/>
                <w:snapToGrid w:val="0"/>
                <w:color w:val="auto"/>
                <w:szCs w:val="21"/>
                <w:highlight w:val="none"/>
                <w:u w:color="0000FF"/>
              </w:rPr>
            </w:pPr>
            <w:r>
              <w:rPr>
                <w:rFonts w:hint="default" w:ascii="Times New Roman" w:hAnsi="Times New Roman" w:cs="Times New Roman"/>
                <w:color w:val="auto"/>
                <w:kern w:val="0"/>
                <w:sz w:val="21"/>
                <w:szCs w:val="21"/>
                <w:highlight w:val="none"/>
              </w:rPr>
              <w:t>自动</w:t>
            </w:r>
            <w:r>
              <w:rPr>
                <w:rFonts w:hint="default" w:ascii="Times New Roman" w:hAnsi="Times New Roman" w:cs="Times New Roman"/>
                <w:color w:val="auto"/>
                <w:szCs w:val="21"/>
                <w:highlight w:val="none"/>
              </w:rPr>
              <w:t>挂镀锡</w:t>
            </w:r>
            <w:r>
              <w:rPr>
                <w:rFonts w:hint="default" w:ascii="Times New Roman" w:hAnsi="Times New Roman" w:cs="Times New Roman"/>
                <w:color w:val="auto"/>
                <w:szCs w:val="21"/>
                <w:highlight w:val="none"/>
                <w:lang w:eastAsia="zh-CN"/>
              </w:rPr>
              <w:t>线</w:t>
            </w:r>
            <w:r>
              <w:rPr>
                <w:rFonts w:hint="default" w:ascii="Times New Roman" w:hAnsi="Times New Roman" w:cs="Times New Roman"/>
                <w:color w:val="auto"/>
                <w:szCs w:val="21"/>
                <w:highlight w:val="none"/>
                <w:lang w:val="en-US" w:eastAsia="zh-CN"/>
              </w:rPr>
              <w:t>1条，</w:t>
            </w:r>
            <w:r>
              <w:rPr>
                <w:rFonts w:hint="default" w:ascii="Times New Roman" w:hAnsi="Times New Roman" w:cs="Times New Roman"/>
                <w:color w:val="auto"/>
                <w:kern w:val="0"/>
                <w:sz w:val="21"/>
                <w:szCs w:val="21"/>
                <w:highlight w:val="none"/>
              </w:rPr>
              <w:t>自动</w:t>
            </w:r>
            <w:r>
              <w:rPr>
                <w:rFonts w:hint="default" w:ascii="Times New Roman" w:hAnsi="Times New Roman" w:cs="Times New Roman"/>
                <w:color w:val="auto"/>
                <w:szCs w:val="21"/>
                <w:highlight w:val="none"/>
                <w:lang w:eastAsia="zh-CN"/>
              </w:rPr>
              <w:t>滚</w:t>
            </w:r>
            <w:r>
              <w:rPr>
                <w:rFonts w:hint="default" w:ascii="Times New Roman" w:hAnsi="Times New Roman" w:cs="Times New Roman"/>
                <w:color w:val="auto"/>
                <w:szCs w:val="21"/>
                <w:highlight w:val="none"/>
              </w:rPr>
              <w:t>镀锡</w:t>
            </w:r>
            <w:r>
              <w:rPr>
                <w:rFonts w:hint="default" w:ascii="Times New Roman" w:hAnsi="Times New Roman" w:cs="Times New Roman"/>
                <w:color w:val="auto"/>
                <w:szCs w:val="21"/>
                <w:highlight w:val="none"/>
                <w:lang w:eastAsia="zh-CN"/>
              </w:rPr>
              <w:t>线</w:t>
            </w:r>
            <w:r>
              <w:rPr>
                <w:rFonts w:hint="default" w:ascii="Times New Roman" w:hAnsi="Times New Roman" w:cs="Times New Roman"/>
                <w:color w:val="auto"/>
                <w:szCs w:val="21"/>
                <w:highlight w:val="none"/>
                <w:lang w:val="en-US" w:eastAsia="zh-CN"/>
              </w:rPr>
              <w:t>1条</w:t>
            </w:r>
          </w:p>
        </w:tc>
        <w:tc>
          <w:tcPr>
            <w:tcW w:w="917" w:type="dxa"/>
            <w:vAlign w:val="center"/>
          </w:tcPr>
          <w:p>
            <w:pPr>
              <w:adjustRightInd w:val="0"/>
              <w:snapToGrid w:val="0"/>
              <w:jc w:val="center"/>
              <w:textAlignment w:val="center"/>
              <w:rPr>
                <w:rFonts w:hint="default" w:ascii="Times New Roman" w:hAnsi="Times New Roman" w:eastAsia="宋体" w:cs="Times New Roman"/>
                <w:snapToGrid w:val="0"/>
                <w:color w:val="auto"/>
                <w:szCs w:val="21"/>
                <w:highlight w:val="none"/>
                <w:u w:color="0000FF"/>
                <w:lang w:val="en-US" w:eastAsia="zh-CN"/>
              </w:rPr>
            </w:pPr>
            <w:r>
              <w:rPr>
                <w:rFonts w:hint="default" w:ascii="Times New Roman" w:hAnsi="Times New Roman" w:cs="Times New Roman"/>
                <w:snapToGrid w:val="0"/>
                <w:color w:val="auto"/>
                <w:szCs w:val="21"/>
                <w:highlight w:val="none"/>
                <w:u w:color="0000FF"/>
                <w:lang w:val="en-US" w:eastAsia="zh-CN"/>
              </w:rPr>
              <w:t>镀锡</w:t>
            </w:r>
          </w:p>
        </w:tc>
        <w:tc>
          <w:tcPr>
            <w:tcW w:w="1834" w:type="dxa"/>
            <w:vAlign w:val="center"/>
          </w:tcPr>
          <w:p>
            <w:pPr>
              <w:adjustRightInd w:val="0"/>
              <w:snapToGrid w:val="0"/>
              <w:jc w:val="center"/>
              <w:textAlignment w:val="center"/>
              <w:rPr>
                <w:rFonts w:hint="default" w:ascii="Times New Roman" w:hAnsi="Times New Roman" w:eastAsia="宋体" w:cs="Times New Roman"/>
                <w:snapToGrid w:val="0"/>
                <w:color w:val="auto"/>
                <w:szCs w:val="21"/>
                <w:highlight w:val="none"/>
                <w:u w:color="0000FF"/>
                <w:lang w:val="en-US" w:eastAsia="zh-CN"/>
              </w:rPr>
            </w:pPr>
            <w:r>
              <w:rPr>
                <w:rFonts w:hint="eastAsia" w:cs="Times New Roman"/>
                <w:snapToGrid w:val="0"/>
                <w:color w:val="auto"/>
                <w:szCs w:val="21"/>
                <w:highlight w:val="none"/>
                <w:u w:color="0000FF"/>
                <w:lang w:val="en-US" w:eastAsia="zh-CN"/>
              </w:rPr>
              <w:t>8</w:t>
            </w:r>
            <w:r>
              <w:rPr>
                <w:rFonts w:hint="default" w:ascii="Times New Roman" w:hAnsi="Times New Roman" w:cs="Times New Roman"/>
                <w:snapToGrid w:val="0"/>
                <w:color w:val="auto"/>
                <w:szCs w:val="21"/>
                <w:highlight w:val="none"/>
                <w:u w:color="0000FF"/>
                <w:lang w:val="en-US" w:eastAsia="zh-CN"/>
              </w:rPr>
              <w:t>000</w:t>
            </w:r>
          </w:p>
        </w:tc>
        <w:tc>
          <w:tcPr>
            <w:tcW w:w="1150" w:type="dxa"/>
            <w:vAlign w:val="center"/>
          </w:tcPr>
          <w:p>
            <w:pPr>
              <w:adjustRightInd w:val="0"/>
              <w:snapToGrid w:val="0"/>
              <w:jc w:val="center"/>
              <w:textAlignment w:val="center"/>
              <w:rPr>
                <w:rFonts w:hint="default" w:ascii="Times New Roman" w:hAnsi="Times New Roman" w:cs="Times New Roman"/>
                <w:snapToGrid w:val="0"/>
                <w:color w:val="auto"/>
                <w:szCs w:val="21"/>
                <w:highlight w:val="none"/>
                <w:u w:color="0000FF"/>
                <w:lang w:val="en-US" w:eastAsia="zh-CN"/>
              </w:rPr>
            </w:pPr>
            <w:r>
              <w:rPr>
                <w:rFonts w:hint="eastAsia" w:cs="Times New Roman"/>
                <w:snapToGrid w:val="0"/>
                <w:color w:val="auto"/>
                <w:szCs w:val="21"/>
                <w:highlight w:val="none"/>
                <w:u w:color="0000FF"/>
                <w:lang w:val="en-US" w:eastAsia="zh-CN"/>
              </w:rPr>
              <w:t>5</w:t>
            </w:r>
            <w:r>
              <w:rPr>
                <w:rFonts w:hint="default" w:ascii="Times New Roman" w:hAnsi="Times New Roman" w:cs="Times New Roman"/>
                <w:snapToGrid w:val="0"/>
                <w:color w:val="auto"/>
                <w:szCs w:val="21"/>
                <w:highlight w:val="none"/>
                <w:u w:color="0000FF"/>
                <w:lang w:val="en-US" w:eastAsia="zh-CN"/>
              </w:rPr>
              <w:t>~20</w:t>
            </w:r>
            <w:r>
              <w:rPr>
                <w:rFonts w:hint="eastAsia" w:cs="Times New Roman"/>
                <w:snapToGrid w:val="0"/>
                <w:color w:val="auto"/>
                <w:szCs w:val="21"/>
                <w:highlight w:val="none"/>
                <w:u w:color="0000FF"/>
                <w:lang w:val="en-US" w:eastAsia="zh-CN"/>
              </w:rPr>
              <w:t>0</w:t>
            </w:r>
          </w:p>
        </w:tc>
        <w:tc>
          <w:tcPr>
            <w:tcW w:w="1328" w:type="dxa"/>
            <w:vMerge w:val="restart"/>
            <w:vAlign w:val="center"/>
          </w:tcPr>
          <w:p>
            <w:pPr>
              <w:adjustRightInd w:val="0"/>
              <w:snapToGrid w:val="0"/>
              <w:jc w:val="center"/>
              <w:textAlignment w:val="center"/>
              <w:rPr>
                <w:rFonts w:hint="eastAsia"/>
                <w:snapToGrid w:val="0"/>
                <w:color w:val="auto"/>
                <w:szCs w:val="21"/>
                <w:highlight w:val="none"/>
                <w:u w:color="0000FF"/>
              </w:rPr>
            </w:pPr>
            <w:r>
              <w:rPr>
                <w:rFonts w:hint="eastAsia"/>
                <w:snapToGrid w:val="0"/>
                <w:color w:val="auto"/>
                <w:szCs w:val="21"/>
                <w:highlight w:val="none"/>
                <w:u w:color="0000FF"/>
              </w:rPr>
              <w:t>特殊材料电镀</w:t>
            </w:r>
            <w:r>
              <w:rPr>
                <w:rFonts w:hint="eastAsia"/>
                <w:snapToGrid w:val="0"/>
                <w:color w:val="auto"/>
                <w:szCs w:val="21"/>
                <w:highlight w:val="none"/>
                <w:u w:color="0000FF"/>
                <w:lang w:val="en-US" w:eastAsia="zh-CN"/>
              </w:rPr>
              <w:t>1</w:t>
            </w:r>
            <w:r>
              <w:rPr>
                <w:rFonts w:hint="eastAsia"/>
                <w:snapToGrid w:val="0"/>
                <w:color w:val="auto"/>
                <w:szCs w:val="21"/>
                <w:highlight w:val="none"/>
                <w:u w:color="0000FF"/>
              </w:rPr>
              <w:t>万m</w:t>
            </w:r>
            <w:r>
              <w:rPr>
                <w:rFonts w:hint="eastAsia"/>
                <w:snapToGrid w:val="0"/>
                <w:color w:val="auto"/>
                <w:szCs w:val="21"/>
                <w:highlight w:val="none"/>
                <w:u w:color="0000FF"/>
                <w:vertAlign w:val="superscript"/>
              </w:rPr>
              <w:t>2</w:t>
            </w:r>
            <w:r>
              <w:rPr>
                <w:rFonts w:hint="eastAsia"/>
                <w:snapToGrid w:val="0"/>
                <w:color w:val="auto"/>
                <w:szCs w:val="21"/>
                <w:highlight w:val="none"/>
                <w:u w:color="0000FF"/>
              </w:rPr>
              <w:t>/a</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1085" w:type="dxa"/>
            <w:vAlign w:val="center"/>
          </w:tcPr>
          <w:p>
            <w:pPr>
              <w:adjustRightInd w:val="0"/>
              <w:snapToGrid w:val="0"/>
              <w:jc w:val="center"/>
              <w:textAlignment w:val="center"/>
              <w:rPr>
                <w:rFonts w:hint="default" w:ascii="Times New Roman" w:hAnsi="Times New Roman" w:cs="Times New Roman"/>
                <w:snapToGrid w:val="0"/>
                <w:color w:val="auto"/>
                <w:szCs w:val="21"/>
                <w:highlight w:val="none"/>
                <w:u w:color="0000FF"/>
                <w:lang w:val="en-US" w:eastAsia="zh-CN"/>
              </w:rPr>
            </w:pPr>
            <w:r>
              <w:rPr>
                <w:rFonts w:hint="default" w:ascii="Times New Roman" w:hAnsi="Times New Roman" w:cs="Times New Roman"/>
                <w:snapToGrid w:val="0"/>
                <w:color w:val="auto"/>
                <w:szCs w:val="21"/>
                <w:highlight w:val="none"/>
                <w:u w:color="0000FF"/>
                <w:lang w:val="en-US" w:eastAsia="zh-CN"/>
              </w:rPr>
              <w:t>5#车间</w:t>
            </w:r>
          </w:p>
        </w:tc>
        <w:tc>
          <w:tcPr>
            <w:tcW w:w="2883" w:type="dxa"/>
            <w:vAlign w:val="center"/>
          </w:tcPr>
          <w:p>
            <w:pPr>
              <w:adjustRightInd w:val="0"/>
              <w:snapToGrid w:val="0"/>
              <w:jc w:val="center"/>
              <w:textAlignment w:val="center"/>
              <w:rPr>
                <w:rFonts w:hint="default" w:ascii="Times New Roman" w:hAnsi="Times New Roman"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lang w:eastAsia="zh-CN"/>
              </w:rPr>
              <w:t>自动</w:t>
            </w:r>
            <w:r>
              <w:rPr>
                <w:rFonts w:hint="default" w:ascii="Times New Roman" w:hAnsi="Times New Roman" w:cs="Times New Roman"/>
                <w:color w:val="auto"/>
                <w:kern w:val="0"/>
                <w:sz w:val="21"/>
                <w:szCs w:val="21"/>
                <w:highlight w:val="none"/>
              </w:rPr>
              <w:t>镀电镀</w:t>
            </w:r>
            <w:r>
              <w:rPr>
                <w:rFonts w:hint="default" w:ascii="Times New Roman" w:hAnsi="Times New Roman" w:cs="Times New Roman"/>
                <w:color w:val="auto"/>
                <w:kern w:val="0"/>
                <w:sz w:val="21"/>
                <w:szCs w:val="21"/>
                <w:highlight w:val="none"/>
                <w:lang w:eastAsia="zh-CN"/>
              </w:rPr>
              <w:t>银</w:t>
            </w:r>
            <w:r>
              <w:rPr>
                <w:rFonts w:hint="default" w:ascii="Times New Roman" w:hAnsi="Times New Roman" w:cs="Times New Roman"/>
                <w:color w:val="auto"/>
                <w:kern w:val="0"/>
                <w:sz w:val="21"/>
                <w:szCs w:val="21"/>
                <w:highlight w:val="none"/>
              </w:rPr>
              <w:t>线1条</w:t>
            </w:r>
          </w:p>
        </w:tc>
        <w:tc>
          <w:tcPr>
            <w:tcW w:w="917" w:type="dxa"/>
            <w:vAlign w:val="center"/>
          </w:tcPr>
          <w:p>
            <w:pPr>
              <w:adjustRightInd w:val="0"/>
              <w:snapToGrid w:val="0"/>
              <w:jc w:val="center"/>
              <w:textAlignment w:val="center"/>
              <w:rPr>
                <w:rFonts w:hint="default" w:ascii="Times New Roman" w:hAnsi="Times New Roman" w:cs="Times New Roman"/>
                <w:snapToGrid w:val="0"/>
                <w:color w:val="auto"/>
                <w:szCs w:val="21"/>
                <w:highlight w:val="none"/>
                <w:u w:color="0000FF"/>
                <w:lang w:val="en-US" w:eastAsia="zh-CN"/>
              </w:rPr>
            </w:pPr>
            <w:r>
              <w:rPr>
                <w:rFonts w:hint="default" w:ascii="Times New Roman" w:hAnsi="Times New Roman" w:cs="Times New Roman"/>
                <w:snapToGrid w:val="0"/>
                <w:color w:val="auto"/>
                <w:szCs w:val="21"/>
                <w:highlight w:val="none"/>
                <w:u w:color="0000FF"/>
              </w:rPr>
              <w:t>镀</w:t>
            </w:r>
            <w:r>
              <w:rPr>
                <w:rFonts w:hint="default" w:ascii="Times New Roman" w:hAnsi="Times New Roman" w:cs="Times New Roman"/>
                <w:snapToGrid w:val="0"/>
                <w:color w:val="auto"/>
                <w:szCs w:val="21"/>
                <w:highlight w:val="none"/>
                <w:u w:color="0000FF"/>
                <w:lang w:val="en-US" w:eastAsia="zh-CN"/>
              </w:rPr>
              <w:t>银</w:t>
            </w:r>
          </w:p>
        </w:tc>
        <w:tc>
          <w:tcPr>
            <w:tcW w:w="1834" w:type="dxa"/>
            <w:vAlign w:val="center"/>
          </w:tcPr>
          <w:p>
            <w:pPr>
              <w:adjustRightInd w:val="0"/>
              <w:snapToGrid w:val="0"/>
              <w:jc w:val="center"/>
              <w:textAlignment w:val="center"/>
              <w:rPr>
                <w:rFonts w:hint="default" w:ascii="Times New Roman" w:hAnsi="Times New Roman" w:eastAsia="宋体" w:cs="Times New Roman"/>
                <w:snapToGrid w:val="0"/>
                <w:color w:val="auto"/>
                <w:szCs w:val="21"/>
                <w:highlight w:val="none"/>
                <w:u w:color="0000FF"/>
                <w:lang w:val="en-US" w:eastAsia="zh-CN"/>
              </w:rPr>
            </w:pPr>
            <w:r>
              <w:rPr>
                <w:rFonts w:hint="default" w:ascii="Times New Roman" w:hAnsi="Times New Roman" w:cs="Times New Roman"/>
                <w:snapToGrid w:val="0"/>
                <w:color w:val="auto"/>
                <w:szCs w:val="21"/>
                <w:highlight w:val="none"/>
                <w:u w:color="0000FF"/>
                <w:lang w:val="en-US" w:eastAsia="zh-CN"/>
              </w:rPr>
              <w:t>2000</w:t>
            </w:r>
          </w:p>
        </w:tc>
        <w:tc>
          <w:tcPr>
            <w:tcW w:w="1150" w:type="dxa"/>
            <w:vAlign w:val="center"/>
          </w:tcPr>
          <w:p>
            <w:pPr>
              <w:adjustRightInd w:val="0"/>
              <w:snapToGrid w:val="0"/>
              <w:jc w:val="center"/>
              <w:textAlignment w:val="center"/>
              <w:rPr>
                <w:rFonts w:hint="default" w:ascii="Times New Roman" w:hAnsi="Times New Roman" w:eastAsia="宋体" w:cs="Times New Roman"/>
                <w:snapToGrid w:val="0"/>
                <w:color w:val="auto"/>
                <w:szCs w:val="21"/>
                <w:highlight w:val="none"/>
                <w:u w:color="0000FF"/>
                <w:lang w:val="en-US" w:eastAsia="zh-CN"/>
              </w:rPr>
            </w:pPr>
            <w:r>
              <w:rPr>
                <w:rFonts w:hint="default" w:ascii="Times New Roman" w:hAnsi="Times New Roman" w:cs="Times New Roman"/>
                <w:color w:val="auto"/>
                <w:highlight w:val="none"/>
              </w:rPr>
              <w:t>5-1</w:t>
            </w:r>
            <w:r>
              <w:rPr>
                <w:rFonts w:hint="default" w:ascii="Times New Roman" w:hAnsi="Times New Roman" w:cs="Times New Roman"/>
                <w:color w:val="auto"/>
                <w:highlight w:val="none"/>
                <w:lang w:val="en-US" w:eastAsia="zh-CN"/>
              </w:rPr>
              <w:t>0</w:t>
            </w:r>
          </w:p>
        </w:tc>
        <w:tc>
          <w:tcPr>
            <w:tcW w:w="1328" w:type="dxa"/>
            <w:vMerge w:val="continue"/>
            <w:vAlign w:val="center"/>
          </w:tcPr>
          <w:p>
            <w:pPr>
              <w:adjustRightInd w:val="0"/>
              <w:snapToGrid w:val="0"/>
              <w:jc w:val="center"/>
              <w:textAlignment w:val="center"/>
              <w:rPr>
                <w:rFonts w:hint="eastAsia"/>
                <w:snapToGrid w:val="0"/>
                <w:color w:val="auto"/>
                <w:szCs w:val="21"/>
                <w:highlight w:val="none"/>
                <w:u w:color="0000FF"/>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1085" w:type="dxa"/>
            <w:vAlign w:val="center"/>
          </w:tcPr>
          <w:p>
            <w:pPr>
              <w:adjustRightInd w:val="0"/>
              <w:snapToGrid w:val="0"/>
              <w:jc w:val="center"/>
              <w:textAlignment w:val="center"/>
              <w:rPr>
                <w:rFonts w:hint="default" w:ascii="Times New Roman" w:hAnsi="Times New Roman" w:cs="Times New Roman"/>
                <w:snapToGrid w:val="0"/>
                <w:color w:val="auto"/>
                <w:szCs w:val="21"/>
                <w:highlight w:val="none"/>
                <w:u w:color="0000FF"/>
                <w:lang w:eastAsia="zh-CN"/>
              </w:rPr>
            </w:pPr>
            <w:r>
              <w:rPr>
                <w:rFonts w:hint="default" w:ascii="Times New Roman" w:hAnsi="Times New Roman" w:cs="Times New Roman"/>
                <w:snapToGrid w:val="0"/>
                <w:color w:val="auto"/>
                <w:szCs w:val="21"/>
                <w:highlight w:val="none"/>
                <w:u w:color="0000FF"/>
                <w:lang w:val="en-US" w:eastAsia="zh-CN"/>
              </w:rPr>
              <w:t>2#车间</w:t>
            </w:r>
          </w:p>
        </w:tc>
        <w:tc>
          <w:tcPr>
            <w:tcW w:w="2883" w:type="dxa"/>
            <w:vAlign w:val="center"/>
          </w:tcPr>
          <w:p>
            <w:pPr>
              <w:adjustRightInd w:val="0"/>
              <w:snapToGrid w:val="0"/>
              <w:jc w:val="center"/>
              <w:textAlignment w:val="center"/>
              <w:rPr>
                <w:rFonts w:hint="eastAsia" w:ascii="Times New Roman" w:hAnsi="Times New Roman" w:eastAsia="宋体" w:cs="Times New Roman"/>
                <w:snapToGrid w:val="0"/>
                <w:color w:val="auto"/>
                <w:szCs w:val="21"/>
                <w:highlight w:val="none"/>
                <w:u w:color="0000FF"/>
                <w:lang w:eastAsia="zh-CN"/>
              </w:rPr>
            </w:pPr>
            <w:r>
              <w:rPr>
                <w:rFonts w:hint="default" w:ascii="Times New Roman" w:hAnsi="Times New Roman" w:cs="Times New Roman"/>
                <w:snapToGrid w:val="0"/>
                <w:color w:val="auto"/>
                <w:szCs w:val="21"/>
                <w:highlight w:val="none"/>
                <w:u w:color="0000FF"/>
              </w:rPr>
              <w:t>自动挂镀锌线1条，自动滚镀锌线1条</w:t>
            </w:r>
            <w:r>
              <w:rPr>
                <w:rFonts w:hint="eastAsia" w:cs="Times New Roman"/>
                <w:snapToGrid w:val="0"/>
                <w:color w:val="auto"/>
                <w:szCs w:val="21"/>
                <w:highlight w:val="none"/>
                <w:u w:color="0000FF"/>
                <w:lang w:eastAsia="zh-CN"/>
              </w:rPr>
              <w:t>(</w:t>
            </w:r>
            <w:r>
              <w:rPr>
                <w:rFonts w:hint="default" w:ascii="Times New Roman" w:hAnsi="Times New Roman" w:cs="Times New Roman"/>
                <w:snapToGrid w:val="0"/>
                <w:color w:val="auto"/>
                <w:szCs w:val="21"/>
                <w:highlight w:val="none"/>
                <w:u w:color="0000FF"/>
              </w:rPr>
              <w:t>碱锌</w:t>
            </w:r>
            <w:r>
              <w:rPr>
                <w:rFonts w:hint="eastAsia" w:cs="Times New Roman"/>
                <w:snapToGrid w:val="0"/>
                <w:color w:val="auto"/>
                <w:szCs w:val="21"/>
                <w:highlight w:val="none"/>
                <w:u w:color="0000FF"/>
                <w:lang w:eastAsia="zh-CN"/>
              </w:rPr>
              <w:t>)</w:t>
            </w:r>
          </w:p>
        </w:tc>
        <w:tc>
          <w:tcPr>
            <w:tcW w:w="917" w:type="dxa"/>
            <w:vAlign w:val="center"/>
          </w:tcPr>
          <w:p>
            <w:pPr>
              <w:adjustRightInd w:val="0"/>
              <w:snapToGrid w:val="0"/>
              <w:jc w:val="center"/>
              <w:textAlignment w:val="center"/>
              <w:rPr>
                <w:rFonts w:hint="default" w:ascii="Times New Roman" w:hAnsi="Times New Roman" w:cs="Times New Roman"/>
                <w:snapToGrid w:val="0"/>
                <w:color w:val="auto"/>
                <w:szCs w:val="21"/>
                <w:highlight w:val="none"/>
                <w:u w:color="0000FF"/>
              </w:rPr>
            </w:pPr>
            <w:r>
              <w:rPr>
                <w:rFonts w:hint="default" w:ascii="Times New Roman" w:hAnsi="Times New Roman" w:cs="Times New Roman"/>
                <w:snapToGrid w:val="0"/>
                <w:color w:val="auto"/>
                <w:szCs w:val="21"/>
                <w:highlight w:val="none"/>
                <w:u w:color="0000FF"/>
              </w:rPr>
              <w:t>镀锌</w:t>
            </w:r>
          </w:p>
        </w:tc>
        <w:tc>
          <w:tcPr>
            <w:tcW w:w="1834" w:type="dxa"/>
            <w:vAlign w:val="center"/>
          </w:tcPr>
          <w:p>
            <w:pPr>
              <w:adjustRightInd w:val="0"/>
              <w:snapToGrid w:val="0"/>
              <w:jc w:val="center"/>
              <w:textAlignment w:val="center"/>
              <w:rPr>
                <w:rFonts w:hint="default" w:ascii="Times New Roman" w:hAnsi="Times New Roman" w:eastAsia="宋体" w:cs="Times New Roman"/>
                <w:snapToGrid w:val="0"/>
                <w:color w:val="auto"/>
                <w:szCs w:val="21"/>
                <w:highlight w:val="none"/>
                <w:u w:color="0000FF"/>
                <w:lang w:val="en-US" w:eastAsia="zh-CN"/>
              </w:rPr>
            </w:pPr>
            <w:r>
              <w:rPr>
                <w:rFonts w:hint="eastAsia" w:cs="Times New Roman"/>
                <w:snapToGrid w:val="0"/>
                <w:color w:val="auto"/>
                <w:szCs w:val="21"/>
                <w:highlight w:val="none"/>
                <w:u w:color="0000FF"/>
                <w:lang w:val="en-US" w:eastAsia="zh-CN"/>
              </w:rPr>
              <w:t>8</w:t>
            </w:r>
            <w:r>
              <w:rPr>
                <w:rFonts w:hint="default" w:ascii="Times New Roman" w:hAnsi="Times New Roman" w:cs="Times New Roman"/>
                <w:snapToGrid w:val="0"/>
                <w:color w:val="auto"/>
                <w:szCs w:val="21"/>
                <w:highlight w:val="none"/>
                <w:u w:color="0000FF"/>
                <w:lang w:val="en-US" w:eastAsia="zh-CN"/>
              </w:rPr>
              <w:t>0000</w:t>
            </w:r>
          </w:p>
        </w:tc>
        <w:tc>
          <w:tcPr>
            <w:tcW w:w="1150" w:type="dxa"/>
            <w:vAlign w:val="center"/>
          </w:tcPr>
          <w:p>
            <w:pPr>
              <w:jc w:val="center"/>
              <w:rPr>
                <w:rFonts w:hint="eastAsia" w:ascii="Times New Roman" w:hAnsi="Times New Roman" w:eastAsia="宋体" w:cs="Times New Roman"/>
                <w:snapToGrid w:val="0"/>
                <w:color w:val="auto"/>
                <w:szCs w:val="21"/>
                <w:highlight w:val="none"/>
                <w:u w:color="0000FF"/>
                <w:lang w:val="en-US" w:eastAsia="zh-CN"/>
              </w:rPr>
            </w:pPr>
            <w:r>
              <w:rPr>
                <w:rFonts w:hint="default" w:ascii="Times New Roman" w:hAnsi="Times New Roman" w:cs="Times New Roman"/>
                <w:color w:val="auto"/>
                <w:highlight w:val="none"/>
              </w:rPr>
              <w:t>5-1</w:t>
            </w:r>
            <w:r>
              <w:rPr>
                <w:rFonts w:hint="eastAsia" w:cs="Times New Roman"/>
                <w:color w:val="auto"/>
                <w:highlight w:val="none"/>
                <w:lang w:val="en-US" w:eastAsia="zh-CN"/>
              </w:rPr>
              <w:t>5</w:t>
            </w:r>
          </w:p>
        </w:tc>
        <w:tc>
          <w:tcPr>
            <w:tcW w:w="1328" w:type="dxa"/>
            <w:vMerge w:val="restart"/>
            <w:vAlign w:val="center"/>
          </w:tcPr>
          <w:p>
            <w:pPr>
              <w:adjustRightInd w:val="0"/>
              <w:snapToGrid w:val="0"/>
              <w:jc w:val="center"/>
              <w:textAlignment w:val="center"/>
              <w:rPr>
                <w:rFonts w:hint="eastAsia"/>
                <w:snapToGrid w:val="0"/>
                <w:color w:val="auto"/>
                <w:szCs w:val="21"/>
                <w:highlight w:val="none"/>
                <w:u w:color="0000FF"/>
              </w:rPr>
            </w:pPr>
            <w:r>
              <w:rPr>
                <w:rFonts w:hint="eastAsia"/>
                <w:snapToGrid w:val="0"/>
                <w:color w:val="auto"/>
                <w:szCs w:val="21"/>
                <w:highlight w:val="none"/>
                <w:u w:color="0000FF"/>
              </w:rPr>
              <w:t>镀锌1000t/a</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1085" w:type="dxa"/>
            <w:vAlign w:val="center"/>
          </w:tcPr>
          <w:p>
            <w:pPr>
              <w:adjustRightInd w:val="0"/>
              <w:snapToGrid w:val="0"/>
              <w:jc w:val="center"/>
              <w:textAlignment w:val="center"/>
              <w:rPr>
                <w:rFonts w:hint="default" w:ascii="Times New Roman" w:hAnsi="Times New Roman" w:cs="Times New Roman"/>
                <w:snapToGrid w:val="0"/>
                <w:color w:val="auto"/>
                <w:szCs w:val="21"/>
                <w:highlight w:val="none"/>
                <w:u w:color="0000FF"/>
                <w:lang w:val="en-US" w:eastAsia="zh-CN"/>
              </w:rPr>
            </w:pPr>
            <w:r>
              <w:rPr>
                <w:rFonts w:hint="default" w:ascii="Times New Roman" w:hAnsi="Times New Roman" w:cs="Times New Roman"/>
                <w:snapToGrid w:val="0"/>
                <w:color w:val="auto"/>
                <w:szCs w:val="21"/>
                <w:highlight w:val="none"/>
                <w:u w:color="0000FF"/>
                <w:lang w:val="en-US" w:eastAsia="zh-CN"/>
              </w:rPr>
              <w:t>4#车间</w:t>
            </w:r>
          </w:p>
        </w:tc>
        <w:tc>
          <w:tcPr>
            <w:tcW w:w="2883" w:type="dxa"/>
            <w:vAlign w:val="center"/>
          </w:tcPr>
          <w:p>
            <w:pPr>
              <w:adjustRightInd w:val="0"/>
              <w:snapToGrid w:val="0"/>
              <w:jc w:val="center"/>
              <w:textAlignment w:val="center"/>
              <w:rPr>
                <w:rFonts w:hint="eastAsia" w:ascii="Times New Roman" w:hAnsi="Times New Roman" w:eastAsia="宋体" w:cs="Times New Roman"/>
                <w:snapToGrid w:val="0"/>
                <w:color w:val="auto"/>
                <w:szCs w:val="21"/>
                <w:highlight w:val="none"/>
                <w:u w:color="0000FF"/>
                <w:lang w:eastAsia="zh-CN"/>
              </w:rPr>
            </w:pPr>
            <w:r>
              <w:rPr>
                <w:rFonts w:hint="default" w:ascii="Times New Roman" w:hAnsi="Times New Roman" w:cs="Times New Roman"/>
                <w:color w:val="auto"/>
                <w:kern w:val="0"/>
                <w:sz w:val="21"/>
                <w:szCs w:val="21"/>
                <w:highlight w:val="none"/>
                <w:lang w:eastAsia="zh-CN"/>
              </w:rPr>
              <w:t>自动</w:t>
            </w:r>
            <w:r>
              <w:rPr>
                <w:rFonts w:hint="default" w:ascii="Times New Roman" w:hAnsi="Times New Roman" w:cs="Times New Roman"/>
                <w:color w:val="auto"/>
                <w:szCs w:val="21"/>
                <w:highlight w:val="none"/>
              </w:rPr>
              <w:t>挂镀</w:t>
            </w:r>
            <w:r>
              <w:rPr>
                <w:rFonts w:hint="default" w:ascii="Times New Roman" w:hAnsi="Times New Roman" w:cs="Times New Roman"/>
                <w:color w:val="auto"/>
                <w:szCs w:val="21"/>
                <w:highlight w:val="none"/>
                <w:lang w:eastAsia="zh-CN"/>
              </w:rPr>
              <w:t>锌线</w:t>
            </w:r>
            <w:r>
              <w:rPr>
                <w:rFonts w:hint="default" w:ascii="Times New Roman" w:hAnsi="Times New Roman" w:cs="Times New Roman"/>
                <w:color w:val="auto"/>
                <w:szCs w:val="21"/>
                <w:highlight w:val="none"/>
                <w:lang w:val="en-US" w:eastAsia="zh-CN"/>
              </w:rPr>
              <w:t>1条</w:t>
            </w:r>
            <w:r>
              <w:rPr>
                <w:rFonts w:hint="eastAsia" w:cs="Times New Roman"/>
                <w:color w:val="auto"/>
                <w:kern w:val="0"/>
                <w:szCs w:val="21"/>
                <w:highlight w:val="none"/>
                <w:lang w:eastAsia="zh-CN"/>
              </w:rPr>
              <w:t>(</w:t>
            </w:r>
            <w:r>
              <w:rPr>
                <w:rFonts w:hint="default" w:ascii="Times New Roman" w:hAnsi="Times New Roman" w:cs="Times New Roman"/>
                <w:color w:val="auto"/>
                <w:kern w:val="0"/>
                <w:szCs w:val="21"/>
                <w:highlight w:val="none"/>
              </w:rPr>
              <w:t>酸锌</w:t>
            </w:r>
            <w:r>
              <w:rPr>
                <w:rFonts w:hint="eastAsia" w:cs="Times New Roman"/>
                <w:color w:val="auto"/>
                <w:kern w:val="0"/>
                <w:szCs w:val="21"/>
                <w:highlight w:val="none"/>
                <w:lang w:eastAsia="zh-CN"/>
              </w:rPr>
              <w:t>)</w:t>
            </w:r>
            <w:r>
              <w:rPr>
                <w:rFonts w:hint="default" w:ascii="Times New Roman" w:hAnsi="Times New Roman" w:cs="Times New Roman"/>
                <w:color w:val="auto"/>
                <w:szCs w:val="21"/>
                <w:highlight w:val="none"/>
                <w:lang w:val="en-US" w:eastAsia="zh-CN"/>
              </w:rPr>
              <w:t>，</w:t>
            </w:r>
            <w:r>
              <w:rPr>
                <w:rFonts w:hint="default" w:ascii="Times New Roman" w:hAnsi="Times New Roman" w:cs="Times New Roman"/>
                <w:color w:val="auto"/>
                <w:kern w:val="0"/>
                <w:sz w:val="21"/>
                <w:szCs w:val="21"/>
                <w:highlight w:val="none"/>
              </w:rPr>
              <w:t>自动</w:t>
            </w:r>
            <w:r>
              <w:rPr>
                <w:rFonts w:hint="default" w:ascii="Times New Roman" w:hAnsi="Times New Roman" w:cs="Times New Roman"/>
                <w:color w:val="auto"/>
                <w:szCs w:val="21"/>
                <w:highlight w:val="none"/>
                <w:lang w:eastAsia="zh-CN"/>
              </w:rPr>
              <w:t>滚</w:t>
            </w:r>
            <w:r>
              <w:rPr>
                <w:rFonts w:hint="default" w:ascii="Times New Roman" w:hAnsi="Times New Roman" w:cs="Times New Roman"/>
                <w:color w:val="auto"/>
                <w:szCs w:val="21"/>
                <w:highlight w:val="none"/>
              </w:rPr>
              <w:t>镀</w:t>
            </w:r>
            <w:r>
              <w:rPr>
                <w:rFonts w:hint="default" w:ascii="Times New Roman" w:hAnsi="Times New Roman" w:cs="Times New Roman"/>
                <w:color w:val="auto"/>
                <w:szCs w:val="21"/>
                <w:highlight w:val="none"/>
                <w:lang w:eastAsia="zh-CN"/>
              </w:rPr>
              <w:t>锌线</w:t>
            </w:r>
            <w:r>
              <w:rPr>
                <w:rFonts w:hint="default" w:ascii="Times New Roman" w:hAnsi="Times New Roman" w:cs="Times New Roman"/>
                <w:color w:val="auto"/>
                <w:szCs w:val="21"/>
                <w:highlight w:val="none"/>
                <w:lang w:val="en-US" w:eastAsia="zh-CN"/>
              </w:rPr>
              <w:t>1条</w:t>
            </w:r>
            <w:r>
              <w:rPr>
                <w:rFonts w:hint="eastAsia" w:cs="Times New Roman"/>
                <w:color w:val="auto"/>
                <w:kern w:val="0"/>
                <w:szCs w:val="21"/>
                <w:highlight w:val="none"/>
                <w:lang w:eastAsia="zh-CN"/>
              </w:rPr>
              <w:t>(</w:t>
            </w:r>
            <w:r>
              <w:rPr>
                <w:rFonts w:hint="default" w:ascii="Times New Roman" w:hAnsi="Times New Roman" w:cs="Times New Roman"/>
                <w:color w:val="auto"/>
                <w:kern w:val="0"/>
                <w:szCs w:val="21"/>
                <w:highlight w:val="none"/>
                <w:lang w:eastAsia="zh-CN"/>
              </w:rPr>
              <w:t>碱</w:t>
            </w:r>
            <w:r>
              <w:rPr>
                <w:rFonts w:hint="default" w:ascii="Times New Roman" w:hAnsi="Times New Roman" w:cs="Times New Roman"/>
                <w:color w:val="auto"/>
                <w:kern w:val="0"/>
                <w:szCs w:val="21"/>
                <w:highlight w:val="none"/>
              </w:rPr>
              <w:t>锌</w:t>
            </w:r>
            <w:r>
              <w:rPr>
                <w:rFonts w:hint="eastAsia" w:cs="Times New Roman"/>
                <w:color w:val="auto"/>
                <w:kern w:val="0"/>
                <w:szCs w:val="21"/>
                <w:highlight w:val="none"/>
                <w:lang w:eastAsia="zh-CN"/>
              </w:rPr>
              <w:t>)</w:t>
            </w:r>
          </w:p>
        </w:tc>
        <w:tc>
          <w:tcPr>
            <w:tcW w:w="917" w:type="dxa"/>
            <w:vAlign w:val="center"/>
          </w:tcPr>
          <w:p>
            <w:pPr>
              <w:adjustRightInd w:val="0"/>
              <w:snapToGrid w:val="0"/>
              <w:jc w:val="center"/>
              <w:textAlignment w:val="center"/>
              <w:rPr>
                <w:rFonts w:hint="default" w:ascii="Times New Roman" w:hAnsi="Times New Roman" w:cs="Times New Roman"/>
                <w:snapToGrid w:val="0"/>
                <w:color w:val="auto"/>
                <w:szCs w:val="21"/>
                <w:highlight w:val="none"/>
                <w:u w:color="0000FF"/>
              </w:rPr>
            </w:pPr>
            <w:r>
              <w:rPr>
                <w:rFonts w:hint="default" w:ascii="Times New Roman" w:hAnsi="Times New Roman" w:cs="Times New Roman"/>
                <w:snapToGrid w:val="0"/>
                <w:color w:val="auto"/>
                <w:szCs w:val="21"/>
                <w:highlight w:val="none"/>
                <w:u w:color="0000FF"/>
              </w:rPr>
              <w:t>镀锌</w:t>
            </w:r>
          </w:p>
        </w:tc>
        <w:tc>
          <w:tcPr>
            <w:tcW w:w="1834" w:type="dxa"/>
            <w:vAlign w:val="center"/>
          </w:tcPr>
          <w:p>
            <w:pPr>
              <w:adjustRightInd w:val="0"/>
              <w:snapToGrid w:val="0"/>
              <w:jc w:val="center"/>
              <w:textAlignment w:val="center"/>
              <w:rPr>
                <w:rFonts w:hint="eastAsia" w:ascii="Times New Roman" w:hAnsi="Times New Roman" w:eastAsia="宋体" w:cs="Times New Roman"/>
                <w:snapToGrid w:val="0"/>
                <w:color w:val="auto"/>
                <w:szCs w:val="21"/>
                <w:highlight w:val="none"/>
                <w:u w:color="0000FF"/>
                <w:lang w:val="en-US" w:eastAsia="zh-CN"/>
              </w:rPr>
            </w:pPr>
            <w:r>
              <w:rPr>
                <w:rFonts w:hint="eastAsia" w:cs="Times New Roman"/>
                <w:snapToGrid w:val="0"/>
                <w:color w:val="auto"/>
                <w:szCs w:val="21"/>
                <w:highlight w:val="none"/>
                <w:u w:color="0000FF"/>
                <w:lang w:val="en-US" w:eastAsia="zh-CN"/>
              </w:rPr>
              <w:t>240000</w:t>
            </w:r>
          </w:p>
        </w:tc>
        <w:tc>
          <w:tcPr>
            <w:tcW w:w="1150" w:type="dxa"/>
            <w:vAlign w:val="center"/>
          </w:tcPr>
          <w:p>
            <w:pPr>
              <w:jc w:val="center"/>
              <w:rPr>
                <w:rFonts w:hint="eastAsia" w:ascii="Times New Roman" w:hAnsi="Times New Roman" w:eastAsia="宋体" w:cs="Times New Roman"/>
                <w:snapToGrid w:val="0"/>
                <w:color w:val="auto"/>
                <w:szCs w:val="21"/>
                <w:highlight w:val="none"/>
                <w:u w:color="0000FF"/>
                <w:lang w:val="en-US" w:eastAsia="zh-CN"/>
              </w:rPr>
            </w:pPr>
            <w:r>
              <w:rPr>
                <w:rFonts w:hint="default" w:ascii="Times New Roman" w:hAnsi="Times New Roman" w:cs="Times New Roman"/>
                <w:color w:val="auto"/>
                <w:highlight w:val="none"/>
              </w:rPr>
              <w:t>5-1</w:t>
            </w:r>
            <w:r>
              <w:rPr>
                <w:rFonts w:hint="eastAsia" w:cs="Times New Roman"/>
                <w:color w:val="auto"/>
                <w:highlight w:val="none"/>
                <w:lang w:val="en-US" w:eastAsia="zh-CN"/>
              </w:rPr>
              <w:t>5</w:t>
            </w:r>
          </w:p>
        </w:tc>
        <w:tc>
          <w:tcPr>
            <w:tcW w:w="1328" w:type="dxa"/>
            <w:vMerge w:val="continue"/>
            <w:vAlign w:val="center"/>
          </w:tcPr>
          <w:p>
            <w:pPr>
              <w:adjustRightInd w:val="0"/>
              <w:snapToGrid w:val="0"/>
              <w:jc w:val="center"/>
              <w:textAlignment w:val="center"/>
              <w:rPr>
                <w:rFonts w:hint="eastAsia"/>
                <w:snapToGrid w:val="0"/>
                <w:color w:val="auto"/>
                <w:szCs w:val="21"/>
                <w:highlight w:val="none"/>
                <w:u w:color="0000FF"/>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1085" w:type="dxa"/>
            <w:vAlign w:val="center"/>
          </w:tcPr>
          <w:p>
            <w:pPr>
              <w:adjustRightInd w:val="0"/>
              <w:snapToGrid w:val="0"/>
              <w:jc w:val="center"/>
              <w:textAlignment w:val="center"/>
              <w:rPr>
                <w:rFonts w:hint="default" w:ascii="Times New Roman" w:hAnsi="Times New Roman" w:cs="Times New Roman"/>
                <w:snapToGrid w:val="0"/>
                <w:color w:val="auto"/>
                <w:szCs w:val="21"/>
                <w:highlight w:val="none"/>
                <w:u w:color="0000FF"/>
                <w:lang w:val="en-US" w:eastAsia="zh-CN"/>
              </w:rPr>
            </w:pPr>
            <w:r>
              <w:rPr>
                <w:rFonts w:hint="default" w:ascii="Times New Roman" w:hAnsi="Times New Roman" w:cs="Times New Roman"/>
                <w:snapToGrid w:val="0"/>
                <w:color w:val="auto"/>
                <w:szCs w:val="21"/>
                <w:highlight w:val="none"/>
                <w:u w:color="0000FF"/>
                <w:lang w:val="en-US" w:eastAsia="zh-CN"/>
              </w:rPr>
              <w:t>6#车间</w:t>
            </w:r>
          </w:p>
        </w:tc>
        <w:tc>
          <w:tcPr>
            <w:tcW w:w="2883" w:type="dxa"/>
            <w:vAlign w:val="center"/>
          </w:tcPr>
          <w:p>
            <w:pPr>
              <w:adjustRightInd w:val="0"/>
              <w:snapToGrid w:val="0"/>
              <w:jc w:val="center"/>
              <w:textAlignment w:val="center"/>
              <w:rPr>
                <w:rFonts w:hint="eastAsia" w:ascii="Times New Roman" w:hAnsi="Times New Roman" w:eastAsia="宋体" w:cs="Times New Roman"/>
                <w:snapToGrid w:val="0"/>
                <w:color w:val="auto"/>
                <w:szCs w:val="21"/>
                <w:highlight w:val="none"/>
                <w:u w:color="0000FF"/>
                <w:lang w:eastAsia="zh-CN"/>
              </w:rPr>
            </w:pPr>
            <w:r>
              <w:rPr>
                <w:rFonts w:hint="default" w:ascii="Times New Roman" w:hAnsi="Times New Roman" w:cs="Times New Roman"/>
                <w:color w:val="auto"/>
                <w:kern w:val="0"/>
                <w:sz w:val="21"/>
                <w:szCs w:val="21"/>
                <w:highlight w:val="none"/>
              </w:rPr>
              <w:t>自动</w:t>
            </w:r>
            <w:r>
              <w:rPr>
                <w:rFonts w:hint="default" w:ascii="Times New Roman" w:hAnsi="Times New Roman" w:cs="Times New Roman"/>
                <w:color w:val="auto"/>
                <w:szCs w:val="21"/>
                <w:highlight w:val="none"/>
                <w:lang w:eastAsia="zh-CN"/>
              </w:rPr>
              <w:t>滚</w:t>
            </w:r>
            <w:r>
              <w:rPr>
                <w:rFonts w:hint="default" w:ascii="Times New Roman" w:hAnsi="Times New Roman" w:cs="Times New Roman"/>
                <w:color w:val="auto"/>
                <w:szCs w:val="21"/>
                <w:highlight w:val="none"/>
              </w:rPr>
              <w:t>镀</w:t>
            </w:r>
            <w:r>
              <w:rPr>
                <w:rFonts w:hint="default" w:ascii="Times New Roman" w:hAnsi="Times New Roman" w:cs="Times New Roman"/>
                <w:color w:val="auto"/>
                <w:szCs w:val="21"/>
                <w:highlight w:val="none"/>
                <w:lang w:eastAsia="zh-CN"/>
              </w:rPr>
              <w:t>锌线</w:t>
            </w:r>
            <w:r>
              <w:rPr>
                <w:rFonts w:hint="default" w:ascii="Times New Roman" w:hAnsi="Times New Roman" w:cs="Times New Roman"/>
                <w:color w:val="auto"/>
                <w:szCs w:val="21"/>
                <w:highlight w:val="none"/>
                <w:lang w:val="en-US" w:eastAsia="zh-CN"/>
              </w:rPr>
              <w:t>1条</w:t>
            </w:r>
            <w:r>
              <w:rPr>
                <w:rFonts w:hint="eastAsia" w:cs="Times New Roman"/>
                <w:color w:val="auto"/>
                <w:kern w:val="0"/>
                <w:szCs w:val="21"/>
                <w:highlight w:val="none"/>
                <w:lang w:eastAsia="zh-CN"/>
              </w:rPr>
              <w:t>(</w:t>
            </w:r>
            <w:r>
              <w:rPr>
                <w:rFonts w:hint="default" w:ascii="Times New Roman" w:hAnsi="Times New Roman" w:cs="Times New Roman"/>
                <w:color w:val="auto"/>
                <w:kern w:val="0"/>
                <w:szCs w:val="21"/>
                <w:highlight w:val="none"/>
                <w:lang w:eastAsia="zh-CN"/>
              </w:rPr>
              <w:t>碱</w:t>
            </w:r>
            <w:r>
              <w:rPr>
                <w:rFonts w:hint="default" w:ascii="Times New Roman" w:hAnsi="Times New Roman" w:cs="Times New Roman"/>
                <w:color w:val="auto"/>
                <w:kern w:val="0"/>
                <w:szCs w:val="21"/>
                <w:highlight w:val="none"/>
              </w:rPr>
              <w:t>锌</w:t>
            </w:r>
            <w:r>
              <w:rPr>
                <w:rFonts w:hint="eastAsia" w:cs="Times New Roman"/>
                <w:color w:val="auto"/>
                <w:kern w:val="0"/>
                <w:szCs w:val="21"/>
                <w:highlight w:val="none"/>
                <w:lang w:eastAsia="zh-CN"/>
              </w:rPr>
              <w:t>)</w:t>
            </w:r>
          </w:p>
        </w:tc>
        <w:tc>
          <w:tcPr>
            <w:tcW w:w="917" w:type="dxa"/>
            <w:vAlign w:val="center"/>
          </w:tcPr>
          <w:p>
            <w:pPr>
              <w:adjustRightInd w:val="0"/>
              <w:snapToGrid w:val="0"/>
              <w:jc w:val="center"/>
              <w:textAlignment w:val="center"/>
              <w:rPr>
                <w:rFonts w:hint="default" w:ascii="Times New Roman" w:hAnsi="Times New Roman" w:cs="Times New Roman"/>
                <w:snapToGrid w:val="0"/>
                <w:color w:val="auto"/>
                <w:szCs w:val="21"/>
                <w:highlight w:val="none"/>
                <w:u w:color="0000FF"/>
              </w:rPr>
            </w:pPr>
            <w:r>
              <w:rPr>
                <w:rFonts w:hint="default" w:ascii="Times New Roman" w:hAnsi="Times New Roman" w:cs="Times New Roman"/>
                <w:snapToGrid w:val="0"/>
                <w:color w:val="auto"/>
                <w:szCs w:val="21"/>
                <w:highlight w:val="none"/>
                <w:u w:color="0000FF"/>
              </w:rPr>
              <w:t>镀锌</w:t>
            </w:r>
          </w:p>
        </w:tc>
        <w:tc>
          <w:tcPr>
            <w:tcW w:w="1834" w:type="dxa"/>
            <w:vAlign w:val="center"/>
          </w:tcPr>
          <w:p>
            <w:pPr>
              <w:adjustRightInd w:val="0"/>
              <w:snapToGrid w:val="0"/>
              <w:jc w:val="center"/>
              <w:textAlignment w:val="center"/>
              <w:rPr>
                <w:rFonts w:hint="default" w:ascii="Times New Roman" w:hAnsi="Times New Roman" w:eastAsia="宋体" w:cs="Times New Roman"/>
                <w:snapToGrid w:val="0"/>
                <w:color w:val="auto"/>
                <w:szCs w:val="21"/>
                <w:highlight w:val="none"/>
                <w:u w:color="0000FF"/>
                <w:lang w:val="en-US" w:eastAsia="zh-CN"/>
              </w:rPr>
            </w:pPr>
            <w:r>
              <w:rPr>
                <w:rFonts w:hint="eastAsia" w:cs="Times New Roman"/>
                <w:snapToGrid w:val="0"/>
                <w:color w:val="auto"/>
                <w:szCs w:val="21"/>
                <w:highlight w:val="none"/>
                <w:u w:color="0000FF"/>
                <w:lang w:val="en-US" w:eastAsia="zh-CN"/>
              </w:rPr>
              <w:t>10</w:t>
            </w:r>
            <w:r>
              <w:rPr>
                <w:rFonts w:hint="default" w:ascii="Times New Roman" w:hAnsi="Times New Roman" w:cs="Times New Roman"/>
                <w:snapToGrid w:val="0"/>
                <w:color w:val="auto"/>
                <w:szCs w:val="21"/>
                <w:highlight w:val="none"/>
                <w:u w:color="0000FF"/>
                <w:lang w:val="en-US" w:eastAsia="zh-CN"/>
              </w:rPr>
              <w:t>0000</w:t>
            </w:r>
          </w:p>
        </w:tc>
        <w:tc>
          <w:tcPr>
            <w:tcW w:w="1150" w:type="dxa"/>
            <w:vAlign w:val="center"/>
          </w:tcPr>
          <w:p>
            <w:pPr>
              <w:jc w:val="center"/>
              <w:rPr>
                <w:rFonts w:hint="eastAsia" w:ascii="Times New Roman" w:hAnsi="Times New Roman" w:eastAsia="宋体" w:cs="Times New Roman"/>
                <w:snapToGrid w:val="0"/>
                <w:color w:val="auto"/>
                <w:szCs w:val="21"/>
                <w:highlight w:val="none"/>
                <w:u w:color="0000FF"/>
                <w:lang w:val="en-US" w:eastAsia="zh-CN"/>
              </w:rPr>
            </w:pPr>
            <w:r>
              <w:rPr>
                <w:rFonts w:hint="default" w:ascii="Times New Roman" w:hAnsi="Times New Roman" w:cs="Times New Roman"/>
                <w:color w:val="auto"/>
                <w:highlight w:val="none"/>
              </w:rPr>
              <w:t>5-1</w:t>
            </w:r>
            <w:r>
              <w:rPr>
                <w:rFonts w:hint="eastAsia" w:cs="Times New Roman"/>
                <w:color w:val="auto"/>
                <w:highlight w:val="none"/>
                <w:lang w:val="en-US" w:eastAsia="zh-CN"/>
              </w:rPr>
              <w:t>5</w:t>
            </w:r>
          </w:p>
        </w:tc>
        <w:tc>
          <w:tcPr>
            <w:tcW w:w="1328" w:type="dxa"/>
            <w:vMerge w:val="continue"/>
            <w:vAlign w:val="center"/>
          </w:tcPr>
          <w:p>
            <w:pPr>
              <w:adjustRightInd w:val="0"/>
              <w:snapToGrid w:val="0"/>
              <w:jc w:val="center"/>
              <w:textAlignment w:val="center"/>
              <w:rPr>
                <w:rFonts w:hint="eastAsia"/>
                <w:snapToGrid w:val="0"/>
                <w:color w:val="auto"/>
                <w:szCs w:val="21"/>
                <w:highlight w:val="none"/>
                <w:u w:color="0000FF"/>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78" w:hRule="atLeast"/>
          <w:jc w:val="center"/>
        </w:trPr>
        <w:tc>
          <w:tcPr>
            <w:tcW w:w="1085" w:type="dxa"/>
            <w:vMerge w:val="restart"/>
            <w:vAlign w:val="center"/>
          </w:tcPr>
          <w:p>
            <w:pPr>
              <w:adjustRightInd w:val="0"/>
              <w:snapToGrid w:val="0"/>
              <w:jc w:val="center"/>
              <w:textAlignment w:val="center"/>
              <w:rPr>
                <w:rFonts w:hint="default" w:ascii="Times New Roman" w:hAnsi="Times New Roman" w:cs="Times New Roman"/>
                <w:snapToGrid w:val="0"/>
                <w:color w:val="auto"/>
                <w:szCs w:val="21"/>
                <w:highlight w:val="none"/>
                <w:u w:color="0000FF"/>
                <w:lang w:eastAsia="zh-CN"/>
              </w:rPr>
            </w:pPr>
            <w:r>
              <w:rPr>
                <w:rFonts w:hint="default" w:ascii="Times New Roman" w:hAnsi="Times New Roman" w:cs="Times New Roman"/>
                <w:snapToGrid w:val="0"/>
                <w:color w:val="auto"/>
                <w:szCs w:val="21"/>
                <w:highlight w:val="none"/>
                <w:u w:color="0000FF"/>
                <w:lang w:val="en-US" w:eastAsia="zh-CN"/>
              </w:rPr>
              <w:t>3#车间</w:t>
            </w:r>
          </w:p>
        </w:tc>
        <w:tc>
          <w:tcPr>
            <w:tcW w:w="2883" w:type="dxa"/>
            <w:vMerge w:val="restart"/>
            <w:vAlign w:val="center"/>
          </w:tcPr>
          <w:p>
            <w:pPr>
              <w:adjustRightInd w:val="0"/>
              <w:snapToGrid w:val="0"/>
              <w:jc w:val="center"/>
              <w:textAlignment w:val="center"/>
              <w:rPr>
                <w:rFonts w:hint="default" w:ascii="Times New Roman" w:hAnsi="Times New Roman" w:cs="Times New Roman"/>
                <w:snapToGrid w:val="0"/>
                <w:color w:val="auto"/>
                <w:szCs w:val="21"/>
                <w:highlight w:val="none"/>
                <w:u w:color="0000FF"/>
              </w:rPr>
            </w:pPr>
            <w:r>
              <w:rPr>
                <w:rFonts w:hint="default" w:ascii="Times New Roman" w:hAnsi="Times New Roman" w:cs="Times New Roman"/>
                <w:color w:val="auto"/>
                <w:kern w:val="0"/>
                <w:sz w:val="21"/>
                <w:szCs w:val="21"/>
                <w:highlight w:val="none"/>
              </w:rPr>
              <w:t>自动镀电镀综合线</w:t>
            </w:r>
            <w:r>
              <w:rPr>
                <w:rFonts w:hint="eastAsia"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铜、</w:t>
            </w:r>
            <w:r>
              <w:rPr>
                <w:rFonts w:hint="default" w:ascii="Times New Roman" w:hAnsi="Times New Roman" w:cs="Times New Roman"/>
                <w:color w:val="auto"/>
                <w:kern w:val="0"/>
                <w:sz w:val="21"/>
                <w:szCs w:val="21"/>
                <w:highlight w:val="none"/>
                <w:lang w:eastAsia="zh-CN"/>
              </w:rPr>
              <w:t>铬</w:t>
            </w:r>
            <w:r>
              <w:rPr>
                <w:rFonts w:hint="default" w:ascii="Times New Roman" w:hAnsi="Times New Roman" w:cs="Times New Roman"/>
                <w:color w:val="auto"/>
                <w:kern w:val="0"/>
                <w:sz w:val="21"/>
                <w:szCs w:val="21"/>
                <w:highlight w:val="none"/>
              </w:rPr>
              <w:t>、镍</w:t>
            </w:r>
            <w:r>
              <w:rPr>
                <w:rFonts w:hint="eastAsia"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线1条</w:t>
            </w:r>
          </w:p>
        </w:tc>
        <w:tc>
          <w:tcPr>
            <w:tcW w:w="917" w:type="dxa"/>
            <w:vMerge w:val="restart"/>
            <w:vAlign w:val="center"/>
          </w:tcPr>
          <w:p>
            <w:pPr>
              <w:adjustRightInd w:val="0"/>
              <w:snapToGrid w:val="0"/>
              <w:jc w:val="center"/>
              <w:textAlignment w:val="center"/>
              <w:rPr>
                <w:rFonts w:hint="default" w:ascii="Times New Roman" w:hAnsi="Times New Roman" w:cs="Times New Roman"/>
                <w:snapToGrid w:val="0"/>
                <w:color w:val="auto"/>
                <w:szCs w:val="21"/>
                <w:highlight w:val="none"/>
                <w:u w:color="0000FF"/>
              </w:rPr>
            </w:pPr>
            <w:r>
              <w:rPr>
                <w:rFonts w:hint="default" w:ascii="Times New Roman" w:hAnsi="Times New Roman" w:cs="Times New Roman"/>
                <w:snapToGrid w:val="0"/>
                <w:color w:val="auto"/>
                <w:szCs w:val="21"/>
                <w:highlight w:val="none"/>
                <w:u w:color="0000FF"/>
              </w:rPr>
              <w:t>镀</w:t>
            </w:r>
            <w:r>
              <w:rPr>
                <w:rFonts w:hint="default" w:ascii="Times New Roman" w:hAnsi="Times New Roman" w:cs="Times New Roman"/>
                <w:color w:val="auto"/>
                <w:kern w:val="0"/>
                <w:sz w:val="21"/>
                <w:szCs w:val="21"/>
                <w:highlight w:val="none"/>
              </w:rPr>
              <w:t>铜、</w:t>
            </w:r>
            <w:r>
              <w:rPr>
                <w:rFonts w:hint="default" w:ascii="Times New Roman" w:hAnsi="Times New Roman" w:cs="Times New Roman"/>
                <w:color w:val="auto"/>
                <w:kern w:val="0"/>
                <w:sz w:val="21"/>
                <w:szCs w:val="21"/>
                <w:highlight w:val="none"/>
                <w:lang w:eastAsia="zh-CN"/>
              </w:rPr>
              <w:t>铬</w:t>
            </w:r>
            <w:r>
              <w:rPr>
                <w:rFonts w:hint="default" w:ascii="Times New Roman" w:hAnsi="Times New Roman" w:cs="Times New Roman"/>
                <w:color w:val="auto"/>
                <w:kern w:val="0"/>
                <w:sz w:val="21"/>
                <w:szCs w:val="21"/>
                <w:highlight w:val="none"/>
              </w:rPr>
              <w:t>、镍</w:t>
            </w:r>
          </w:p>
        </w:tc>
        <w:tc>
          <w:tcPr>
            <w:tcW w:w="1834" w:type="dxa"/>
            <w:vAlign w:val="center"/>
          </w:tcPr>
          <w:p>
            <w:pPr>
              <w:jc w:val="center"/>
              <w:rPr>
                <w:rFonts w:hint="eastAsia" w:ascii="Times New Roman" w:hAnsi="Times New Roman" w:eastAsia="宋体" w:cs="Times New Roman"/>
                <w:snapToGrid w:val="0"/>
                <w:color w:val="auto"/>
                <w:szCs w:val="21"/>
                <w:highlight w:val="none"/>
                <w:u w:color="0000FF"/>
                <w:lang w:val="en-US" w:eastAsia="zh-CN"/>
              </w:rPr>
            </w:pPr>
            <w:r>
              <w:rPr>
                <w:rFonts w:hint="default" w:ascii="Times New Roman" w:hAnsi="Times New Roman" w:cs="Times New Roman"/>
                <w:color w:val="auto"/>
                <w:highlight w:val="none"/>
              </w:rPr>
              <w:t>镀酸铜</w:t>
            </w:r>
            <w:r>
              <w:rPr>
                <w:rFonts w:hint="eastAsia" w:cs="Times New Roman"/>
                <w:color w:val="auto"/>
                <w:highlight w:val="none"/>
                <w:lang w:val="en-US" w:eastAsia="zh-CN"/>
              </w:rPr>
              <w:t>15000</w:t>
            </w:r>
          </w:p>
        </w:tc>
        <w:tc>
          <w:tcPr>
            <w:tcW w:w="1150" w:type="dxa"/>
            <w:vAlign w:val="center"/>
          </w:tcPr>
          <w:p>
            <w:pPr>
              <w:jc w:val="center"/>
              <w:rPr>
                <w:rFonts w:hint="default" w:ascii="Times New Roman" w:hAnsi="Times New Roman" w:eastAsia="宋体" w:cs="Times New Roman"/>
                <w:snapToGrid w:val="0"/>
                <w:color w:val="auto"/>
                <w:szCs w:val="21"/>
                <w:highlight w:val="none"/>
                <w:u w:color="0000FF"/>
                <w:lang w:val="en-US" w:eastAsia="zh-CN"/>
              </w:rPr>
            </w:pPr>
            <w:r>
              <w:rPr>
                <w:rFonts w:hint="eastAsia" w:cs="Times New Roman"/>
                <w:color w:val="auto"/>
                <w:highlight w:val="none"/>
                <w:lang w:val="en-US" w:eastAsia="zh-CN"/>
              </w:rPr>
              <w:t>8</w:t>
            </w:r>
            <w:r>
              <w:rPr>
                <w:rFonts w:hint="default" w:ascii="Times New Roman" w:hAnsi="Times New Roman" w:cs="Times New Roman"/>
                <w:color w:val="auto"/>
                <w:highlight w:val="none"/>
              </w:rPr>
              <w:t>-</w:t>
            </w:r>
            <w:r>
              <w:rPr>
                <w:rFonts w:hint="eastAsia" w:cs="Times New Roman"/>
                <w:color w:val="auto"/>
                <w:highlight w:val="none"/>
                <w:lang w:val="en-US" w:eastAsia="zh-CN"/>
              </w:rPr>
              <w:t>10</w:t>
            </w:r>
          </w:p>
        </w:tc>
        <w:tc>
          <w:tcPr>
            <w:tcW w:w="1328" w:type="dxa"/>
            <w:vMerge w:val="restart"/>
            <w:vAlign w:val="center"/>
          </w:tcPr>
          <w:p>
            <w:pPr>
              <w:adjustRightInd w:val="0"/>
              <w:snapToGrid w:val="0"/>
              <w:jc w:val="center"/>
              <w:textAlignment w:val="center"/>
              <w:rPr>
                <w:rFonts w:hint="eastAsia"/>
                <w:snapToGrid w:val="0"/>
                <w:color w:val="auto"/>
                <w:szCs w:val="21"/>
                <w:highlight w:val="none"/>
                <w:u w:color="0000FF"/>
              </w:rPr>
            </w:pPr>
            <w:r>
              <w:rPr>
                <w:rFonts w:hint="eastAsia" w:eastAsiaTheme="minorEastAsia"/>
                <w:color w:val="auto"/>
                <w:sz w:val="22"/>
                <w:szCs w:val="22"/>
                <w:highlight w:val="none"/>
                <w:lang w:val="en-US" w:eastAsia="zh-CN"/>
              </w:rPr>
              <w:t>镀铜、铬、镍6</w:t>
            </w:r>
            <w:r>
              <w:rPr>
                <w:rFonts w:hint="eastAsia" w:eastAsiaTheme="minorEastAsia"/>
                <w:color w:val="auto"/>
                <w:sz w:val="22"/>
                <w:szCs w:val="22"/>
                <w:highlight w:val="none"/>
              </w:rPr>
              <w:t>万m</w:t>
            </w:r>
            <w:r>
              <w:rPr>
                <w:rFonts w:hint="eastAsia" w:eastAsiaTheme="minorEastAsia"/>
                <w:color w:val="auto"/>
                <w:sz w:val="22"/>
                <w:szCs w:val="22"/>
                <w:highlight w:val="none"/>
                <w:vertAlign w:val="superscript"/>
              </w:rPr>
              <w:t>2</w:t>
            </w:r>
            <w:r>
              <w:rPr>
                <w:rFonts w:hint="eastAsia" w:eastAsiaTheme="minorEastAsia"/>
                <w:color w:val="auto"/>
                <w:sz w:val="22"/>
                <w:szCs w:val="22"/>
                <w:highlight w:val="none"/>
              </w:rPr>
              <w:t>/a</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39" w:hRule="atLeast"/>
          <w:jc w:val="center"/>
        </w:trPr>
        <w:tc>
          <w:tcPr>
            <w:tcW w:w="1085" w:type="dxa"/>
            <w:vMerge w:val="continue"/>
            <w:vAlign w:val="center"/>
          </w:tcPr>
          <w:p>
            <w:pPr>
              <w:adjustRightInd w:val="0"/>
              <w:snapToGrid w:val="0"/>
              <w:jc w:val="center"/>
              <w:textAlignment w:val="center"/>
              <w:rPr>
                <w:rFonts w:hint="default" w:ascii="Times New Roman" w:hAnsi="Times New Roman" w:cs="Times New Roman"/>
                <w:snapToGrid w:val="0"/>
                <w:color w:val="auto"/>
                <w:szCs w:val="21"/>
                <w:highlight w:val="none"/>
                <w:u w:color="0000FF"/>
                <w:lang w:val="en-US" w:eastAsia="zh-CN"/>
              </w:rPr>
            </w:pPr>
          </w:p>
        </w:tc>
        <w:tc>
          <w:tcPr>
            <w:tcW w:w="2883" w:type="dxa"/>
            <w:vMerge w:val="continue"/>
            <w:vAlign w:val="center"/>
          </w:tcPr>
          <w:p>
            <w:pPr>
              <w:adjustRightInd w:val="0"/>
              <w:snapToGrid w:val="0"/>
              <w:jc w:val="center"/>
              <w:textAlignment w:val="center"/>
              <w:rPr>
                <w:rFonts w:hint="default" w:ascii="Times New Roman" w:hAnsi="Times New Roman" w:cs="Times New Roman"/>
                <w:color w:val="auto"/>
                <w:kern w:val="0"/>
                <w:sz w:val="21"/>
                <w:szCs w:val="21"/>
                <w:highlight w:val="none"/>
                <w:lang w:eastAsia="zh-CN"/>
              </w:rPr>
            </w:pPr>
          </w:p>
        </w:tc>
        <w:tc>
          <w:tcPr>
            <w:tcW w:w="917" w:type="dxa"/>
            <w:vMerge w:val="continue"/>
            <w:vAlign w:val="center"/>
          </w:tcPr>
          <w:p>
            <w:pPr>
              <w:adjustRightInd w:val="0"/>
              <w:snapToGrid w:val="0"/>
              <w:jc w:val="center"/>
              <w:textAlignment w:val="center"/>
              <w:rPr>
                <w:rFonts w:hint="default" w:ascii="Times New Roman" w:hAnsi="Times New Roman" w:cs="Times New Roman"/>
                <w:snapToGrid w:val="0"/>
                <w:color w:val="auto"/>
                <w:szCs w:val="21"/>
                <w:highlight w:val="none"/>
                <w:u w:color="0000FF"/>
              </w:rPr>
            </w:pPr>
          </w:p>
        </w:tc>
        <w:tc>
          <w:tcPr>
            <w:tcW w:w="1834" w:type="dxa"/>
            <w:vAlign w:val="center"/>
          </w:tcPr>
          <w:p>
            <w:pPr>
              <w:jc w:val="center"/>
              <w:rPr>
                <w:rFonts w:hint="eastAsia" w:ascii="Times New Roman" w:hAnsi="Times New Roman" w:eastAsia="宋体" w:cs="Times New Roman"/>
                <w:snapToGrid w:val="0"/>
                <w:color w:val="auto"/>
                <w:szCs w:val="21"/>
                <w:highlight w:val="none"/>
                <w:u w:color="0000FF"/>
                <w:lang w:val="en-US" w:eastAsia="zh-CN"/>
              </w:rPr>
            </w:pPr>
            <w:r>
              <w:rPr>
                <w:rFonts w:hint="default" w:ascii="Times New Roman" w:hAnsi="Times New Roman" w:cs="Times New Roman"/>
                <w:color w:val="auto"/>
                <w:highlight w:val="none"/>
              </w:rPr>
              <w:t>镀镍</w:t>
            </w:r>
            <w:r>
              <w:rPr>
                <w:rFonts w:hint="eastAsia" w:cs="Times New Roman"/>
                <w:color w:val="auto"/>
                <w:highlight w:val="none"/>
                <w:lang w:val="en-US" w:eastAsia="zh-CN"/>
              </w:rPr>
              <w:t>30000</w:t>
            </w:r>
          </w:p>
        </w:tc>
        <w:tc>
          <w:tcPr>
            <w:tcW w:w="1150" w:type="dxa"/>
            <w:vAlign w:val="center"/>
          </w:tcPr>
          <w:p>
            <w:pPr>
              <w:jc w:val="center"/>
              <w:rPr>
                <w:rFonts w:hint="default" w:ascii="Times New Roman" w:hAnsi="Times New Roman" w:eastAsia="宋体" w:cs="Times New Roman"/>
                <w:snapToGrid w:val="0"/>
                <w:color w:val="auto"/>
                <w:szCs w:val="21"/>
                <w:highlight w:val="none"/>
                <w:u w:color="0000FF"/>
                <w:lang w:val="en-US" w:eastAsia="zh-CN"/>
              </w:rPr>
            </w:pPr>
            <w:r>
              <w:rPr>
                <w:rFonts w:hint="eastAsia" w:cs="Times New Roman"/>
                <w:color w:val="auto"/>
                <w:highlight w:val="none"/>
                <w:lang w:val="en-US" w:eastAsia="zh-CN"/>
              </w:rPr>
              <w:t>6</w:t>
            </w:r>
            <w:r>
              <w:rPr>
                <w:rFonts w:hint="default" w:ascii="Times New Roman" w:hAnsi="Times New Roman" w:cs="Times New Roman"/>
                <w:color w:val="auto"/>
                <w:highlight w:val="none"/>
              </w:rPr>
              <w:t>-</w:t>
            </w:r>
            <w:r>
              <w:rPr>
                <w:rFonts w:hint="eastAsia" w:cs="Times New Roman"/>
                <w:color w:val="auto"/>
                <w:highlight w:val="none"/>
                <w:lang w:val="en-US" w:eastAsia="zh-CN"/>
              </w:rPr>
              <w:t>8</w:t>
            </w:r>
          </w:p>
        </w:tc>
        <w:tc>
          <w:tcPr>
            <w:tcW w:w="1328" w:type="dxa"/>
            <w:vMerge w:val="continue"/>
            <w:vAlign w:val="center"/>
          </w:tcPr>
          <w:p>
            <w:pPr>
              <w:adjustRightInd w:val="0"/>
              <w:snapToGrid w:val="0"/>
              <w:jc w:val="center"/>
              <w:textAlignment w:val="center"/>
              <w:rPr>
                <w:rFonts w:hint="eastAsia" w:eastAsiaTheme="minorEastAsia"/>
                <w:color w:val="auto"/>
                <w:sz w:val="22"/>
                <w:szCs w:val="22"/>
                <w:highlight w:val="none"/>
                <w:lang w:val="en-US" w:eastAsia="zh-CN"/>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07" w:hRule="atLeast"/>
          <w:jc w:val="center"/>
        </w:trPr>
        <w:tc>
          <w:tcPr>
            <w:tcW w:w="1085" w:type="dxa"/>
            <w:vMerge w:val="continue"/>
            <w:vAlign w:val="center"/>
          </w:tcPr>
          <w:p>
            <w:pPr>
              <w:adjustRightInd w:val="0"/>
              <w:snapToGrid w:val="0"/>
              <w:jc w:val="center"/>
              <w:textAlignment w:val="center"/>
              <w:rPr>
                <w:rFonts w:hint="default" w:ascii="Times New Roman" w:hAnsi="Times New Roman" w:cs="Times New Roman"/>
                <w:snapToGrid w:val="0"/>
                <w:color w:val="auto"/>
                <w:szCs w:val="21"/>
                <w:highlight w:val="none"/>
                <w:u w:color="0000FF"/>
                <w:lang w:val="en-US" w:eastAsia="zh-CN"/>
              </w:rPr>
            </w:pPr>
          </w:p>
        </w:tc>
        <w:tc>
          <w:tcPr>
            <w:tcW w:w="2883" w:type="dxa"/>
            <w:vMerge w:val="continue"/>
            <w:vAlign w:val="center"/>
          </w:tcPr>
          <w:p>
            <w:pPr>
              <w:adjustRightInd w:val="0"/>
              <w:snapToGrid w:val="0"/>
              <w:jc w:val="center"/>
              <w:textAlignment w:val="center"/>
              <w:rPr>
                <w:rFonts w:hint="default" w:ascii="Times New Roman" w:hAnsi="Times New Roman" w:cs="Times New Roman"/>
                <w:color w:val="auto"/>
                <w:kern w:val="0"/>
                <w:sz w:val="21"/>
                <w:szCs w:val="21"/>
                <w:highlight w:val="none"/>
                <w:lang w:eastAsia="zh-CN"/>
              </w:rPr>
            </w:pPr>
          </w:p>
        </w:tc>
        <w:tc>
          <w:tcPr>
            <w:tcW w:w="917" w:type="dxa"/>
            <w:vMerge w:val="continue"/>
            <w:vAlign w:val="center"/>
          </w:tcPr>
          <w:p>
            <w:pPr>
              <w:adjustRightInd w:val="0"/>
              <w:snapToGrid w:val="0"/>
              <w:jc w:val="center"/>
              <w:textAlignment w:val="center"/>
              <w:rPr>
                <w:rFonts w:hint="default" w:ascii="Times New Roman" w:hAnsi="Times New Roman" w:cs="Times New Roman"/>
                <w:snapToGrid w:val="0"/>
                <w:color w:val="auto"/>
                <w:szCs w:val="21"/>
                <w:highlight w:val="none"/>
                <w:u w:color="0000FF"/>
              </w:rPr>
            </w:pPr>
          </w:p>
        </w:tc>
        <w:tc>
          <w:tcPr>
            <w:tcW w:w="1834" w:type="dxa"/>
            <w:vAlign w:val="center"/>
          </w:tcPr>
          <w:p>
            <w:pPr>
              <w:jc w:val="center"/>
              <w:rPr>
                <w:rFonts w:hint="eastAsia" w:ascii="Times New Roman" w:hAnsi="Times New Roman" w:eastAsia="宋体" w:cs="Times New Roman"/>
                <w:snapToGrid w:val="0"/>
                <w:color w:val="auto"/>
                <w:szCs w:val="21"/>
                <w:highlight w:val="none"/>
                <w:u w:color="0000FF"/>
                <w:lang w:val="en-US" w:eastAsia="zh-CN"/>
              </w:rPr>
            </w:pPr>
            <w:r>
              <w:rPr>
                <w:rFonts w:hint="default" w:ascii="Times New Roman" w:hAnsi="Times New Roman" w:cs="Times New Roman"/>
                <w:color w:val="auto"/>
                <w:highlight w:val="none"/>
                <w:lang w:val="en-US"/>
              </w:rPr>
              <w:pict>
                <v:line id="直接连接符 1" o:spid="_x0000_s2050" o:spt="20" style="position:absolute;left:0pt;margin-left:-5.05pt;margin-top:16.35pt;height:3.75pt;width:0pt;z-index:252165120;mso-width-relative:page;mso-height-relative:page;" filled="f" stroked="t" insetpen="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">
                  <v:path arrowok="t"/>
                  <v:fill on="f" focussize="0,0"/>
                  <v:stroke weight="0.5pt" color="#5B9BD5" joinstyle="miter"/>
                  <v:imagedata o:title=""/>
                  <o:lock v:ext="edit"/>
                </v:line>
              </w:pict>
            </w:r>
            <w:r>
              <w:rPr>
                <w:rFonts w:hint="eastAsia" w:cs="Times New Roman"/>
                <w:color w:val="auto"/>
                <w:highlight w:val="none"/>
                <w:lang w:val="en-US" w:eastAsia="zh-CN"/>
              </w:rPr>
              <w:t>镀装饰</w:t>
            </w:r>
            <w:r>
              <w:rPr>
                <w:rFonts w:hint="default" w:ascii="Times New Roman" w:hAnsi="Times New Roman" w:cs="Times New Roman"/>
                <w:color w:val="auto"/>
                <w:highlight w:val="none"/>
              </w:rPr>
              <w:t>铬</w:t>
            </w:r>
            <w:r>
              <w:rPr>
                <w:rFonts w:hint="eastAsia" w:cs="Times New Roman"/>
                <w:color w:val="auto"/>
                <w:highlight w:val="none"/>
                <w:lang w:val="en-US" w:eastAsia="zh-CN"/>
              </w:rPr>
              <w:t>15000</w:t>
            </w:r>
          </w:p>
        </w:tc>
        <w:tc>
          <w:tcPr>
            <w:tcW w:w="1150" w:type="dxa"/>
            <w:vAlign w:val="center"/>
          </w:tcPr>
          <w:p>
            <w:pPr>
              <w:jc w:val="center"/>
              <w:rPr>
                <w:rFonts w:hint="default" w:ascii="Times New Roman" w:hAnsi="Times New Roman" w:eastAsia="宋体" w:cs="Times New Roman"/>
                <w:snapToGrid w:val="0"/>
                <w:color w:val="auto"/>
                <w:szCs w:val="21"/>
                <w:highlight w:val="none"/>
                <w:u w:color="0000FF"/>
                <w:lang w:val="en-US" w:eastAsia="zh-CN"/>
              </w:rPr>
            </w:pPr>
            <w:r>
              <w:rPr>
                <w:rFonts w:hint="eastAsia"/>
                <w:color w:val="auto"/>
                <w:highlight w:val="none"/>
                <w:lang w:val="en-US" w:eastAsia="zh-CN"/>
              </w:rPr>
              <w:t>0.1-2</w:t>
            </w:r>
          </w:p>
        </w:tc>
        <w:tc>
          <w:tcPr>
            <w:tcW w:w="1328" w:type="dxa"/>
            <w:vMerge w:val="continue"/>
            <w:vAlign w:val="center"/>
          </w:tcPr>
          <w:p>
            <w:pPr>
              <w:adjustRightInd w:val="0"/>
              <w:snapToGrid w:val="0"/>
              <w:jc w:val="center"/>
              <w:textAlignment w:val="center"/>
              <w:rPr>
                <w:rFonts w:hint="eastAsia" w:eastAsiaTheme="minorEastAsia"/>
                <w:color w:val="auto"/>
                <w:sz w:val="22"/>
                <w:szCs w:val="22"/>
                <w:highlight w:val="none"/>
                <w:lang w:val="en-US" w:eastAsia="zh-CN"/>
              </w:rPr>
            </w:pPr>
          </w:p>
        </w:tc>
      </w:tr>
    </w:tbl>
    <w:p>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2"/>
        <w:rPr>
          <w:rFonts w:hint="eastAsia" w:ascii="黑体" w:hAnsi="黑体" w:eastAsia="黑体" w:cs="Times New Roman"/>
          <w:color w:val="auto"/>
          <w:sz w:val="24"/>
          <w:highlight w:val="none"/>
        </w:rPr>
      </w:pPr>
      <w:r>
        <w:rPr>
          <w:rFonts w:hint="eastAsia" w:ascii="黑体" w:hAnsi="黑体" w:eastAsia="黑体" w:cs="Times New Roman"/>
          <w:color w:val="auto"/>
          <w:sz w:val="24"/>
          <w:highlight w:val="none"/>
        </w:rPr>
        <w:t>2.2.3</w:t>
      </w:r>
      <w:r>
        <w:rPr>
          <w:rFonts w:hint="eastAsia" w:ascii="黑体" w:hAnsi="黑体" w:eastAsia="黑体" w:cs="Times New Roman"/>
          <w:color w:val="auto"/>
          <w:sz w:val="24"/>
          <w:highlight w:val="none"/>
          <w:lang w:val="en-US" w:eastAsia="zh-CN"/>
        </w:rPr>
        <w:t>项目</w:t>
      </w:r>
      <w:r>
        <w:rPr>
          <w:rFonts w:hint="eastAsia" w:ascii="黑体" w:hAnsi="黑体" w:eastAsia="黑体" w:cs="Times New Roman"/>
          <w:color w:val="auto"/>
          <w:sz w:val="24"/>
          <w:highlight w:val="none"/>
        </w:rPr>
        <w:t>主要原辅材料</w:t>
      </w:r>
    </w:p>
    <w:p>
      <w:pPr>
        <w:pStyle w:val="104"/>
        <w:ind w:firstLine="472"/>
        <w:rPr>
          <w:b/>
          <w:color w:val="auto"/>
          <w:szCs w:val="21"/>
          <w:highlight w:val="none"/>
        </w:rPr>
      </w:pPr>
      <w:r>
        <w:rPr>
          <w:color w:val="auto"/>
          <w:highlight w:val="none"/>
        </w:rPr>
        <w:t>项目所需原料均直接从外购进，大多数不在厂内大量储存，随用随买。</w:t>
      </w:r>
      <w:r>
        <w:rPr>
          <w:rFonts w:hint="eastAsia"/>
          <w:color w:val="auto"/>
          <w:highlight w:val="none"/>
        </w:rPr>
        <w:t>本项目主要原辅材料见表2.2-3。</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eastAsia="黑体"/>
          <w:color w:val="auto"/>
          <w:sz w:val="24"/>
          <w:szCs w:val="24"/>
          <w:highlight w:val="none"/>
        </w:rPr>
      </w:pPr>
      <w:r>
        <w:rPr>
          <w:rFonts w:hint="eastAsia" w:eastAsia="黑体"/>
          <w:color w:val="auto"/>
          <w:sz w:val="24"/>
          <w:szCs w:val="24"/>
          <w:highlight w:val="none"/>
        </w:rPr>
        <w:t>表2.2-3  主要原辅材料组分及含量一览表</w:t>
      </w:r>
    </w:p>
    <w:tbl>
      <w:tblPr>
        <w:tblStyle w:val="36"/>
        <w:tblW w:w="9230" w:type="dxa"/>
        <w:tblInd w:w="0" w:type="dxa"/>
        <w:tblBorders>
          <w:top w:val="single" w:color="auto" w:sz="8" w:space="0"/>
          <w:left w:val="none" w:color="auto" w:sz="0" w:space="0"/>
          <w:bottom w:val="single" w:color="auto" w:sz="8"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495"/>
        <w:gridCol w:w="1131"/>
        <w:gridCol w:w="1203"/>
        <w:gridCol w:w="1441"/>
        <w:gridCol w:w="1276"/>
        <w:gridCol w:w="2684"/>
      </w:tblGrid>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trPr>
        <w:tc>
          <w:tcPr>
            <w:tcW w:w="1495" w:type="dxa"/>
            <w:tcBorders>
              <w:left w:val="nil"/>
            </w:tcBorders>
            <w:noWrap w:val="0"/>
            <w:vAlign w:val="center"/>
          </w:tcPr>
          <w:p>
            <w:pPr>
              <w:widowControl/>
              <w:spacing w:line="240" w:lineRule="auto"/>
              <w:ind w:firstLine="0" w:firstLineChars="0"/>
              <w:jc w:val="center"/>
              <w:rPr>
                <w:b/>
                <w:bCs/>
                <w:color w:val="auto"/>
                <w:kern w:val="0"/>
                <w:sz w:val="21"/>
                <w:szCs w:val="21"/>
                <w:highlight w:val="none"/>
              </w:rPr>
            </w:pPr>
            <w:bookmarkStart w:id="55" w:name="_Toc496544314"/>
            <w:bookmarkStart w:id="56" w:name="_Toc496547639"/>
            <w:bookmarkStart w:id="57" w:name="_Toc496547711"/>
            <w:bookmarkStart w:id="58" w:name="_Toc496542723"/>
            <w:bookmarkStart w:id="59" w:name="_Toc496547279"/>
            <w:bookmarkStart w:id="60" w:name="_Toc498616976"/>
            <w:bookmarkStart w:id="61" w:name="_Toc496544124"/>
            <w:bookmarkStart w:id="62" w:name="_Toc496547404"/>
            <w:bookmarkStart w:id="63" w:name="_Toc496547074"/>
            <w:r>
              <w:rPr>
                <w:b/>
                <w:bCs/>
                <w:color w:val="auto"/>
                <w:kern w:val="0"/>
                <w:sz w:val="21"/>
                <w:szCs w:val="21"/>
                <w:highlight w:val="none"/>
              </w:rPr>
              <w:t>名称</w:t>
            </w:r>
          </w:p>
        </w:tc>
        <w:tc>
          <w:tcPr>
            <w:tcW w:w="1131" w:type="dxa"/>
            <w:noWrap w:val="0"/>
            <w:vAlign w:val="center"/>
          </w:tcPr>
          <w:p>
            <w:pPr>
              <w:widowControl/>
              <w:spacing w:line="240" w:lineRule="auto"/>
              <w:ind w:firstLine="0" w:firstLineChars="0"/>
              <w:jc w:val="center"/>
              <w:rPr>
                <w:rFonts w:hint="eastAsia" w:eastAsia="宋体"/>
                <w:b/>
                <w:bCs/>
                <w:color w:val="auto"/>
                <w:kern w:val="0"/>
                <w:sz w:val="21"/>
                <w:szCs w:val="21"/>
                <w:highlight w:val="none"/>
                <w:lang w:eastAsia="zh-CN"/>
              </w:rPr>
            </w:pPr>
            <w:r>
              <w:rPr>
                <w:b/>
                <w:bCs/>
                <w:color w:val="auto"/>
                <w:kern w:val="0"/>
                <w:sz w:val="21"/>
                <w:szCs w:val="21"/>
                <w:highlight w:val="none"/>
              </w:rPr>
              <w:t>年用量</w:t>
            </w:r>
            <w:r>
              <w:rPr>
                <w:rFonts w:hint="eastAsia"/>
                <w:b/>
                <w:bCs/>
                <w:color w:val="auto"/>
                <w:kern w:val="0"/>
                <w:sz w:val="21"/>
                <w:szCs w:val="21"/>
                <w:highlight w:val="none"/>
                <w:lang w:eastAsia="zh-CN"/>
              </w:rPr>
              <w:t>(</w:t>
            </w:r>
            <w:r>
              <w:rPr>
                <w:b/>
                <w:bCs/>
                <w:color w:val="auto"/>
                <w:kern w:val="0"/>
                <w:sz w:val="21"/>
                <w:szCs w:val="21"/>
                <w:highlight w:val="none"/>
              </w:rPr>
              <w:t>t</w:t>
            </w:r>
            <w:r>
              <w:rPr>
                <w:rFonts w:hint="eastAsia"/>
                <w:b/>
                <w:bCs/>
                <w:color w:val="auto"/>
                <w:kern w:val="0"/>
                <w:sz w:val="21"/>
                <w:szCs w:val="21"/>
                <w:highlight w:val="none"/>
                <w:lang w:eastAsia="zh-CN"/>
              </w:rPr>
              <w:t>)</w:t>
            </w:r>
          </w:p>
        </w:tc>
        <w:tc>
          <w:tcPr>
            <w:tcW w:w="1203" w:type="dxa"/>
            <w:noWrap w:val="0"/>
            <w:vAlign w:val="center"/>
          </w:tcPr>
          <w:p>
            <w:pPr>
              <w:widowControl/>
              <w:spacing w:line="240" w:lineRule="auto"/>
              <w:ind w:firstLine="0" w:firstLineChars="0"/>
              <w:jc w:val="center"/>
              <w:rPr>
                <w:rFonts w:hint="eastAsia" w:eastAsia="宋体"/>
                <w:b/>
                <w:bCs/>
                <w:color w:val="auto"/>
                <w:kern w:val="0"/>
                <w:sz w:val="21"/>
                <w:szCs w:val="21"/>
                <w:highlight w:val="none"/>
                <w:lang w:eastAsia="zh-CN"/>
              </w:rPr>
            </w:pPr>
            <w:r>
              <w:rPr>
                <w:b/>
                <w:bCs/>
                <w:color w:val="auto"/>
                <w:kern w:val="0"/>
                <w:sz w:val="21"/>
                <w:szCs w:val="21"/>
                <w:highlight w:val="none"/>
              </w:rPr>
              <w:t>最大储存量</w:t>
            </w:r>
            <w:r>
              <w:rPr>
                <w:rFonts w:hint="eastAsia"/>
                <w:b/>
                <w:bCs/>
                <w:color w:val="auto"/>
                <w:kern w:val="0"/>
                <w:sz w:val="21"/>
                <w:szCs w:val="21"/>
                <w:highlight w:val="none"/>
                <w:lang w:eastAsia="zh-CN"/>
              </w:rPr>
              <w:t>(</w:t>
            </w:r>
            <w:r>
              <w:rPr>
                <w:b/>
                <w:bCs/>
                <w:color w:val="auto"/>
                <w:kern w:val="0"/>
                <w:sz w:val="21"/>
                <w:szCs w:val="21"/>
                <w:highlight w:val="none"/>
              </w:rPr>
              <w:t>t</w:t>
            </w:r>
            <w:r>
              <w:rPr>
                <w:rFonts w:hint="eastAsia"/>
                <w:b/>
                <w:bCs/>
                <w:color w:val="auto"/>
                <w:kern w:val="0"/>
                <w:sz w:val="21"/>
                <w:szCs w:val="21"/>
                <w:highlight w:val="none"/>
                <w:lang w:eastAsia="zh-CN"/>
              </w:rPr>
              <w:t>)</w:t>
            </w:r>
          </w:p>
        </w:tc>
        <w:tc>
          <w:tcPr>
            <w:tcW w:w="1441" w:type="dxa"/>
            <w:noWrap w:val="0"/>
            <w:vAlign w:val="center"/>
          </w:tcPr>
          <w:p>
            <w:pPr>
              <w:widowControl/>
              <w:spacing w:line="240" w:lineRule="auto"/>
              <w:ind w:firstLine="0" w:firstLineChars="0"/>
              <w:jc w:val="center"/>
              <w:rPr>
                <w:b/>
                <w:bCs/>
                <w:color w:val="auto"/>
                <w:kern w:val="0"/>
                <w:sz w:val="21"/>
                <w:szCs w:val="21"/>
                <w:highlight w:val="none"/>
              </w:rPr>
            </w:pPr>
            <w:r>
              <w:rPr>
                <w:b/>
                <w:bCs/>
                <w:color w:val="auto"/>
                <w:kern w:val="0"/>
                <w:sz w:val="21"/>
                <w:szCs w:val="21"/>
                <w:highlight w:val="none"/>
              </w:rPr>
              <w:t>包装形式</w:t>
            </w:r>
          </w:p>
        </w:tc>
        <w:tc>
          <w:tcPr>
            <w:tcW w:w="1276" w:type="dxa"/>
            <w:noWrap w:val="0"/>
            <w:vAlign w:val="center"/>
          </w:tcPr>
          <w:p>
            <w:pPr>
              <w:widowControl/>
              <w:spacing w:line="240" w:lineRule="auto"/>
              <w:ind w:firstLine="0" w:firstLineChars="0"/>
              <w:jc w:val="center"/>
              <w:rPr>
                <w:b/>
                <w:bCs/>
                <w:color w:val="auto"/>
                <w:kern w:val="0"/>
                <w:sz w:val="21"/>
                <w:szCs w:val="21"/>
                <w:highlight w:val="none"/>
              </w:rPr>
            </w:pPr>
            <w:r>
              <w:rPr>
                <w:b/>
                <w:bCs/>
                <w:color w:val="auto"/>
                <w:kern w:val="0"/>
                <w:sz w:val="21"/>
                <w:szCs w:val="21"/>
                <w:highlight w:val="none"/>
              </w:rPr>
              <w:t>物理</w:t>
            </w:r>
          </w:p>
          <w:p>
            <w:pPr>
              <w:widowControl/>
              <w:spacing w:line="240" w:lineRule="auto"/>
              <w:ind w:firstLine="0" w:firstLineChars="0"/>
              <w:jc w:val="center"/>
              <w:rPr>
                <w:b/>
                <w:bCs/>
                <w:color w:val="auto"/>
                <w:kern w:val="0"/>
                <w:sz w:val="21"/>
                <w:szCs w:val="21"/>
                <w:highlight w:val="none"/>
              </w:rPr>
            </w:pPr>
            <w:r>
              <w:rPr>
                <w:b/>
                <w:bCs/>
                <w:color w:val="auto"/>
                <w:kern w:val="0"/>
                <w:sz w:val="21"/>
                <w:szCs w:val="21"/>
                <w:highlight w:val="none"/>
              </w:rPr>
              <w:t>形态</w:t>
            </w:r>
          </w:p>
        </w:tc>
        <w:tc>
          <w:tcPr>
            <w:tcW w:w="2684" w:type="dxa"/>
            <w:noWrap w:val="0"/>
            <w:vAlign w:val="center"/>
          </w:tcPr>
          <w:p>
            <w:pPr>
              <w:widowControl/>
              <w:spacing w:line="240" w:lineRule="auto"/>
              <w:ind w:firstLine="0" w:firstLineChars="0"/>
              <w:jc w:val="center"/>
              <w:rPr>
                <w:rFonts w:hint="eastAsia" w:eastAsia="宋体"/>
                <w:b/>
                <w:bCs/>
                <w:color w:val="auto"/>
                <w:kern w:val="0"/>
                <w:sz w:val="21"/>
                <w:szCs w:val="21"/>
                <w:highlight w:val="none"/>
                <w:lang w:eastAsia="zh-CN"/>
              </w:rPr>
            </w:pPr>
            <w:r>
              <w:rPr>
                <w:rFonts w:hint="eastAsia"/>
                <w:b/>
                <w:bCs/>
                <w:color w:val="auto"/>
                <w:kern w:val="0"/>
                <w:sz w:val="21"/>
                <w:szCs w:val="21"/>
                <w:highlight w:val="none"/>
                <w:lang w:val="en-US" w:eastAsia="zh-CN"/>
              </w:rPr>
              <w:t>备注</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trPr>
        <w:tc>
          <w:tcPr>
            <w:tcW w:w="9230" w:type="dxa"/>
            <w:gridSpan w:val="6"/>
            <w:tcBorders>
              <w:left w:val="nil"/>
            </w:tcBorders>
            <w:noWrap w:val="0"/>
            <w:vAlign w:val="center"/>
          </w:tcPr>
          <w:p>
            <w:pPr>
              <w:widowControl/>
              <w:spacing w:line="240" w:lineRule="auto"/>
              <w:ind w:firstLine="0" w:firstLineChars="0"/>
              <w:jc w:val="center"/>
              <w:rPr>
                <w:rFonts w:hint="eastAsia"/>
                <w:b/>
                <w:bCs/>
                <w:color w:val="auto"/>
                <w:kern w:val="0"/>
                <w:sz w:val="21"/>
                <w:szCs w:val="21"/>
                <w:highlight w:val="none"/>
                <w:lang w:val="en-US" w:eastAsia="zh-CN"/>
              </w:rPr>
            </w:pPr>
            <w:r>
              <w:rPr>
                <w:rFonts w:hint="eastAsia"/>
                <w:b/>
                <w:bCs/>
                <w:color w:val="auto"/>
                <w:kern w:val="0"/>
                <w:sz w:val="21"/>
                <w:szCs w:val="21"/>
                <w:highlight w:val="none"/>
                <w:lang w:val="en-US" w:eastAsia="zh-CN"/>
              </w:rPr>
              <w:t>1#</w:t>
            </w:r>
            <w:r>
              <w:rPr>
                <w:b/>
                <w:bCs/>
                <w:color w:val="auto"/>
                <w:kern w:val="0"/>
                <w:sz w:val="21"/>
                <w:szCs w:val="21"/>
                <w:highlight w:val="none"/>
              </w:rPr>
              <w:t>电镀车间</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trPr>
        <w:tc>
          <w:tcPr>
            <w:tcW w:w="1495" w:type="dxa"/>
            <w:tcBorders>
              <w:left w:val="nil"/>
            </w:tcBorders>
            <w:noWrap w:val="0"/>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硫酸</w:t>
            </w:r>
          </w:p>
        </w:tc>
        <w:tc>
          <w:tcPr>
            <w:tcW w:w="1131" w:type="dxa"/>
            <w:noWrap w:val="0"/>
            <w:vAlign w:val="center"/>
          </w:tcPr>
          <w:p>
            <w:pPr>
              <w:widowControl/>
              <w:spacing w:line="240" w:lineRule="auto"/>
              <w:ind w:firstLine="0" w:firstLineChars="0"/>
              <w:jc w:val="center"/>
              <w:rPr>
                <w:rFonts w:hint="eastAsia" w:eastAsia="宋体"/>
                <w:color w:val="auto"/>
                <w:kern w:val="0"/>
                <w:sz w:val="21"/>
                <w:szCs w:val="21"/>
                <w:highlight w:val="none"/>
                <w:lang w:val="en-US" w:eastAsia="zh-CN"/>
              </w:rPr>
            </w:pPr>
            <w:r>
              <w:rPr>
                <w:rFonts w:hint="eastAsia"/>
                <w:color w:val="auto"/>
                <w:kern w:val="0"/>
                <w:sz w:val="21"/>
                <w:szCs w:val="21"/>
                <w:highlight w:val="none"/>
                <w:lang w:val="en-US" w:eastAsia="zh-CN"/>
              </w:rPr>
              <w:t>50</w:t>
            </w:r>
          </w:p>
        </w:tc>
        <w:tc>
          <w:tcPr>
            <w:tcW w:w="1203" w:type="dxa"/>
            <w:noWrap w:val="0"/>
            <w:vAlign w:val="center"/>
          </w:tcPr>
          <w:p>
            <w:pPr>
              <w:widowControl/>
              <w:spacing w:line="240" w:lineRule="auto"/>
              <w:ind w:firstLine="0" w:firstLineChars="0"/>
              <w:jc w:val="center"/>
              <w:rPr>
                <w:rFonts w:hint="eastAsia" w:eastAsia="宋体"/>
                <w:color w:val="auto"/>
                <w:kern w:val="0"/>
                <w:sz w:val="21"/>
                <w:szCs w:val="21"/>
                <w:highlight w:val="none"/>
                <w:lang w:eastAsia="zh-CN"/>
              </w:rPr>
            </w:pPr>
            <w:r>
              <w:rPr>
                <w:color w:val="auto"/>
                <w:kern w:val="0"/>
                <w:sz w:val="21"/>
                <w:szCs w:val="21"/>
                <w:highlight w:val="none"/>
              </w:rPr>
              <w:t>0.</w:t>
            </w:r>
            <w:r>
              <w:rPr>
                <w:rFonts w:hint="eastAsia"/>
                <w:color w:val="auto"/>
                <w:kern w:val="0"/>
                <w:sz w:val="21"/>
                <w:szCs w:val="21"/>
                <w:highlight w:val="none"/>
                <w:lang w:val="en-US" w:eastAsia="zh-CN"/>
              </w:rPr>
              <w:t>5</w:t>
            </w:r>
          </w:p>
        </w:tc>
        <w:tc>
          <w:tcPr>
            <w:tcW w:w="1441"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val="en-US" w:eastAsia="zh-CN"/>
              </w:rPr>
              <w:t>桶装</w:t>
            </w:r>
          </w:p>
        </w:tc>
        <w:tc>
          <w:tcPr>
            <w:tcW w:w="1276" w:type="dxa"/>
            <w:noWrap w:val="0"/>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液</w:t>
            </w:r>
            <w:r>
              <w:rPr>
                <w:rFonts w:hint="eastAsia"/>
                <w:color w:val="auto"/>
                <w:kern w:val="0"/>
                <w:sz w:val="21"/>
                <w:szCs w:val="21"/>
                <w:highlight w:val="none"/>
              </w:rPr>
              <w:t>态</w:t>
            </w:r>
          </w:p>
        </w:tc>
        <w:tc>
          <w:tcPr>
            <w:tcW w:w="2684" w:type="dxa"/>
            <w:noWrap w:val="0"/>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98%</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trPr>
        <w:tc>
          <w:tcPr>
            <w:tcW w:w="1495" w:type="dxa"/>
            <w:tcBorders>
              <w:left w:val="nil"/>
            </w:tcBorders>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val="en-US" w:eastAsia="zh-CN"/>
              </w:rPr>
              <w:t>硝酸</w:t>
            </w:r>
          </w:p>
        </w:tc>
        <w:tc>
          <w:tcPr>
            <w:tcW w:w="1131" w:type="dxa"/>
            <w:noWrap w:val="0"/>
            <w:vAlign w:val="center"/>
          </w:tcPr>
          <w:p>
            <w:pPr>
              <w:widowControl/>
              <w:spacing w:line="240" w:lineRule="auto"/>
              <w:ind w:firstLine="0" w:firstLineChars="0"/>
              <w:jc w:val="center"/>
              <w:rPr>
                <w:rFonts w:hint="eastAsia" w:eastAsia="宋体"/>
                <w:color w:val="auto"/>
                <w:kern w:val="0"/>
                <w:sz w:val="21"/>
                <w:szCs w:val="21"/>
                <w:highlight w:val="none"/>
                <w:lang w:val="en-US" w:eastAsia="zh-CN"/>
              </w:rPr>
            </w:pPr>
            <w:r>
              <w:rPr>
                <w:rFonts w:hint="eastAsia"/>
                <w:color w:val="auto"/>
                <w:kern w:val="0"/>
                <w:sz w:val="21"/>
                <w:szCs w:val="21"/>
                <w:highlight w:val="none"/>
                <w:lang w:val="en-US" w:eastAsia="zh-CN"/>
              </w:rPr>
              <w:t>20</w:t>
            </w:r>
          </w:p>
        </w:tc>
        <w:tc>
          <w:tcPr>
            <w:tcW w:w="1203" w:type="dxa"/>
            <w:noWrap w:val="0"/>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0.</w:t>
            </w:r>
            <w:r>
              <w:rPr>
                <w:rFonts w:hint="eastAsia"/>
                <w:color w:val="auto"/>
                <w:kern w:val="0"/>
                <w:sz w:val="21"/>
                <w:szCs w:val="21"/>
                <w:highlight w:val="none"/>
                <w:lang w:val="en-US" w:eastAsia="zh-CN"/>
              </w:rPr>
              <w:t>5</w:t>
            </w:r>
          </w:p>
        </w:tc>
        <w:tc>
          <w:tcPr>
            <w:tcW w:w="1441"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val="en-US" w:eastAsia="zh-CN"/>
              </w:rPr>
              <w:t>桶装</w:t>
            </w:r>
          </w:p>
        </w:tc>
        <w:tc>
          <w:tcPr>
            <w:tcW w:w="1276" w:type="dxa"/>
            <w:noWrap w:val="0"/>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液</w:t>
            </w:r>
            <w:r>
              <w:rPr>
                <w:rFonts w:hint="eastAsia"/>
                <w:color w:val="auto"/>
                <w:kern w:val="0"/>
                <w:sz w:val="21"/>
                <w:szCs w:val="21"/>
                <w:highlight w:val="none"/>
              </w:rPr>
              <w:t>态</w:t>
            </w:r>
          </w:p>
        </w:tc>
        <w:tc>
          <w:tcPr>
            <w:tcW w:w="2684" w:type="dxa"/>
            <w:noWrap w:val="0"/>
            <w:vAlign w:val="center"/>
          </w:tcPr>
          <w:p>
            <w:pPr>
              <w:widowControl/>
              <w:spacing w:line="240" w:lineRule="auto"/>
              <w:ind w:firstLine="0" w:firstLineChars="0"/>
              <w:jc w:val="center"/>
              <w:rPr>
                <w:color w:val="auto"/>
                <w:kern w:val="0"/>
                <w:sz w:val="21"/>
                <w:szCs w:val="21"/>
                <w:highlight w:val="none"/>
              </w:rPr>
            </w:pPr>
            <w:r>
              <w:rPr>
                <w:color w:val="auto"/>
                <w:kern w:val="0"/>
                <w:szCs w:val="21"/>
                <w:highlight w:val="none"/>
              </w:rPr>
              <w:t>50%</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trPr>
        <w:tc>
          <w:tcPr>
            <w:tcW w:w="1495" w:type="dxa"/>
            <w:tcBorders>
              <w:left w:val="nil"/>
            </w:tcBorders>
            <w:noWrap w:val="0"/>
            <w:vAlign w:val="center"/>
          </w:tcPr>
          <w:p>
            <w:pPr>
              <w:widowControl/>
              <w:spacing w:line="240" w:lineRule="auto"/>
              <w:ind w:firstLine="0" w:firstLineChars="0"/>
              <w:jc w:val="center"/>
              <w:rPr>
                <w:rFonts w:hint="eastAsia" w:eastAsia="宋体"/>
                <w:color w:val="auto"/>
                <w:kern w:val="0"/>
                <w:sz w:val="21"/>
                <w:szCs w:val="21"/>
                <w:highlight w:val="none"/>
                <w:lang w:val="en-US" w:eastAsia="zh-CN"/>
              </w:rPr>
            </w:pPr>
            <w:r>
              <w:rPr>
                <w:rFonts w:hint="eastAsia"/>
                <w:color w:val="auto"/>
                <w:kern w:val="0"/>
                <w:sz w:val="21"/>
                <w:szCs w:val="21"/>
                <w:highlight w:val="none"/>
                <w:lang w:val="en-US" w:eastAsia="zh-CN"/>
              </w:rPr>
              <w:t>盐酸</w:t>
            </w:r>
          </w:p>
        </w:tc>
        <w:tc>
          <w:tcPr>
            <w:tcW w:w="1131" w:type="dxa"/>
            <w:noWrap w:val="0"/>
            <w:vAlign w:val="center"/>
          </w:tcPr>
          <w:p>
            <w:pPr>
              <w:widowControl/>
              <w:spacing w:line="240" w:lineRule="auto"/>
              <w:ind w:firstLine="0" w:firstLineChars="0"/>
              <w:jc w:val="center"/>
              <w:rPr>
                <w:rFonts w:hint="eastAsia" w:eastAsia="宋体"/>
                <w:color w:val="auto"/>
                <w:kern w:val="0"/>
                <w:sz w:val="21"/>
                <w:szCs w:val="21"/>
                <w:highlight w:val="none"/>
                <w:lang w:val="en-US" w:eastAsia="zh-CN"/>
              </w:rPr>
            </w:pPr>
            <w:r>
              <w:rPr>
                <w:rFonts w:hint="eastAsia"/>
                <w:color w:val="auto"/>
                <w:kern w:val="0"/>
                <w:sz w:val="21"/>
                <w:szCs w:val="21"/>
                <w:highlight w:val="none"/>
                <w:lang w:val="en-US" w:eastAsia="zh-CN"/>
              </w:rPr>
              <w:t>0.3</w:t>
            </w:r>
          </w:p>
        </w:tc>
        <w:tc>
          <w:tcPr>
            <w:tcW w:w="1203" w:type="dxa"/>
            <w:noWrap w:val="0"/>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0.1</w:t>
            </w:r>
          </w:p>
        </w:tc>
        <w:tc>
          <w:tcPr>
            <w:tcW w:w="1441"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val="en-US" w:eastAsia="zh-CN"/>
              </w:rPr>
              <w:t>桶装</w:t>
            </w:r>
          </w:p>
        </w:tc>
        <w:tc>
          <w:tcPr>
            <w:tcW w:w="1276" w:type="dxa"/>
            <w:noWrap w:val="0"/>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液</w:t>
            </w:r>
            <w:r>
              <w:rPr>
                <w:rFonts w:hint="eastAsia"/>
                <w:color w:val="auto"/>
                <w:kern w:val="0"/>
                <w:sz w:val="21"/>
                <w:szCs w:val="21"/>
                <w:highlight w:val="none"/>
              </w:rPr>
              <w:t>态</w:t>
            </w:r>
          </w:p>
        </w:tc>
        <w:tc>
          <w:tcPr>
            <w:tcW w:w="2684" w:type="dxa"/>
            <w:noWrap w:val="0"/>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31%</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trPr>
        <w:tc>
          <w:tcPr>
            <w:tcW w:w="1495" w:type="dxa"/>
            <w:tcBorders>
              <w:left w:val="nil"/>
            </w:tcBorders>
            <w:noWrap w:val="0"/>
            <w:vAlign w:val="center"/>
          </w:tcPr>
          <w:p>
            <w:pPr>
              <w:widowControl/>
              <w:spacing w:line="240" w:lineRule="auto"/>
              <w:ind w:firstLine="0" w:firstLineChars="0"/>
              <w:jc w:val="center"/>
              <w:rPr>
                <w:rFonts w:hint="eastAsia" w:eastAsia="宋体"/>
                <w:color w:val="auto"/>
                <w:kern w:val="0"/>
                <w:sz w:val="21"/>
                <w:szCs w:val="21"/>
                <w:highlight w:val="none"/>
                <w:lang w:val="en-US" w:eastAsia="zh-CN"/>
              </w:rPr>
            </w:pPr>
            <w:r>
              <w:rPr>
                <w:rFonts w:hint="eastAsia"/>
                <w:color w:val="auto"/>
                <w:kern w:val="0"/>
                <w:sz w:val="21"/>
                <w:szCs w:val="21"/>
                <w:highlight w:val="none"/>
                <w:lang w:val="en-US" w:eastAsia="zh-CN"/>
              </w:rPr>
              <w:t>脱脂剂</w:t>
            </w:r>
          </w:p>
        </w:tc>
        <w:tc>
          <w:tcPr>
            <w:tcW w:w="1131" w:type="dxa"/>
            <w:noWrap w:val="0"/>
            <w:vAlign w:val="center"/>
          </w:tcPr>
          <w:p>
            <w:pPr>
              <w:widowControl/>
              <w:spacing w:line="240" w:lineRule="auto"/>
              <w:ind w:firstLine="0" w:firstLineChars="0"/>
              <w:jc w:val="center"/>
              <w:rPr>
                <w:rFonts w:hint="eastAsia" w:eastAsia="宋体"/>
                <w:color w:val="auto"/>
                <w:kern w:val="0"/>
                <w:sz w:val="21"/>
                <w:szCs w:val="21"/>
                <w:highlight w:val="none"/>
                <w:lang w:eastAsia="zh-CN"/>
              </w:rPr>
            </w:pPr>
            <w:r>
              <w:rPr>
                <w:rFonts w:hint="eastAsia"/>
                <w:color w:val="auto"/>
                <w:kern w:val="0"/>
                <w:sz w:val="21"/>
                <w:szCs w:val="21"/>
                <w:highlight w:val="none"/>
                <w:lang w:val="en-US" w:eastAsia="zh-CN"/>
              </w:rPr>
              <w:t>8</w:t>
            </w:r>
          </w:p>
        </w:tc>
        <w:tc>
          <w:tcPr>
            <w:tcW w:w="1203" w:type="dxa"/>
            <w:noWrap w:val="0"/>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1</w:t>
            </w:r>
          </w:p>
        </w:tc>
        <w:tc>
          <w:tcPr>
            <w:tcW w:w="1441" w:type="dxa"/>
            <w:noWrap w:val="0"/>
            <w:vAlign w:val="center"/>
          </w:tcPr>
          <w:p>
            <w:pPr>
              <w:widowControl/>
              <w:spacing w:line="240" w:lineRule="auto"/>
              <w:ind w:firstLine="0" w:firstLineChars="0"/>
              <w:jc w:val="center"/>
              <w:rPr>
                <w:rFonts w:hint="eastAsia" w:eastAsia="宋体"/>
                <w:color w:val="auto"/>
                <w:kern w:val="0"/>
                <w:sz w:val="21"/>
                <w:szCs w:val="21"/>
                <w:highlight w:val="none"/>
                <w:lang w:val="en-US" w:eastAsia="zh-CN"/>
              </w:rPr>
            </w:pPr>
            <w:r>
              <w:rPr>
                <w:color w:val="auto"/>
                <w:kern w:val="0"/>
                <w:sz w:val="21"/>
                <w:szCs w:val="21"/>
                <w:highlight w:val="none"/>
              </w:rPr>
              <w:t>袋</w:t>
            </w:r>
            <w:r>
              <w:rPr>
                <w:rFonts w:hint="eastAsia"/>
                <w:color w:val="auto"/>
                <w:kern w:val="0"/>
                <w:sz w:val="21"/>
                <w:szCs w:val="21"/>
                <w:highlight w:val="none"/>
                <w:lang w:val="en-US" w:eastAsia="zh-CN"/>
              </w:rPr>
              <w:t>装</w:t>
            </w:r>
          </w:p>
        </w:tc>
        <w:tc>
          <w:tcPr>
            <w:tcW w:w="1276" w:type="dxa"/>
            <w:noWrap w:val="0"/>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固</w:t>
            </w:r>
            <w:r>
              <w:rPr>
                <w:rFonts w:hint="eastAsia"/>
                <w:color w:val="auto"/>
                <w:kern w:val="0"/>
                <w:sz w:val="21"/>
                <w:szCs w:val="21"/>
                <w:highlight w:val="none"/>
              </w:rPr>
              <w:t>态</w:t>
            </w:r>
          </w:p>
        </w:tc>
        <w:tc>
          <w:tcPr>
            <w:tcW w:w="2684" w:type="dxa"/>
            <w:noWrap w:val="0"/>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9</w:t>
            </w:r>
            <w:r>
              <w:rPr>
                <w:rFonts w:hint="eastAsia"/>
                <w:color w:val="auto"/>
                <w:kern w:val="0"/>
                <w:sz w:val="21"/>
                <w:szCs w:val="21"/>
                <w:highlight w:val="none"/>
                <w:lang w:val="en-US" w:eastAsia="zh-CN"/>
              </w:rPr>
              <w:t>8</w:t>
            </w:r>
            <w:r>
              <w:rPr>
                <w:color w:val="auto"/>
                <w:kern w:val="0"/>
                <w:sz w:val="21"/>
                <w:szCs w:val="21"/>
                <w:highlight w:val="none"/>
              </w:rPr>
              <w:t>%</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trPr>
        <w:tc>
          <w:tcPr>
            <w:tcW w:w="1495" w:type="dxa"/>
            <w:tcBorders>
              <w:left w:val="nil"/>
            </w:tcBorders>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rPr>
              <w:t>甲基磺酸</w:t>
            </w:r>
          </w:p>
        </w:tc>
        <w:tc>
          <w:tcPr>
            <w:tcW w:w="1131" w:type="dxa"/>
            <w:noWrap w:val="0"/>
            <w:vAlign w:val="center"/>
          </w:tcPr>
          <w:p>
            <w:pPr>
              <w:widowControl/>
              <w:spacing w:line="240" w:lineRule="auto"/>
              <w:ind w:firstLine="0" w:firstLineChars="0"/>
              <w:jc w:val="center"/>
              <w:rPr>
                <w:rFonts w:hint="eastAsia" w:eastAsia="宋体"/>
                <w:color w:val="auto"/>
                <w:kern w:val="0"/>
                <w:sz w:val="21"/>
                <w:szCs w:val="21"/>
                <w:highlight w:val="none"/>
                <w:lang w:val="en-US" w:eastAsia="zh-CN"/>
              </w:rPr>
            </w:pPr>
            <w:r>
              <w:rPr>
                <w:rFonts w:hint="eastAsia"/>
                <w:color w:val="auto"/>
                <w:kern w:val="0"/>
                <w:sz w:val="21"/>
                <w:szCs w:val="21"/>
                <w:highlight w:val="none"/>
                <w:lang w:val="en-US" w:eastAsia="zh-CN"/>
              </w:rPr>
              <w:t>45</w:t>
            </w:r>
          </w:p>
        </w:tc>
        <w:tc>
          <w:tcPr>
            <w:tcW w:w="1203" w:type="dxa"/>
            <w:noWrap w:val="0"/>
            <w:vAlign w:val="center"/>
          </w:tcPr>
          <w:p>
            <w:pPr>
              <w:widowControl/>
              <w:spacing w:line="240" w:lineRule="auto"/>
              <w:ind w:firstLine="0" w:firstLineChars="0"/>
              <w:jc w:val="center"/>
              <w:rPr>
                <w:rFonts w:hint="eastAsia" w:eastAsia="宋体"/>
                <w:color w:val="auto"/>
                <w:kern w:val="0"/>
                <w:sz w:val="21"/>
                <w:szCs w:val="21"/>
                <w:highlight w:val="none"/>
                <w:lang w:eastAsia="zh-CN"/>
              </w:rPr>
            </w:pPr>
            <w:r>
              <w:rPr>
                <w:rFonts w:hint="eastAsia"/>
                <w:color w:val="auto"/>
                <w:kern w:val="0"/>
                <w:sz w:val="21"/>
                <w:szCs w:val="21"/>
                <w:highlight w:val="none"/>
                <w:lang w:val="en-US" w:eastAsia="zh-CN"/>
              </w:rPr>
              <w:t>0.5</w:t>
            </w:r>
          </w:p>
        </w:tc>
        <w:tc>
          <w:tcPr>
            <w:tcW w:w="1441" w:type="dxa"/>
            <w:noWrap w:val="0"/>
            <w:vAlign w:val="center"/>
          </w:tcPr>
          <w:p>
            <w:pPr>
              <w:widowControl/>
              <w:spacing w:line="240" w:lineRule="auto"/>
              <w:ind w:firstLine="0" w:firstLineChars="0"/>
              <w:jc w:val="center"/>
              <w:rPr>
                <w:rFonts w:hint="eastAsia" w:eastAsia="宋体"/>
                <w:color w:val="auto"/>
                <w:kern w:val="0"/>
                <w:sz w:val="21"/>
                <w:szCs w:val="21"/>
                <w:highlight w:val="none"/>
                <w:lang w:val="en-US" w:eastAsia="zh-CN"/>
              </w:rPr>
            </w:pPr>
            <w:r>
              <w:rPr>
                <w:color w:val="auto"/>
                <w:kern w:val="0"/>
                <w:sz w:val="21"/>
                <w:szCs w:val="21"/>
                <w:highlight w:val="none"/>
              </w:rPr>
              <w:t>桶/罐</w:t>
            </w:r>
          </w:p>
        </w:tc>
        <w:tc>
          <w:tcPr>
            <w:tcW w:w="1276"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val="en-US" w:eastAsia="zh-CN"/>
              </w:rPr>
              <w:t>液</w:t>
            </w:r>
            <w:r>
              <w:rPr>
                <w:rFonts w:hint="eastAsia"/>
                <w:color w:val="auto"/>
                <w:kern w:val="0"/>
                <w:sz w:val="21"/>
                <w:szCs w:val="21"/>
                <w:highlight w:val="none"/>
              </w:rPr>
              <w:t>态</w:t>
            </w:r>
          </w:p>
        </w:tc>
        <w:tc>
          <w:tcPr>
            <w:tcW w:w="2684" w:type="dxa"/>
            <w:noWrap w:val="0"/>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99%</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trPr>
        <w:tc>
          <w:tcPr>
            <w:tcW w:w="1495" w:type="dxa"/>
            <w:tcBorders>
              <w:left w:val="nil"/>
            </w:tcBorders>
            <w:noWrap w:val="0"/>
            <w:vAlign w:val="center"/>
          </w:tcPr>
          <w:p>
            <w:pPr>
              <w:widowControl/>
              <w:spacing w:line="240" w:lineRule="auto"/>
              <w:ind w:firstLine="0" w:firstLineChars="0"/>
              <w:jc w:val="center"/>
              <w:rPr>
                <w:rFonts w:hint="eastAsia" w:eastAsia="宋体"/>
                <w:color w:val="auto"/>
                <w:kern w:val="0"/>
                <w:sz w:val="21"/>
                <w:szCs w:val="21"/>
                <w:highlight w:val="none"/>
                <w:lang w:val="en-US" w:eastAsia="zh-CN"/>
              </w:rPr>
            </w:pPr>
            <w:r>
              <w:rPr>
                <w:rFonts w:hint="eastAsia" w:eastAsia="宋体"/>
                <w:color w:val="auto"/>
                <w:kern w:val="0"/>
                <w:sz w:val="21"/>
                <w:szCs w:val="21"/>
                <w:highlight w:val="none"/>
                <w:lang w:val="en-US" w:eastAsia="zh-CN"/>
              </w:rPr>
              <w:t>甲基磺酸锡</w:t>
            </w:r>
          </w:p>
        </w:tc>
        <w:tc>
          <w:tcPr>
            <w:tcW w:w="1131" w:type="dxa"/>
            <w:noWrap w:val="0"/>
            <w:vAlign w:val="center"/>
          </w:tcPr>
          <w:p>
            <w:pPr>
              <w:widowControl/>
              <w:spacing w:line="240" w:lineRule="auto"/>
              <w:ind w:firstLine="0" w:firstLineChars="0"/>
              <w:jc w:val="center"/>
              <w:rPr>
                <w:rFonts w:hint="eastAsia" w:eastAsia="宋体"/>
                <w:color w:val="auto"/>
                <w:kern w:val="0"/>
                <w:sz w:val="21"/>
                <w:szCs w:val="21"/>
                <w:highlight w:val="none"/>
                <w:lang w:val="en-US" w:eastAsia="zh-CN"/>
              </w:rPr>
            </w:pPr>
            <w:r>
              <w:rPr>
                <w:rFonts w:hint="eastAsia"/>
                <w:color w:val="auto"/>
                <w:kern w:val="0"/>
                <w:sz w:val="21"/>
                <w:szCs w:val="21"/>
                <w:highlight w:val="none"/>
                <w:lang w:val="en-US" w:eastAsia="zh-CN"/>
              </w:rPr>
              <w:t>2</w:t>
            </w:r>
          </w:p>
        </w:tc>
        <w:tc>
          <w:tcPr>
            <w:tcW w:w="1203" w:type="dxa"/>
            <w:noWrap w:val="0"/>
            <w:vAlign w:val="center"/>
          </w:tcPr>
          <w:p>
            <w:pPr>
              <w:widowControl/>
              <w:spacing w:line="240" w:lineRule="auto"/>
              <w:ind w:firstLine="0" w:firstLineChars="0"/>
              <w:jc w:val="center"/>
              <w:rPr>
                <w:rFonts w:hint="eastAsia" w:eastAsia="宋体"/>
                <w:color w:val="auto"/>
                <w:kern w:val="0"/>
                <w:sz w:val="21"/>
                <w:szCs w:val="21"/>
                <w:highlight w:val="none"/>
                <w:lang w:val="en-US" w:eastAsia="zh-CN"/>
              </w:rPr>
            </w:pPr>
            <w:r>
              <w:rPr>
                <w:color w:val="auto"/>
                <w:kern w:val="0"/>
                <w:sz w:val="21"/>
                <w:szCs w:val="21"/>
                <w:highlight w:val="none"/>
              </w:rPr>
              <w:t>0.</w:t>
            </w:r>
            <w:r>
              <w:rPr>
                <w:rFonts w:hint="eastAsia"/>
                <w:color w:val="auto"/>
                <w:kern w:val="0"/>
                <w:sz w:val="21"/>
                <w:szCs w:val="21"/>
                <w:highlight w:val="none"/>
                <w:lang w:val="en-US" w:eastAsia="zh-CN"/>
              </w:rPr>
              <w:t>2</w:t>
            </w:r>
          </w:p>
        </w:tc>
        <w:tc>
          <w:tcPr>
            <w:tcW w:w="1441"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val="en-US" w:eastAsia="zh-CN"/>
              </w:rPr>
              <w:t>桶装</w:t>
            </w:r>
          </w:p>
        </w:tc>
        <w:tc>
          <w:tcPr>
            <w:tcW w:w="1276"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val="en-US" w:eastAsia="zh-CN"/>
              </w:rPr>
              <w:t>液</w:t>
            </w:r>
            <w:r>
              <w:rPr>
                <w:rFonts w:hint="eastAsia"/>
                <w:color w:val="auto"/>
                <w:kern w:val="0"/>
                <w:sz w:val="21"/>
                <w:szCs w:val="21"/>
                <w:highlight w:val="none"/>
              </w:rPr>
              <w:t>态</w:t>
            </w:r>
          </w:p>
        </w:tc>
        <w:tc>
          <w:tcPr>
            <w:tcW w:w="2684" w:type="dxa"/>
            <w:noWrap w:val="0"/>
            <w:vAlign w:val="center"/>
          </w:tcPr>
          <w:p>
            <w:pPr>
              <w:widowControl/>
              <w:spacing w:line="240" w:lineRule="auto"/>
              <w:ind w:firstLine="0" w:firstLineChars="0"/>
              <w:jc w:val="center"/>
              <w:rPr>
                <w:rFonts w:hint="eastAsia" w:eastAsia="宋体"/>
                <w:color w:val="auto"/>
                <w:kern w:val="0"/>
                <w:sz w:val="21"/>
                <w:szCs w:val="21"/>
                <w:highlight w:val="none"/>
                <w:lang w:val="en-US" w:eastAsia="zh-CN"/>
              </w:rPr>
            </w:pPr>
            <w:r>
              <w:rPr>
                <w:rFonts w:hint="eastAsia"/>
                <w:color w:val="auto"/>
                <w:kern w:val="0"/>
                <w:sz w:val="21"/>
                <w:szCs w:val="21"/>
                <w:highlight w:val="none"/>
                <w:lang w:val="en-US" w:eastAsia="zh-CN"/>
              </w:rPr>
              <w:t>50%</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trPr>
        <w:tc>
          <w:tcPr>
            <w:tcW w:w="1495" w:type="dxa"/>
            <w:tcBorders>
              <w:left w:val="nil"/>
            </w:tcBorders>
            <w:noWrap w:val="0"/>
            <w:vAlign w:val="center"/>
          </w:tcPr>
          <w:p>
            <w:pPr>
              <w:widowControl/>
              <w:spacing w:line="240" w:lineRule="auto"/>
              <w:ind w:firstLine="0" w:firstLineChars="0"/>
              <w:jc w:val="center"/>
              <w:rPr>
                <w:rFonts w:hint="eastAsia"/>
                <w:color w:val="auto"/>
                <w:kern w:val="0"/>
                <w:sz w:val="21"/>
                <w:szCs w:val="21"/>
                <w:highlight w:val="none"/>
                <w:lang w:val="en-US" w:eastAsia="zh-CN"/>
              </w:rPr>
            </w:pPr>
            <w:r>
              <w:rPr>
                <w:rFonts w:hint="eastAsia"/>
                <w:color w:val="auto"/>
                <w:kern w:val="0"/>
                <w:sz w:val="21"/>
                <w:szCs w:val="21"/>
                <w:highlight w:val="none"/>
                <w:lang w:val="en-US" w:eastAsia="zh-CN"/>
              </w:rPr>
              <w:t>开缸剂</w:t>
            </w:r>
          </w:p>
        </w:tc>
        <w:tc>
          <w:tcPr>
            <w:tcW w:w="1131" w:type="dxa"/>
            <w:noWrap w:val="0"/>
            <w:vAlign w:val="center"/>
          </w:tcPr>
          <w:p>
            <w:pPr>
              <w:widowControl/>
              <w:spacing w:line="240" w:lineRule="auto"/>
              <w:ind w:firstLine="0" w:firstLineChars="0"/>
              <w:jc w:val="center"/>
              <w:rPr>
                <w:rFonts w:hint="eastAsia" w:eastAsia="宋体"/>
                <w:color w:val="auto"/>
                <w:kern w:val="0"/>
                <w:sz w:val="21"/>
                <w:szCs w:val="21"/>
                <w:highlight w:val="none"/>
                <w:lang w:eastAsia="zh-CN"/>
              </w:rPr>
            </w:pPr>
            <w:r>
              <w:rPr>
                <w:rFonts w:hint="eastAsia"/>
                <w:color w:val="auto"/>
                <w:kern w:val="0"/>
                <w:sz w:val="21"/>
                <w:szCs w:val="21"/>
                <w:highlight w:val="none"/>
                <w:lang w:val="en-US" w:eastAsia="zh-CN"/>
              </w:rPr>
              <w:t>2</w:t>
            </w:r>
          </w:p>
        </w:tc>
        <w:tc>
          <w:tcPr>
            <w:tcW w:w="1203" w:type="dxa"/>
            <w:noWrap w:val="0"/>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0.2</w:t>
            </w:r>
          </w:p>
        </w:tc>
        <w:tc>
          <w:tcPr>
            <w:tcW w:w="1441"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val="en-US" w:eastAsia="zh-CN"/>
              </w:rPr>
              <w:t>桶装</w:t>
            </w:r>
          </w:p>
        </w:tc>
        <w:tc>
          <w:tcPr>
            <w:tcW w:w="1276"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val="en-US" w:eastAsia="zh-CN"/>
              </w:rPr>
              <w:t>液</w:t>
            </w:r>
            <w:r>
              <w:rPr>
                <w:rFonts w:hint="eastAsia"/>
                <w:color w:val="auto"/>
                <w:kern w:val="0"/>
                <w:sz w:val="21"/>
                <w:szCs w:val="21"/>
                <w:highlight w:val="none"/>
              </w:rPr>
              <w:t>态</w:t>
            </w:r>
          </w:p>
        </w:tc>
        <w:tc>
          <w:tcPr>
            <w:tcW w:w="2684" w:type="dxa"/>
            <w:noWrap w:val="0"/>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trPr>
        <w:tc>
          <w:tcPr>
            <w:tcW w:w="1495" w:type="dxa"/>
            <w:tcBorders>
              <w:left w:val="nil"/>
            </w:tcBorders>
            <w:noWrap w:val="0"/>
            <w:vAlign w:val="center"/>
          </w:tcPr>
          <w:p>
            <w:pPr>
              <w:widowControl/>
              <w:spacing w:line="240" w:lineRule="auto"/>
              <w:ind w:firstLine="0" w:firstLineChars="0"/>
              <w:jc w:val="center"/>
              <w:rPr>
                <w:rFonts w:hint="eastAsia"/>
                <w:color w:val="auto"/>
                <w:kern w:val="0"/>
                <w:sz w:val="21"/>
                <w:szCs w:val="21"/>
                <w:highlight w:val="none"/>
                <w:lang w:val="en-US" w:eastAsia="zh-CN"/>
              </w:rPr>
            </w:pPr>
            <w:r>
              <w:rPr>
                <w:rFonts w:hint="eastAsia"/>
                <w:color w:val="auto"/>
                <w:kern w:val="0"/>
                <w:sz w:val="21"/>
                <w:szCs w:val="21"/>
                <w:highlight w:val="none"/>
                <w:lang w:val="en-US" w:eastAsia="zh-CN"/>
              </w:rPr>
              <w:t>光泽剂</w:t>
            </w:r>
          </w:p>
        </w:tc>
        <w:tc>
          <w:tcPr>
            <w:tcW w:w="1131" w:type="dxa"/>
            <w:noWrap w:val="0"/>
            <w:vAlign w:val="center"/>
          </w:tcPr>
          <w:p>
            <w:pPr>
              <w:widowControl/>
              <w:spacing w:line="240" w:lineRule="auto"/>
              <w:ind w:firstLine="0" w:firstLineChars="0"/>
              <w:jc w:val="center"/>
              <w:rPr>
                <w:rFonts w:hint="eastAsia" w:eastAsia="宋体"/>
                <w:color w:val="auto"/>
                <w:kern w:val="0"/>
                <w:sz w:val="21"/>
                <w:szCs w:val="21"/>
                <w:highlight w:val="none"/>
                <w:lang w:eastAsia="zh-CN"/>
              </w:rPr>
            </w:pPr>
            <w:r>
              <w:rPr>
                <w:rFonts w:hint="eastAsia"/>
                <w:color w:val="auto"/>
                <w:kern w:val="0"/>
                <w:sz w:val="21"/>
                <w:szCs w:val="21"/>
                <w:highlight w:val="none"/>
                <w:lang w:val="en-US" w:eastAsia="zh-CN"/>
              </w:rPr>
              <w:t>2</w:t>
            </w:r>
          </w:p>
        </w:tc>
        <w:tc>
          <w:tcPr>
            <w:tcW w:w="1203" w:type="dxa"/>
            <w:noWrap w:val="0"/>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0.2</w:t>
            </w:r>
          </w:p>
        </w:tc>
        <w:tc>
          <w:tcPr>
            <w:tcW w:w="1441"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val="en-US" w:eastAsia="zh-CN"/>
              </w:rPr>
              <w:t>桶装</w:t>
            </w:r>
          </w:p>
        </w:tc>
        <w:tc>
          <w:tcPr>
            <w:tcW w:w="1276" w:type="dxa"/>
            <w:noWrap w:val="0"/>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液</w:t>
            </w:r>
            <w:r>
              <w:rPr>
                <w:rFonts w:hint="eastAsia"/>
                <w:color w:val="auto"/>
                <w:kern w:val="0"/>
                <w:sz w:val="21"/>
                <w:szCs w:val="21"/>
                <w:highlight w:val="none"/>
              </w:rPr>
              <w:t>态</w:t>
            </w:r>
          </w:p>
        </w:tc>
        <w:tc>
          <w:tcPr>
            <w:tcW w:w="2684" w:type="dxa"/>
            <w:noWrap w:val="0"/>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trPr>
        <w:tc>
          <w:tcPr>
            <w:tcW w:w="1495" w:type="dxa"/>
            <w:tcBorders>
              <w:left w:val="nil"/>
            </w:tcBorders>
            <w:noWrap w:val="0"/>
            <w:vAlign w:val="center"/>
          </w:tcPr>
          <w:p>
            <w:pPr>
              <w:widowControl/>
              <w:spacing w:line="240" w:lineRule="auto"/>
              <w:ind w:firstLine="0" w:firstLineChars="0"/>
              <w:jc w:val="center"/>
              <w:rPr>
                <w:rFonts w:hint="eastAsia"/>
                <w:color w:val="auto"/>
                <w:kern w:val="0"/>
                <w:sz w:val="21"/>
                <w:szCs w:val="21"/>
                <w:highlight w:val="none"/>
                <w:lang w:val="en-US" w:eastAsia="zh-CN"/>
              </w:rPr>
            </w:pPr>
            <w:r>
              <w:rPr>
                <w:rFonts w:hint="eastAsia"/>
                <w:color w:val="auto"/>
                <w:kern w:val="0"/>
                <w:sz w:val="21"/>
                <w:szCs w:val="21"/>
                <w:highlight w:val="none"/>
                <w:lang w:val="en-US" w:eastAsia="zh-CN"/>
              </w:rPr>
              <w:t>锡板</w:t>
            </w:r>
          </w:p>
        </w:tc>
        <w:tc>
          <w:tcPr>
            <w:tcW w:w="1131" w:type="dxa"/>
            <w:noWrap w:val="0"/>
            <w:vAlign w:val="center"/>
          </w:tcPr>
          <w:p>
            <w:pPr>
              <w:widowControl/>
              <w:spacing w:line="240" w:lineRule="auto"/>
              <w:ind w:firstLine="0" w:firstLineChars="0"/>
              <w:jc w:val="center"/>
              <w:rPr>
                <w:rFonts w:hint="eastAsia" w:eastAsia="宋体"/>
                <w:color w:val="auto"/>
                <w:kern w:val="0"/>
                <w:sz w:val="21"/>
                <w:szCs w:val="21"/>
                <w:highlight w:val="none"/>
                <w:lang w:val="en-US" w:eastAsia="zh-CN"/>
              </w:rPr>
            </w:pPr>
            <w:r>
              <w:rPr>
                <w:rFonts w:hint="eastAsia"/>
                <w:color w:val="auto"/>
                <w:kern w:val="0"/>
                <w:sz w:val="21"/>
                <w:szCs w:val="21"/>
                <w:highlight w:val="none"/>
                <w:lang w:val="en-US" w:eastAsia="zh-CN"/>
              </w:rPr>
              <w:t>15</w:t>
            </w:r>
          </w:p>
        </w:tc>
        <w:tc>
          <w:tcPr>
            <w:tcW w:w="1203" w:type="dxa"/>
            <w:noWrap w:val="0"/>
            <w:vAlign w:val="center"/>
          </w:tcPr>
          <w:p>
            <w:pPr>
              <w:widowControl/>
              <w:spacing w:line="240" w:lineRule="auto"/>
              <w:ind w:firstLine="0" w:firstLineChars="0"/>
              <w:jc w:val="center"/>
              <w:rPr>
                <w:rFonts w:hint="eastAsia" w:eastAsia="宋体"/>
                <w:color w:val="auto"/>
                <w:kern w:val="0"/>
                <w:sz w:val="21"/>
                <w:szCs w:val="21"/>
                <w:highlight w:val="none"/>
                <w:lang w:val="en-US" w:eastAsia="zh-CN"/>
              </w:rPr>
            </w:pPr>
            <w:r>
              <w:rPr>
                <w:rFonts w:hint="eastAsia"/>
                <w:color w:val="auto"/>
                <w:kern w:val="0"/>
                <w:sz w:val="21"/>
                <w:szCs w:val="21"/>
                <w:highlight w:val="none"/>
                <w:lang w:val="en-US" w:eastAsia="zh-CN"/>
              </w:rPr>
              <w:t>2</w:t>
            </w:r>
          </w:p>
        </w:tc>
        <w:tc>
          <w:tcPr>
            <w:tcW w:w="1441" w:type="dxa"/>
            <w:noWrap w:val="0"/>
            <w:vAlign w:val="center"/>
          </w:tcPr>
          <w:p>
            <w:pPr>
              <w:widowControl/>
              <w:spacing w:line="240" w:lineRule="auto"/>
              <w:ind w:firstLine="0" w:firstLineChars="0"/>
              <w:jc w:val="center"/>
              <w:rPr>
                <w:rFonts w:hint="eastAsia" w:eastAsia="宋体"/>
                <w:color w:val="auto"/>
                <w:kern w:val="0"/>
                <w:sz w:val="21"/>
                <w:szCs w:val="21"/>
                <w:highlight w:val="none"/>
                <w:lang w:val="en-US" w:eastAsia="zh-CN"/>
              </w:rPr>
            </w:pPr>
            <w:r>
              <w:rPr>
                <w:rFonts w:hint="eastAsia"/>
                <w:color w:val="auto"/>
                <w:kern w:val="0"/>
                <w:sz w:val="21"/>
                <w:szCs w:val="21"/>
                <w:highlight w:val="none"/>
                <w:lang w:val="en-US" w:eastAsia="zh-CN"/>
              </w:rPr>
              <w:t>/</w:t>
            </w:r>
          </w:p>
        </w:tc>
        <w:tc>
          <w:tcPr>
            <w:tcW w:w="1276" w:type="dxa"/>
            <w:noWrap w:val="0"/>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固</w:t>
            </w:r>
            <w:r>
              <w:rPr>
                <w:rFonts w:hint="eastAsia"/>
                <w:color w:val="auto"/>
                <w:kern w:val="0"/>
                <w:sz w:val="21"/>
                <w:szCs w:val="21"/>
                <w:highlight w:val="none"/>
              </w:rPr>
              <w:t>态</w:t>
            </w:r>
          </w:p>
        </w:tc>
        <w:tc>
          <w:tcPr>
            <w:tcW w:w="2684" w:type="dxa"/>
            <w:noWrap w:val="0"/>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trPr>
        <w:tc>
          <w:tcPr>
            <w:tcW w:w="1495" w:type="dxa"/>
            <w:tcBorders>
              <w:left w:val="nil"/>
            </w:tcBorders>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rPr>
              <w:t>磷酸三钠</w:t>
            </w:r>
          </w:p>
        </w:tc>
        <w:tc>
          <w:tcPr>
            <w:tcW w:w="1131" w:type="dxa"/>
            <w:noWrap w:val="0"/>
            <w:vAlign w:val="center"/>
          </w:tcPr>
          <w:p>
            <w:pPr>
              <w:widowControl/>
              <w:spacing w:line="240" w:lineRule="auto"/>
              <w:ind w:firstLine="0" w:firstLineChars="0"/>
              <w:jc w:val="center"/>
              <w:rPr>
                <w:rFonts w:hint="eastAsia" w:eastAsia="宋体"/>
                <w:color w:val="auto"/>
                <w:kern w:val="0"/>
                <w:sz w:val="21"/>
                <w:szCs w:val="21"/>
                <w:highlight w:val="none"/>
                <w:lang w:val="en-US" w:eastAsia="zh-CN"/>
              </w:rPr>
            </w:pPr>
            <w:r>
              <w:rPr>
                <w:rFonts w:hint="eastAsia"/>
                <w:color w:val="auto"/>
                <w:kern w:val="0"/>
                <w:sz w:val="21"/>
                <w:szCs w:val="21"/>
                <w:highlight w:val="none"/>
                <w:lang w:val="en-US" w:eastAsia="zh-CN"/>
              </w:rPr>
              <w:t>10</w:t>
            </w:r>
          </w:p>
        </w:tc>
        <w:tc>
          <w:tcPr>
            <w:tcW w:w="1203" w:type="dxa"/>
            <w:noWrap w:val="0"/>
            <w:vAlign w:val="center"/>
          </w:tcPr>
          <w:p>
            <w:pPr>
              <w:widowControl/>
              <w:spacing w:line="240" w:lineRule="auto"/>
              <w:ind w:firstLine="0" w:firstLineChars="0"/>
              <w:jc w:val="center"/>
              <w:rPr>
                <w:rFonts w:hint="eastAsia" w:eastAsia="宋体"/>
                <w:color w:val="auto"/>
                <w:kern w:val="0"/>
                <w:sz w:val="21"/>
                <w:szCs w:val="21"/>
                <w:highlight w:val="none"/>
                <w:lang w:eastAsia="zh-CN"/>
              </w:rPr>
            </w:pPr>
            <w:r>
              <w:rPr>
                <w:rFonts w:hint="eastAsia"/>
                <w:color w:val="auto"/>
                <w:kern w:val="0"/>
                <w:sz w:val="21"/>
                <w:szCs w:val="21"/>
                <w:highlight w:val="none"/>
                <w:lang w:val="en-US" w:eastAsia="zh-CN"/>
              </w:rPr>
              <w:t>1</w:t>
            </w:r>
          </w:p>
        </w:tc>
        <w:tc>
          <w:tcPr>
            <w:tcW w:w="1441" w:type="dxa"/>
            <w:noWrap w:val="0"/>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袋</w:t>
            </w:r>
          </w:p>
        </w:tc>
        <w:tc>
          <w:tcPr>
            <w:tcW w:w="1276" w:type="dxa"/>
            <w:noWrap w:val="0"/>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固</w:t>
            </w:r>
            <w:r>
              <w:rPr>
                <w:rFonts w:hint="eastAsia"/>
                <w:color w:val="auto"/>
                <w:kern w:val="0"/>
                <w:sz w:val="21"/>
                <w:szCs w:val="21"/>
                <w:highlight w:val="none"/>
              </w:rPr>
              <w:t>态</w:t>
            </w:r>
          </w:p>
        </w:tc>
        <w:tc>
          <w:tcPr>
            <w:tcW w:w="2684" w:type="dxa"/>
            <w:noWrap w:val="0"/>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trPr>
        <w:tc>
          <w:tcPr>
            <w:tcW w:w="9230" w:type="dxa"/>
            <w:gridSpan w:val="6"/>
            <w:tcBorders>
              <w:left w:val="nil"/>
            </w:tcBorders>
            <w:noWrap w:val="0"/>
            <w:vAlign w:val="center"/>
          </w:tcPr>
          <w:p>
            <w:pPr>
              <w:widowControl/>
              <w:spacing w:line="240" w:lineRule="auto"/>
              <w:ind w:firstLine="0" w:firstLineChars="0"/>
              <w:jc w:val="center"/>
              <w:rPr>
                <w:rFonts w:hint="eastAsia"/>
                <w:b/>
                <w:bCs/>
                <w:color w:val="auto"/>
                <w:kern w:val="0"/>
                <w:sz w:val="21"/>
                <w:szCs w:val="21"/>
                <w:highlight w:val="none"/>
                <w:lang w:val="en-US" w:eastAsia="zh-CN"/>
              </w:rPr>
            </w:pPr>
            <w:r>
              <w:rPr>
                <w:rFonts w:hint="eastAsia"/>
                <w:b/>
                <w:bCs/>
                <w:color w:val="auto"/>
                <w:kern w:val="0"/>
                <w:sz w:val="21"/>
                <w:szCs w:val="21"/>
                <w:highlight w:val="none"/>
                <w:lang w:val="en-US" w:eastAsia="zh-CN"/>
              </w:rPr>
              <w:t>2#</w:t>
            </w:r>
            <w:r>
              <w:rPr>
                <w:b/>
                <w:bCs/>
                <w:color w:val="auto"/>
                <w:kern w:val="0"/>
                <w:sz w:val="21"/>
                <w:szCs w:val="21"/>
                <w:highlight w:val="none"/>
              </w:rPr>
              <w:t>电镀车间</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trPr>
        <w:tc>
          <w:tcPr>
            <w:tcW w:w="1495" w:type="dxa"/>
            <w:tcBorders>
              <w:left w:val="nil"/>
            </w:tcBorders>
            <w:noWrap w:val="0"/>
            <w:vAlign w:val="center"/>
          </w:tcPr>
          <w:p>
            <w:pPr>
              <w:widowControl/>
              <w:spacing w:line="240" w:lineRule="auto"/>
              <w:ind w:firstLine="0" w:firstLineChars="0"/>
              <w:jc w:val="center"/>
              <w:rPr>
                <w:rFonts w:hint="eastAsia"/>
                <w:color w:val="auto"/>
                <w:kern w:val="0"/>
                <w:sz w:val="21"/>
                <w:szCs w:val="21"/>
                <w:highlight w:val="none"/>
                <w:lang w:val="en-US" w:eastAsia="zh-CN"/>
              </w:rPr>
            </w:pPr>
            <w:r>
              <w:rPr>
                <w:rFonts w:hint="eastAsia"/>
                <w:color w:val="auto"/>
                <w:kern w:val="0"/>
                <w:sz w:val="21"/>
                <w:szCs w:val="21"/>
                <w:highlight w:val="none"/>
                <w:lang w:val="en-US" w:eastAsia="zh-CN"/>
              </w:rPr>
              <w:t>脱脂剂</w:t>
            </w:r>
          </w:p>
        </w:tc>
        <w:tc>
          <w:tcPr>
            <w:tcW w:w="1131" w:type="dxa"/>
            <w:noWrap w:val="0"/>
            <w:vAlign w:val="center"/>
          </w:tcPr>
          <w:p>
            <w:pPr>
              <w:widowControl/>
              <w:spacing w:line="240" w:lineRule="auto"/>
              <w:ind w:firstLine="0" w:firstLineChars="0"/>
              <w:jc w:val="center"/>
              <w:rPr>
                <w:rFonts w:hint="eastAsia"/>
                <w:color w:val="auto"/>
                <w:kern w:val="0"/>
                <w:sz w:val="21"/>
                <w:szCs w:val="21"/>
                <w:highlight w:val="none"/>
                <w:lang w:val="en-US" w:eastAsia="zh-CN"/>
              </w:rPr>
            </w:pPr>
            <w:r>
              <w:rPr>
                <w:rFonts w:hint="eastAsia"/>
                <w:color w:val="auto"/>
                <w:kern w:val="0"/>
                <w:sz w:val="21"/>
                <w:szCs w:val="21"/>
                <w:highlight w:val="none"/>
                <w:lang w:val="en-US" w:eastAsia="zh-CN"/>
              </w:rPr>
              <w:t>4</w:t>
            </w:r>
          </w:p>
        </w:tc>
        <w:tc>
          <w:tcPr>
            <w:tcW w:w="1203" w:type="dxa"/>
            <w:noWrap w:val="0"/>
            <w:vAlign w:val="center"/>
          </w:tcPr>
          <w:p>
            <w:pPr>
              <w:widowControl/>
              <w:spacing w:line="240" w:lineRule="auto"/>
              <w:ind w:firstLine="0" w:firstLineChars="0"/>
              <w:jc w:val="center"/>
              <w:rPr>
                <w:rFonts w:hint="eastAsia"/>
                <w:color w:val="auto"/>
                <w:kern w:val="0"/>
                <w:sz w:val="21"/>
                <w:szCs w:val="21"/>
                <w:highlight w:val="none"/>
                <w:lang w:val="en-US" w:eastAsia="zh-CN"/>
              </w:rPr>
            </w:pPr>
            <w:r>
              <w:rPr>
                <w:rFonts w:hint="eastAsia"/>
                <w:color w:val="auto"/>
                <w:kern w:val="0"/>
                <w:sz w:val="21"/>
                <w:szCs w:val="21"/>
                <w:highlight w:val="none"/>
                <w:lang w:val="en-US" w:eastAsia="zh-CN"/>
              </w:rPr>
              <w:t>0.7</w:t>
            </w:r>
          </w:p>
        </w:tc>
        <w:tc>
          <w:tcPr>
            <w:tcW w:w="1441" w:type="dxa"/>
            <w:noWrap w:val="0"/>
            <w:vAlign w:val="center"/>
          </w:tcPr>
          <w:p>
            <w:pPr>
              <w:widowControl/>
              <w:spacing w:line="240" w:lineRule="auto"/>
              <w:ind w:firstLine="0" w:firstLineChars="0"/>
              <w:jc w:val="center"/>
              <w:rPr>
                <w:rFonts w:hint="eastAsia"/>
                <w:color w:val="auto"/>
                <w:kern w:val="0"/>
                <w:sz w:val="21"/>
                <w:szCs w:val="21"/>
                <w:highlight w:val="none"/>
                <w:lang w:val="en-US" w:eastAsia="zh-CN"/>
              </w:rPr>
            </w:pPr>
            <w:r>
              <w:rPr>
                <w:rFonts w:hint="eastAsia"/>
                <w:color w:val="auto"/>
                <w:kern w:val="0"/>
                <w:sz w:val="21"/>
                <w:szCs w:val="21"/>
                <w:highlight w:val="none"/>
                <w:lang w:val="en-US" w:eastAsia="zh-CN"/>
              </w:rPr>
              <w:t>袋装</w:t>
            </w:r>
          </w:p>
        </w:tc>
        <w:tc>
          <w:tcPr>
            <w:tcW w:w="1276" w:type="dxa"/>
            <w:noWrap w:val="0"/>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固</w:t>
            </w:r>
            <w:r>
              <w:rPr>
                <w:rFonts w:hint="eastAsia"/>
                <w:color w:val="auto"/>
                <w:kern w:val="0"/>
                <w:sz w:val="21"/>
                <w:szCs w:val="21"/>
                <w:highlight w:val="none"/>
              </w:rPr>
              <w:t>态</w:t>
            </w:r>
          </w:p>
        </w:tc>
        <w:tc>
          <w:tcPr>
            <w:tcW w:w="2684" w:type="dxa"/>
            <w:noWrap w:val="0"/>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98%</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trPr>
        <w:tc>
          <w:tcPr>
            <w:tcW w:w="1495" w:type="dxa"/>
            <w:tcBorders>
              <w:left w:val="nil"/>
            </w:tcBorders>
            <w:noWrap w:val="0"/>
            <w:vAlign w:val="center"/>
          </w:tcPr>
          <w:p>
            <w:pPr>
              <w:widowControl/>
              <w:spacing w:line="240" w:lineRule="auto"/>
              <w:ind w:firstLine="0" w:firstLineChars="0"/>
              <w:jc w:val="center"/>
              <w:rPr>
                <w:rFonts w:hint="eastAsia"/>
                <w:color w:val="auto"/>
                <w:kern w:val="0"/>
                <w:sz w:val="21"/>
                <w:szCs w:val="21"/>
                <w:highlight w:val="none"/>
                <w:lang w:val="en-US" w:eastAsia="zh-CN"/>
              </w:rPr>
            </w:pPr>
            <w:r>
              <w:rPr>
                <w:rFonts w:hint="eastAsia"/>
                <w:color w:val="auto"/>
                <w:kern w:val="0"/>
                <w:sz w:val="21"/>
                <w:szCs w:val="21"/>
                <w:highlight w:val="none"/>
                <w:lang w:val="en-US" w:eastAsia="zh-CN"/>
              </w:rPr>
              <w:t>盐酸</w:t>
            </w:r>
          </w:p>
        </w:tc>
        <w:tc>
          <w:tcPr>
            <w:tcW w:w="1131" w:type="dxa"/>
            <w:noWrap w:val="0"/>
            <w:vAlign w:val="center"/>
          </w:tcPr>
          <w:p>
            <w:pPr>
              <w:widowControl/>
              <w:spacing w:line="240" w:lineRule="auto"/>
              <w:ind w:firstLine="0" w:firstLineChars="0"/>
              <w:jc w:val="center"/>
              <w:rPr>
                <w:rFonts w:hint="eastAsia"/>
                <w:color w:val="auto"/>
                <w:kern w:val="0"/>
                <w:sz w:val="21"/>
                <w:szCs w:val="21"/>
                <w:highlight w:val="none"/>
                <w:lang w:val="en-US" w:eastAsia="zh-CN"/>
              </w:rPr>
            </w:pPr>
            <w:r>
              <w:rPr>
                <w:rFonts w:hint="eastAsia"/>
                <w:color w:val="auto"/>
                <w:kern w:val="0"/>
                <w:sz w:val="21"/>
                <w:szCs w:val="21"/>
                <w:highlight w:val="none"/>
                <w:lang w:val="en-US" w:eastAsia="zh-CN"/>
              </w:rPr>
              <w:t>5</w:t>
            </w:r>
          </w:p>
        </w:tc>
        <w:tc>
          <w:tcPr>
            <w:tcW w:w="1203" w:type="dxa"/>
            <w:noWrap w:val="0"/>
            <w:vAlign w:val="center"/>
          </w:tcPr>
          <w:p>
            <w:pPr>
              <w:widowControl/>
              <w:spacing w:line="240" w:lineRule="auto"/>
              <w:ind w:firstLine="0" w:firstLineChars="0"/>
              <w:jc w:val="center"/>
              <w:rPr>
                <w:rFonts w:hint="eastAsia"/>
                <w:color w:val="auto"/>
                <w:kern w:val="0"/>
                <w:sz w:val="21"/>
                <w:szCs w:val="21"/>
                <w:highlight w:val="none"/>
                <w:lang w:val="en-US" w:eastAsia="zh-CN"/>
              </w:rPr>
            </w:pPr>
            <w:r>
              <w:rPr>
                <w:rFonts w:hint="eastAsia"/>
                <w:color w:val="auto"/>
                <w:kern w:val="0"/>
                <w:sz w:val="21"/>
                <w:szCs w:val="21"/>
                <w:highlight w:val="none"/>
                <w:lang w:val="en-US" w:eastAsia="zh-CN"/>
              </w:rPr>
              <w:t>0.5</w:t>
            </w:r>
          </w:p>
        </w:tc>
        <w:tc>
          <w:tcPr>
            <w:tcW w:w="1441" w:type="dxa"/>
            <w:noWrap w:val="0"/>
            <w:vAlign w:val="center"/>
          </w:tcPr>
          <w:p>
            <w:pPr>
              <w:widowControl/>
              <w:spacing w:line="240" w:lineRule="auto"/>
              <w:ind w:firstLine="0" w:firstLineChars="0"/>
              <w:jc w:val="center"/>
              <w:rPr>
                <w:rFonts w:hint="eastAsia"/>
                <w:color w:val="auto"/>
                <w:kern w:val="0"/>
                <w:sz w:val="21"/>
                <w:szCs w:val="21"/>
                <w:highlight w:val="none"/>
                <w:lang w:val="en-US" w:eastAsia="zh-CN"/>
              </w:rPr>
            </w:pPr>
            <w:r>
              <w:rPr>
                <w:rFonts w:hint="eastAsia"/>
                <w:color w:val="auto"/>
                <w:kern w:val="0"/>
                <w:sz w:val="21"/>
                <w:szCs w:val="21"/>
                <w:highlight w:val="none"/>
                <w:lang w:val="en-US" w:eastAsia="zh-CN"/>
              </w:rPr>
              <w:t>桶装</w:t>
            </w:r>
          </w:p>
        </w:tc>
        <w:tc>
          <w:tcPr>
            <w:tcW w:w="1276" w:type="dxa"/>
            <w:noWrap w:val="0"/>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液</w:t>
            </w:r>
            <w:r>
              <w:rPr>
                <w:rFonts w:hint="eastAsia"/>
                <w:color w:val="auto"/>
                <w:kern w:val="0"/>
                <w:sz w:val="21"/>
                <w:szCs w:val="21"/>
                <w:highlight w:val="none"/>
              </w:rPr>
              <w:t>态</w:t>
            </w:r>
          </w:p>
        </w:tc>
        <w:tc>
          <w:tcPr>
            <w:tcW w:w="2684" w:type="dxa"/>
            <w:noWrap w:val="0"/>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3</w:t>
            </w:r>
            <w:r>
              <w:rPr>
                <w:rFonts w:hint="eastAsia"/>
                <w:color w:val="auto"/>
                <w:kern w:val="0"/>
                <w:sz w:val="21"/>
                <w:szCs w:val="21"/>
                <w:highlight w:val="none"/>
                <w:lang w:val="en-US" w:eastAsia="zh-CN"/>
              </w:rPr>
              <w:t>0</w:t>
            </w:r>
            <w:r>
              <w:rPr>
                <w:color w:val="auto"/>
                <w:kern w:val="0"/>
                <w:sz w:val="21"/>
                <w:szCs w:val="21"/>
                <w:highlight w:val="none"/>
              </w:rPr>
              <w:t>%</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trPr>
        <w:tc>
          <w:tcPr>
            <w:tcW w:w="1495" w:type="dxa"/>
            <w:tcBorders>
              <w:left w:val="nil"/>
            </w:tcBorders>
            <w:noWrap w:val="0"/>
            <w:vAlign w:val="center"/>
          </w:tcPr>
          <w:p>
            <w:pPr>
              <w:widowControl/>
              <w:spacing w:line="240" w:lineRule="auto"/>
              <w:ind w:firstLine="0" w:firstLineChars="0"/>
              <w:jc w:val="center"/>
              <w:rPr>
                <w:rFonts w:hint="eastAsia"/>
                <w:color w:val="auto"/>
                <w:kern w:val="0"/>
                <w:sz w:val="21"/>
                <w:szCs w:val="21"/>
                <w:highlight w:val="none"/>
                <w:lang w:val="en-US" w:eastAsia="zh-CN"/>
              </w:rPr>
            </w:pPr>
            <w:r>
              <w:rPr>
                <w:rFonts w:hint="eastAsia"/>
                <w:color w:val="auto"/>
                <w:kern w:val="0"/>
                <w:sz w:val="21"/>
                <w:szCs w:val="21"/>
                <w:highlight w:val="none"/>
                <w:lang w:val="en-US" w:eastAsia="zh-CN"/>
              </w:rPr>
              <w:t>封孔剂</w:t>
            </w:r>
          </w:p>
        </w:tc>
        <w:tc>
          <w:tcPr>
            <w:tcW w:w="1131" w:type="dxa"/>
            <w:noWrap w:val="0"/>
            <w:vAlign w:val="center"/>
          </w:tcPr>
          <w:p>
            <w:pPr>
              <w:widowControl/>
              <w:spacing w:line="240" w:lineRule="auto"/>
              <w:ind w:firstLine="0" w:firstLineChars="0"/>
              <w:jc w:val="center"/>
              <w:rPr>
                <w:rFonts w:hint="eastAsia"/>
                <w:color w:val="auto"/>
                <w:kern w:val="0"/>
                <w:sz w:val="21"/>
                <w:szCs w:val="21"/>
                <w:highlight w:val="none"/>
                <w:lang w:val="en-US" w:eastAsia="zh-CN"/>
              </w:rPr>
            </w:pPr>
            <w:r>
              <w:rPr>
                <w:rFonts w:hint="eastAsia"/>
                <w:color w:val="auto"/>
                <w:kern w:val="0"/>
                <w:sz w:val="21"/>
                <w:szCs w:val="21"/>
                <w:highlight w:val="none"/>
                <w:lang w:val="en-US" w:eastAsia="zh-CN"/>
              </w:rPr>
              <w:t>0.3</w:t>
            </w:r>
          </w:p>
        </w:tc>
        <w:tc>
          <w:tcPr>
            <w:tcW w:w="1203" w:type="dxa"/>
            <w:noWrap w:val="0"/>
            <w:vAlign w:val="center"/>
          </w:tcPr>
          <w:p>
            <w:pPr>
              <w:widowControl/>
              <w:spacing w:line="240" w:lineRule="auto"/>
              <w:ind w:firstLine="0" w:firstLineChars="0"/>
              <w:jc w:val="center"/>
              <w:rPr>
                <w:rFonts w:hint="eastAsia"/>
                <w:color w:val="auto"/>
                <w:kern w:val="0"/>
                <w:sz w:val="21"/>
                <w:szCs w:val="21"/>
                <w:highlight w:val="none"/>
                <w:lang w:val="en-US" w:eastAsia="zh-CN"/>
              </w:rPr>
            </w:pPr>
            <w:r>
              <w:rPr>
                <w:rFonts w:hint="eastAsia"/>
                <w:color w:val="auto"/>
                <w:kern w:val="0"/>
                <w:sz w:val="21"/>
                <w:szCs w:val="21"/>
                <w:highlight w:val="none"/>
                <w:lang w:val="en-US" w:eastAsia="zh-CN"/>
              </w:rPr>
              <w:t>0.1</w:t>
            </w:r>
          </w:p>
        </w:tc>
        <w:tc>
          <w:tcPr>
            <w:tcW w:w="1441" w:type="dxa"/>
            <w:noWrap w:val="0"/>
            <w:vAlign w:val="center"/>
          </w:tcPr>
          <w:p>
            <w:pPr>
              <w:widowControl/>
              <w:spacing w:line="240" w:lineRule="auto"/>
              <w:ind w:firstLine="0" w:firstLineChars="0"/>
              <w:jc w:val="center"/>
              <w:rPr>
                <w:rFonts w:hint="eastAsia"/>
                <w:color w:val="auto"/>
                <w:kern w:val="0"/>
                <w:sz w:val="21"/>
                <w:szCs w:val="21"/>
                <w:highlight w:val="none"/>
                <w:lang w:val="en-US" w:eastAsia="zh-CN"/>
              </w:rPr>
            </w:pPr>
            <w:r>
              <w:rPr>
                <w:rFonts w:hint="eastAsia"/>
                <w:color w:val="auto"/>
                <w:kern w:val="0"/>
                <w:sz w:val="21"/>
                <w:szCs w:val="21"/>
                <w:highlight w:val="none"/>
                <w:lang w:val="en-US" w:eastAsia="zh-CN"/>
              </w:rPr>
              <w:t>桶装</w:t>
            </w:r>
          </w:p>
        </w:tc>
        <w:tc>
          <w:tcPr>
            <w:tcW w:w="1276" w:type="dxa"/>
            <w:noWrap w:val="0"/>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液</w:t>
            </w:r>
            <w:r>
              <w:rPr>
                <w:rFonts w:hint="eastAsia"/>
                <w:color w:val="auto"/>
                <w:kern w:val="0"/>
                <w:sz w:val="21"/>
                <w:szCs w:val="21"/>
                <w:highlight w:val="none"/>
              </w:rPr>
              <w:t>态</w:t>
            </w:r>
          </w:p>
        </w:tc>
        <w:tc>
          <w:tcPr>
            <w:tcW w:w="2684" w:type="dxa"/>
            <w:noWrap w:val="0"/>
            <w:vAlign w:val="center"/>
          </w:tcPr>
          <w:p>
            <w:pPr>
              <w:widowControl/>
              <w:spacing w:line="240" w:lineRule="auto"/>
              <w:ind w:firstLine="0" w:firstLineChars="0"/>
              <w:jc w:val="center"/>
              <w:rPr>
                <w:rFonts w:hint="eastAsia" w:eastAsia="宋体"/>
                <w:color w:val="auto"/>
                <w:kern w:val="0"/>
                <w:sz w:val="21"/>
                <w:szCs w:val="21"/>
                <w:highlight w:val="none"/>
                <w:lang w:val="en-US" w:eastAsia="zh-CN"/>
              </w:rPr>
            </w:pPr>
            <w:r>
              <w:rPr>
                <w:rFonts w:hint="eastAsia"/>
                <w:color w:val="auto"/>
                <w:kern w:val="0"/>
                <w:sz w:val="21"/>
                <w:szCs w:val="21"/>
                <w:highlight w:val="none"/>
                <w:lang w:val="en-US" w:eastAsia="zh-CN"/>
              </w:rPr>
              <w:t>/</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trPr>
        <w:tc>
          <w:tcPr>
            <w:tcW w:w="1495" w:type="dxa"/>
            <w:tcBorders>
              <w:left w:val="nil"/>
            </w:tcBorders>
            <w:noWrap w:val="0"/>
            <w:vAlign w:val="center"/>
          </w:tcPr>
          <w:p>
            <w:pPr>
              <w:widowControl/>
              <w:spacing w:line="240" w:lineRule="auto"/>
              <w:ind w:firstLine="0" w:firstLineChars="0"/>
              <w:jc w:val="center"/>
              <w:rPr>
                <w:rFonts w:hint="eastAsia"/>
                <w:color w:val="auto"/>
                <w:kern w:val="0"/>
                <w:sz w:val="21"/>
                <w:szCs w:val="21"/>
                <w:highlight w:val="none"/>
                <w:lang w:val="en-US" w:eastAsia="zh-CN"/>
              </w:rPr>
            </w:pPr>
            <w:r>
              <w:rPr>
                <w:rFonts w:hint="eastAsia"/>
                <w:color w:val="auto"/>
                <w:kern w:val="0"/>
                <w:sz w:val="21"/>
                <w:szCs w:val="21"/>
                <w:highlight w:val="none"/>
                <w:lang w:val="en-US" w:eastAsia="zh-CN"/>
              </w:rPr>
              <w:t>氢氧化钠</w:t>
            </w:r>
          </w:p>
        </w:tc>
        <w:tc>
          <w:tcPr>
            <w:tcW w:w="1131" w:type="dxa"/>
            <w:noWrap w:val="0"/>
            <w:vAlign w:val="center"/>
          </w:tcPr>
          <w:p>
            <w:pPr>
              <w:widowControl/>
              <w:spacing w:line="240" w:lineRule="auto"/>
              <w:ind w:firstLine="0" w:firstLineChars="0"/>
              <w:jc w:val="center"/>
              <w:rPr>
                <w:rFonts w:hint="eastAsia"/>
                <w:color w:val="auto"/>
                <w:kern w:val="0"/>
                <w:sz w:val="21"/>
                <w:szCs w:val="21"/>
                <w:highlight w:val="none"/>
                <w:lang w:val="en-US" w:eastAsia="zh-CN"/>
              </w:rPr>
            </w:pPr>
            <w:r>
              <w:rPr>
                <w:rFonts w:hint="eastAsia"/>
                <w:color w:val="auto"/>
                <w:kern w:val="0"/>
                <w:sz w:val="21"/>
                <w:szCs w:val="21"/>
                <w:highlight w:val="none"/>
                <w:lang w:val="en-US" w:eastAsia="zh-CN"/>
              </w:rPr>
              <w:t>6</w:t>
            </w:r>
          </w:p>
        </w:tc>
        <w:tc>
          <w:tcPr>
            <w:tcW w:w="1203" w:type="dxa"/>
            <w:noWrap w:val="0"/>
            <w:vAlign w:val="center"/>
          </w:tcPr>
          <w:p>
            <w:pPr>
              <w:widowControl/>
              <w:spacing w:line="240" w:lineRule="auto"/>
              <w:ind w:firstLine="0" w:firstLineChars="0"/>
              <w:jc w:val="center"/>
              <w:rPr>
                <w:rFonts w:hint="eastAsia"/>
                <w:color w:val="auto"/>
                <w:kern w:val="0"/>
                <w:sz w:val="21"/>
                <w:szCs w:val="21"/>
                <w:highlight w:val="none"/>
                <w:lang w:val="en-US" w:eastAsia="zh-CN"/>
              </w:rPr>
            </w:pPr>
            <w:r>
              <w:rPr>
                <w:rFonts w:hint="eastAsia"/>
                <w:color w:val="auto"/>
                <w:kern w:val="0"/>
                <w:sz w:val="21"/>
                <w:szCs w:val="21"/>
                <w:highlight w:val="none"/>
                <w:lang w:val="en-US" w:eastAsia="zh-CN"/>
              </w:rPr>
              <w:t>1</w:t>
            </w:r>
          </w:p>
        </w:tc>
        <w:tc>
          <w:tcPr>
            <w:tcW w:w="1441" w:type="dxa"/>
            <w:noWrap w:val="0"/>
            <w:vAlign w:val="center"/>
          </w:tcPr>
          <w:p>
            <w:pPr>
              <w:widowControl/>
              <w:spacing w:line="240" w:lineRule="auto"/>
              <w:ind w:firstLine="0" w:firstLineChars="0"/>
              <w:jc w:val="center"/>
              <w:rPr>
                <w:rFonts w:hint="eastAsia"/>
                <w:color w:val="auto"/>
                <w:kern w:val="0"/>
                <w:sz w:val="21"/>
                <w:szCs w:val="21"/>
                <w:highlight w:val="none"/>
                <w:lang w:val="en-US" w:eastAsia="zh-CN"/>
              </w:rPr>
            </w:pPr>
            <w:r>
              <w:rPr>
                <w:rFonts w:hint="eastAsia"/>
                <w:color w:val="auto"/>
                <w:kern w:val="0"/>
                <w:sz w:val="21"/>
                <w:szCs w:val="21"/>
                <w:highlight w:val="none"/>
                <w:lang w:val="en-US" w:eastAsia="zh-CN"/>
              </w:rPr>
              <w:t>袋装</w:t>
            </w:r>
          </w:p>
        </w:tc>
        <w:tc>
          <w:tcPr>
            <w:tcW w:w="1276" w:type="dxa"/>
            <w:noWrap w:val="0"/>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固</w:t>
            </w:r>
            <w:r>
              <w:rPr>
                <w:rFonts w:hint="eastAsia"/>
                <w:color w:val="auto"/>
                <w:kern w:val="0"/>
                <w:sz w:val="21"/>
                <w:szCs w:val="21"/>
                <w:highlight w:val="none"/>
              </w:rPr>
              <w:t>态</w:t>
            </w:r>
          </w:p>
        </w:tc>
        <w:tc>
          <w:tcPr>
            <w:tcW w:w="2684" w:type="dxa"/>
            <w:noWrap w:val="0"/>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9</w:t>
            </w:r>
            <w:r>
              <w:rPr>
                <w:rFonts w:hint="eastAsia"/>
                <w:color w:val="auto"/>
                <w:kern w:val="0"/>
                <w:sz w:val="21"/>
                <w:szCs w:val="21"/>
                <w:highlight w:val="none"/>
                <w:lang w:val="en-US" w:eastAsia="zh-CN"/>
              </w:rPr>
              <w:t>8</w:t>
            </w:r>
            <w:r>
              <w:rPr>
                <w:color w:val="auto"/>
                <w:kern w:val="0"/>
                <w:sz w:val="21"/>
                <w:szCs w:val="21"/>
                <w:highlight w:val="none"/>
              </w:rPr>
              <w:t>%</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trPr>
        <w:tc>
          <w:tcPr>
            <w:tcW w:w="1495" w:type="dxa"/>
            <w:tcBorders>
              <w:left w:val="nil"/>
            </w:tcBorders>
            <w:noWrap w:val="0"/>
            <w:vAlign w:val="center"/>
          </w:tcPr>
          <w:p>
            <w:pPr>
              <w:widowControl/>
              <w:spacing w:line="240" w:lineRule="auto"/>
              <w:ind w:firstLine="0" w:firstLineChars="0"/>
              <w:jc w:val="center"/>
              <w:rPr>
                <w:rFonts w:hint="eastAsia"/>
                <w:color w:val="auto"/>
                <w:kern w:val="0"/>
                <w:sz w:val="21"/>
                <w:szCs w:val="21"/>
                <w:highlight w:val="none"/>
                <w:lang w:val="en-US" w:eastAsia="zh-CN"/>
              </w:rPr>
            </w:pPr>
            <w:r>
              <w:rPr>
                <w:rFonts w:hint="eastAsia"/>
                <w:color w:val="auto"/>
                <w:kern w:val="0"/>
                <w:sz w:val="21"/>
                <w:szCs w:val="21"/>
                <w:highlight w:val="none"/>
                <w:lang w:val="en-US" w:eastAsia="zh-CN"/>
              </w:rPr>
              <w:t>锌锭</w:t>
            </w:r>
          </w:p>
        </w:tc>
        <w:tc>
          <w:tcPr>
            <w:tcW w:w="1131" w:type="dxa"/>
            <w:noWrap w:val="0"/>
            <w:vAlign w:val="center"/>
          </w:tcPr>
          <w:p>
            <w:pPr>
              <w:widowControl/>
              <w:spacing w:line="240" w:lineRule="auto"/>
              <w:ind w:firstLine="0" w:firstLineChars="0"/>
              <w:jc w:val="center"/>
              <w:rPr>
                <w:rFonts w:hint="eastAsia"/>
                <w:color w:val="auto"/>
                <w:kern w:val="0"/>
                <w:sz w:val="21"/>
                <w:szCs w:val="21"/>
                <w:highlight w:val="none"/>
                <w:lang w:val="en-US" w:eastAsia="zh-CN"/>
              </w:rPr>
            </w:pPr>
            <w:r>
              <w:rPr>
                <w:rFonts w:hint="eastAsia"/>
                <w:color w:val="auto"/>
                <w:kern w:val="0"/>
                <w:sz w:val="21"/>
                <w:szCs w:val="21"/>
                <w:highlight w:val="none"/>
                <w:lang w:val="en-US" w:eastAsia="zh-CN"/>
              </w:rPr>
              <w:t>2</w:t>
            </w:r>
          </w:p>
        </w:tc>
        <w:tc>
          <w:tcPr>
            <w:tcW w:w="1203" w:type="dxa"/>
            <w:noWrap w:val="0"/>
            <w:vAlign w:val="center"/>
          </w:tcPr>
          <w:p>
            <w:pPr>
              <w:widowControl/>
              <w:spacing w:line="240" w:lineRule="auto"/>
              <w:ind w:firstLine="0" w:firstLineChars="0"/>
              <w:jc w:val="center"/>
              <w:rPr>
                <w:rFonts w:hint="eastAsia"/>
                <w:color w:val="auto"/>
                <w:kern w:val="0"/>
                <w:sz w:val="21"/>
                <w:szCs w:val="21"/>
                <w:highlight w:val="none"/>
                <w:lang w:val="en-US" w:eastAsia="zh-CN"/>
              </w:rPr>
            </w:pPr>
            <w:r>
              <w:rPr>
                <w:rFonts w:hint="eastAsia"/>
                <w:color w:val="auto"/>
                <w:kern w:val="0"/>
                <w:sz w:val="21"/>
                <w:szCs w:val="21"/>
                <w:highlight w:val="none"/>
                <w:lang w:val="en-US" w:eastAsia="zh-CN"/>
              </w:rPr>
              <w:t>0.3</w:t>
            </w:r>
          </w:p>
        </w:tc>
        <w:tc>
          <w:tcPr>
            <w:tcW w:w="1441" w:type="dxa"/>
            <w:noWrap w:val="0"/>
            <w:vAlign w:val="center"/>
          </w:tcPr>
          <w:p>
            <w:pPr>
              <w:widowControl/>
              <w:spacing w:line="240" w:lineRule="auto"/>
              <w:ind w:firstLine="0" w:firstLineChars="0"/>
              <w:jc w:val="center"/>
              <w:rPr>
                <w:rFonts w:hint="eastAsia"/>
                <w:color w:val="auto"/>
                <w:kern w:val="0"/>
                <w:sz w:val="21"/>
                <w:szCs w:val="21"/>
                <w:highlight w:val="none"/>
                <w:lang w:val="en-US" w:eastAsia="zh-CN"/>
              </w:rPr>
            </w:pPr>
            <w:r>
              <w:rPr>
                <w:rFonts w:hint="eastAsia"/>
                <w:color w:val="auto"/>
                <w:kern w:val="0"/>
                <w:sz w:val="21"/>
                <w:szCs w:val="21"/>
                <w:highlight w:val="none"/>
                <w:lang w:val="en-US" w:eastAsia="zh-CN"/>
              </w:rPr>
              <w:t>/</w:t>
            </w:r>
          </w:p>
        </w:tc>
        <w:tc>
          <w:tcPr>
            <w:tcW w:w="1276" w:type="dxa"/>
            <w:noWrap w:val="0"/>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固</w:t>
            </w:r>
            <w:r>
              <w:rPr>
                <w:rFonts w:hint="eastAsia"/>
                <w:color w:val="auto"/>
                <w:kern w:val="0"/>
                <w:sz w:val="21"/>
                <w:szCs w:val="21"/>
                <w:highlight w:val="none"/>
              </w:rPr>
              <w:t>态</w:t>
            </w:r>
          </w:p>
        </w:tc>
        <w:tc>
          <w:tcPr>
            <w:tcW w:w="2684" w:type="dxa"/>
            <w:noWrap w:val="0"/>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99.90%</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trPr>
        <w:tc>
          <w:tcPr>
            <w:tcW w:w="1495" w:type="dxa"/>
            <w:tcBorders>
              <w:left w:val="nil"/>
            </w:tcBorders>
            <w:noWrap w:val="0"/>
            <w:vAlign w:val="center"/>
          </w:tcPr>
          <w:p>
            <w:pPr>
              <w:widowControl/>
              <w:spacing w:line="240" w:lineRule="auto"/>
              <w:ind w:firstLine="0" w:firstLineChars="0"/>
              <w:jc w:val="center"/>
              <w:rPr>
                <w:rFonts w:hint="eastAsia"/>
                <w:color w:val="auto"/>
                <w:kern w:val="0"/>
                <w:sz w:val="21"/>
                <w:szCs w:val="21"/>
                <w:highlight w:val="none"/>
                <w:lang w:val="en-US" w:eastAsia="zh-CN"/>
              </w:rPr>
            </w:pPr>
            <w:r>
              <w:rPr>
                <w:rFonts w:hint="eastAsia"/>
                <w:color w:val="auto"/>
                <w:kern w:val="0"/>
                <w:sz w:val="21"/>
                <w:szCs w:val="21"/>
                <w:highlight w:val="none"/>
                <w:lang w:val="en-US" w:eastAsia="zh-CN"/>
              </w:rPr>
              <w:t>硝酸</w:t>
            </w:r>
          </w:p>
        </w:tc>
        <w:tc>
          <w:tcPr>
            <w:tcW w:w="1131" w:type="dxa"/>
            <w:noWrap w:val="0"/>
            <w:vAlign w:val="center"/>
          </w:tcPr>
          <w:p>
            <w:pPr>
              <w:widowControl/>
              <w:spacing w:line="240" w:lineRule="auto"/>
              <w:ind w:firstLine="0" w:firstLineChars="0"/>
              <w:jc w:val="center"/>
              <w:rPr>
                <w:rFonts w:hint="eastAsia"/>
                <w:color w:val="auto"/>
                <w:kern w:val="0"/>
                <w:sz w:val="21"/>
                <w:szCs w:val="21"/>
                <w:highlight w:val="none"/>
                <w:lang w:val="en-US" w:eastAsia="zh-CN"/>
              </w:rPr>
            </w:pPr>
            <w:r>
              <w:rPr>
                <w:rFonts w:hint="eastAsia"/>
                <w:color w:val="auto"/>
                <w:kern w:val="0"/>
                <w:sz w:val="21"/>
                <w:szCs w:val="21"/>
                <w:highlight w:val="none"/>
                <w:lang w:val="en-US" w:eastAsia="zh-CN"/>
              </w:rPr>
              <w:t>0.3</w:t>
            </w:r>
          </w:p>
        </w:tc>
        <w:tc>
          <w:tcPr>
            <w:tcW w:w="1203" w:type="dxa"/>
            <w:noWrap w:val="0"/>
            <w:vAlign w:val="center"/>
          </w:tcPr>
          <w:p>
            <w:pPr>
              <w:widowControl/>
              <w:spacing w:line="240" w:lineRule="auto"/>
              <w:ind w:firstLine="0" w:firstLineChars="0"/>
              <w:jc w:val="center"/>
              <w:rPr>
                <w:rFonts w:hint="eastAsia"/>
                <w:color w:val="auto"/>
                <w:kern w:val="0"/>
                <w:sz w:val="21"/>
                <w:szCs w:val="21"/>
                <w:highlight w:val="none"/>
                <w:lang w:val="en-US" w:eastAsia="zh-CN"/>
              </w:rPr>
            </w:pPr>
            <w:r>
              <w:rPr>
                <w:rFonts w:hint="eastAsia"/>
                <w:color w:val="auto"/>
                <w:kern w:val="0"/>
                <w:sz w:val="21"/>
                <w:szCs w:val="21"/>
                <w:highlight w:val="none"/>
                <w:lang w:val="en-US" w:eastAsia="zh-CN"/>
              </w:rPr>
              <w:t>0.024</w:t>
            </w:r>
          </w:p>
        </w:tc>
        <w:tc>
          <w:tcPr>
            <w:tcW w:w="1441" w:type="dxa"/>
            <w:noWrap w:val="0"/>
            <w:vAlign w:val="center"/>
          </w:tcPr>
          <w:p>
            <w:pPr>
              <w:widowControl/>
              <w:spacing w:line="240" w:lineRule="auto"/>
              <w:ind w:firstLine="0" w:firstLineChars="0"/>
              <w:jc w:val="center"/>
              <w:rPr>
                <w:rFonts w:hint="eastAsia"/>
                <w:color w:val="auto"/>
                <w:kern w:val="0"/>
                <w:sz w:val="21"/>
                <w:szCs w:val="21"/>
                <w:highlight w:val="none"/>
                <w:lang w:val="en-US" w:eastAsia="zh-CN"/>
              </w:rPr>
            </w:pPr>
            <w:r>
              <w:rPr>
                <w:rFonts w:hint="eastAsia"/>
                <w:color w:val="auto"/>
                <w:kern w:val="0"/>
                <w:sz w:val="21"/>
                <w:szCs w:val="21"/>
                <w:highlight w:val="none"/>
                <w:lang w:val="en-US" w:eastAsia="zh-CN"/>
              </w:rPr>
              <w:t>瓶装</w:t>
            </w:r>
          </w:p>
        </w:tc>
        <w:tc>
          <w:tcPr>
            <w:tcW w:w="1276" w:type="dxa"/>
            <w:noWrap w:val="0"/>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液</w:t>
            </w:r>
            <w:r>
              <w:rPr>
                <w:rFonts w:hint="eastAsia"/>
                <w:color w:val="auto"/>
                <w:kern w:val="0"/>
                <w:sz w:val="21"/>
                <w:szCs w:val="21"/>
                <w:highlight w:val="none"/>
              </w:rPr>
              <w:t>态</w:t>
            </w:r>
          </w:p>
        </w:tc>
        <w:tc>
          <w:tcPr>
            <w:tcW w:w="2684"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val="en-US" w:eastAsia="zh-CN"/>
              </w:rPr>
              <w:t>68</w:t>
            </w:r>
            <w:r>
              <w:rPr>
                <w:color w:val="auto"/>
                <w:kern w:val="0"/>
                <w:sz w:val="21"/>
                <w:szCs w:val="21"/>
                <w:highlight w:val="none"/>
              </w:rPr>
              <w:t>%</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trPr>
        <w:tc>
          <w:tcPr>
            <w:tcW w:w="1495" w:type="dxa"/>
            <w:tcBorders>
              <w:left w:val="nil"/>
            </w:tcBorders>
            <w:noWrap w:val="0"/>
            <w:vAlign w:val="center"/>
          </w:tcPr>
          <w:p>
            <w:pPr>
              <w:widowControl/>
              <w:spacing w:line="240" w:lineRule="auto"/>
              <w:ind w:firstLine="0" w:firstLineChars="0"/>
              <w:jc w:val="center"/>
              <w:rPr>
                <w:rFonts w:hint="eastAsia"/>
                <w:color w:val="auto"/>
                <w:kern w:val="0"/>
                <w:sz w:val="21"/>
                <w:szCs w:val="21"/>
                <w:highlight w:val="none"/>
                <w:lang w:val="en-US" w:eastAsia="zh-CN"/>
              </w:rPr>
            </w:pPr>
            <w:r>
              <w:rPr>
                <w:rFonts w:hint="eastAsia"/>
                <w:color w:val="auto"/>
                <w:kern w:val="0"/>
                <w:sz w:val="21"/>
                <w:szCs w:val="21"/>
                <w:highlight w:val="none"/>
                <w:lang w:val="en-US" w:eastAsia="zh-CN"/>
              </w:rPr>
              <w:t>光亮剂</w:t>
            </w:r>
          </w:p>
        </w:tc>
        <w:tc>
          <w:tcPr>
            <w:tcW w:w="1131" w:type="dxa"/>
            <w:noWrap w:val="0"/>
            <w:vAlign w:val="center"/>
          </w:tcPr>
          <w:p>
            <w:pPr>
              <w:widowControl/>
              <w:spacing w:line="240" w:lineRule="auto"/>
              <w:ind w:firstLine="0" w:firstLineChars="0"/>
              <w:jc w:val="center"/>
              <w:rPr>
                <w:rFonts w:hint="eastAsia"/>
                <w:color w:val="auto"/>
                <w:kern w:val="0"/>
                <w:sz w:val="21"/>
                <w:szCs w:val="21"/>
                <w:highlight w:val="none"/>
                <w:lang w:val="en-US" w:eastAsia="zh-CN"/>
              </w:rPr>
            </w:pPr>
            <w:r>
              <w:rPr>
                <w:rFonts w:hint="eastAsia"/>
                <w:color w:val="auto"/>
                <w:kern w:val="0"/>
                <w:sz w:val="21"/>
                <w:szCs w:val="21"/>
                <w:highlight w:val="none"/>
                <w:lang w:val="en-US" w:eastAsia="zh-CN"/>
              </w:rPr>
              <w:t>2</w:t>
            </w:r>
          </w:p>
        </w:tc>
        <w:tc>
          <w:tcPr>
            <w:tcW w:w="1203" w:type="dxa"/>
            <w:noWrap w:val="0"/>
            <w:vAlign w:val="center"/>
          </w:tcPr>
          <w:p>
            <w:pPr>
              <w:widowControl/>
              <w:spacing w:line="240" w:lineRule="auto"/>
              <w:ind w:firstLine="0" w:firstLineChars="0"/>
              <w:jc w:val="center"/>
              <w:rPr>
                <w:rFonts w:hint="eastAsia"/>
                <w:color w:val="auto"/>
                <w:kern w:val="0"/>
                <w:sz w:val="21"/>
                <w:szCs w:val="21"/>
                <w:highlight w:val="none"/>
                <w:lang w:val="en-US" w:eastAsia="zh-CN"/>
              </w:rPr>
            </w:pPr>
            <w:r>
              <w:rPr>
                <w:rFonts w:hint="eastAsia"/>
                <w:color w:val="auto"/>
                <w:kern w:val="0"/>
                <w:sz w:val="21"/>
                <w:szCs w:val="21"/>
                <w:highlight w:val="none"/>
                <w:lang w:val="en-US" w:eastAsia="zh-CN"/>
              </w:rPr>
              <w:t>0.2</w:t>
            </w:r>
          </w:p>
        </w:tc>
        <w:tc>
          <w:tcPr>
            <w:tcW w:w="1441" w:type="dxa"/>
            <w:noWrap w:val="0"/>
            <w:vAlign w:val="center"/>
          </w:tcPr>
          <w:p>
            <w:pPr>
              <w:widowControl/>
              <w:spacing w:line="240" w:lineRule="auto"/>
              <w:ind w:firstLine="0" w:firstLineChars="0"/>
              <w:jc w:val="center"/>
              <w:rPr>
                <w:rFonts w:hint="eastAsia"/>
                <w:color w:val="auto"/>
                <w:kern w:val="0"/>
                <w:sz w:val="21"/>
                <w:szCs w:val="21"/>
                <w:highlight w:val="none"/>
                <w:lang w:val="en-US" w:eastAsia="zh-CN"/>
              </w:rPr>
            </w:pPr>
            <w:r>
              <w:rPr>
                <w:rFonts w:hint="eastAsia"/>
                <w:color w:val="auto"/>
                <w:kern w:val="0"/>
                <w:sz w:val="21"/>
                <w:szCs w:val="21"/>
                <w:highlight w:val="none"/>
                <w:lang w:val="en-US" w:eastAsia="zh-CN"/>
              </w:rPr>
              <w:t>桶装</w:t>
            </w:r>
          </w:p>
        </w:tc>
        <w:tc>
          <w:tcPr>
            <w:tcW w:w="1276" w:type="dxa"/>
            <w:noWrap w:val="0"/>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液</w:t>
            </w:r>
            <w:r>
              <w:rPr>
                <w:rFonts w:hint="eastAsia"/>
                <w:color w:val="auto"/>
                <w:kern w:val="0"/>
                <w:sz w:val="21"/>
                <w:szCs w:val="21"/>
                <w:highlight w:val="none"/>
              </w:rPr>
              <w:t>态</w:t>
            </w:r>
          </w:p>
        </w:tc>
        <w:tc>
          <w:tcPr>
            <w:tcW w:w="2684" w:type="dxa"/>
            <w:noWrap w:val="0"/>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trPr>
        <w:tc>
          <w:tcPr>
            <w:tcW w:w="1495" w:type="dxa"/>
            <w:tcBorders>
              <w:left w:val="nil"/>
            </w:tcBorders>
            <w:noWrap w:val="0"/>
            <w:vAlign w:val="center"/>
          </w:tcPr>
          <w:p>
            <w:pPr>
              <w:widowControl/>
              <w:spacing w:line="240" w:lineRule="auto"/>
              <w:ind w:firstLine="0" w:firstLineChars="0"/>
              <w:jc w:val="center"/>
              <w:rPr>
                <w:rFonts w:hint="eastAsia"/>
                <w:color w:val="auto"/>
                <w:kern w:val="0"/>
                <w:sz w:val="21"/>
                <w:szCs w:val="21"/>
                <w:highlight w:val="none"/>
                <w:lang w:val="en-US" w:eastAsia="zh-CN"/>
              </w:rPr>
            </w:pPr>
            <w:r>
              <w:rPr>
                <w:rFonts w:hint="eastAsia"/>
                <w:color w:val="auto"/>
                <w:kern w:val="0"/>
                <w:sz w:val="21"/>
                <w:szCs w:val="21"/>
                <w:highlight w:val="none"/>
                <w:lang w:val="en-US" w:eastAsia="zh-CN"/>
              </w:rPr>
              <w:t>钝化液</w:t>
            </w:r>
          </w:p>
        </w:tc>
        <w:tc>
          <w:tcPr>
            <w:tcW w:w="1131" w:type="dxa"/>
            <w:noWrap w:val="0"/>
            <w:vAlign w:val="center"/>
          </w:tcPr>
          <w:p>
            <w:pPr>
              <w:widowControl/>
              <w:spacing w:line="240" w:lineRule="auto"/>
              <w:ind w:firstLine="0" w:firstLineChars="0"/>
              <w:jc w:val="center"/>
              <w:rPr>
                <w:rFonts w:hint="default"/>
                <w:color w:val="auto"/>
                <w:kern w:val="0"/>
                <w:sz w:val="21"/>
                <w:szCs w:val="21"/>
                <w:highlight w:val="none"/>
                <w:lang w:val="en-US" w:eastAsia="zh-CN"/>
              </w:rPr>
            </w:pPr>
            <w:r>
              <w:rPr>
                <w:rFonts w:hint="eastAsia"/>
                <w:color w:val="auto"/>
                <w:kern w:val="0"/>
                <w:sz w:val="21"/>
                <w:szCs w:val="21"/>
                <w:highlight w:val="none"/>
                <w:lang w:val="en-US" w:eastAsia="zh-CN"/>
              </w:rPr>
              <w:t>0.4</w:t>
            </w:r>
          </w:p>
        </w:tc>
        <w:tc>
          <w:tcPr>
            <w:tcW w:w="1203" w:type="dxa"/>
            <w:noWrap w:val="0"/>
            <w:vAlign w:val="center"/>
          </w:tcPr>
          <w:p>
            <w:pPr>
              <w:widowControl/>
              <w:spacing w:line="240" w:lineRule="auto"/>
              <w:ind w:firstLine="0" w:firstLineChars="0"/>
              <w:jc w:val="center"/>
              <w:rPr>
                <w:rFonts w:hint="eastAsia"/>
                <w:color w:val="auto"/>
                <w:kern w:val="0"/>
                <w:sz w:val="21"/>
                <w:szCs w:val="21"/>
                <w:highlight w:val="none"/>
                <w:lang w:val="en-US" w:eastAsia="zh-CN"/>
              </w:rPr>
            </w:pPr>
            <w:r>
              <w:rPr>
                <w:rFonts w:hint="eastAsia"/>
                <w:color w:val="auto"/>
                <w:kern w:val="0"/>
                <w:sz w:val="21"/>
                <w:szCs w:val="21"/>
                <w:highlight w:val="none"/>
                <w:lang w:val="en-US" w:eastAsia="zh-CN"/>
              </w:rPr>
              <w:t>0.1</w:t>
            </w:r>
          </w:p>
        </w:tc>
        <w:tc>
          <w:tcPr>
            <w:tcW w:w="1441" w:type="dxa"/>
            <w:noWrap w:val="0"/>
            <w:vAlign w:val="center"/>
          </w:tcPr>
          <w:p>
            <w:pPr>
              <w:widowControl/>
              <w:spacing w:line="240" w:lineRule="auto"/>
              <w:ind w:firstLine="0" w:firstLineChars="0"/>
              <w:jc w:val="center"/>
              <w:rPr>
                <w:rFonts w:hint="eastAsia"/>
                <w:color w:val="auto"/>
                <w:kern w:val="0"/>
                <w:sz w:val="21"/>
                <w:szCs w:val="21"/>
                <w:highlight w:val="none"/>
                <w:lang w:val="en-US" w:eastAsia="zh-CN"/>
              </w:rPr>
            </w:pPr>
            <w:r>
              <w:rPr>
                <w:rFonts w:hint="eastAsia"/>
                <w:color w:val="auto"/>
                <w:kern w:val="0"/>
                <w:sz w:val="21"/>
                <w:szCs w:val="21"/>
                <w:highlight w:val="none"/>
                <w:lang w:val="en-US" w:eastAsia="zh-CN"/>
              </w:rPr>
              <w:t>桶装</w:t>
            </w:r>
          </w:p>
        </w:tc>
        <w:tc>
          <w:tcPr>
            <w:tcW w:w="1276" w:type="dxa"/>
            <w:noWrap w:val="0"/>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液</w:t>
            </w:r>
            <w:r>
              <w:rPr>
                <w:rFonts w:hint="eastAsia"/>
                <w:color w:val="auto"/>
                <w:kern w:val="0"/>
                <w:sz w:val="21"/>
                <w:szCs w:val="21"/>
                <w:highlight w:val="none"/>
              </w:rPr>
              <w:t>态</w:t>
            </w:r>
          </w:p>
        </w:tc>
        <w:tc>
          <w:tcPr>
            <w:tcW w:w="2684" w:type="dxa"/>
            <w:noWrap w:val="0"/>
            <w:vAlign w:val="center"/>
          </w:tcPr>
          <w:p>
            <w:pPr>
              <w:widowControl/>
              <w:spacing w:line="240" w:lineRule="auto"/>
              <w:ind w:firstLine="0" w:firstLineChars="0"/>
              <w:jc w:val="center"/>
              <w:rPr>
                <w:rFonts w:hint="eastAsia" w:eastAsia="宋体"/>
                <w:color w:val="auto"/>
                <w:kern w:val="0"/>
                <w:sz w:val="21"/>
                <w:szCs w:val="21"/>
                <w:highlight w:val="none"/>
                <w:lang w:eastAsia="zh-CN"/>
              </w:rPr>
            </w:pPr>
            <w:r>
              <w:rPr>
                <w:rFonts w:hint="eastAsia"/>
                <w:color w:val="auto"/>
                <w:kern w:val="0"/>
                <w:sz w:val="21"/>
                <w:szCs w:val="21"/>
                <w:highlight w:val="none"/>
                <w:lang w:val="en-US" w:eastAsia="zh-CN"/>
              </w:rPr>
              <w:t>三价铬</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trPr>
        <w:tc>
          <w:tcPr>
            <w:tcW w:w="1495" w:type="dxa"/>
            <w:tcBorders>
              <w:left w:val="nil"/>
            </w:tcBorders>
            <w:noWrap w:val="0"/>
            <w:vAlign w:val="center"/>
          </w:tcPr>
          <w:p>
            <w:pPr>
              <w:spacing w:line="300" w:lineRule="exact"/>
              <w:jc w:val="center"/>
              <w:rPr>
                <w:rFonts w:hint="eastAsia"/>
                <w:color w:val="auto"/>
                <w:kern w:val="0"/>
                <w:sz w:val="21"/>
                <w:szCs w:val="21"/>
                <w:highlight w:val="none"/>
                <w:lang w:val="en-US" w:eastAsia="zh-CN"/>
              </w:rPr>
            </w:pPr>
            <w:r>
              <w:rPr>
                <w:color w:val="auto"/>
                <w:kern w:val="0"/>
                <w:sz w:val="21"/>
                <w:szCs w:val="21"/>
                <w:highlight w:val="none"/>
              </w:rPr>
              <w:t>氧化锌</w:t>
            </w:r>
          </w:p>
        </w:tc>
        <w:tc>
          <w:tcPr>
            <w:tcW w:w="1131" w:type="dxa"/>
            <w:noWrap w:val="0"/>
            <w:vAlign w:val="center"/>
          </w:tcPr>
          <w:p>
            <w:pPr>
              <w:widowControl/>
              <w:spacing w:line="240" w:lineRule="auto"/>
              <w:ind w:firstLine="0" w:firstLineChars="0"/>
              <w:jc w:val="center"/>
              <w:rPr>
                <w:rFonts w:hint="eastAsia"/>
                <w:color w:val="auto"/>
                <w:kern w:val="0"/>
                <w:sz w:val="21"/>
                <w:szCs w:val="21"/>
                <w:highlight w:val="none"/>
                <w:lang w:val="en-US" w:eastAsia="zh-CN"/>
              </w:rPr>
            </w:pPr>
            <w:r>
              <w:rPr>
                <w:rFonts w:hint="eastAsia"/>
                <w:color w:val="auto"/>
                <w:kern w:val="0"/>
                <w:sz w:val="21"/>
                <w:szCs w:val="21"/>
                <w:highlight w:val="none"/>
                <w:lang w:val="en-US" w:eastAsia="zh-CN"/>
              </w:rPr>
              <w:t>2</w:t>
            </w:r>
          </w:p>
        </w:tc>
        <w:tc>
          <w:tcPr>
            <w:tcW w:w="1203" w:type="dxa"/>
            <w:noWrap w:val="0"/>
            <w:vAlign w:val="center"/>
          </w:tcPr>
          <w:p>
            <w:pPr>
              <w:widowControl/>
              <w:spacing w:line="240" w:lineRule="auto"/>
              <w:ind w:firstLine="0" w:firstLineChars="0"/>
              <w:jc w:val="center"/>
              <w:rPr>
                <w:rFonts w:hint="eastAsia"/>
                <w:color w:val="auto"/>
                <w:kern w:val="0"/>
                <w:sz w:val="21"/>
                <w:szCs w:val="21"/>
                <w:highlight w:val="none"/>
                <w:lang w:val="en-US" w:eastAsia="zh-CN"/>
              </w:rPr>
            </w:pPr>
            <w:r>
              <w:rPr>
                <w:rFonts w:hint="eastAsia"/>
                <w:color w:val="auto"/>
                <w:kern w:val="0"/>
                <w:sz w:val="21"/>
                <w:szCs w:val="21"/>
                <w:highlight w:val="none"/>
                <w:lang w:val="en-US" w:eastAsia="zh-CN"/>
              </w:rPr>
              <w:t>0.5</w:t>
            </w:r>
          </w:p>
        </w:tc>
        <w:tc>
          <w:tcPr>
            <w:tcW w:w="1441" w:type="dxa"/>
            <w:noWrap w:val="0"/>
            <w:vAlign w:val="center"/>
          </w:tcPr>
          <w:p>
            <w:pPr>
              <w:widowControl/>
              <w:spacing w:line="240" w:lineRule="auto"/>
              <w:ind w:firstLine="0" w:firstLineChars="0"/>
              <w:jc w:val="center"/>
              <w:rPr>
                <w:rFonts w:hint="eastAsia"/>
                <w:color w:val="auto"/>
                <w:kern w:val="0"/>
                <w:sz w:val="21"/>
                <w:szCs w:val="21"/>
                <w:highlight w:val="none"/>
                <w:lang w:val="en-US" w:eastAsia="zh-CN"/>
              </w:rPr>
            </w:pPr>
            <w:r>
              <w:rPr>
                <w:rFonts w:hint="eastAsia"/>
                <w:color w:val="auto"/>
                <w:kern w:val="0"/>
                <w:sz w:val="21"/>
                <w:szCs w:val="21"/>
                <w:highlight w:val="none"/>
                <w:lang w:eastAsia="zh-CN"/>
              </w:rPr>
              <w:t>桶装</w:t>
            </w:r>
          </w:p>
        </w:tc>
        <w:tc>
          <w:tcPr>
            <w:tcW w:w="1276" w:type="dxa"/>
            <w:noWrap w:val="0"/>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固</w:t>
            </w:r>
            <w:r>
              <w:rPr>
                <w:rFonts w:hint="eastAsia"/>
                <w:color w:val="auto"/>
                <w:kern w:val="0"/>
                <w:sz w:val="21"/>
                <w:szCs w:val="21"/>
                <w:highlight w:val="none"/>
              </w:rPr>
              <w:t>态</w:t>
            </w:r>
          </w:p>
        </w:tc>
        <w:tc>
          <w:tcPr>
            <w:tcW w:w="2684" w:type="dxa"/>
            <w:noWrap w:val="0"/>
            <w:vAlign w:val="center"/>
          </w:tcPr>
          <w:p>
            <w:pPr>
              <w:widowControl/>
              <w:spacing w:line="240" w:lineRule="auto"/>
              <w:ind w:firstLine="0" w:firstLineChars="0"/>
              <w:jc w:val="center"/>
              <w:rPr>
                <w:rFonts w:hint="eastAsia"/>
                <w:color w:val="auto"/>
                <w:szCs w:val="21"/>
                <w:highlight w:val="none"/>
              </w:rPr>
            </w:pPr>
            <w:r>
              <w:rPr>
                <w:rFonts w:hint="eastAsia"/>
                <w:color w:val="auto"/>
                <w:kern w:val="0"/>
                <w:sz w:val="21"/>
                <w:szCs w:val="21"/>
                <w:highlight w:val="none"/>
                <w:lang w:val="en-US" w:eastAsia="zh-CN"/>
              </w:rPr>
              <w:t>/</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trPr>
        <w:tc>
          <w:tcPr>
            <w:tcW w:w="9230" w:type="dxa"/>
            <w:gridSpan w:val="6"/>
            <w:tcBorders>
              <w:left w:val="nil"/>
            </w:tcBorders>
            <w:noWrap w:val="0"/>
            <w:vAlign w:val="center"/>
          </w:tcPr>
          <w:p>
            <w:pPr>
              <w:widowControl/>
              <w:spacing w:line="240" w:lineRule="auto"/>
              <w:ind w:firstLine="0" w:firstLineChars="0"/>
              <w:jc w:val="center"/>
              <w:rPr>
                <w:rFonts w:hint="eastAsia"/>
                <w:b/>
                <w:bCs/>
                <w:color w:val="auto"/>
                <w:kern w:val="0"/>
                <w:sz w:val="21"/>
                <w:szCs w:val="21"/>
                <w:highlight w:val="none"/>
                <w:lang w:val="en-US" w:eastAsia="zh-CN"/>
              </w:rPr>
            </w:pPr>
            <w:r>
              <w:rPr>
                <w:rFonts w:hint="eastAsia"/>
                <w:b/>
                <w:bCs/>
                <w:color w:val="auto"/>
                <w:kern w:val="0"/>
                <w:sz w:val="21"/>
                <w:szCs w:val="21"/>
                <w:highlight w:val="none"/>
                <w:lang w:val="en-US" w:eastAsia="zh-CN"/>
              </w:rPr>
              <w:t>3#</w:t>
            </w:r>
            <w:r>
              <w:rPr>
                <w:b/>
                <w:bCs/>
                <w:color w:val="auto"/>
                <w:kern w:val="0"/>
                <w:sz w:val="21"/>
                <w:szCs w:val="21"/>
                <w:highlight w:val="none"/>
              </w:rPr>
              <w:t>电镀车间</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trPr>
        <w:tc>
          <w:tcPr>
            <w:tcW w:w="1495" w:type="dxa"/>
            <w:tcBorders>
              <w:left w:val="nil"/>
            </w:tcBorders>
            <w:noWrap w:val="0"/>
            <w:vAlign w:val="center"/>
          </w:tcPr>
          <w:p>
            <w:pPr>
              <w:jc w:val="center"/>
              <w:rPr>
                <w:color w:val="auto"/>
                <w:kern w:val="0"/>
                <w:sz w:val="21"/>
                <w:szCs w:val="21"/>
                <w:highlight w:val="none"/>
              </w:rPr>
            </w:pPr>
            <w:r>
              <w:rPr>
                <w:rFonts w:hint="eastAsia"/>
                <w:color w:val="auto"/>
                <w:highlight w:val="none"/>
                <w:shd w:val="clear" w:color="auto" w:fill="auto"/>
              </w:rPr>
              <w:t>纯碱</w:t>
            </w:r>
          </w:p>
        </w:tc>
        <w:tc>
          <w:tcPr>
            <w:tcW w:w="1131" w:type="dxa"/>
            <w:noWrap w:val="0"/>
            <w:vAlign w:val="center"/>
          </w:tcPr>
          <w:p>
            <w:pPr>
              <w:jc w:val="center"/>
              <w:rPr>
                <w:color w:val="auto"/>
                <w:kern w:val="0"/>
                <w:sz w:val="21"/>
                <w:szCs w:val="21"/>
                <w:highlight w:val="none"/>
              </w:rPr>
            </w:pPr>
            <w:r>
              <w:rPr>
                <w:color w:val="auto"/>
                <w:highlight w:val="none"/>
                <w:shd w:val="clear" w:color="auto" w:fill="auto"/>
              </w:rPr>
              <w:t>500.00</w:t>
            </w:r>
          </w:p>
        </w:tc>
        <w:tc>
          <w:tcPr>
            <w:tcW w:w="1203" w:type="dxa"/>
            <w:noWrap w:val="0"/>
            <w:vAlign w:val="center"/>
          </w:tcPr>
          <w:p>
            <w:pPr>
              <w:jc w:val="center"/>
              <w:rPr>
                <w:color w:val="auto"/>
                <w:kern w:val="0"/>
                <w:sz w:val="21"/>
                <w:szCs w:val="21"/>
                <w:highlight w:val="none"/>
              </w:rPr>
            </w:pPr>
            <w:r>
              <w:rPr>
                <w:color w:val="auto"/>
                <w:highlight w:val="none"/>
                <w:shd w:val="clear" w:color="auto" w:fill="auto"/>
              </w:rPr>
              <w:t>0.05</w:t>
            </w:r>
          </w:p>
        </w:tc>
        <w:tc>
          <w:tcPr>
            <w:tcW w:w="1441" w:type="dxa"/>
            <w:noWrap w:val="0"/>
            <w:vAlign w:val="center"/>
          </w:tcPr>
          <w:p>
            <w:pPr>
              <w:spacing w:line="360" w:lineRule="exact"/>
              <w:jc w:val="center"/>
              <w:rPr>
                <w:b w:val="0"/>
                <w:bCs/>
                <w:color w:val="auto"/>
                <w:kern w:val="0"/>
                <w:sz w:val="21"/>
                <w:szCs w:val="21"/>
                <w:highlight w:val="none"/>
              </w:rPr>
            </w:pPr>
            <w:r>
              <w:rPr>
                <w:rFonts w:ascii="Times New Roman" w:hAnsi="Times New Roman" w:cs="Times New Roman"/>
                <w:b w:val="0"/>
                <w:bCs/>
                <w:color w:val="auto"/>
                <w:szCs w:val="21"/>
                <w:highlight w:val="none"/>
                <w:shd w:val="clear" w:color="auto" w:fill="auto"/>
              </w:rPr>
              <w:t>25</w:t>
            </w:r>
            <w:r>
              <w:rPr>
                <w:rFonts w:hint="eastAsia" w:ascii="Times New Roman" w:hAnsi="Times New Roman" w:cs="Times New Roman"/>
                <w:b w:val="0"/>
                <w:bCs/>
                <w:color w:val="auto"/>
                <w:szCs w:val="21"/>
                <w:highlight w:val="none"/>
                <w:shd w:val="clear" w:color="auto" w:fill="auto"/>
              </w:rPr>
              <w:t>kg袋装</w:t>
            </w:r>
          </w:p>
        </w:tc>
        <w:tc>
          <w:tcPr>
            <w:tcW w:w="1276" w:type="dxa"/>
            <w:noWrap w:val="0"/>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固</w:t>
            </w:r>
            <w:r>
              <w:rPr>
                <w:rFonts w:hint="eastAsia"/>
                <w:color w:val="auto"/>
                <w:kern w:val="0"/>
                <w:sz w:val="21"/>
                <w:szCs w:val="21"/>
                <w:highlight w:val="none"/>
              </w:rPr>
              <w:t>态</w:t>
            </w:r>
          </w:p>
        </w:tc>
        <w:tc>
          <w:tcPr>
            <w:tcW w:w="2684" w:type="dxa"/>
            <w:noWrap w:val="0"/>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98%</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trPr>
        <w:tc>
          <w:tcPr>
            <w:tcW w:w="1495" w:type="dxa"/>
            <w:tcBorders>
              <w:left w:val="nil"/>
            </w:tcBorders>
            <w:noWrap w:val="0"/>
            <w:vAlign w:val="center"/>
          </w:tcPr>
          <w:p>
            <w:pPr>
              <w:jc w:val="center"/>
              <w:rPr>
                <w:color w:val="auto"/>
                <w:kern w:val="0"/>
                <w:sz w:val="21"/>
                <w:szCs w:val="21"/>
                <w:highlight w:val="none"/>
              </w:rPr>
            </w:pPr>
            <w:r>
              <w:rPr>
                <w:rFonts w:hint="eastAsia"/>
                <w:color w:val="auto"/>
                <w:highlight w:val="none"/>
                <w:shd w:val="clear" w:color="auto" w:fill="auto"/>
              </w:rPr>
              <w:t>盐酸</w:t>
            </w:r>
          </w:p>
        </w:tc>
        <w:tc>
          <w:tcPr>
            <w:tcW w:w="1131" w:type="dxa"/>
            <w:noWrap w:val="0"/>
            <w:vAlign w:val="center"/>
          </w:tcPr>
          <w:p>
            <w:pPr>
              <w:jc w:val="center"/>
              <w:rPr>
                <w:color w:val="auto"/>
                <w:kern w:val="0"/>
                <w:sz w:val="21"/>
                <w:szCs w:val="21"/>
                <w:highlight w:val="none"/>
              </w:rPr>
            </w:pPr>
            <w:r>
              <w:rPr>
                <w:color w:val="auto"/>
                <w:highlight w:val="none"/>
                <w:shd w:val="clear" w:color="auto" w:fill="auto"/>
              </w:rPr>
              <w:t>15.00</w:t>
            </w:r>
          </w:p>
        </w:tc>
        <w:tc>
          <w:tcPr>
            <w:tcW w:w="1203" w:type="dxa"/>
            <w:noWrap w:val="0"/>
            <w:vAlign w:val="center"/>
          </w:tcPr>
          <w:p>
            <w:pPr>
              <w:jc w:val="center"/>
              <w:rPr>
                <w:color w:val="auto"/>
                <w:kern w:val="0"/>
                <w:sz w:val="21"/>
                <w:szCs w:val="21"/>
                <w:highlight w:val="none"/>
              </w:rPr>
            </w:pPr>
            <w:r>
              <w:rPr>
                <w:color w:val="auto"/>
                <w:highlight w:val="none"/>
                <w:shd w:val="clear" w:color="auto" w:fill="auto"/>
              </w:rPr>
              <w:t>0.5</w:t>
            </w:r>
          </w:p>
        </w:tc>
        <w:tc>
          <w:tcPr>
            <w:tcW w:w="1441" w:type="dxa"/>
            <w:noWrap w:val="0"/>
            <w:vAlign w:val="center"/>
          </w:tcPr>
          <w:p>
            <w:pPr>
              <w:spacing w:line="360" w:lineRule="exact"/>
              <w:jc w:val="center"/>
              <w:rPr>
                <w:b w:val="0"/>
                <w:bCs/>
                <w:color w:val="auto"/>
                <w:kern w:val="0"/>
                <w:sz w:val="21"/>
                <w:szCs w:val="21"/>
                <w:highlight w:val="none"/>
              </w:rPr>
            </w:pPr>
            <w:r>
              <w:rPr>
                <w:rFonts w:hint="eastAsia" w:ascii="Times New Roman" w:hAnsi="Times New Roman" w:cs="Times New Roman"/>
                <w:b w:val="0"/>
                <w:bCs/>
                <w:color w:val="auto"/>
                <w:szCs w:val="21"/>
                <w:highlight w:val="none"/>
                <w:shd w:val="clear" w:color="auto" w:fill="auto"/>
              </w:rPr>
              <w:t>2</w:t>
            </w:r>
            <w:r>
              <w:rPr>
                <w:rFonts w:ascii="Times New Roman" w:hAnsi="Times New Roman" w:cs="Times New Roman"/>
                <w:b w:val="0"/>
                <w:bCs/>
                <w:color w:val="auto"/>
                <w:szCs w:val="21"/>
                <w:highlight w:val="none"/>
                <w:shd w:val="clear" w:color="auto" w:fill="auto"/>
              </w:rPr>
              <w:t>20</w:t>
            </w:r>
            <w:r>
              <w:rPr>
                <w:rFonts w:hint="eastAsia" w:ascii="Times New Roman" w:hAnsi="Times New Roman" w:cs="Times New Roman"/>
                <w:b w:val="0"/>
                <w:bCs/>
                <w:color w:val="auto"/>
                <w:szCs w:val="21"/>
                <w:highlight w:val="none"/>
                <w:shd w:val="clear" w:color="auto" w:fill="auto"/>
              </w:rPr>
              <w:t>kg桶装</w:t>
            </w:r>
          </w:p>
        </w:tc>
        <w:tc>
          <w:tcPr>
            <w:tcW w:w="1276" w:type="dxa"/>
            <w:noWrap w:val="0"/>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液</w:t>
            </w:r>
            <w:r>
              <w:rPr>
                <w:rFonts w:hint="eastAsia"/>
                <w:color w:val="auto"/>
                <w:kern w:val="0"/>
                <w:sz w:val="21"/>
                <w:szCs w:val="21"/>
                <w:highlight w:val="none"/>
              </w:rPr>
              <w:t>态</w:t>
            </w:r>
          </w:p>
        </w:tc>
        <w:tc>
          <w:tcPr>
            <w:tcW w:w="2684" w:type="dxa"/>
            <w:noWrap w:val="0"/>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31%</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trPr>
        <w:tc>
          <w:tcPr>
            <w:tcW w:w="1495" w:type="dxa"/>
            <w:tcBorders>
              <w:left w:val="nil"/>
            </w:tcBorders>
            <w:noWrap w:val="0"/>
            <w:vAlign w:val="center"/>
          </w:tcPr>
          <w:p>
            <w:pPr>
              <w:jc w:val="center"/>
              <w:rPr>
                <w:color w:val="auto"/>
                <w:kern w:val="0"/>
                <w:sz w:val="21"/>
                <w:szCs w:val="21"/>
                <w:highlight w:val="none"/>
              </w:rPr>
            </w:pPr>
            <w:r>
              <w:rPr>
                <w:rFonts w:hint="eastAsia"/>
                <w:color w:val="auto"/>
                <w:highlight w:val="none"/>
                <w:shd w:val="clear" w:color="auto" w:fill="auto"/>
              </w:rPr>
              <w:t>硫酸</w:t>
            </w:r>
          </w:p>
        </w:tc>
        <w:tc>
          <w:tcPr>
            <w:tcW w:w="1131" w:type="dxa"/>
            <w:noWrap w:val="0"/>
            <w:vAlign w:val="center"/>
          </w:tcPr>
          <w:p>
            <w:pPr>
              <w:jc w:val="center"/>
              <w:rPr>
                <w:color w:val="auto"/>
                <w:kern w:val="0"/>
                <w:sz w:val="21"/>
                <w:szCs w:val="21"/>
                <w:highlight w:val="none"/>
              </w:rPr>
            </w:pPr>
            <w:r>
              <w:rPr>
                <w:color w:val="auto"/>
                <w:highlight w:val="none"/>
                <w:shd w:val="clear" w:color="auto" w:fill="auto"/>
              </w:rPr>
              <w:t>180.0</w:t>
            </w:r>
          </w:p>
        </w:tc>
        <w:tc>
          <w:tcPr>
            <w:tcW w:w="1203" w:type="dxa"/>
            <w:noWrap w:val="0"/>
            <w:vAlign w:val="center"/>
          </w:tcPr>
          <w:p>
            <w:pPr>
              <w:jc w:val="center"/>
              <w:rPr>
                <w:color w:val="auto"/>
                <w:kern w:val="0"/>
                <w:sz w:val="21"/>
                <w:szCs w:val="21"/>
                <w:highlight w:val="none"/>
              </w:rPr>
            </w:pPr>
            <w:r>
              <w:rPr>
                <w:color w:val="auto"/>
                <w:highlight w:val="none"/>
                <w:shd w:val="clear" w:color="auto" w:fill="auto"/>
              </w:rPr>
              <w:t>0.05</w:t>
            </w:r>
          </w:p>
        </w:tc>
        <w:tc>
          <w:tcPr>
            <w:tcW w:w="1441" w:type="dxa"/>
            <w:noWrap w:val="0"/>
            <w:vAlign w:val="center"/>
          </w:tcPr>
          <w:p>
            <w:pPr>
              <w:spacing w:line="360" w:lineRule="exact"/>
              <w:jc w:val="center"/>
              <w:rPr>
                <w:b w:val="0"/>
                <w:bCs/>
                <w:color w:val="auto"/>
                <w:kern w:val="0"/>
                <w:sz w:val="21"/>
                <w:szCs w:val="21"/>
                <w:highlight w:val="none"/>
              </w:rPr>
            </w:pPr>
            <w:r>
              <w:rPr>
                <w:rFonts w:hint="eastAsia" w:ascii="Times New Roman" w:hAnsi="Times New Roman" w:cs="Times New Roman"/>
                <w:b w:val="0"/>
                <w:bCs/>
                <w:color w:val="auto"/>
                <w:szCs w:val="21"/>
                <w:highlight w:val="none"/>
                <w:shd w:val="clear" w:color="auto" w:fill="auto"/>
              </w:rPr>
              <w:t>5</w:t>
            </w:r>
            <w:r>
              <w:rPr>
                <w:rFonts w:ascii="Times New Roman" w:hAnsi="Times New Roman" w:cs="Times New Roman"/>
                <w:b w:val="0"/>
                <w:bCs/>
                <w:color w:val="auto"/>
                <w:szCs w:val="21"/>
                <w:highlight w:val="none"/>
                <w:shd w:val="clear" w:color="auto" w:fill="auto"/>
              </w:rPr>
              <w:t>0</w:t>
            </w:r>
            <w:r>
              <w:rPr>
                <w:rFonts w:hint="eastAsia" w:ascii="Times New Roman" w:hAnsi="Times New Roman" w:cs="Times New Roman"/>
                <w:b w:val="0"/>
                <w:bCs/>
                <w:color w:val="auto"/>
                <w:szCs w:val="21"/>
                <w:highlight w:val="none"/>
                <w:shd w:val="clear" w:color="auto" w:fill="auto"/>
              </w:rPr>
              <w:t>kg桶装</w:t>
            </w:r>
          </w:p>
        </w:tc>
        <w:tc>
          <w:tcPr>
            <w:tcW w:w="1276" w:type="dxa"/>
            <w:noWrap w:val="0"/>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液</w:t>
            </w:r>
            <w:r>
              <w:rPr>
                <w:rFonts w:hint="eastAsia"/>
                <w:color w:val="auto"/>
                <w:kern w:val="0"/>
                <w:sz w:val="21"/>
                <w:szCs w:val="21"/>
                <w:highlight w:val="none"/>
              </w:rPr>
              <w:t>态</w:t>
            </w:r>
          </w:p>
        </w:tc>
        <w:tc>
          <w:tcPr>
            <w:tcW w:w="2684" w:type="dxa"/>
            <w:noWrap w:val="0"/>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9</w:t>
            </w:r>
            <w:r>
              <w:rPr>
                <w:rFonts w:hint="eastAsia"/>
                <w:color w:val="auto"/>
                <w:kern w:val="0"/>
                <w:sz w:val="21"/>
                <w:szCs w:val="21"/>
                <w:highlight w:val="none"/>
                <w:lang w:val="en-US" w:eastAsia="zh-CN"/>
              </w:rPr>
              <w:t>8</w:t>
            </w:r>
            <w:r>
              <w:rPr>
                <w:color w:val="auto"/>
                <w:kern w:val="0"/>
                <w:sz w:val="21"/>
                <w:szCs w:val="21"/>
                <w:highlight w:val="none"/>
              </w:rPr>
              <w:t>%</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trPr>
        <w:tc>
          <w:tcPr>
            <w:tcW w:w="1495" w:type="dxa"/>
            <w:tcBorders>
              <w:left w:val="nil"/>
            </w:tcBorders>
            <w:noWrap w:val="0"/>
            <w:vAlign w:val="center"/>
          </w:tcPr>
          <w:p>
            <w:pPr>
              <w:jc w:val="center"/>
              <w:rPr>
                <w:color w:val="auto"/>
                <w:kern w:val="0"/>
                <w:sz w:val="21"/>
                <w:szCs w:val="21"/>
                <w:highlight w:val="none"/>
              </w:rPr>
            </w:pPr>
            <w:r>
              <w:rPr>
                <w:rFonts w:hint="eastAsia"/>
                <w:color w:val="auto"/>
                <w:highlight w:val="none"/>
                <w:shd w:val="clear" w:color="auto" w:fill="auto"/>
              </w:rPr>
              <w:t>光亮剂</w:t>
            </w:r>
          </w:p>
        </w:tc>
        <w:tc>
          <w:tcPr>
            <w:tcW w:w="1131" w:type="dxa"/>
            <w:noWrap w:val="0"/>
            <w:vAlign w:val="center"/>
          </w:tcPr>
          <w:p>
            <w:pPr>
              <w:jc w:val="center"/>
              <w:rPr>
                <w:color w:val="auto"/>
                <w:kern w:val="0"/>
                <w:sz w:val="21"/>
                <w:szCs w:val="21"/>
                <w:highlight w:val="none"/>
              </w:rPr>
            </w:pPr>
            <w:r>
              <w:rPr>
                <w:color w:val="auto"/>
                <w:highlight w:val="none"/>
                <w:shd w:val="clear" w:color="auto" w:fill="auto"/>
              </w:rPr>
              <w:t>1.0</w:t>
            </w:r>
          </w:p>
        </w:tc>
        <w:tc>
          <w:tcPr>
            <w:tcW w:w="1203" w:type="dxa"/>
            <w:noWrap w:val="0"/>
            <w:vAlign w:val="center"/>
          </w:tcPr>
          <w:p>
            <w:pPr>
              <w:jc w:val="center"/>
              <w:rPr>
                <w:color w:val="auto"/>
                <w:kern w:val="0"/>
                <w:sz w:val="21"/>
                <w:szCs w:val="21"/>
                <w:highlight w:val="none"/>
              </w:rPr>
            </w:pPr>
            <w:r>
              <w:rPr>
                <w:color w:val="auto"/>
                <w:highlight w:val="none"/>
                <w:shd w:val="clear" w:color="auto" w:fill="auto"/>
              </w:rPr>
              <w:t>0.2</w:t>
            </w:r>
          </w:p>
        </w:tc>
        <w:tc>
          <w:tcPr>
            <w:tcW w:w="1441" w:type="dxa"/>
            <w:noWrap w:val="0"/>
            <w:vAlign w:val="center"/>
          </w:tcPr>
          <w:p>
            <w:pPr>
              <w:spacing w:line="360" w:lineRule="exact"/>
              <w:jc w:val="center"/>
              <w:rPr>
                <w:b w:val="0"/>
                <w:bCs/>
                <w:color w:val="auto"/>
                <w:kern w:val="0"/>
                <w:sz w:val="21"/>
                <w:szCs w:val="21"/>
                <w:highlight w:val="none"/>
              </w:rPr>
            </w:pPr>
            <w:r>
              <w:rPr>
                <w:rFonts w:hint="eastAsia" w:ascii="Times New Roman" w:hAnsi="Times New Roman" w:cs="Times New Roman"/>
                <w:b w:val="0"/>
                <w:bCs/>
                <w:color w:val="auto"/>
                <w:szCs w:val="21"/>
                <w:highlight w:val="none"/>
                <w:shd w:val="clear" w:color="auto" w:fill="auto"/>
              </w:rPr>
              <w:t>2</w:t>
            </w:r>
            <w:r>
              <w:rPr>
                <w:rFonts w:ascii="Times New Roman" w:hAnsi="Times New Roman" w:cs="Times New Roman"/>
                <w:b w:val="0"/>
                <w:bCs/>
                <w:color w:val="auto"/>
                <w:szCs w:val="21"/>
                <w:highlight w:val="none"/>
                <w:shd w:val="clear" w:color="auto" w:fill="auto"/>
              </w:rPr>
              <w:t>5</w:t>
            </w:r>
            <w:r>
              <w:rPr>
                <w:rFonts w:hint="eastAsia" w:ascii="Times New Roman" w:hAnsi="Times New Roman" w:cs="Times New Roman"/>
                <w:b w:val="0"/>
                <w:bCs/>
                <w:color w:val="auto"/>
                <w:szCs w:val="21"/>
                <w:highlight w:val="none"/>
                <w:shd w:val="clear" w:color="auto" w:fill="auto"/>
              </w:rPr>
              <w:t>kg桶装</w:t>
            </w:r>
          </w:p>
        </w:tc>
        <w:tc>
          <w:tcPr>
            <w:tcW w:w="1276" w:type="dxa"/>
            <w:noWrap w:val="0"/>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液</w:t>
            </w:r>
            <w:r>
              <w:rPr>
                <w:rFonts w:hint="eastAsia"/>
                <w:color w:val="auto"/>
                <w:kern w:val="0"/>
                <w:sz w:val="21"/>
                <w:szCs w:val="21"/>
                <w:highlight w:val="none"/>
              </w:rPr>
              <w:t>态</w:t>
            </w:r>
          </w:p>
        </w:tc>
        <w:tc>
          <w:tcPr>
            <w:tcW w:w="2684"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val="en-US" w:eastAsia="zh-CN"/>
              </w:rPr>
              <w:t>/</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trPr>
        <w:tc>
          <w:tcPr>
            <w:tcW w:w="1495" w:type="dxa"/>
            <w:tcBorders>
              <w:left w:val="nil"/>
            </w:tcBorders>
            <w:noWrap w:val="0"/>
            <w:vAlign w:val="center"/>
          </w:tcPr>
          <w:p>
            <w:pPr>
              <w:jc w:val="center"/>
              <w:rPr>
                <w:color w:val="auto"/>
                <w:kern w:val="0"/>
                <w:sz w:val="21"/>
                <w:szCs w:val="21"/>
                <w:highlight w:val="none"/>
              </w:rPr>
            </w:pPr>
            <w:r>
              <w:rPr>
                <w:rFonts w:hint="eastAsia"/>
                <w:color w:val="auto"/>
                <w:highlight w:val="none"/>
                <w:shd w:val="clear" w:color="auto" w:fill="auto"/>
              </w:rPr>
              <w:t>铜丸</w:t>
            </w:r>
          </w:p>
        </w:tc>
        <w:tc>
          <w:tcPr>
            <w:tcW w:w="1131" w:type="dxa"/>
            <w:noWrap w:val="0"/>
            <w:vAlign w:val="center"/>
          </w:tcPr>
          <w:p>
            <w:pPr>
              <w:jc w:val="center"/>
              <w:rPr>
                <w:color w:val="auto"/>
                <w:kern w:val="0"/>
                <w:sz w:val="21"/>
                <w:szCs w:val="21"/>
                <w:highlight w:val="none"/>
              </w:rPr>
            </w:pPr>
            <w:r>
              <w:rPr>
                <w:color w:val="auto"/>
                <w:highlight w:val="none"/>
                <w:shd w:val="clear" w:color="auto" w:fill="auto"/>
              </w:rPr>
              <w:t>0.2</w:t>
            </w:r>
          </w:p>
        </w:tc>
        <w:tc>
          <w:tcPr>
            <w:tcW w:w="1203" w:type="dxa"/>
            <w:noWrap w:val="0"/>
            <w:vAlign w:val="center"/>
          </w:tcPr>
          <w:p>
            <w:pPr>
              <w:jc w:val="center"/>
              <w:rPr>
                <w:color w:val="auto"/>
                <w:kern w:val="0"/>
                <w:sz w:val="21"/>
                <w:szCs w:val="21"/>
                <w:highlight w:val="none"/>
              </w:rPr>
            </w:pPr>
            <w:r>
              <w:rPr>
                <w:color w:val="auto"/>
                <w:highlight w:val="none"/>
                <w:shd w:val="clear" w:color="auto" w:fill="auto"/>
              </w:rPr>
              <w:t>0.1</w:t>
            </w:r>
          </w:p>
        </w:tc>
        <w:tc>
          <w:tcPr>
            <w:tcW w:w="1441" w:type="dxa"/>
            <w:noWrap w:val="0"/>
            <w:vAlign w:val="center"/>
          </w:tcPr>
          <w:p>
            <w:pPr>
              <w:spacing w:line="360" w:lineRule="exact"/>
              <w:jc w:val="center"/>
              <w:rPr>
                <w:b w:val="0"/>
                <w:bCs/>
                <w:color w:val="auto"/>
                <w:kern w:val="0"/>
                <w:sz w:val="21"/>
                <w:szCs w:val="21"/>
                <w:highlight w:val="none"/>
              </w:rPr>
            </w:pPr>
            <w:r>
              <w:rPr>
                <w:rFonts w:hint="eastAsia" w:ascii="Times New Roman" w:hAnsi="Times New Roman" w:cs="Times New Roman"/>
                <w:b w:val="0"/>
                <w:bCs/>
                <w:color w:val="auto"/>
                <w:szCs w:val="21"/>
                <w:highlight w:val="none"/>
                <w:shd w:val="clear" w:color="auto" w:fill="auto"/>
              </w:rPr>
              <w:t>2</w:t>
            </w:r>
            <w:r>
              <w:rPr>
                <w:rFonts w:ascii="Times New Roman" w:hAnsi="Times New Roman" w:cs="Times New Roman"/>
                <w:b w:val="0"/>
                <w:bCs/>
                <w:color w:val="auto"/>
                <w:szCs w:val="21"/>
                <w:highlight w:val="none"/>
                <w:shd w:val="clear" w:color="auto" w:fill="auto"/>
              </w:rPr>
              <w:t>5</w:t>
            </w:r>
            <w:r>
              <w:rPr>
                <w:rFonts w:hint="eastAsia" w:ascii="Times New Roman" w:hAnsi="Times New Roman" w:cs="Times New Roman"/>
                <w:b w:val="0"/>
                <w:bCs/>
                <w:color w:val="auto"/>
                <w:szCs w:val="21"/>
                <w:highlight w:val="none"/>
                <w:shd w:val="clear" w:color="auto" w:fill="auto"/>
              </w:rPr>
              <w:t>kg袋装</w:t>
            </w:r>
          </w:p>
        </w:tc>
        <w:tc>
          <w:tcPr>
            <w:tcW w:w="1276" w:type="dxa"/>
            <w:noWrap w:val="0"/>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固</w:t>
            </w:r>
            <w:r>
              <w:rPr>
                <w:rFonts w:hint="eastAsia"/>
                <w:color w:val="auto"/>
                <w:kern w:val="0"/>
                <w:sz w:val="21"/>
                <w:szCs w:val="21"/>
                <w:highlight w:val="none"/>
              </w:rPr>
              <w:t>态</w:t>
            </w:r>
          </w:p>
        </w:tc>
        <w:tc>
          <w:tcPr>
            <w:tcW w:w="2684" w:type="dxa"/>
            <w:noWrap w:val="0"/>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99.90%</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trPr>
        <w:tc>
          <w:tcPr>
            <w:tcW w:w="1495" w:type="dxa"/>
            <w:tcBorders>
              <w:left w:val="nil"/>
            </w:tcBorders>
            <w:noWrap w:val="0"/>
            <w:vAlign w:val="center"/>
          </w:tcPr>
          <w:p>
            <w:pPr>
              <w:jc w:val="center"/>
              <w:rPr>
                <w:color w:val="auto"/>
                <w:kern w:val="0"/>
                <w:sz w:val="21"/>
                <w:szCs w:val="21"/>
                <w:highlight w:val="none"/>
              </w:rPr>
            </w:pPr>
            <w:r>
              <w:rPr>
                <w:rFonts w:hint="eastAsia"/>
                <w:color w:val="auto"/>
                <w:highlight w:val="none"/>
                <w:shd w:val="clear" w:color="auto" w:fill="auto"/>
              </w:rPr>
              <w:t>硫酸铜</w:t>
            </w:r>
          </w:p>
        </w:tc>
        <w:tc>
          <w:tcPr>
            <w:tcW w:w="1131" w:type="dxa"/>
            <w:noWrap w:val="0"/>
            <w:vAlign w:val="center"/>
          </w:tcPr>
          <w:p>
            <w:pPr>
              <w:jc w:val="center"/>
              <w:rPr>
                <w:color w:val="auto"/>
                <w:kern w:val="0"/>
                <w:sz w:val="21"/>
                <w:szCs w:val="21"/>
                <w:highlight w:val="none"/>
              </w:rPr>
            </w:pPr>
            <w:r>
              <w:rPr>
                <w:color w:val="auto"/>
                <w:highlight w:val="none"/>
                <w:shd w:val="clear" w:color="auto" w:fill="auto"/>
              </w:rPr>
              <w:t>5.0</w:t>
            </w:r>
          </w:p>
        </w:tc>
        <w:tc>
          <w:tcPr>
            <w:tcW w:w="1203" w:type="dxa"/>
            <w:noWrap w:val="0"/>
            <w:vAlign w:val="center"/>
          </w:tcPr>
          <w:p>
            <w:pPr>
              <w:jc w:val="center"/>
              <w:rPr>
                <w:color w:val="auto"/>
                <w:kern w:val="0"/>
                <w:sz w:val="21"/>
                <w:szCs w:val="21"/>
                <w:highlight w:val="none"/>
              </w:rPr>
            </w:pPr>
            <w:r>
              <w:rPr>
                <w:color w:val="auto"/>
                <w:highlight w:val="none"/>
                <w:shd w:val="clear" w:color="auto" w:fill="auto"/>
              </w:rPr>
              <w:t>0.3</w:t>
            </w:r>
          </w:p>
        </w:tc>
        <w:tc>
          <w:tcPr>
            <w:tcW w:w="1441" w:type="dxa"/>
            <w:noWrap w:val="0"/>
            <w:vAlign w:val="center"/>
          </w:tcPr>
          <w:p>
            <w:pPr>
              <w:spacing w:line="360" w:lineRule="exact"/>
              <w:jc w:val="center"/>
              <w:rPr>
                <w:b w:val="0"/>
                <w:bCs/>
                <w:color w:val="auto"/>
                <w:kern w:val="0"/>
                <w:sz w:val="21"/>
                <w:szCs w:val="21"/>
                <w:highlight w:val="none"/>
              </w:rPr>
            </w:pPr>
            <w:r>
              <w:rPr>
                <w:rFonts w:hint="eastAsia" w:ascii="Times New Roman" w:hAnsi="Times New Roman" w:cs="Times New Roman"/>
                <w:b w:val="0"/>
                <w:bCs/>
                <w:color w:val="auto"/>
                <w:szCs w:val="21"/>
                <w:highlight w:val="none"/>
                <w:shd w:val="clear" w:color="auto" w:fill="auto"/>
              </w:rPr>
              <w:t>2</w:t>
            </w:r>
            <w:r>
              <w:rPr>
                <w:rFonts w:ascii="Times New Roman" w:hAnsi="Times New Roman" w:cs="Times New Roman"/>
                <w:b w:val="0"/>
                <w:bCs/>
                <w:color w:val="auto"/>
                <w:szCs w:val="21"/>
                <w:highlight w:val="none"/>
                <w:shd w:val="clear" w:color="auto" w:fill="auto"/>
              </w:rPr>
              <w:t>5</w:t>
            </w:r>
            <w:r>
              <w:rPr>
                <w:rFonts w:hint="eastAsia" w:ascii="Times New Roman" w:hAnsi="Times New Roman" w:cs="Times New Roman"/>
                <w:b w:val="0"/>
                <w:bCs/>
                <w:color w:val="auto"/>
                <w:szCs w:val="21"/>
                <w:highlight w:val="none"/>
                <w:shd w:val="clear" w:color="auto" w:fill="auto"/>
              </w:rPr>
              <w:t>kg桶装</w:t>
            </w:r>
          </w:p>
        </w:tc>
        <w:tc>
          <w:tcPr>
            <w:tcW w:w="1276" w:type="dxa"/>
            <w:noWrap w:val="0"/>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液</w:t>
            </w:r>
            <w:r>
              <w:rPr>
                <w:rFonts w:hint="eastAsia"/>
                <w:color w:val="auto"/>
                <w:kern w:val="0"/>
                <w:sz w:val="21"/>
                <w:szCs w:val="21"/>
                <w:highlight w:val="none"/>
              </w:rPr>
              <w:t>态</w:t>
            </w:r>
          </w:p>
        </w:tc>
        <w:tc>
          <w:tcPr>
            <w:tcW w:w="2684" w:type="dxa"/>
            <w:noWrap w:val="0"/>
            <w:vAlign w:val="center"/>
          </w:tcPr>
          <w:p>
            <w:pPr>
              <w:widowControl/>
              <w:spacing w:line="240" w:lineRule="auto"/>
              <w:ind w:firstLine="0" w:firstLineChars="0"/>
              <w:jc w:val="center"/>
              <w:rPr>
                <w:rFonts w:hint="eastAsia" w:eastAsia="宋体"/>
                <w:color w:val="auto"/>
                <w:kern w:val="0"/>
                <w:sz w:val="21"/>
                <w:szCs w:val="21"/>
                <w:highlight w:val="none"/>
                <w:lang w:eastAsia="zh-CN"/>
              </w:rPr>
            </w:pPr>
            <w:r>
              <w:rPr>
                <w:color w:val="auto"/>
                <w:kern w:val="0"/>
                <w:sz w:val="21"/>
                <w:szCs w:val="21"/>
                <w:highlight w:val="none"/>
              </w:rPr>
              <w:t>CuSO</w:t>
            </w:r>
            <w:r>
              <w:rPr>
                <w:color w:val="auto"/>
                <w:kern w:val="0"/>
                <w:sz w:val="21"/>
                <w:szCs w:val="21"/>
                <w:highlight w:val="none"/>
                <w:vertAlign w:val="subscript"/>
              </w:rPr>
              <w:t>4</w:t>
            </w:r>
            <w:r>
              <w:rPr>
                <w:color w:val="auto"/>
                <w:kern w:val="0"/>
                <w:sz w:val="21"/>
                <w:szCs w:val="21"/>
                <w:highlight w:val="none"/>
              </w:rPr>
              <w:t>·5H</w:t>
            </w:r>
            <w:r>
              <w:rPr>
                <w:color w:val="auto"/>
                <w:kern w:val="0"/>
                <w:sz w:val="21"/>
                <w:szCs w:val="21"/>
                <w:highlight w:val="none"/>
                <w:vertAlign w:val="subscript"/>
              </w:rPr>
              <w:t>2</w:t>
            </w:r>
            <w:r>
              <w:rPr>
                <w:color w:val="auto"/>
                <w:kern w:val="0"/>
                <w:sz w:val="21"/>
                <w:szCs w:val="21"/>
                <w:highlight w:val="none"/>
              </w:rPr>
              <w:t>O</w:t>
            </w:r>
            <w:r>
              <w:rPr>
                <w:rFonts w:hint="eastAsia"/>
                <w:color w:val="auto"/>
                <w:kern w:val="0"/>
                <w:sz w:val="21"/>
                <w:szCs w:val="21"/>
                <w:highlight w:val="none"/>
                <w:lang w:eastAsia="zh-CN"/>
              </w:rPr>
              <w:t>，</w:t>
            </w:r>
            <w:r>
              <w:rPr>
                <w:color w:val="auto"/>
                <w:kern w:val="0"/>
                <w:sz w:val="21"/>
                <w:szCs w:val="21"/>
                <w:highlight w:val="none"/>
              </w:rPr>
              <w:t>铜25.45%</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trPr>
        <w:tc>
          <w:tcPr>
            <w:tcW w:w="1495" w:type="dxa"/>
            <w:tcBorders>
              <w:left w:val="nil"/>
            </w:tcBorders>
            <w:noWrap w:val="0"/>
            <w:vAlign w:val="center"/>
          </w:tcPr>
          <w:p>
            <w:pPr>
              <w:jc w:val="center"/>
              <w:rPr>
                <w:color w:val="auto"/>
                <w:kern w:val="0"/>
                <w:sz w:val="21"/>
                <w:szCs w:val="21"/>
                <w:highlight w:val="none"/>
              </w:rPr>
            </w:pPr>
            <w:r>
              <w:rPr>
                <w:rFonts w:hint="eastAsia"/>
                <w:color w:val="auto"/>
                <w:highlight w:val="none"/>
                <w:shd w:val="clear" w:color="auto" w:fill="auto"/>
              </w:rPr>
              <w:t>封闭剂</w:t>
            </w:r>
          </w:p>
        </w:tc>
        <w:tc>
          <w:tcPr>
            <w:tcW w:w="1131" w:type="dxa"/>
            <w:noWrap w:val="0"/>
            <w:vAlign w:val="center"/>
          </w:tcPr>
          <w:p>
            <w:pPr>
              <w:jc w:val="center"/>
              <w:rPr>
                <w:color w:val="auto"/>
                <w:kern w:val="0"/>
                <w:sz w:val="21"/>
                <w:szCs w:val="21"/>
                <w:highlight w:val="none"/>
              </w:rPr>
            </w:pPr>
            <w:r>
              <w:rPr>
                <w:color w:val="auto"/>
                <w:highlight w:val="none"/>
                <w:shd w:val="clear" w:color="auto" w:fill="auto"/>
              </w:rPr>
              <w:t>0.5</w:t>
            </w:r>
          </w:p>
        </w:tc>
        <w:tc>
          <w:tcPr>
            <w:tcW w:w="1203" w:type="dxa"/>
            <w:noWrap w:val="0"/>
            <w:vAlign w:val="center"/>
          </w:tcPr>
          <w:p>
            <w:pPr>
              <w:jc w:val="center"/>
              <w:rPr>
                <w:color w:val="auto"/>
                <w:kern w:val="0"/>
                <w:sz w:val="21"/>
                <w:szCs w:val="21"/>
                <w:highlight w:val="none"/>
              </w:rPr>
            </w:pPr>
            <w:r>
              <w:rPr>
                <w:color w:val="auto"/>
                <w:highlight w:val="none"/>
                <w:shd w:val="clear" w:color="auto" w:fill="auto"/>
              </w:rPr>
              <w:t>0.05</w:t>
            </w:r>
          </w:p>
        </w:tc>
        <w:tc>
          <w:tcPr>
            <w:tcW w:w="1441" w:type="dxa"/>
            <w:noWrap w:val="0"/>
            <w:vAlign w:val="center"/>
          </w:tcPr>
          <w:p>
            <w:pPr>
              <w:spacing w:line="360" w:lineRule="exact"/>
              <w:jc w:val="center"/>
              <w:rPr>
                <w:b w:val="0"/>
                <w:bCs/>
                <w:color w:val="auto"/>
                <w:kern w:val="0"/>
                <w:sz w:val="21"/>
                <w:szCs w:val="21"/>
                <w:highlight w:val="none"/>
              </w:rPr>
            </w:pPr>
            <w:r>
              <w:rPr>
                <w:rFonts w:hint="eastAsia" w:ascii="Times New Roman" w:hAnsi="Times New Roman" w:cs="Times New Roman"/>
                <w:b w:val="0"/>
                <w:bCs/>
                <w:color w:val="auto"/>
                <w:szCs w:val="21"/>
                <w:highlight w:val="none"/>
                <w:shd w:val="clear" w:color="auto" w:fill="auto"/>
              </w:rPr>
              <w:t>2</w:t>
            </w:r>
            <w:r>
              <w:rPr>
                <w:rFonts w:ascii="Times New Roman" w:hAnsi="Times New Roman" w:cs="Times New Roman"/>
                <w:b w:val="0"/>
                <w:bCs/>
                <w:color w:val="auto"/>
                <w:szCs w:val="21"/>
                <w:highlight w:val="none"/>
                <w:shd w:val="clear" w:color="auto" w:fill="auto"/>
              </w:rPr>
              <w:t>5</w:t>
            </w:r>
            <w:r>
              <w:rPr>
                <w:rFonts w:hint="eastAsia" w:ascii="Times New Roman" w:hAnsi="Times New Roman" w:cs="Times New Roman"/>
                <w:b w:val="0"/>
                <w:bCs/>
                <w:color w:val="auto"/>
                <w:szCs w:val="21"/>
                <w:highlight w:val="none"/>
                <w:shd w:val="clear" w:color="auto" w:fill="auto"/>
              </w:rPr>
              <w:t>kg桶装</w:t>
            </w:r>
          </w:p>
        </w:tc>
        <w:tc>
          <w:tcPr>
            <w:tcW w:w="1276" w:type="dxa"/>
            <w:noWrap w:val="0"/>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液</w:t>
            </w:r>
            <w:r>
              <w:rPr>
                <w:rFonts w:hint="eastAsia"/>
                <w:color w:val="auto"/>
                <w:kern w:val="0"/>
                <w:sz w:val="21"/>
                <w:szCs w:val="21"/>
                <w:highlight w:val="none"/>
              </w:rPr>
              <w:t>态</w:t>
            </w:r>
          </w:p>
        </w:tc>
        <w:tc>
          <w:tcPr>
            <w:tcW w:w="2684"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val="en-US" w:eastAsia="zh-CN"/>
              </w:rPr>
              <w:t>镀铜</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trPr>
        <w:tc>
          <w:tcPr>
            <w:tcW w:w="1495" w:type="dxa"/>
            <w:tcBorders>
              <w:left w:val="nil"/>
            </w:tcBorders>
            <w:noWrap w:val="0"/>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硫酸镍</w:t>
            </w:r>
          </w:p>
        </w:tc>
        <w:tc>
          <w:tcPr>
            <w:tcW w:w="1131" w:type="dxa"/>
            <w:noWrap w:val="0"/>
            <w:vAlign w:val="center"/>
          </w:tcPr>
          <w:p>
            <w:pPr>
              <w:widowControl/>
              <w:spacing w:line="240" w:lineRule="auto"/>
              <w:ind w:firstLine="0" w:firstLineChars="0"/>
              <w:jc w:val="center"/>
              <w:rPr>
                <w:rFonts w:hint="eastAsia" w:eastAsia="宋体"/>
                <w:color w:val="auto"/>
                <w:kern w:val="0"/>
                <w:sz w:val="21"/>
                <w:szCs w:val="21"/>
                <w:highlight w:val="none"/>
                <w:lang w:val="en-US" w:eastAsia="zh-CN"/>
              </w:rPr>
            </w:pPr>
            <w:r>
              <w:rPr>
                <w:color w:val="auto"/>
                <w:kern w:val="0"/>
                <w:sz w:val="21"/>
                <w:szCs w:val="21"/>
                <w:highlight w:val="none"/>
              </w:rPr>
              <w:t>0.</w:t>
            </w:r>
            <w:r>
              <w:rPr>
                <w:rFonts w:hint="eastAsia"/>
                <w:color w:val="auto"/>
                <w:kern w:val="0"/>
                <w:sz w:val="21"/>
                <w:szCs w:val="21"/>
                <w:highlight w:val="none"/>
                <w:lang w:val="en-US" w:eastAsia="zh-CN"/>
              </w:rPr>
              <w:t>7</w:t>
            </w:r>
          </w:p>
        </w:tc>
        <w:tc>
          <w:tcPr>
            <w:tcW w:w="1203" w:type="dxa"/>
            <w:noWrap w:val="0"/>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0.1</w:t>
            </w:r>
          </w:p>
        </w:tc>
        <w:tc>
          <w:tcPr>
            <w:tcW w:w="1441" w:type="dxa"/>
            <w:noWrap w:val="0"/>
            <w:vAlign w:val="center"/>
          </w:tcPr>
          <w:p>
            <w:pPr>
              <w:widowControl/>
              <w:spacing w:line="240" w:lineRule="auto"/>
              <w:ind w:firstLine="0" w:firstLineChars="0"/>
              <w:jc w:val="center"/>
              <w:rPr>
                <w:rFonts w:hint="eastAsia" w:eastAsia="宋体"/>
                <w:color w:val="auto"/>
                <w:kern w:val="0"/>
                <w:sz w:val="21"/>
                <w:szCs w:val="21"/>
                <w:highlight w:val="none"/>
                <w:lang w:val="en-US" w:eastAsia="zh-CN"/>
              </w:rPr>
            </w:pPr>
            <w:r>
              <w:rPr>
                <w:color w:val="auto"/>
                <w:kern w:val="0"/>
                <w:sz w:val="21"/>
                <w:szCs w:val="21"/>
                <w:highlight w:val="none"/>
              </w:rPr>
              <w:t>袋</w:t>
            </w:r>
            <w:r>
              <w:rPr>
                <w:rFonts w:hint="eastAsia"/>
                <w:color w:val="auto"/>
                <w:kern w:val="0"/>
                <w:sz w:val="21"/>
                <w:szCs w:val="21"/>
                <w:highlight w:val="none"/>
                <w:lang w:val="en-US" w:eastAsia="zh-CN"/>
              </w:rPr>
              <w:t>装</w:t>
            </w:r>
          </w:p>
        </w:tc>
        <w:tc>
          <w:tcPr>
            <w:tcW w:w="1276" w:type="dxa"/>
            <w:noWrap w:val="0"/>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固</w:t>
            </w:r>
            <w:r>
              <w:rPr>
                <w:rFonts w:hint="eastAsia"/>
                <w:color w:val="auto"/>
                <w:kern w:val="0"/>
                <w:sz w:val="21"/>
                <w:szCs w:val="21"/>
                <w:highlight w:val="none"/>
              </w:rPr>
              <w:t>态</w:t>
            </w:r>
          </w:p>
        </w:tc>
        <w:tc>
          <w:tcPr>
            <w:tcW w:w="2684" w:type="dxa"/>
            <w:noWrap w:val="0"/>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NiSO</w:t>
            </w:r>
            <w:r>
              <w:rPr>
                <w:color w:val="auto"/>
                <w:kern w:val="0"/>
                <w:sz w:val="21"/>
                <w:szCs w:val="21"/>
                <w:highlight w:val="none"/>
                <w:vertAlign w:val="subscript"/>
              </w:rPr>
              <w:t>4</w:t>
            </w:r>
            <w:r>
              <w:rPr>
                <w:color w:val="auto"/>
                <w:kern w:val="0"/>
                <w:sz w:val="21"/>
                <w:szCs w:val="21"/>
                <w:highlight w:val="none"/>
              </w:rPr>
              <w:t>•6H</w:t>
            </w:r>
            <w:r>
              <w:rPr>
                <w:color w:val="auto"/>
                <w:kern w:val="0"/>
                <w:sz w:val="21"/>
                <w:szCs w:val="21"/>
                <w:highlight w:val="none"/>
                <w:vertAlign w:val="subscript"/>
              </w:rPr>
              <w:t>2</w:t>
            </w:r>
            <w:r>
              <w:rPr>
                <w:color w:val="auto"/>
                <w:kern w:val="0"/>
                <w:sz w:val="21"/>
                <w:szCs w:val="21"/>
                <w:highlight w:val="none"/>
              </w:rPr>
              <w:t>O，99</w:t>
            </w:r>
            <w:r>
              <w:rPr>
                <w:rFonts w:hint="eastAsia"/>
                <w:color w:val="auto"/>
                <w:kern w:val="0"/>
                <w:sz w:val="21"/>
                <w:szCs w:val="21"/>
                <w:highlight w:val="none"/>
                <w:lang w:val="en-US" w:eastAsia="zh-CN"/>
              </w:rPr>
              <w:t>.5</w:t>
            </w:r>
            <w:r>
              <w:rPr>
                <w:color w:val="auto"/>
                <w:kern w:val="0"/>
                <w:sz w:val="21"/>
                <w:szCs w:val="21"/>
                <w:highlight w:val="none"/>
              </w:rPr>
              <w:t>%，镍22.45%</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trPr>
        <w:tc>
          <w:tcPr>
            <w:tcW w:w="1495" w:type="dxa"/>
            <w:tcBorders>
              <w:left w:val="nil"/>
            </w:tcBorders>
            <w:noWrap w:val="0"/>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氯化镍</w:t>
            </w:r>
          </w:p>
        </w:tc>
        <w:tc>
          <w:tcPr>
            <w:tcW w:w="1131" w:type="dxa"/>
            <w:noWrap w:val="0"/>
            <w:vAlign w:val="center"/>
          </w:tcPr>
          <w:p>
            <w:pPr>
              <w:widowControl/>
              <w:spacing w:line="240" w:lineRule="auto"/>
              <w:ind w:firstLine="0" w:firstLineChars="0"/>
              <w:jc w:val="center"/>
              <w:rPr>
                <w:rFonts w:hint="eastAsia" w:eastAsia="宋体"/>
                <w:color w:val="auto"/>
                <w:kern w:val="0"/>
                <w:sz w:val="21"/>
                <w:szCs w:val="21"/>
                <w:highlight w:val="none"/>
                <w:lang w:val="en-US" w:eastAsia="zh-CN"/>
              </w:rPr>
            </w:pPr>
            <w:r>
              <w:rPr>
                <w:color w:val="auto"/>
                <w:kern w:val="0"/>
                <w:sz w:val="21"/>
                <w:szCs w:val="21"/>
                <w:highlight w:val="none"/>
              </w:rPr>
              <w:t>0.</w:t>
            </w:r>
            <w:r>
              <w:rPr>
                <w:rFonts w:hint="eastAsia"/>
                <w:color w:val="auto"/>
                <w:kern w:val="0"/>
                <w:sz w:val="21"/>
                <w:szCs w:val="21"/>
                <w:highlight w:val="none"/>
                <w:lang w:val="en-US" w:eastAsia="zh-CN"/>
              </w:rPr>
              <w:t>3</w:t>
            </w:r>
          </w:p>
        </w:tc>
        <w:tc>
          <w:tcPr>
            <w:tcW w:w="1203" w:type="dxa"/>
            <w:noWrap w:val="0"/>
            <w:vAlign w:val="center"/>
          </w:tcPr>
          <w:p>
            <w:pPr>
              <w:widowControl/>
              <w:spacing w:line="240" w:lineRule="auto"/>
              <w:ind w:firstLine="0" w:firstLineChars="0"/>
              <w:jc w:val="center"/>
              <w:rPr>
                <w:rFonts w:hint="eastAsia" w:eastAsia="宋体"/>
                <w:color w:val="auto"/>
                <w:kern w:val="0"/>
                <w:sz w:val="21"/>
                <w:szCs w:val="21"/>
                <w:highlight w:val="none"/>
                <w:lang w:val="en-US" w:eastAsia="zh-CN"/>
              </w:rPr>
            </w:pPr>
            <w:r>
              <w:rPr>
                <w:color w:val="auto"/>
                <w:kern w:val="0"/>
                <w:sz w:val="21"/>
                <w:szCs w:val="21"/>
                <w:highlight w:val="none"/>
              </w:rPr>
              <w:t>0.</w:t>
            </w:r>
            <w:r>
              <w:rPr>
                <w:rFonts w:hint="eastAsia"/>
                <w:color w:val="auto"/>
                <w:kern w:val="0"/>
                <w:sz w:val="21"/>
                <w:szCs w:val="21"/>
                <w:highlight w:val="none"/>
                <w:lang w:val="en-US" w:eastAsia="zh-CN"/>
              </w:rPr>
              <w:t>1</w:t>
            </w:r>
          </w:p>
        </w:tc>
        <w:tc>
          <w:tcPr>
            <w:tcW w:w="1441" w:type="dxa"/>
            <w:noWrap w:val="0"/>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袋</w:t>
            </w:r>
            <w:r>
              <w:rPr>
                <w:rFonts w:hint="eastAsia"/>
                <w:color w:val="auto"/>
                <w:kern w:val="0"/>
                <w:sz w:val="21"/>
                <w:szCs w:val="21"/>
                <w:highlight w:val="none"/>
                <w:lang w:val="en-US" w:eastAsia="zh-CN"/>
              </w:rPr>
              <w:t>装</w:t>
            </w:r>
          </w:p>
        </w:tc>
        <w:tc>
          <w:tcPr>
            <w:tcW w:w="1276" w:type="dxa"/>
            <w:noWrap w:val="0"/>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固</w:t>
            </w:r>
            <w:r>
              <w:rPr>
                <w:rFonts w:hint="eastAsia"/>
                <w:color w:val="auto"/>
                <w:kern w:val="0"/>
                <w:sz w:val="21"/>
                <w:szCs w:val="21"/>
                <w:highlight w:val="none"/>
              </w:rPr>
              <w:t>态</w:t>
            </w:r>
          </w:p>
        </w:tc>
        <w:tc>
          <w:tcPr>
            <w:tcW w:w="2684" w:type="dxa"/>
            <w:noWrap w:val="0"/>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NiCl</w:t>
            </w:r>
            <w:r>
              <w:rPr>
                <w:color w:val="auto"/>
                <w:kern w:val="0"/>
                <w:sz w:val="21"/>
                <w:szCs w:val="21"/>
                <w:highlight w:val="none"/>
                <w:vertAlign w:val="subscript"/>
              </w:rPr>
              <w:t>2</w:t>
            </w:r>
            <w:r>
              <w:rPr>
                <w:color w:val="auto"/>
                <w:kern w:val="0"/>
                <w:sz w:val="21"/>
                <w:szCs w:val="21"/>
                <w:highlight w:val="none"/>
              </w:rPr>
              <w:t>•6H</w:t>
            </w:r>
            <w:r>
              <w:rPr>
                <w:color w:val="auto"/>
                <w:kern w:val="0"/>
                <w:sz w:val="21"/>
                <w:szCs w:val="21"/>
                <w:highlight w:val="none"/>
                <w:vertAlign w:val="subscript"/>
              </w:rPr>
              <w:t>2</w:t>
            </w:r>
            <w:r>
              <w:rPr>
                <w:color w:val="auto"/>
                <w:kern w:val="0"/>
                <w:sz w:val="21"/>
                <w:szCs w:val="21"/>
                <w:highlight w:val="none"/>
              </w:rPr>
              <w:t>O，98%，镍24.8%</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trPr>
        <w:tc>
          <w:tcPr>
            <w:tcW w:w="1495" w:type="dxa"/>
            <w:tcBorders>
              <w:left w:val="nil"/>
            </w:tcBorders>
            <w:noWrap w:val="0"/>
            <w:vAlign w:val="center"/>
          </w:tcPr>
          <w:p>
            <w:pPr>
              <w:widowControl/>
              <w:spacing w:line="240" w:lineRule="auto"/>
              <w:ind w:firstLine="0" w:firstLineChars="0"/>
              <w:jc w:val="center"/>
              <w:rPr>
                <w:rFonts w:hint="eastAsia" w:eastAsia="宋体"/>
                <w:color w:val="auto"/>
                <w:kern w:val="0"/>
                <w:sz w:val="21"/>
                <w:szCs w:val="21"/>
                <w:highlight w:val="none"/>
                <w:lang w:val="en-US" w:eastAsia="zh-CN"/>
              </w:rPr>
            </w:pPr>
            <w:r>
              <w:rPr>
                <w:color w:val="auto"/>
                <w:kern w:val="0"/>
                <w:sz w:val="21"/>
                <w:szCs w:val="21"/>
                <w:highlight w:val="none"/>
              </w:rPr>
              <w:t>镍</w:t>
            </w:r>
            <w:r>
              <w:rPr>
                <w:rFonts w:hint="eastAsia"/>
                <w:color w:val="auto"/>
                <w:kern w:val="0"/>
                <w:sz w:val="21"/>
                <w:szCs w:val="21"/>
                <w:highlight w:val="none"/>
                <w:lang w:val="en-US" w:eastAsia="zh-CN"/>
              </w:rPr>
              <w:t>板</w:t>
            </w:r>
          </w:p>
        </w:tc>
        <w:tc>
          <w:tcPr>
            <w:tcW w:w="1131" w:type="dxa"/>
            <w:noWrap w:val="0"/>
            <w:vAlign w:val="center"/>
          </w:tcPr>
          <w:p>
            <w:pPr>
              <w:widowControl/>
              <w:spacing w:line="240" w:lineRule="auto"/>
              <w:ind w:firstLine="0" w:firstLineChars="0"/>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2</w:t>
            </w:r>
          </w:p>
        </w:tc>
        <w:tc>
          <w:tcPr>
            <w:tcW w:w="1203" w:type="dxa"/>
            <w:noWrap w:val="0"/>
            <w:vAlign w:val="center"/>
          </w:tcPr>
          <w:p>
            <w:pPr>
              <w:widowControl/>
              <w:spacing w:line="240" w:lineRule="auto"/>
              <w:ind w:firstLine="0" w:firstLineChars="0"/>
              <w:jc w:val="center"/>
              <w:rPr>
                <w:rFonts w:hint="eastAsia" w:eastAsia="宋体"/>
                <w:color w:val="auto"/>
                <w:kern w:val="0"/>
                <w:sz w:val="21"/>
                <w:szCs w:val="21"/>
                <w:highlight w:val="none"/>
                <w:lang w:val="en-US" w:eastAsia="zh-CN"/>
              </w:rPr>
            </w:pPr>
            <w:r>
              <w:rPr>
                <w:rFonts w:hint="eastAsia"/>
                <w:color w:val="auto"/>
                <w:kern w:val="0"/>
                <w:sz w:val="21"/>
                <w:szCs w:val="21"/>
                <w:highlight w:val="none"/>
                <w:lang w:val="en-US" w:eastAsia="zh-CN"/>
              </w:rPr>
              <w:t>0.2</w:t>
            </w:r>
          </w:p>
        </w:tc>
        <w:tc>
          <w:tcPr>
            <w:tcW w:w="1441" w:type="dxa"/>
            <w:noWrap w:val="0"/>
            <w:vAlign w:val="center"/>
          </w:tcPr>
          <w:p>
            <w:pPr>
              <w:widowControl/>
              <w:spacing w:line="240" w:lineRule="auto"/>
              <w:ind w:firstLine="0" w:firstLineChars="0"/>
              <w:jc w:val="center"/>
              <w:rPr>
                <w:rFonts w:hint="eastAsia" w:eastAsia="宋体"/>
                <w:color w:val="auto"/>
                <w:kern w:val="0"/>
                <w:sz w:val="21"/>
                <w:szCs w:val="21"/>
                <w:highlight w:val="none"/>
                <w:lang w:val="en-US" w:eastAsia="zh-CN"/>
              </w:rPr>
            </w:pPr>
            <w:r>
              <w:rPr>
                <w:rFonts w:hint="eastAsia"/>
                <w:color w:val="auto"/>
                <w:kern w:val="0"/>
                <w:sz w:val="21"/>
                <w:szCs w:val="21"/>
                <w:highlight w:val="none"/>
                <w:lang w:val="en-US" w:eastAsia="zh-CN"/>
              </w:rPr>
              <w:t>/</w:t>
            </w:r>
          </w:p>
        </w:tc>
        <w:tc>
          <w:tcPr>
            <w:tcW w:w="1276" w:type="dxa"/>
            <w:noWrap w:val="0"/>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固</w:t>
            </w:r>
            <w:r>
              <w:rPr>
                <w:rFonts w:hint="eastAsia"/>
                <w:color w:val="auto"/>
                <w:kern w:val="0"/>
                <w:sz w:val="21"/>
                <w:szCs w:val="21"/>
                <w:highlight w:val="none"/>
              </w:rPr>
              <w:t>态</w:t>
            </w:r>
          </w:p>
        </w:tc>
        <w:tc>
          <w:tcPr>
            <w:tcW w:w="2684"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rPr>
              <w:t>镍，纯度99.9%</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trPr>
        <w:tc>
          <w:tcPr>
            <w:tcW w:w="1495" w:type="dxa"/>
            <w:tcBorders>
              <w:left w:val="nil"/>
            </w:tcBorders>
            <w:noWrap w:val="0"/>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硼酸</w:t>
            </w:r>
          </w:p>
        </w:tc>
        <w:tc>
          <w:tcPr>
            <w:tcW w:w="1131" w:type="dxa"/>
            <w:noWrap w:val="0"/>
            <w:vAlign w:val="center"/>
          </w:tcPr>
          <w:p>
            <w:pPr>
              <w:widowControl/>
              <w:spacing w:line="240" w:lineRule="auto"/>
              <w:ind w:firstLine="0" w:firstLineChars="0"/>
              <w:jc w:val="center"/>
              <w:rPr>
                <w:rFonts w:hint="eastAsia" w:eastAsia="宋体"/>
                <w:color w:val="auto"/>
                <w:kern w:val="0"/>
                <w:sz w:val="21"/>
                <w:szCs w:val="21"/>
                <w:highlight w:val="none"/>
                <w:lang w:eastAsia="zh-CN"/>
              </w:rPr>
            </w:pPr>
            <w:r>
              <w:rPr>
                <w:color w:val="auto"/>
                <w:kern w:val="0"/>
                <w:sz w:val="21"/>
                <w:szCs w:val="21"/>
                <w:highlight w:val="none"/>
              </w:rPr>
              <w:t>0.</w:t>
            </w:r>
            <w:r>
              <w:rPr>
                <w:rFonts w:hint="eastAsia"/>
                <w:color w:val="auto"/>
                <w:kern w:val="0"/>
                <w:sz w:val="21"/>
                <w:szCs w:val="21"/>
                <w:highlight w:val="none"/>
                <w:lang w:val="en-US" w:eastAsia="zh-CN"/>
              </w:rPr>
              <w:t>1</w:t>
            </w:r>
          </w:p>
        </w:tc>
        <w:tc>
          <w:tcPr>
            <w:tcW w:w="1203" w:type="dxa"/>
            <w:noWrap w:val="0"/>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0.1</w:t>
            </w:r>
          </w:p>
        </w:tc>
        <w:tc>
          <w:tcPr>
            <w:tcW w:w="1441" w:type="dxa"/>
            <w:noWrap w:val="0"/>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袋</w:t>
            </w:r>
            <w:r>
              <w:rPr>
                <w:rFonts w:hint="eastAsia"/>
                <w:color w:val="auto"/>
                <w:kern w:val="0"/>
                <w:sz w:val="21"/>
                <w:szCs w:val="21"/>
                <w:highlight w:val="none"/>
                <w:lang w:val="en-US" w:eastAsia="zh-CN"/>
              </w:rPr>
              <w:t>装</w:t>
            </w:r>
          </w:p>
        </w:tc>
        <w:tc>
          <w:tcPr>
            <w:tcW w:w="1276" w:type="dxa"/>
            <w:noWrap w:val="0"/>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固</w:t>
            </w:r>
            <w:r>
              <w:rPr>
                <w:rFonts w:hint="eastAsia"/>
                <w:color w:val="auto"/>
                <w:kern w:val="0"/>
                <w:sz w:val="21"/>
                <w:szCs w:val="21"/>
                <w:highlight w:val="none"/>
              </w:rPr>
              <w:t>态</w:t>
            </w:r>
          </w:p>
        </w:tc>
        <w:tc>
          <w:tcPr>
            <w:tcW w:w="2684" w:type="dxa"/>
            <w:noWrap w:val="0"/>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99.90%</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trPr>
        <w:tc>
          <w:tcPr>
            <w:tcW w:w="1495" w:type="dxa"/>
            <w:tcBorders>
              <w:left w:val="nil"/>
            </w:tcBorders>
            <w:noWrap w:val="0"/>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铬酐</w:t>
            </w:r>
          </w:p>
        </w:tc>
        <w:tc>
          <w:tcPr>
            <w:tcW w:w="1131" w:type="dxa"/>
            <w:noWrap w:val="0"/>
            <w:vAlign w:val="center"/>
          </w:tcPr>
          <w:p>
            <w:pPr>
              <w:widowControl/>
              <w:spacing w:line="240" w:lineRule="auto"/>
              <w:ind w:firstLine="0" w:firstLineChars="0"/>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0.12</w:t>
            </w:r>
          </w:p>
        </w:tc>
        <w:tc>
          <w:tcPr>
            <w:tcW w:w="1203" w:type="dxa"/>
            <w:noWrap w:val="0"/>
            <w:vAlign w:val="center"/>
          </w:tcPr>
          <w:p>
            <w:pPr>
              <w:widowControl/>
              <w:spacing w:line="240" w:lineRule="auto"/>
              <w:ind w:firstLine="0" w:firstLineChars="0"/>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0.02</w:t>
            </w:r>
          </w:p>
        </w:tc>
        <w:tc>
          <w:tcPr>
            <w:tcW w:w="1441"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val="en-US" w:eastAsia="zh-CN"/>
              </w:rPr>
              <w:t>桶装</w:t>
            </w:r>
          </w:p>
        </w:tc>
        <w:tc>
          <w:tcPr>
            <w:tcW w:w="1276" w:type="dxa"/>
            <w:noWrap w:val="0"/>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固</w:t>
            </w:r>
            <w:r>
              <w:rPr>
                <w:rFonts w:hint="eastAsia"/>
                <w:color w:val="auto"/>
                <w:kern w:val="0"/>
                <w:sz w:val="21"/>
                <w:szCs w:val="21"/>
                <w:highlight w:val="none"/>
              </w:rPr>
              <w:t>态</w:t>
            </w:r>
          </w:p>
        </w:tc>
        <w:tc>
          <w:tcPr>
            <w:tcW w:w="2684" w:type="dxa"/>
            <w:noWrap w:val="0"/>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CrO</w:t>
            </w:r>
            <w:r>
              <w:rPr>
                <w:color w:val="auto"/>
                <w:kern w:val="0"/>
                <w:sz w:val="21"/>
                <w:szCs w:val="21"/>
                <w:highlight w:val="none"/>
                <w:vertAlign w:val="subscript"/>
              </w:rPr>
              <w:t>3</w:t>
            </w:r>
            <w:r>
              <w:rPr>
                <w:color w:val="auto"/>
                <w:kern w:val="0"/>
                <w:sz w:val="21"/>
                <w:szCs w:val="21"/>
                <w:highlight w:val="none"/>
              </w:rPr>
              <w:t>，铬52%</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trPr>
        <w:tc>
          <w:tcPr>
            <w:tcW w:w="9230" w:type="dxa"/>
            <w:gridSpan w:val="6"/>
            <w:tcBorders>
              <w:left w:val="nil"/>
            </w:tcBorders>
            <w:noWrap w:val="0"/>
            <w:vAlign w:val="center"/>
          </w:tcPr>
          <w:p>
            <w:pPr>
              <w:widowControl/>
              <w:spacing w:line="240" w:lineRule="auto"/>
              <w:ind w:firstLine="0" w:firstLineChars="0"/>
              <w:jc w:val="center"/>
              <w:rPr>
                <w:rFonts w:hint="eastAsia"/>
                <w:b/>
                <w:bCs/>
                <w:color w:val="auto"/>
                <w:kern w:val="0"/>
                <w:sz w:val="21"/>
                <w:szCs w:val="21"/>
                <w:highlight w:val="none"/>
                <w:lang w:val="en-US" w:eastAsia="zh-CN"/>
              </w:rPr>
            </w:pPr>
            <w:r>
              <w:rPr>
                <w:rFonts w:hint="eastAsia"/>
                <w:b/>
                <w:bCs/>
                <w:color w:val="auto"/>
                <w:kern w:val="0"/>
                <w:sz w:val="21"/>
                <w:szCs w:val="21"/>
                <w:highlight w:val="none"/>
                <w:lang w:val="en-US" w:eastAsia="zh-CN"/>
              </w:rPr>
              <w:t>4#</w:t>
            </w:r>
            <w:r>
              <w:rPr>
                <w:b/>
                <w:bCs/>
                <w:color w:val="auto"/>
                <w:kern w:val="0"/>
                <w:sz w:val="21"/>
                <w:szCs w:val="21"/>
                <w:highlight w:val="none"/>
              </w:rPr>
              <w:t>电镀车间</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trPr>
        <w:tc>
          <w:tcPr>
            <w:tcW w:w="1495" w:type="dxa"/>
            <w:tcBorders>
              <w:left w:val="nil"/>
            </w:tcBorders>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eastAsia="zh-CN"/>
              </w:rPr>
              <w:t>脱脂剂</w:t>
            </w:r>
          </w:p>
        </w:tc>
        <w:tc>
          <w:tcPr>
            <w:tcW w:w="1131"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val="en-US" w:eastAsia="zh-CN"/>
              </w:rPr>
              <w:t>5</w:t>
            </w:r>
          </w:p>
        </w:tc>
        <w:tc>
          <w:tcPr>
            <w:tcW w:w="1203"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val="en-US" w:eastAsia="zh-CN"/>
              </w:rPr>
              <w:t>0.2</w:t>
            </w:r>
          </w:p>
        </w:tc>
        <w:tc>
          <w:tcPr>
            <w:tcW w:w="1441"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eastAsia="zh-CN"/>
              </w:rPr>
              <w:t>袋装</w:t>
            </w:r>
          </w:p>
        </w:tc>
        <w:tc>
          <w:tcPr>
            <w:tcW w:w="1276"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eastAsia="zh-CN"/>
              </w:rPr>
              <w:t>固</w:t>
            </w:r>
            <w:r>
              <w:rPr>
                <w:rFonts w:hint="eastAsia"/>
                <w:color w:val="auto"/>
                <w:kern w:val="0"/>
                <w:sz w:val="21"/>
                <w:szCs w:val="21"/>
                <w:highlight w:val="none"/>
              </w:rPr>
              <w:t>态</w:t>
            </w:r>
          </w:p>
        </w:tc>
        <w:tc>
          <w:tcPr>
            <w:tcW w:w="2684" w:type="dxa"/>
            <w:noWrap w:val="0"/>
            <w:vAlign w:val="center"/>
          </w:tcPr>
          <w:p>
            <w:pPr>
              <w:widowControl/>
              <w:spacing w:line="240" w:lineRule="auto"/>
              <w:ind w:firstLine="0" w:firstLineChars="0"/>
              <w:jc w:val="center"/>
              <w:rPr>
                <w:rFonts w:hint="eastAsia" w:eastAsia="宋体"/>
                <w:color w:val="auto"/>
                <w:kern w:val="0"/>
                <w:sz w:val="21"/>
                <w:szCs w:val="21"/>
                <w:highlight w:val="none"/>
                <w:lang w:eastAsia="zh-CN"/>
              </w:rPr>
            </w:pPr>
            <w:r>
              <w:rPr>
                <w:rFonts w:hint="eastAsia"/>
                <w:color w:val="auto"/>
                <w:kern w:val="0"/>
                <w:sz w:val="21"/>
                <w:szCs w:val="21"/>
                <w:highlight w:val="none"/>
                <w:lang w:val="en-US" w:eastAsia="zh-CN"/>
              </w:rPr>
              <w:t>/</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trPr>
        <w:tc>
          <w:tcPr>
            <w:tcW w:w="1495" w:type="dxa"/>
            <w:tcBorders>
              <w:left w:val="nil"/>
            </w:tcBorders>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eastAsia="zh-CN"/>
              </w:rPr>
              <w:t>盐酸</w:t>
            </w:r>
          </w:p>
        </w:tc>
        <w:tc>
          <w:tcPr>
            <w:tcW w:w="1131"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val="en-US" w:eastAsia="zh-CN"/>
              </w:rPr>
              <w:t>30</w:t>
            </w:r>
          </w:p>
        </w:tc>
        <w:tc>
          <w:tcPr>
            <w:tcW w:w="1203"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eastAsia="zh-CN"/>
              </w:rPr>
              <w:t>无</w:t>
            </w:r>
          </w:p>
        </w:tc>
        <w:tc>
          <w:tcPr>
            <w:tcW w:w="1441"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eastAsia="zh-CN"/>
              </w:rPr>
              <w:t>散装</w:t>
            </w:r>
          </w:p>
        </w:tc>
        <w:tc>
          <w:tcPr>
            <w:tcW w:w="1276"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eastAsia="zh-CN"/>
              </w:rPr>
              <w:t>液</w:t>
            </w:r>
            <w:r>
              <w:rPr>
                <w:rFonts w:hint="eastAsia"/>
                <w:color w:val="auto"/>
                <w:kern w:val="0"/>
                <w:sz w:val="21"/>
                <w:szCs w:val="21"/>
                <w:highlight w:val="none"/>
              </w:rPr>
              <w:t>态</w:t>
            </w:r>
          </w:p>
        </w:tc>
        <w:tc>
          <w:tcPr>
            <w:tcW w:w="2684" w:type="dxa"/>
            <w:noWrap w:val="0"/>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31%</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trPr>
        <w:tc>
          <w:tcPr>
            <w:tcW w:w="1495" w:type="dxa"/>
            <w:tcBorders>
              <w:left w:val="nil"/>
            </w:tcBorders>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eastAsia="zh-CN"/>
              </w:rPr>
              <w:t>盐酸试剂</w:t>
            </w:r>
          </w:p>
        </w:tc>
        <w:tc>
          <w:tcPr>
            <w:tcW w:w="1131"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val="en-US" w:eastAsia="zh-CN"/>
              </w:rPr>
              <w:t>2</w:t>
            </w:r>
          </w:p>
        </w:tc>
        <w:tc>
          <w:tcPr>
            <w:tcW w:w="1203"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val="en-US" w:eastAsia="zh-CN"/>
              </w:rPr>
              <w:t>0.1</w:t>
            </w:r>
          </w:p>
        </w:tc>
        <w:tc>
          <w:tcPr>
            <w:tcW w:w="1441"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eastAsia="zh-CN"/>
              </w:rPr>
              <w:t>瓶装</w:t>
            </w:r>
          </w:p>
        </w:tc>
        <w:tc>
          <w:tcPr>
            <w:tcW w:w="1276"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eastAsia="zh-CN"/>
              </w:rPr>
              <w:t>液</w:t>
            </w:r>
            <w:r>
              <w:rPr>
                <w:rFonts w:hint="eastAsia"/>
                <w:color w:val="auto"/>
                <w:kern w:val="0"/>
                <w:sz w:val="21"/>
                <w:szCs w:val="21"/>
                <w:highlight w:val="none"/>
              </w:rPr>
              <w:t>态</w:t>
            </w:r>
          </w:p>
        </w:tc>
        <w:tc>
          <w:tcPr>
            <w:tcW w:w="2684" w:type="dxa"/>
            <w:noWrap w:val="0"/>
            <w:vAlign w:val="center"/>
          </w:tcPr>
          <w:p>
            <w:pPr>
              <w:widowControl/>
              <w:spacing w:line="240" w:lineRule="auto"/>
              <w:ind w:firstLine="0" w:firstLineChars="0"/>
              <w:jc w:val="center"/>
              <w:rPr>
                <w:rFonts w:hint="eastAsia" w:eastAsia="宋体"/>
                <w:color w:val="auto"/>
                <w:kern w:val="0"/>
                <w:sz w:val="21"/>
                <w:szCs w:val="21"/>
                <w:highlight w:val="none"/>
                <w:lang w:eastAsia="zh-CN"/>
              </w:rPr>
            </w:pPr>
            <w:r>
              <w:rPr>
                <w:rFonts w:hint="eastAsia"/>
                <w:color w:val="auto"/>
                <w:kern w:val="0"/>
                <w:sz w:val="21"/>
                <w:szCs w:val="21"/>
                <w:highlight w:val="none"/>
                <w:lang w:val="en-US" w:eastAsia="zh-CN"/>
              </w:rPr>
              <w:t>/</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trPr>
        <w:tc>
          <w:tcPr>
            <w:tcW w:w="1495" w:type="dxa"/>
            <w:tcBorders>
              <w:left w:val="nil"/>
            </w:tcBorders>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eastAsia="zh-CN"/>
              </w:rPr>
              <w:t>开缸剂</w:t>
            </w:r>
          </w:p>
        </w:tc>
        <w:tc>
          <w:tcPr>
            <w:tcW w:w="1131"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val="en-US" w:eastAsia="zh-CN"/>
              </w:rPr>
              <w:t>7</w:t>
            </w:r>
          </w:p>
        </w:tc>
        <w:tc>
          <w:tcPr>
            <w:tcW w:w="1203"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val="en-US" w:eastAsia="zh-CN"/>
              </w:rPr>
              <w:t>0.2</w:t>
            </w:r>
          </w:p>
        </w:tc>
        <w:tc>
          <w:tcPr>
            <w:tcW w:w="1441"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eastAsia="zh-CN"/>
              </w:rPr>
              <w:t>桶装</w:t>
            </w:r>
          </w:p>
        </w:tc>
        <w:tc>
          <w:tcPr>
            <w:tcW w:w="1276"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eastAsia="zh-CN"/>
              </w:rPr>
              <w:t>液</w:t>
            </w:r>
            <w:r>
              <w:rPr>
                <w:rFonts w:hint="eastAsia"/>
                <w:color w:val="auto"/>
                <w:kern w:val="0"/>
                <w:sz w:val="21"/>
                <w:szCs w:val="21"/>
                <w:highlight w:val="none"/>
              </w:rPr>
              <w:t>态</w:t>
            </w:r>
          </w:p>
        </w:tc>
        <w:tc>
          <w:tcPr>
            <w:tcW w:w="2684" w:type="dxa"/>
            <w:noWrap w:val="0"/>
            <w:vAlign w:val="center"/>
          </w:tcPr>
          <w:p>
            <w:pPr>
              <w:widowControl/>
              <w:spacing w:line="240" w:lineRule="auto"/>
              <w:ind w:firstLine="0" w:firstLineChars="0"/>
              <w:jc w:val="center"/>
              <w:rPr>
                <w:rFonts w:hint="eastAsia" w:eastAsia="宋体"/>
                <w:color w:val="auto"/>
                <w:kern w:val="0"/>
                <w:sz w:val="21"/>
                <w:szCs w:val="21"/>
                <w:highlight w:val="none"/>
                <w:lang w:eastAsia="zh-CN"/>
              </w:rPr>
            </w:pPr>
            <w:r>
              <w:rPr>
                <w:rFonts w:hint="eastAsia"/>
                <w:color w:val="auto"/>
                <w:kern w:val="0"/>
                <w:sz w:val="21"/>
                <w:szCs w:val="21"/>
                <w:highlight w:val="none"/>
                <w:lang w:val="en-US" w:eastAsia="zh-CN"/>
              </w:rPr>
              <w:t>/</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trPr>
        <w:tc>
          <w:tcPr>
            <w:tcW w:w="1495" w:type="dxa"/>
            <w:tcBorders>
              <w:left w:val="nil"/>
            </w:tcBorders>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eastAsia="zh-CN"/>
              </w:rPr>
              <w:t>光亮剂</w:t>
            </w:r>
          </w:p>
        </w:tc>
        <w:tc>
          <w:tcPr>
            <w:tcW w:w="1131"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val="en-US" w:eastAsia="zh-CN"/>
              </w:rPr>
              <w:t>5</w:t>
            </w:r>
          </w:p>
        </w:tc>
        <w:tc>
          <w:tcPr>
            <w:tcW w:w="1203"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val="en-US" w:eastAsia="zh-CN"/>
              </w:rPr>
              <w:t>0.1</w:t>
            </w:r>
          </w:p>
        </w:tc>
        <w:tc>
          <w:tcPr>
            <w:tcW w:w="1441"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eastAsia="zh-CN"/>
              </w:rPr>
              <w:t>桶装</w:t>
            </w:r>
          </w:p>
        </w:tc>
        <w:tc>
          <w:tcPr>
            <w:tcW w:w="1276"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eastAsia="zh-CN"/>
              </w:rPr>
              <w:t>液</w:t>
            </w:r>
            <w:r>
              <w:rPr>
                <w:rFonts w:hint="eastAsia"/>
                <w:color w:val="auto"/>
                <w:kern w:val="0"/>
                <w:sz w:val="21"/>
                <w:szCs w:val="21"/>
                <w:highlight w:val="none"/>
              </w:rPr>
              <w:t>态</w:t>
            </w:r>
          </w:p>
        </w:tc>
        <w:tc>
          <w:tcPr>
            <w:tcW w:w="2684" w:type="dxa"/>
            <w:noWrap w:val="0"/>
            <w:vAlign w:val="center"/>
          </w:tcPr>
          <w:p>
            <w:pPr>
              <w:widowControl/>
              <w:spacing w:line="240" w:lineRule="auto"/>
              <w:ind w:firstLine="0" w:firstLineChars="0"/>
              <w:jc w:val="center"/>
              <w:rPr>
                <w:rFonts w:hint="eastAsia" w:eastAsia="宋体"/>
                <w:color w:val="auto"/>
                <w:kern w:val="0"/>
                <w:sz w:val="21"/>
                <w:szCs w:val="21"/>
                <w:highlight w:val="none"/>
                <w:lang w:eastAsia="zh-CN"/>
              </w:rPr>
            </w:pPr>
            <w:r>
              <w:rPr>
                <w:rFonts w:hint="eastAsia"/>
                <w:color w:val="auto"/>
                <w:kern w:val="0"/>
                <w:sz w:val="21"/>
                <w:szCs w:val="21"/>
                <w:highlight w:val="none"/>
                <w:lang w:val="en-US" w:eastAsia="zh-CN"/>
              </w:rPr>
              <w:t>/</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trPr>
        <w:tc>
          <w:tcPr>
            <w:tcW w:w="1495" w:type="dxa"/>
            <w:tcBorders>
              <w:left w:val="nil"/>
            </w:tcBorders>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eastAsia="zh-CN"/>
              </w:rPr>
              <w:t>氢氧化钠</w:t>
            </w:r>
          </w:p>
        </w:tc>
        <w:tc>
          <w:tcPr>
            <w:tcW w:w="1131"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val="en-US" w:eastAsia="zh-CN"/>
              </w:rPr>
              <w:t>10</w:t>
            </w:r>
          </w:p>
        </w:tc>
        <w:tc>
          <w:tcPr>
            <w:tcW w:w="1203"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val="en-US" w:eastAsia="zh-CN"/>
              </w:rPr>
              <w:t>0.2</w:t>
            </w:r>
          </w:p>
        </w:tc>
        <w:tc>
          <w:tcPr>
            <w:tcW w:w="1441"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eastAsia="zh-CN"/>
              </w:rPr>
              <w:t>袋装</w:t>
            </w:r>
          </w:p>
        </w:tc>
        <w:tc>
          <w:tcPr>
            <w:tcW w:w="1276"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eastAsia="zh-CN"/>
              </w:rPr>
              <w:t>固</w:t>
            </w:r>
            <w:r>
              <w:rPr>
                <w:rFonts w:hint="eastAsia"/>
                <w:color w:val="auto"/>
                <w:kern w:val="0"/>
                <w:sz w:val="21"/>
                <w:szCs w:val="21"/>
                <w:highlight w:val="none"/>
              </w:rPr>
              <w:t>态</w:t>
            </w:r>
          </w:p>
        </w:tc>
        <w:tc>
          <w:tcPr>
            <w:tcW w:w="2684" w:type="dxa"/>
            <w:noWrap w:val="0"/>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9</w:t>
            </w:r>
            <w:r>
              <w:rPr>
                <w:rFonts w:hint="eastAsia"/>
                <w:color w:val="auto"/>
                <w:kern w:val="0"/>
                <w:sz w:val="21"/>
                <w:szCs w:val="21"/>
                <w:highlight w:val="none"/>
                <w:lang w:val="en-US" w:eastAsia="zh-CN"/>
              </w:rPr>
              <w:t>8</w:t>
            </w:r>
            <w:r>
              <w:rPr>
                <w:color w:val="auto"/>
                <w:kern w:val="0"/>
                <w:sz w:val="21"/>
                <w:szCs w:val="21"/>
                <w:highlight w:val="none"/>
              </w:rPr>
              <w:t>%</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trPr>
        <w:tc>
          <w:tcPr>
            <w:tcW w:w="1495" w:type="dxa"/>
            <w:tcBorders>
              <w:left w:val="nil"/>
            </w:tcBorders>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val="en-US" w:eastAsia="zh-CN"/>
              </w:rPr>
              <w:t>锌锭</w:t>
            </w:r>
          </w:p>
        </w:tc>
        <w:tc>
          <w:tcPr>
            <w:tcW w:w="1131" w:type="dxa"/>
            <w:noWrap w:val="0"/>
            <w:vAlign w:val="center"/>
          </w:tcPr>
          <w:p>
            <w:pPr>
              <w:widowControl/>
              <w:spacing w:line="240" w:lineRule="auto"/>
              <w:ind w:firstLine="0" w:firstLineChars="0"/>
              <w:jc w:val="center"/>
              <w:rPr>
                <w:rFonts w:hint="default"/>
                <w:color w:val="auto"/>
                <w:kern w:val="0"/>
                <w:sz w:val="21"/>
                <w:szCs w:val="21"/>
                <w:highlight w:val="none"/>
                <w:lang w:val="en-US"/>
              </w:rPr>
            </w:pPr>
            <w:r>
              <w:rPr>
                <w:rFonts w:hint="eastAsia"/>
                <w:color w:val="auto"/>
                <w:kern w:val="0"/>
                <w:sz w:val="21"/>
                <w:szCs w:val="21"/>
                <w:highlight w:val="none"/>
                <w:lang w:val="en-US" w:eastAsia="zh-CN"/>
              </w:rPr>
              <w:t>16</w:t>
            </w:r>
          </w:p>
        </w:tc>
        <w:tc>
          <w:tcPr>
            <w:tcW w:w="1203"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val="en-US" w:eastAsia="zh-CN"/>
              </w:rPr>
              <w:t>0.5</w:t>
            </w:r>
          </w:p>
        </w:tc>
        <w:tc>
          <w:tcPr>
            <w:tcW w:w="1441" w:type="dxa"/>
            <w:noWrap w:val="0"/>
            <w:vAlign w:val="center"/>
          </w:tcPr>
          <w:p>
            <w:pPr>
              <w:widowControl/>
              <w:spacing w:line="240" w:lineRule="auto"/>
              <w:ind w:firstLine="0" w:firstLineChars="0"/>
              <w:jc w:val="center"/>
              <w:rPr>
                <w:rFonts w:hint="eastAsia" w:eastAsia="宋体"/>
                <w:color w:val="auto"/>
                <w:kern w:val="0"/>
                <w:sz w:val="21"/>
                <w:szCs w:val="21"/>
                <w:highlight w:val="none"/>
                <w:lang w:val="en-US" w:eastAsia="zh-CN"/>
              </w:rPr>
            </w:pPr>
            <w:r>
              <w:rPr>
                <w:rFonts w:hint="eastAsia"/>
                <w:color w:val="auto"/>
                <w:kern w:val="0"/>
                <w:sz w:val="21"/>
                <w:szCs w:val="21"/>
                <w:highlight w:val="none"/>
                <w:lang w:val="en-US" w:eastAsia="zh-CN"/>
              </w:rPr>
              <w:t>/</w:t>
            </w:r>
          </w:p>
        </w:tc>
        <w:tc>
          <w:tcPr>
            <w:tcW w:w="1276"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eastAsia="zh-CN"/>
              </w:rPr>
              <w:t>固</w:t>
            </w:r>
            <w:r>
              <w:rPr>
                <w:rFonts w:hint="eastAsia"/>
                <w:color w:val="auto"/>
                <w:kern w:val="0"/>
                <w:sz w:val="21"/>
                <w:szCs w:val="21"/>
                <w:highlight w:val="none"/>
              </w:rPr>
              <w:t>态</w:t>
            </w:r>
          </w:p>
        </w:tc>
        <w:tc>
          <w:tcPr>
            <w:tcW w:w="2684" w:type="dxa"/>
            <w:noWrap w:val="0"/>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99.90%</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trPr>
        <w:tc>
          <w:tcPr>
            <w:tcW w:w="1495" w:type="dxa"/>
            <w:tcBorders>
              <w:left w:val="nil"/>
            </w:tcBorders>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eastAsia="zh-CN"/>
              </w:rPr>
              <w:t>氯化钾</w:t>
            </w:r>
          </w:p>
        </w:tc>
        <w:tc>
          <w:tcPr>
            <w:tcW w:w="1131" w:type="dxa"/>
            <w:noWrap w:val="0"/>
            <w:vAlign w:val="center"/>
          </w:tcPr>
          <w:p>
            <w:pPr>
              <w:widowControl/>
              <w:spacing w:line="240" w:lineRule="auto"/>
              <w:ind w:firstLine="0" w:firstLineChars="0"/>
              <w:jc w:val="center"/>
              <w:rPr>
                <w:color w:val="auto"/>
                <w:kern w:val="0"/>
                <w:sz w:val="21"/>
                <w:szCs w:val="21"/>
                <w:highlight w:val="none"/>
                <w:lang w:val="en-US"/>
              </w:rPr>
            </w:pPr>
            <w:r>
              <w:rPr>
                <w:rFonts w:hint="eastAsia"/>
                <w:color w:val="auto"/>
                <w:kern w:val="0"/>
                <w:sz w:val="21"/>
                <w:szCs w:val="21"/>
                <w:highlight w:val="none"/>
                <w:lang w:val="en-US" w:eastAsia="zh-CN"/>
              </w:rPr>
              <w:t>0.6</w:t>
            </w:r>
          </w:p>
        </w:tc>
        <w:tc>
          <w:tcPr>
            <w:tcW w:w="1203"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val="en-US" w:eastAsia="zh-CN"/>
              </w:rPr>
              <w:t>0.2</w:t>
            </w:r>
          </w:p>
        </w:tc>
        <w:tc>
          <w:tcPr>
            <w:tcW w:w="1441"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eastAsia="zh-CN"/>
              </w:rPr>
              <w:t>袋装</w:t>
            </w:r>
          </w:p>
        </w:tc>
        <w:tc>
          <w:tcPr>
            <w:tcW w:w="1276"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eastAsia="zh-CN"/>
              </w:rPr>
              <w:t>固</w:t>
            </w:r>
            <w:r>
              <w:rPr>
                <w:rFonts w:hint="eastAsia"/>
                <w:color w:val="auto"/>
                <w:kern w:val="0"/>
                <w:sz w:val="21"/>
                <w:szCs w:val="21"/>
                <w:highlight w:val="none"/>
              </w:rPr>
              <w:t>态</w:t>
            </w:r>
          </w:p>
        </w:tc>
        <w:tc>
          <w:tcPr>
            <w:tcW w:w="2684" w:type="dxa"/>
            <w:noWrap w:val="0"/>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98%</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trPr>
        <w:tc>
          <w:tcPr>
            <w:tcW w:w="1495" w:type="dxa"/>
            <w:tcBorders>
              <w:left w:val="nil"/>
            </w:tcBorders>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eastAsia="zh-CN"/>
              </w:rPr>
              <w:t>硼酸</w:t>
            </w:r>
          </w:p>
        </w:tc>
        <w:tc>
          <w:tcPr>
            <w:tcW w:w="1131"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val="en-US" w:eastAsia="zh-CN"/>
              </w:rPr>
              <w:t>2</w:t>
            </w:r>
          </w:p>
        </w:tc>
        <w:tc>
          <w:tcPr>
            <w:tcW w:w="1203"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val="en-US" w:eastAsia="zh-CN"/>
              </w:rPr>
              <w:t>0.2</w:t>
            </w:r>
          </w:p>
        </w:tc>
        <w:tc>
          <w:tcPr>
            <w:tcW w:w="1441"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eastAsia="zh-CN"/>
              </w:rPr>
              <w:t>袋装</w:t>
            </w:r>
          </w:p>
        </w:tc>
        <w:tc>
          <w:tcPr>
            <w:tcW w:w="1276"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eastAsia="zh-CN"/>
              </w:rPr>
              <w:t>固</w:t>
            </w:r>
            <w:r>
              <w:rPr>
                <w:rFonts w:hint="eastAsia"/>
                <w:color w:val="auto"/>
                <w:kern w:val="0"/>
                <w:sz w:val="21"/>
                <w:szCs w:val="21"/>
                <w:highlight w:val="none"/>
              </w:rPr>
              <w:t>态</w:t>
            </w:r>
          </w:p>
        </w:tc>
        <w:tc>
          <w:tcPr>
            <w:tcW w:w="2684" w:type="dxa"/>
            <w:noWrap w:val="0"/>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99.90%</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trPr>
        <w:tc>
          <w:tcPr>
            <w:tcW w:w="1495" w:type="dxa"/>
            <w:tcBorders>
              <w:left w:val="nil"/>
            </w:tcBorders>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eastAsia="zh-CN"/>
              </w:rPr>
              <w:t>氧化锌</w:t>
            </w:r>
          </w:p>
        </w:tc>
        <w:tc>
          <w:tcPr>
            <w:tcW w:w="1131"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val="en-US" w:eastAsia="zh-CN"/>
              </w:rPr>
              <w:t>3.5</w:t>
            </w:r>
          </w:p>
        </w:tc>
        <w:tc>
          <w:tcPr>
            <w:tcW w:w="1203"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val="en-US" w:eastAsia="zh-CN"/>
              </w:rPr>
              <w:t>0.1</w:t>
            </w:r>
          </w:p>
        </w:tc>
        <w:tc>
          <w:tcPr>
            <w:tcW w:w="1441"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eastAsia="zh-CN"/>
              </w:rPr>
              <w:t>袋装</w:t>
            </w:r>
          </w:p>
        </w:tc>
        <w:tc>
          <w:tcPr>
            <w:tcW w:w="1276"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eastAsia="zh-CN"/>
              </w:rPr>
              <w:t>固</w:t>
            </w:r>
            <w:r>
              <w:rPr>
                <w:rFonts w:hint="eastAsia"/>
                <w:color w:val="auto"/>
                <w:kern w:val="0"/>
                <w:sz w:val="21"/>
                <w:szCs w:val="21"/>
                <w:highlight w:val="none"/>
              </w:rPr>
              <w:t>态</w:t>
            </w:r>
          </w:p>
        </w:tc>
        <w:tc>
          <w:tcPr>
            <w:tcW w:w="2684" w:type="dxa"/>
            <w:noWrap w:val="0"/>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ZnO，锌80.2%，98%</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trPr>
        <w:tc>
          <w:tcPr>
            <w:tcW w:w="1495" w:type="dxa"/>
            <w:tcBorders>
              <w:left w:val="nil"/>
            </w:tcBorders>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eastAsia="zh-CN"/>
              </w:rPr>
              <w:t>硝酸</w:t>
            </w:r>
          </w:p>
        </w:tc>
        <w:tc>
          <w:tcPr>
            <w:tcW w:w="1131"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val="en-US" w:eastAsia="zh-CN"/>
              </w:rPr>
              <w:t>0.8</w:t>
            </w:r>
          </w:p>
        </w:tc>
        <w:tc>
          <w:tcPr>
            <w:tcW w:w="1203"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val="en-US" w:eastAsia="zh-CN"/>
              </w:rPr>
              <w:t>0.1</w:t>
            </w:r>
          </w:p>
        </w:tc>
        <w:tc>
          <w:tcPr>
            <w:tcW w:w="1441"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eastAsia="zh-CN"/>
              </w:rPr>
              <w:t>瓶装</w:t>
            </w:r>
          </w:p>
        </w:tc>
        <w:tc>
          <w:tcPr>
            <w:tcW w:w="1276"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eastAsia="zh-CN"/>
              </w:rPr>
              <w:t>液</w:t>
            </w:r>
            <w:r>
              <w:rPr>
                <w:rFonts w:hint="eastAsia"/>
                <w:color w:val="auto"/>
                <w:kern w:val="0"/>
                <w:sz w:val="21"/>
                <w:szCs w:val="21"/>
                <w:highlight w:val="none"/>
              </w:rPr>
              <w:t>态</w:t>
            </w:r>
          </w:p>
        </w:tc>
        <w:tc>
          <w:tcPr>
            <w:tcW w:w="2684" w:type="dxa"/>
            <w:noWrap w:val="0"/>
            <w:vAlign w:val="center"/>
          </w:tcPr>
          <w:p>
            <w:pPr>
              <w:widowControl/>
              <w:spacing w:line="240" w:lineRule="auto"/>
              <w:ind w:firstLine="0" w:firstLineChars="0"/>
              <w:jc w:val="center"/>
              <w:rPr>
                <w:rFonts w:hint="eastAsia" w:eastAsia="宋体"/>
                <w:color w:val="auto"/>
                <w:kern w:val="0"/>
                <w:sz w:val="21"/>
                <w:szCs w:val="21"/>
                <w:highlight w:val="none"/>
                <w:lang w:val="en-US" w:eastAsia="zh-CN"/>
              </w:rPr>
            </w:pPr>
            <w:r>
              <w:rPr>
                <w:rFonts w:hint="eastAsia"/>
                <w:color w:val="auto"/>
                <w:kern w:val="0"/>
                <w:sz w:val="21"/>
                <w:szCs w:val="21"/>
                <w:highlight w:val="none"/>
                <w:lang w:val="en-US" w:eastAsia="zh-CN"/>
              </w:rPr>
              <w:t>68%</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trPr>
        <w:tc>
          <w:tcPr>
            <w:tcW w:w="1495" w:type="dxa"/>
            <w:tcBorders>
              <w:left w:val="nil"/>
            </w:tcBorders>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eastAsia="zh-CN"/>
              </w:rPr>
              <w:t>钝化剂</w:t>
            </w:r>
          </w:p>
        </w:tc>
        <w:tc>
          <w:tcPr>
            <w:tcW w:w="1131"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val="en-US" w:eastAsia="zh-CN"/>
              </w:rPr>
              <w:t>1</w:t>
            </w:r>
          </w:p>
        </w:tc>
        <w:tc>
          <w:tcPr>
            <w:tcW w:w="1203"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val="en-US" w:eastAsia="zh-CN"/>
              </w:rPr>
              <w:t>0.1</w:t>
            </w:r>
          </w:p>
        </w:tc>
        <w:tc>
          <w:tcPr>
            <w:tcW w:w="1441"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eastAsia="zh-CN"/>
              </w:rPr>
              <w:t>桶装</w:t>
            </w:r>
          </w:p>
        </w:tc>
        <w:tc>
          <w:tcPr>
            <w:tcW w:w="1276"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eastAsia="zh-CN"/>
              </w:rPr>
              <w:t>液</w:t>
            </w:r>
            <w:r>
              <w:rPr>
                <w:rFonts w:hint="eastAsia"/>
                <w:color w:val="auto"/>
                <w:kern w:val="0"/>
                <w:sz w:val="21"/>
                <w:szCs w:val="21"/>
                <w:highlight w:val="none"/>
              </w:rPr>
              <w:t>态</w:t>
            </w:r>
          </w:p>
        </w:tc>
        <w:tc>
          <w:tcPr>
            <w:tcW w:w="2684" w:type="dxa"/>
            <w:noWrap w:val="0"/>
            <w:vAlign w:val="center"/>
          </w:tcPr>
          <w:p>
            <w:pPr>
              <w:widowControl/>
              <w:spacing w:line="240" w:lineRule="auto"/>
              <w:ind w:firstLine="0" w:firstLineChars="0"/>
              <w:jc w:val="center"/>
              <w:rPr>
                <w:rFonts w:hint="eastAsia" w:eastAsia="宋体"/>
                <w:color w:val="auto"/>
                <w:kern w:val="0"/>
                <w:sz w:val="21"/>
                <w:szCs w:val="21"/>
                <w:highlight w:val="none"/>
                <w:lang w:eastAsia="zh-CN"/>
              </w:rPr>
            </w:pPr>
            <w:r>
              <w:rPr>
                <w:rFonts w:hint="eastAsia"/>
                <w:color w:val="auto"/>
                <w:kern w:val="0"/>
                <w:sz w:val="21"/>
                <w:szCs w:val="21"/>
                <w:highlight w:val="none"/>
                <w:lang w:val="en-US" w:eastAsia="zh-CN"/>
              </w:rPr>
              <w:t>三价铬</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trPr>
        <w:tc>
          <w:tcPr>
            <w:tcW w:w="1495" w:type="dxa"/>
            <w:tcBorders>
              <w:left w:val="nil"/>
            </w:tcBorders>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eastAsia="zh-CN"/>
              </w:rPr>
              <w:t>封闭剂</w:t>
            </w:r>
          </w:p>
        </w:tc>
        <w:tc>
          <w:tcPr>
            <w:tcW w:w="1131"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val="en-US" w:eastAsia="zh-CN"/>
              </w:rPr>
              <w:t>2</w:t>
            </w:r>
          </w:p>
        </w:tc>
        <w:tc>
          <w:tcPr>
            <w:tcW w:w="1203"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val="en-US" w:eastAsia="zh-CN"/>
              </w:rPr>
              <w:t>0.1</w:t>
            </w:r>
          </w:p>
        </w:tc>
        <w:tc>
          <w:tcPr>
            <w:tcW w:w="1441"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eastAsia="zh-CN"/>
              </w:rPr>
              <w:t>桶装</w:t>
            </w:r>
          </w:p>
        </w:tc>
        <w:tc>
          <w:tcPr>
            <w:tcW w:w="1276"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eastAsia="zh-CN"/>
              </w:rPr>
              <w:t>液</w:t>
            </w:r>
            <w:r>
              <w:rPr>
                <w:rFonts w:hint="eastAsia"/>
                <w:color w:val="auto"/>
                <w:kern w:val="0"/>
                <w:sz w:val="21"/>
                <w:szCs w:val="21"/>
                <w:highlight w:val="none"/>
              </w:rPr>
              <w:t>态</w:t>
            </w:r>
          </w:p>
        </w:tc>
        <w:tc>
          <w:tcPr>
            <w:tcW w:w="2684" w:type="dxa"/>
            <w:noWrap w:val="0"/>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trPr>
        <w:tc>
          <w:tcPr>
            <w:tcW w:w="1495" w:type="dxa"/>
            <w:tcBorders>
              <w:left w:val="nil"/>
            </w:tcBorders>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eastAsia="zh-CN"/>
              </w:rPr>
              <w:t>硫酸</w:t>
            </w:r>
          </w:p>
        </w:tc>
        <w:tc>
          <w:tcPr>
            <w:tcW w:w="1131"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val="en-US" w:eastAsia="zh-CN"/>
              </w:rPr>
              <w:t>10</w:t>
            </w:r>
          </w:p>
        </w:tc>
        <w:tc>
          <w:tcPr>
            <w:tcW w:w="1203"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val="en-US" w:eastAsia="zh-CN"/>
              </w:rPr>
              <w:t>0.1</w:t>
            </w:r>
          </w:p>
        </w:tc>
        <w:tc>
          <w:tcPr>
            <w:tcW w:w="1441"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eastAsia="zh-CN"/>
              </w:rPr>
              <w:t>桶装</w:t>
            </w:r>
          </w:p>
        </w:tc>
        <w:tc>
          <w:tcPr>
            <w:tcW w:w="1276"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eastAsia="zh-CN"/>
              </w:rPr>
              <w:t>液</w:t>
            </w:r>
            <w:r>
              <w:rPr>
                <w:rFonts w:hint="eastAsia"/>
                <w:color w:val="auto"/>
                <w:kern w:val="0"/>
                <w:sz w:val="21"/>
                <w:szCs w:val="21"/>
                <w:highlight w:val="none"/>
              </w:rPr>
              <w:t>态</w:t>
            </w:r>
          </w:p>
        </w:tc>
        <w:tc>
          <w:tcPr>
            <w:tcW w:w="2684"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val="en-US" w:eastAsia="zh-CN"/>
              </w:rPr>
              <w:t>98</w:t>
            </w:r>
            <w:r>
              <w:rPr>
                <w:color w:val="auto"/>
                <w:kern w:val="0"/>
                <w:sz w:val="21"/>
                <w:szCs w:val="21"/>
                <w:highlight w:val="none"/>
              </w:rPr>
              <w:t>%</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trPr>
        <w:tc>
          <w:tcPr>
            <w:tcW w:w="1495" w:type="dxa"/>
            <w:tcBorders>
              <w:left w:val="nil"/>
            </w:tcBorders>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val="en-US" w:eastAsia="zh-CN"/>
              </w:rPr>
              <w:t>氯化</w:t>
            </w:r>
            <w:r>
              <w:rPr>
                <w:color w:val="auto"/>
                <w:kern w:val="0"/>
                <w:sz w:val="21"/>
                <w:szCs w:val="21"/>
                <w:highlight w:val="none"/>
              </w:rPr>
              <w:t>锌</w:t>
            </w:r>
          </w:p>
        </w:tc>
        <w:tc>
          <w:tcPr>
            <w:tcW w:w="1131" w:type="dxa"/>
            <w:noWrap w:val="0"/>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0.4</w:t>
            </w:r>
          </w:p>
        </w:tc>
        <w:tc>
          <w:tcPr>
            <w:tcW w:w="1203" w:type="dxa"/>
            <w:noWrap w:val="0"/>
            <w:vAlign w:val="center"/>
          </w:tcPr>
          <w:p>
            <w:pPr>
              <w:widowControl/>
              <w:spacing w:line="240" w:lineRule="auto"/>
              <w:ind w:firstLine="0" w:firstLineChars="0"/>
              <w:jc w:val="center"/>
              <w:rPr>
                <w:rFonts w:hint="eastAsia"/>
                <w:color w:val="auto"/>
                <w:kern w:val="0"/>
                <w:sz w:val="21"/>
                <w:szCs w:val="21"/>
                <w:highlight w:val="none"/>
                <w:lang w:val="en-US" w:eastAsia="zh-CN"/>
              </w:rPr>
            </w:pPr>
            <w:r>
              <w:rPr>
                <w:color w:val="auto"/>
                <w:kern w:val="0"/>
                <w:sz w:val="21"/>
                <w:szCs w:val="21"/>
                <w:highlight w:val="none"/>
              </w:rPr>
              <w:t>0.</w:t>
            </w:r>
            <w:r>
              <w:rPr>
                <w:rFonts w:hint="eastAsia"/>
                <w:color w:val="auto"/>
                <w:kern w:val="0"/>
                <w:sz w:val="21"/>
                <w:szCs w:val="21"/>
                <w:highlight w:val="none"/>
                <w:lang w:val="en-US" w:eastAsia="zh-CN"/>
              </w:rPr>
              <w:t>6</w:t>
            </w:r>
          </w:p>
        </w:tc>
        <w:tc>
          <w:tcPr>
            <w:tcW w:w="1441" w:type="dxa"/>
            <w:noWrap w:val="0"/>
            <w:vAlign w:val="center"/>
          </w:tcPr>
          <w:p>
            <w:pPr>
              <w:widowControl/>
              <w:spacing w:line="240" w:lineRule="auto"/>
              <w:ind w:firstLine="0" w:firstLineChars="0"/>
              <w:jc w:val="center"/>
              <w:rPr>
                <w:rFonts w:hint="eastAsia"/>
                <w:color w:val="auto"/>
                <w:kern w:val="0"/>
                <w:sz w:val="21"/>
                <w:szCs w:val="21"/>
                <w:highlight w:val="none"/>
                <w:lang w:val="en-US" w:eastAsia="zh-CN"/>
              </w:rPr>
            </w:pPr>
            <w:r>
              <w:rPr>
                <w:color w:val="auto"/>
                <w:kern w:val="0"/>
                <w:sz w:val="21"/>
                <w:szCs w:val="21"/>
                <w:highlight w:val="none"/>
              </w:rPr>
              <w:t>袋</w:t>
            </w:r>
            <w:r>
              <w:rPr>
                <w:rFonts w:hint="eastAsia"/>
                <w:color w:val="auto"/>
                <w:kern w:val="0"/>
                <w:sz w:val="21"/>
                <w:szCs w:val="21"/>
                <w:highlight w:val="none"/>
                <w:lang w:val="en-US" w:eastAsia="zh-CN"/>
              </w:rPr>
              <w:t>装</w:t>
            </w:r>
          </w:p>
        </w:tc>
        <w:tc>
          <w:tcPr>
            <w:tcW w:w="1276" w:type="dxa"/>
            <w:noWrap w:val="0"/>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固</w:t>
            </w:r>
            <w:r>
              <w:rPr>
                <w:rFonts w:hint="eastAsia"/>
                <w:color w:val="auto"/>
                <w:kern w:val="0"/>
                <w:sz w:val="21"/>
                <w:szCs w:val="21"/>
                <w:highlight w:val="none"/>
              </w:rPr>
              <w:t>态</w:t>
            </w:r>
          </w:p>
        </w:tc>
        <w:tc>
          <w:tcPr>
            <w:tcW w:w="2684" w:type="dxa"/>
            <w:noWrap w:val="0"/>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ZnCl</w:t>
            </w:r>
            <w:r>
              <w:rPr>
                <w:color w:val="auto"/>
                <w:kern w:val="0"/>
                <w:sz w:val="21"/>
                <w:szCs w:val="21"/>
                <w:highlight w:val="none"/>
                <w:vertAlign w:val="subscript"/>
              </w:rPr>
              <w:t>2</w:t>
            </w:r>
            <w:r>
              <w:rPr>
                <w:color w:val="auto"/>
                <w:kern w:val="0"/>
                <w:sz w:val="21"/>
                <w:szCs w:val="21"/>
                <w:highlight w:val="none"/>
              </w:rPr>
              <w:t>，锌47.8%</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trPr>
        <w:tc>
          <w:tcPr>
            <w:tcW w:w="9230" w:type="dxa"/>
            <w:gridSpan w:val="6"/>
            <w:tcBorders>
              <w:left w:val="nil"/>
            </w:tcBorders>
            <w:noWrap w:val="0"/>
            <w:vAlign w:val="center"/>
          </w:tcPr>
          <w:p>
            <w:pPr>
              <w:widowControl/>
              <w:spacing w:line="240" w:lineRule="auto"/>
              <w:ind w:firstLine="0" w:firstLineChars="0"/>
              <w:jc w:val="center"/>
              <w:rPr>
                <w:rFonts w:hint="eastAsia"/>
                <w:b/>
                <w:bCs/>
                <w:color w:val="auto"/>
                <w:kern w:val="0"/>
                <w:sz w:val="21"/>
                <w:szCs w:val="21"/>
                <w:highlight w:val="none"/>
                <w:lang w:val="en-US" w:eastAsia="zh-CN"/>
              </w:rPr>
            </w:pPr>
            <w:r>
              <w:rPr>
                <w:rFonts w:hint="eastAsia"/>
                <w:b/>
                <w:bCs/>
                <w:color w:val="auto"/>
                <w:kern w:val="0"/>
                <w:sz w:val="21"/>
                <w:szCs w:val="21"/>
                <w:highlight w:val="none"/>
                <w:lang w:val="en-US" w:eastAsia="zh-CN"/>
              </w:rPr>
              <w:t>5#</w:t>
            </w:r>
            <w:r>
              <w:rPr>
                <w:b/>
                <w:bCs/>
                <w:color w:val="auto"/>
                <w:kern w:val="0"/>
                <w:sz w:val="21"/>
                <w:szCs w:val="21"/>
                <w:highlight w:val="none"/>
              </w:rPr>
              <w:t>电镀车间</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trPr>
        <w:tc>
          <w:tcPr>
            <w:tcW w:w="1495" w:type="dxa"/>
            <w:tcBorders>
              <w:left w:val="nil"/>
            </w:tcBorders>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rPr>
              <w:t>氢氧化钠</w:t>
            </w:r>
          </w:p>
        </w:tc>
        <w:tc>
          <w:tcPr>
            <w:tcW w:w="1131"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rPr>
              <w:t>0.08</w:t>
            </w:r>
          </w:p>
        </w:tc>
        <w:tc>
          <w:tcPr>
            <w:tcW w:w="1203"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rPr>
              <w:t>0.05</w:t>
            </w:r>
          </w:p>
        </w:tc>
        <w:tc>
          <w:tcPr>
            <w:tcW w:w="1441"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rPr>
              <w:t>袋装</w:t>
            </w:r>
          </w:p>
        </w:tc>
        <w:tc>
          <w:tcPr>
            <w:tcW w:w="1276"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rPr>
              <w:t>固态</w:t>
            </w:r>
          </w:p>
        </w:tc>
        <w:tc>
          <w:tcPr>
            <w:tcW w:w="2684" w:type="dxa"/>
            <w:noWrap w:val="0"/>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98%</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trPr>
        <w:tc>
          <w:tcPr>
            <w:tcW w:w="1495" w:type="dxa"/>
            <w:tcBorders>
              <w:left w:val="nil"/>
            </w:tcBorders>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rPr>
              <w:t>三氧化铬</w:t>
            </w:r>
          </w:p>
        </w:tc>
        <w:tc>
          <w:tcPr>
            <w:tcW w:w="1131" w:type="dxa"/>
            <w:noWrap w:val="0"/>
            <w:vAlign w:val="center"/>
          </w:tcPr>
          <w:p>
            <w:pPr>
              <w:widowControl/>
              <w:spacing w:line="240" w:lineRule="auto"/>
              <w:ind w:firstLine="0" w:firstLineChars="0"/>
              <w:jc w:val="center"/>
              <w:rPr>
                <w:rFonts w:hint="default" w:eastAsia="宋体"/>
                <w:color w:val="auto"/>
                <w:kern w:val="0"/>
                <w:sz w:val="21"/>
                <w:szCs w:val="21"/>
                <w:highlight w:val="none"/>
                <w:lang w:val="en-US" w:eastAsia="zh-CN"/>
              </w:rPr>
            </w:pPr>
            <w:r>
              <w:rPr>
                <w:rFonts w:hint="eastAsia"/>
                <w:color w:val="auto"/>
                <w:kern w:val="0"/>
                <w:sz w:val="21"/>
                <w:szCs w:val="21"/>
                <w:highlight w:val="none"/>
              </w:rPr>
              <w:t>0.</w:t>
            </w:r>
            <w:r>
              <w:rPr>
                <w:rFonts w:hint="eastAsia"/>
                <w:color w:val="auto"/>
                <w:kern w:val="0"/>
                <w:sz w:val="21"/>
                <w:szCs w:val="21"/>
                <w:highlight w:val="none"/>
                <w:lang w:val="en-US" w:eastAsia="zh-CN"/>
              </w:rPr>
              <w:t>08</w:t>
            </w:r>
          </w:p>
        </w:tc>
        <w:tc>
          <w:tcPr>
            <w:tcW w:w="1203" w:type="dxa"/>
            <w:noWrap w:val="0"/>
            <w:vAlign w:val="center"/>
          </w:tcPr>
          <w:p>
            <w:pPr>
              <w:widowControl/>
              <w:spacing w:line="240" w:lineRule="auto"/>
              <w:ind w:firstLine="0" w:firstLineChars="0"/>
              <w:jc w:val="center"/>
              <w:rPr>
                <w:rFonts w:hint="default" w:eastAsia="宋体"/>
                <w:color w:val="auto"/>
                <w:kern w:val="0"/>
                <w:sz w:val="21"/>
                <w:szCs w:val="21"/>
                <w:highlight w:val="none"/>
                <w:lang w:val="en-US" w:eastAsia="zh-CN"/>
              </w:rPr>
            </w:pPr>
            <w:r>
              <w:rPr>
                <w:rFonts w:hint="eastAsia"/>
                <w:color w:val="auto"/>
                <w:kern w:val="0"/>
                <w:sz w:val="21"/>
                <w:szCs w:val="21"/>
                <w:highlight w:val="none"/>
              </w:rPr>
              <w:t>0.</w:t>
            </w:r>
            <w:r>
              <w:rPr>
                <w:rFonts w:hint="eastAsia"/>
                <w:color w:val="auto"/>
                <w:kern w:val="0"/>
                <w:sz w:val="21"/>
                <w:szCs w:val="21"/>
                <w:highlight w:val="none"/>
                <w:lang w:val="en-US" w:eastAsia="zh-CN"/>
              </w:rPr>
              <w:t>01</w:t>
            </w:r>
          </w:p>
        </w:tc>
        <w:tc>
          <w:tcPr>
            <w:tcW w:w="1441"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rPr>
              <w:t>桶装</w:t>
            </w:r>
          </w:p>
        </w:tc>
        <w:tc>
          <w:tcPr>
            <w:tcW w:w="1276"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rPr>
              <w:t>固态</w:t>
            </w:r>
          </w:p>
        </w:tc>
        <w:tc>
          <w:tcPr>
            <w:tcW w:w="2684" w:type="dxa"/>
            <w:noWrap w:val="0"/>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31%</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trPr>
        <w:tc>
          <w:tcPr>
            <w:tcW w:w="1495" w:type="dxa"/>
            <w:tcBorders>
              <w:left w:val="nil"/>
            </w:tcBorders>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rPr>
              <w:t>硫酸试剂</w:t>
            </w:r>
          </w:p>
        </w:tc>
        <w:tc>
          <w:tcPr>
            <w:tcW w:w="1131"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rPr>
              <w:t>0.2</w:t>
            </w:r>
          </w:p>
        </w:tc>
        <w:tc>
          <w:tcPr>
            <w:tcW w:w="1203"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rPr>
              <w:t>0.1</w:t>
            </w:r>
          </w:p>
        </w:tc>
        <w:tc>
          <w:tcPr>
            <w:tcW w:w="1441"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rPr>
              <w:t>瓶装</w:t>
            </w:r>
          </w:p>
        </w:tc>
        <w:tc>
          <w:tcPr>
            <w:tcW w:w="1276"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rPr>
              <w:t>液态</w:t>
            </w:r>
          </w:p>
        </w:tc>
        <w:tc>
          <w:tcPr>
            <w:tcW w:w="2684" w:type="dxa"/>
            <w:noWrap w:val="0"/>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9</w:t>
            </w:r>
            <w:r>
              <w:rPr>
                <w:rFonts w:hint="eastAsia"/>
                <w:color w:val="auto"/>
                <w:kern w:val="0"/>
                <w:sz w:val="21"/>
                <w:szCs w:val="21"/>
                <w:highlight w:val="none"/>
                <w:lang w:val="en-US" w:eastAsia="zh-CN"/>
              </w:rPr>
              <w:t>8</w:t>
            </w:r>
            <w:r>
              <w:rPr>
                <w:color w:val="auto"/>
                <w:kern w:val="0"/>
                <w:sz w:val="21"/>
                <w:szCs w:val="21"/>
                <w:highlight w:val="none"/>
              </w:rPr>
              <w:t>%</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trPr>
        <w:tc>
          <w:tcPr>
            <w:tcW w:w="1495" w:type="dxa"/>
            <w:tcBorders>
              <w:left w:val="nil"/>
            </w:tcBorders>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rPr>
              <w:t>无水亚硫酸钠</w:t>
            </w:r>
          </w:p>
        </w:tc>
        <w:tc>
          <w:tcPr>
            <w:tcW w:w="1131"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rPr>
              <w:t>0.05</w:t>
            </w:r>
          </w:p>
        </w:tc>
        <w:tc>
          <w:tcPr>
            <w:tcW w:w="1203"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rPr>
              <w:t>0.05</w:t>
            </w:r>
          </w:p>
        </w:tc>
        <w:tc>
          <w:tcPr>
            <w:tcW w:w="1441"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rPr>
              <w:t>袋装</w:t>
            </w:r>
          </w:p>
        </w:tc>
        <w:tc>
          <w:tcPr>
            <w:tcW w:w="1276"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rPr>
              <w:t>固态</w:t>
            </w:r>
          </w:p>
        </w:tc>
        <w:tc>
          <w:tcPr>
            <w:tcW w:w="2684" w:type="dxa"/>
            <w:noWrap w:val="0"/>
            <w:vAlign w:val="center"/>
          </w:tcPr>
          <w:p>
            <w:pPr>
              <w:widowControl/>
              <w:spacing w:line="240" w:lineRule="auto"/>
              <w:ind w:firstLine="0" w:firstLineChars="0"/>
              <w:jc w:val="center"/>
              <w:rPr>
                <w:rFonts w:hint="eastAsia" w:eastAsia="宋体"/>
                <w:color w:val="auto"/>
                <w:kern w:val="0"/>
                <w:sz w:val="21"/>
                <w:szCs w:val="21"/>
                <w:highlight w:val="none"/>
                <w:lang w:eastAsia="zh-CN"/>
              </w:rPr>
            </w:pPr>
            <w:r>
              <w:rPr>
                <w:rFonts w:hint="eastAsia"/>
                <w:color w:val="auto"/>
                <w:kern w:val="0"/>
                <w:sz w:val="21"/>
                <w:szCs w:val="21"/>
                <w:highlight w:val="none"/>
                <w:lang w:val="en-US" w:eastAsia="zh-CN"/>
              </w:rPr>
              <w:t>/</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trPr>
        <w:tc>
          <w:tcPr>
            <w:tcW w:w="1495" w:type="dxa"/>
            <w:tcBorders>
              <w:left w:val="nil"/>
            </w:tcBorders>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rPr>
              <w:t>焦亚硫酸钠</w:t>
            </w:r>
          </w:p>
        </w:tc>
        <w:tc>
          <w:tcPr>
            <w:tcW w:w="1131"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rPr>
              <w:t>0.1</w:t>
            </w:r>
          </w:p>
        </w:tc>
        <w:tc>
          <w:tcPr>
            <w:tcW w:w="1203"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rPr>
              <w:t>0.05</w:t>
            </w:r>
          </w:p>
        </w:tc>
        <w:tc>
          <w:tcPr>
            <w:tcW w:w="1441"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rPr>
              <w:t>袋装</w:t>
            </w:r>
          </w:p>
        </w:tc>
        <w:tc>
          <w:tcPr>
            <w:tcW w:w="1276"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rPr>
              <w:t>固态</w:t>
            </w:r>
          </w:p>
        </w:tc>
        <w:tc>
          <w:tcPr>
            <w:tcW w:w="2684" w:type="dxa"/>
            <w:noWrap w:val="0"/>
            <w:vAlign w:val="center"/>
          </w:tcPr>
          <w:p>
            <w:pPr>
              <w:widowControl/>
              <w:spacing w:line="240" w:lineRule="auto"/>
              <w:ind w:firstLine="0" w:firstLineChars="0"/>
              <w:jc w:val="center"/>
              <w:rPr>
                <w:rFonts w:hint="eastAsia" w:eastAsia="宋体"/>
                <w:color w:val="auto"/>
                <w:kern w:val="0"/>
                <w:sz w:val="21"/>
                <w:szCs w:val="21"/>
                <w:highlight w:val="none"/>
                <w:lang w:eastAsia="zh-CN"/>
              </w:rPr>
            </w:pPr>
            <w:r>
              <w:rPr>
                <w:rFonts w:hint="eastAsia"/>
                <w:color w:val="auto"/>
                <w:kern w:val="0"/>
                <w:sz w:val="21"/>
                <w:szCs w:val="21"/>
                <w:highlight w:val="none"/>
                <w:lang w:val="en-US" w:eastAsia="zh-CN"/>
              </w:rPr>
              <w:t>/</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trPr>
        <w:tc>
          <w:tcPr>
            <w:tcW w:w="1495" w:type="dxa"/>
            <w:tcBorders>
              <w:left w:val="nil"/>
            </w:tcBorders>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rPr>
              <w:t>氯化亚锡</w:t>
            </w:r>
          </w:p>
        </w:tc>
        <w:tc>
          <w:tcPr>
            <w:tcW w:w="1131"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rPr>
              <w:t>0.1</w:t>
            </w:r>
          </w:p>
        </w:tc>
        <w:tc>
          <w:tcPr>
            <w:tcW w:w="1203"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rPr>
              <w:t>0.025</w:t>
            </w:r>
          </w:p>
        </w:tc>
        <w:tc>
          <w:tcPr>
            <w:tcW w:w="1441"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rPr>
              <w:t>桶装</w:t>
            </w:r>
          </w:p>
        </w:tc>
        <w:tc>
          <w:tcPr>
            <w:tcW w:w="1276"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rPr>
              <w:t>固态</w:t>
            </w:r>
          </w:p>
        </w:tc>
        <w:tc>
          <w:tcPr>
            <w:tcW w:w="2684" w:type="dxa"/>
            <w:noWrap w:val="0"/>
            <w:vAlign w:val="center"/>
          </w:tcPr>
          <w:p>
            <w:pPr>
              <w:widowControl/>
              <w:spacing w:line="240" w:lineRule="auto"/>
              <w:ind w:firstLine="0" w:firstLineChars="0"/>
              <w:jc w:val="center"/>
              <w:rPr>
                <w:rFonts w:hint="eastAsia" w:eastAsia="宋体"/>
                <w:color w:val="auto"/>
                <w:kern w:val="0"/>
                <w:sz w:val="21"/>
                <w:szCs w:val="21"/>
                <w:highlight w:val="none"/>
                <w:lang w:eastAsia="zh-CN"/>
              </w:rPr>
            </w:pPr>
            <w:r>
              <w:rPr>
                <w:rFonts w:hint="eastAsia"/>
                <w:color w:val="auto"/>
                <w:kern w:val="0"/>
                <w:sz w:val="21"/>
                <w:szCs w:val="21"/>
                <w:highlight w:val="none"/>
                <w:lang w:val="en-US" w:eastAsia="zh-CN"/>
              </w:rPr>
              <w:t>/</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trPr>
        <w:tc>
          <w:tcPr>
            <w:tcW w:w="1495" w:type="dxa"/>
            <w:tcBorders>
              <w:left w:val="nil"/>
            </w:tcBorders>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rPr>
              <w:t>盐酸试剂</w:t>
            </w:r>
          </w:p>
        </w:tc>
        <w:tc>
          <w:tcPr>
            <w:tcW w:w="1131"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rPr>
              <w:t>0.1</w:t>
            </w:r>
          </w:p>
        </w:tc>
        <w:tc>
          <w:tcPr>
            <w:tcW w:w="1203"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rPr>
              <w:t>0.05</w:t>
            </w:r>
          </w:p>
        </w:tc>
        <w:tc>
          <w:tcPr>
            <w:tcW w:w="1441"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rPr>
              <w:t>瓶装</w:t>
            </w:r>
          </w:p>
        </w:tc>
        <w:tc>
          <w:tcPr>
            <w:tcW w:w="1276"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rPr>
              <w:t>液态</w:t>
            </w:r>
          </w:p>
        </w:tc>
        <w:tc>
          <w:tcPr>
            <w:tcW w:w="2684" w:type="dxa"/>
            <w:noWrap w:val="0"/>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trPr>
        <w:tc>
          <w:tcPr>
            <w:tcW w:w="1495" w:type="dxa"/>
            <w:tcBorders>
              <w:left w:val="nil"/>
            </w:tcBorders>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rPr>
              <w:t>氢氧化钾</w:t>
            </w:r>
          </w:p>
        </w:tc>
        <w:tc>
          <w:tcPr>
            <w:tcW w:w="1131"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rPr>
              <w:t>0.15</w:t>
            </w:r>
          </w:p>
        </w:tc>
        <w:tc>
          <w:tcPr>
            <w:tcW w:w="1203"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rPr>
              <w:t>0.05</w:t>
            </w:r>
          </w:p>
        </w:tc>
        <w:tc>
          <w:tcPr>
            <w:tcW w:w="1441"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rPr>
              <w:t>袋装</w:t>
            </w:r>
          </w:p>
        </w:tc>
        <w:tc>
          <w:tcPr>
            <w:tcW w:w="1276"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rPr>
              <w:t>固态</w:t>
            </w:r>
          </w:p>
        </w:tc>
        <w:tc>
          <w:tcPr>
            <w:tcW w:w="2684" w:type="dxa"/>
            <w:noWrap w:val="0"/>
            <w:vAlign w:val="center"/>
          </w:tcPr>
          <w:p>
            <w:pPr>
              <w:widowControl/>
              <w:spacing w:line="240" w:lineRule="auto"/>
              <w:ind w:firstLine="0" w:firstLineChars="0"/>
              <w:jc w:val="center"/>
              <w:rPr>
                <w:rFonts w:hint="eastAsia" w:eastAsia="宋体"/>
                <w:color w:val="auto"/>
                <w:kern w:val="0"/>
                <w:sz w:val="21"/>
                <w:szCs w:val="21"/>
                <w:highlight w:val="none"/>
                <w:lang w:val="en-US" w:eastAsia="zh-CN"/>
              </w:rPr>
            </w:pPr>
            <w:r>
              <w:rPr>
                <w:rFonts w:hint="eastAsia"/>
                <w:color w:val="auto"/>
                <w:kern w:val="0"/>
                <w:sz w:val="21"/>
                <w:szCs w:val="21"/>
                <w:highlight w:val="none"/>
                <w:lang w:val="en-US" w:eastAsia="zh-CN"/>
              </w:rPr>
              <w:t>/</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trPr>
        <w:tc>
          <w:tcPr>
            <w:tcW w:w="1495" w:type="dxa"/>
            <w:tcBorders>
              <w:left w:val="nil"/>
            </w:tcBorders>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rPr>
              <w:t>硝酸银</w:t>
            </w:r>
          </w:p>
        </w:tc>
        <w:tc>
          <w:tcPr>
            <w:tcW w:w="1131"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rPr>
              <w:t>0.18</w:t>
            </w:r>
          </w:p>
        </w:tc>
        <w:tc>
          <w:tcPr>
            <w:tcW w:w="1203"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rPr>
              <w:t>0.02</w:t>
            </w:r>
          </w:p>
        </w:tc>
        <w:tc>
          <w:tcPr>
            <w:tcW w:w="1441"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rPr>
              <w:t>瓶装</w:t>
            </w:r>
          </w:p>
        </w:tc>
        <w:tc>
          <w:tcPr>
            <w:tcW w:w="1276"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rPr>
              <w:t>固态</w:t>
            </w:r>
          </w:p>
        </w:tc>
        <w:tc>
          <w:tcPr>
            <w:tcW w:w="2684"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val="en-US" w:eastAsia="zh-CN"/>
              </w:rPr>
              <w:t>/</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trPr>
        <w:tc>
          <w:tcPr>
            <w:tcW w:w="1495" w:type="dxa"/>
            <w:tcBorders>
              <w:left w:val="nil"/>
            </w:tcBorders>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rPr>
              <w:t>氨水</w:t>
            </w:r>
          </w:p>
        </w:tc>
        <w:tc>
          <w:tcPr>
            <w:tcW w:w="1131"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rPr>
              <w:t>0.24</w:t>
            </w:r>
          </w:p>
        </w:tc>
        <w:tc>
          <w:tcPr>
            <w:tcW w:w="1203"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rPr>
              <w:t>0.05</w:t>
            </w:r>
          </w:p>
        </w:tc>
        <w:tc>
          <w:tcPr>
            <w:tcW w:w="1441"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rPr>
              <w:t>桶装</w:t>
            </w:r>
          </w:p>
        </w:tc>
        <w:tc>
          <w:tcPr>
            <w:tcW w:w="1276"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rPr>
              <w:t>液态</w:t>
            </w:r>
          </w:p>
        </w:tc>
        <w:tc>
          <w:tcPr>
            <w:tcW w:w="2684" w:type="dxa"/>
            <w:noWrap w:val="0"/>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trPr>
        <w:tc>
          <w:tcPr>
            <w:tcW w:w="1495" w:type="dxa"/>
            <w:tcBorders>
              <w:left w:val="nil"/>
            </w:tcBorders>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rPr>
              <w:t>葡萄糖</w:t>
            </w:r>
          </w:p>
        </w:tc>
        <w:tc>
          <w:tcPr>
            <w:tcW w:w="1131"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rPr>
              <w:t>0.3</w:t>
            </w:r>
          </w:p>
        </w:tc>
        <w:tc>
          <w:tcPr>
            <w:tcW w:w="1203"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rPr>
              <w:t>0.1</w:t>
            </w:r>
          </w:p>
        </w:tc>
        <w:tc>
          <w:tcPr>
            <w:tcW w:w="1441"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rPr>
              <w:t>袋装</w:t>
            </w:r>
          </w:p>
        </w:tc>
        <w:tc>
          <w:tcPr>
            <w:tcW w:w="1276"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rPr>
              <w:t>固态</w:t>
            </w:r>
          </w:p>
        </w:tc>
        <w:tc>
          <w:tcPr>
            <w:tcW w:w="2684"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val="en-US" w:eastAsia="zh-CN"/>
              </w:rPr>
              <w:t>/</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trPr>
        <w:tc>
          <w:tcPr>
            <w:tcW w:w="1495" w:type="dxa"/>
            <w:tcBorders>
              <w:left w:val="nil"/>
            </w:tcBorders>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rPr>
              <w:t>酒石酸</w:t>
            </w:r>
          </w:p>
        </w:tc>
        <w:tc>
          <w:tcPr>
            <w:tcW w:w="1131"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rPr>
              <w:t>0.05</w:t>
            </w:r>
          </w:p>
        </w:tc>
        <w:tc>
          <w:tcPr>
            <w:tcW w:w="1203"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rPr>
              <w:t>0.025</w:t>
            </w:r>
          </w:p>
        </w:tc>
        <w:tc>
          <w:tcPr>
            <w:tcW w:w="1441"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rPr>
              <w:t>袋装</w:t>
            </w:r>
          </w:p>
        </w:tc>
        <w:tc>
          <w:tcPr>
            <w:tcW w:w="1276"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rPr>
              <w:t>固态</w:t>
            </w:r>
          </w:p>
        </w:tc>
        <w:tc>
          <w:tcPr>
            <w:tcW w:w="2684"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val="en-US" w:eastAsia="zh-CN"/>
              </w:rPr>
              <w:t>/</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trPr>
        <w:tc>
          <w:tcPr>
            <w:tcW w:w="1495" w:type="dxa"/>
            <w:tcBorders>
              <w:left w:val="nil"/>
            </w:tcBorders>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rPr>
              <w:t>咪唑</w:t>
            </w:r>
          </w:p>
        </w:tc>
        <w:tc>
          <w:tcPr>
            <w:tcW w:w="1131"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rPr>
              <w:t>0.1</w:t>
            </w:r>
          </w:p>
        </w:tc>
        <w:tc>
          <w:tcPr>
            <w:tcW w:w="1203"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rPr>
              <w:t>0.1</w:t>
            </w:r>
          </w:p>
        </w:tc>
        <w:tc>
          <w:tcPr>
            <w:tcW w:w="1441"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rPr>
              <w:t>桶装</w:t>
            </w:r>
          </w:p>
        </w:tc>
        <w:tc>
          <w:tcPr>
            <w:tcW w:w="1276"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rPr>
              <w:t>固态</w:t>
            </w:r>
          </w:p>
        </w:tc>
        <w:tc>
          <w:tcPr>
            <w:tcW w:w="2684" w:type="dxa"/>
            <w:noWrap w:val="0"/>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trPr>
        <w:tc>
          <w:tcPr>
            <w:tcW w:w="1495" w:type="dxa"/>
            <w:tcBorders>
              <w:left w:val="nil"/>
            </w:tcBorders>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rPr>
              <w:t>三氯化铁</w:t>
            </w:r>
          </w:p>
        </w:tc>
        <w:tc>
          <w:tcPr>
            <w:tcW w:w="1131"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rPr>
              <w:t>0.1</w:t>
            </w:r>
          </w:p>
        </w:tc>
        <w:tc>
          <w:tcPr>
            <w:tcW w:w="1203"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rPr>
              <w:t>0.1</w:t>
            </w:r>
          </w:p>
        </w:tc>
        <w:tc>
          <w:tcPr>
            <w:tcW w:w="1441"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rPr>
              <w:t>袋装</w:t>
            </w:r>
          </w:p>
        </w:tc>
        <w:tc>
          <w:tcPr>
            <w:tcW w:w="1276"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rPr>
              <w:t>固态</w:t>
            </w:r>
          </w:p>
        </w:tc>
        <w:tc>
          <w:tcPr>
            <w:tcW w:w="2684"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val="en-US" w:eastAsia="zh-CN"/>
              </w:rPr>
              <w:t>/</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495" w:type="dxa"/>
            <w:tcBorders>
              <w:left w:val="nil"/>
            </w:tcBorders>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rPr>
              <w:t>硫化钠</w:t>
            </w:r>
          </w:p>
        </w:tc>
        <w:tc>
          <w:tcPr>
            <w:tcW w:w="1131"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rPr>
              <w:t>0.1</w:t>
            </w:r>
          </w:p>
        </w:tc>
        <w:tc>
          <w:tcPr>
            <w:tcW w:w="1203"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rPr>
              <w:t>0.1</w:t>
            </w:r>
          </w:p>
        </w:tc>
        <w:tc>
          <w:tcPr>
            <w:tcW w:w="1441"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rPr>
              <w:t>袋装</w:t>
            </w:r>
          </w:p>
        </w:tc>
        <w:tc>
          <w:tcPr>
            <w:tcW w:w="1276"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rPr>
              <w:t>固态</w:t>
            </w:r>
          </w:p>
        </w:tc>
        <w:tc>
          <w:tcPr>
            <w:tcW w:w="2684"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val="en-US" w:eastAsia="zh-CN"/>
              </w:rPr>
              <w:t>/</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trPr>
        <w:tc>
          <w:tcPr>
            <w:tcW w:w="1495" w:type="dxa"/>
            <w:tcBorders>
              <w:left w:val="nil"/>
            </w:tcBorders>
            <w:noWrap w:val="0"/>
            <w:vAlign w:val="center"/>
          </w:tcPr>
          <w:p>
            <w:pPr>
              <w:widowControl/>
              <w:spacing w:line="240" w:lineRule="auto"/>
              <w:ind w:firstLine="0" w:firstLineChars="0"/>
              <w:jc w:val="center"/>
              <w:rPr>
                <w:rFonts w:hint="eastAsia"/>
                <w:color w:val="auto"/>
                <w:kern w:val="0"/>
                <w:sz w:val="21"/>
                <w:szCs w:val="21"/>
                <w:highlight w:val="none"/>
              </w:rPr>
            </w:pPr>
            <w:r>
              <w:rPr>
                <w:rFonts w:hint="eastAsia"/>
                <w:color w:val="auto"/>
                <w:kern w:val="0"/>
                <w:szCs w:val="21"/>
                <w:highlight w:val="none"/>
              </w:rPr>
              <w:t>磺基水杨酸</w:t>
            </w:r>
          </w:p>
        </w:tc>
        <w:tc>
          <w:tcPr>
            <w:tcW w:w="1131" w:type="dxa"/>
            <w:noWrap w:val="0"/>
            <w:vAlign w:val="center"/>
          </w:tcPr>
          <w:p>
            <w:pPr>
              <w:widowControl/>
              <w:spacing w:line="240" w:lineRule="auto"/>
              <w:ind w:firstLine="0" w:firstLineChars="0"/>
              <w:jc w:val="center"/>
              <w:rPr>
                <w:rFonts w:hint="eastAsia" w:eastAsia="宋体"/>
                <w:color w:val="auto"/>
                <w:kern w:val="0"/>
                <w:sz w:val="21"/>
                <w:szCs w:val="21"/>
                <w:highlight w:val="none"/>
                <w:lang w:val="en-US" w:eastAsia="zh-CN"/>
              </w:rPr>
            </w:pPr>
            <w:r>
              <w:rPr>
                <w:rFonts w:hint="eastAsia"/>
                <w:color w:val="auto"/>
                <w:kern w:val="0"/>
                <w:sz w:val="21"/>
                <w:szCs w:val="21"/>
                <w:highlight w:val="none"/>
                <w:lang w:val="en-US" w:eastAsia="zh-CN"/>
              </w:rPr>
              <w:t>0.02</w:t>
            </w:r>
          </w:p>
        </w:tc>
        <w:tc>
          <w:tcPr>
            <w:tcW w:w="1203" w:type="dxa"/>
            <w:noWrap w:val="0"/>
            <w:vAlign w:val="center"/>
          </w:tcPr>
          <w:p>
            <w:pPr>
              <w:widowControl/>
              <w:spacing w:line="240" w:lineRule="auto"/>
              <w:ind w:firstLine="0" w:firstLineChars="0"/>
              <w:jc w:val="center"/>
              <w:rPr>
                <w:rFonts w:hint="eastAsia" w:eastAsia="宋体"/>
                <w:color w:val="auto"/>
                <w:kern w:val="0"/>
                <w:sz w:val="21"/>
                <w:szCs w:val="21"/>
                <w:highlight w:val="none"/>
                <w:lang w:val="en-US" w:eastAsia="zh-CN"/>
              </w:rPr>
            </w:pPr>
            <w:r>
              <w:rPr>
                <w:rFonts w:hint="eastAsia"/>
                <w:color w:val="auto"/>
                <w:kern w:val="0"/>
                <w:sz w:val="21"/>
                <w:szCs w:val="21"/>
                <w:highlight w:val="none"/>
                <w:lang w:val="en-US" w:eastAsia="zh-CN"/>
              </w:rPr>
              <w:t>0.01</w:t>
            </w:r>
          </w:p>
        </w:tc>
        <w:tc>
          <w:tcPr>
            <w:tcW w:w="1441" w:type="dxa"/>
            <w:noWrap w:val="0"/>
            <w:vAlign w:val="center"/>
          </w:tcPr>
          <w:p>
            <w:pPr>
              <w:widowControl/>
              <w:spacing w:line="240" w:lineRule="auto"/>
              <w:ind w:firstLine="0" w:firstLineChars="0"/>
              <w:jc w:val="center"/>
              <w:rPr>
                <w:rFonts w:hint="eastAsia"/>
                <w:color w:val="auto"/>
                <w:kern w:val="0"/>
                <w:sz w:val="21"/>
                <w:szCs w:val="21"/>
                <w:highlight w:val="none"/>
              </w:rPr>
            </w:pPr>
            <w:r>
              <w:rPr>
                <w:rFonts w:hint="eastAsia"/>
                <w:color w:val="auto"/>
                <w:kern w:val="0"/>
                <w:sz w:val="21"/>
                <w:szCs w:val="21"/>
                <w:highlight w:val="none"/>
              </w:rPr>
              <w:t>袋装</w:t>
            </w:r>
          </w:p>
        </w:tc>
        <w:tc>
          <w:tcPr>
            <w:tcW w:w="1276" w:type="dxa"/>
            <w:noWrap w:val="0"/>
            <w:vAlign w:val="center"/>
          </w:tcPr>
          <w:p>
            <w:pPr>
              <w:widowControl/>
              <w:spacing w:line="240" w:lineRule="auto"/>
              <w:ind w:firstLine="0" w:firstLineChars="0"/>
              <w:jc w:val="center"/>
              <w:rPr>
                <w:rFonts w:hint="eastAsia"/>
                <w:color w:val="auto"/>
                <w:kern w:val="0"/>
                <w:sz w:val="21"/>
                <w:szCs w:val="21"/>
                <w:highlight w:val="none"/>
              </w:rPr>
            </w:pPr>
            <w:r>
              <w:rPr>
                <w:rFonts w:hint="eastAsia"/>
                <w:color w:val="auto"/>
                <w:kern w:val="0"/>
                <w:sz w:val="21"/>
                <w:szCs w:val="21"/>
                <w:highlight w:val="none"/>
              </w:rPr>
              <w:t>固态</w:t>
            </w:r>
          </w:p>
        </w:tc>
        <w:tc>
          <w:tcPr>
            <w:tcW w:w="2684" w:type="dxa"/>
            <w:noWrap w:val="0"/>
            <w:vAlign w:val="center"/>
          </w:tcPr>
          <w:p>
            <w:pPr>
              <w:widowControl/>
              <w:spacing w:line="240" w:lineRule="auto"/>
              <w:ind w:firstLine="0" w:firstLineChars="0"/>
              <w:jc w:val="center"/>
              <w:rPr>
                <w:rFonts w:hint="eastAsia"/>
                <w:color w:val="auto"/>
                <w:kern w:val="0"/>
                <w:sz w:val="21"/>
                <w:szCs w:val="21"/>
                <w:highlight w:val="none"/>
                <w:lang w:val="en-US" w:eastAsia="zh-CN"/>
              </w:rPr>
            </w:pPr>
            <w:r>
              <w:rPr>
                <w:rFonts w:hint="eastAsia"/>
                <w:color w:val="auto"/>
                <w:kern w:val="0"/>
                <w:sz w:val="21"/>
                <w:szCs w:val="21"/>
                <w:highlight w:val="none"/>
                <w:lang w:val="en-US" w:eastAsia="zh-CN"/>
              </w:rPr>
              <w:t>/</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trPr>
        <w:tc>
          <w:tcPr>
            <w:tcW w:w="9230" w:type="dxa"/>
            <w:gridSpan w:val="6"/>
            <w:tcBorders>
              <w:left w:val="nil"/>
            </w:tcBorders>
            <w:noWrap w:val="0"/>
            <w:vAlign w:val="center"/>
          </w:tcPr>
          <w:p>
            <w:pPr>
              <w:widowControl/>
              <w:spacing w:line="240" w:lineRule="auto"/>
              <w:ind w:firstLine="0" w:firstLineChars="0"/>
              <w:jc w:val="center"/>
              <w:rPr>
                <w:rFonts w:hint="eastAsia"/>
                <w:b/>
                <w:bCs/>
                <w:color w:val="auto"/>
                <w:kern w:val="0"/>
                <w:sz w:val="21"/>
                <w:szCs w:val="21"/>
                <w:highlight w:val="none"/>
                <w:lang w:val="en-US" w:eastAsia="zh-CN"/>
              </w:rPr>
            </w:pPr>
            <w:r>
              <w:rPr>
                <w:rFonts w:hint="eastAsia"/>
                <w:b/>
                <w:bCs/>
                <w:color w:val="auto"/>
                <w:kern w:val="0"/>
                <w:sz w:val="21"/>
                <w:szCs w:val="21"/>
                <w:highlight w:val="none"/>
                <w:lang w:val="en-US" w:eastAsia="zh-CN"/>
              </w:rPr>
              <w:t>6#</w:t>
            </w:r>
            <w:r>
              <w:rPr>
                <w:b/>
                <w:bCs/>
                <w:color w:val="auto"/>
                <w:kern w:val="0"/>
                <w:sz w:val="21"/>
                <w:szCs w:val="21"/>
                <w:highlight w:val="none"/>
              </w:rPr>
              <w:t>电镀车间</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trPr>
        <w:tc>
          <w:tcPr>
            <w:tcW w:w="1495" w:type="dxa"/>
            <w:tcBorders>
              <w:left w:val="nil"/>
            </w:tcBorders>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eastAsia="zh-CN"/>
              </w:rPr>
              <w:t>钝化剂</w:t>
            </w:r>
          </w:p>
        </w:tc>
        <w:tc>
          <w:tcPr>
            <w:tcW w:w="1131"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val="en-US" w:eastAsia="zh-CN"/>
              </w:rPr>
              <w:t>0.6</w:t>
            </w:r>
          </w:p>
        </w:tc>
        <w:tc>
          <w:tcPr>
            <w:tcW w:w="1203"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val="en-US" w:eastAsia="zh-CN"/>
              </w:rPr>
              <w:t>0.05</w:t>
            </w:r>
          </w:p>
        </w:tc>
        <w:tc>
          <w:tcPr>
            <w:tcW w:w="1441" w:type="dxa"/>
            <w:noWrap w:val="0"/>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袋装</w:t>
            </w:r>
          </w:p>
        </w:tc>
        <w:tc>
          <w:tcPr>
            <w:tcW w:w="1276" w:type="dxa"/>
            <w:noWrap w:val="0"/>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固</w:t>
            </w:r>
            <w:r>
              <w:rPr>
                <w:rFonts w:hint="eastAsia"/>
                <w:color w:val="auto"/>
                <w:kern w:val="0"/>
                <w:sz w:val="21"/>
                <w:szCs w:val="21"/>
                <w:highlight w:val="none"/>
              </w:rPr>
              <w:t>态</w:t>
            </w:r>
          </w:p>
        </w:tc>
        <w:tc>
          <w:tcPr>
            <w:tcW w:w="2684" w:type="dxa"/>
            <w:noWrap w:val="0"/>
            <w:vAlign w:val="center"/>
          </w:tcPr>
          <w:p>
            <w:pPr>
              <w:widowControl/>
              <w:spacing w:line="240" w:lineRule="auto"/>
              <w:ind w:firstLine="0" w:firstLineChars="0"/>
              <w:jc w:val="center"/>
              <w:rPr>
                <w:rFonts w:hint="eastAsia" w:eastAsia="宋体"/>
                <w:color w:val="auto"/>
                <w:kern w:val="0"/>
                <w:sz w:val="21"/>
                <w:szCs w:val="21"/>
                <w:highlight w:val="none"/>
                <w:lang w:eastAsia="zh-CN"/>
              </w:rPr>
            </w:pPr>
            <w:r>
              <w:rPr>
                <w:rFonts w:hint="eastAsia"/>
                <w:color w:val="auto"/>
                <w:kern w:val="0"/>
                <w:sz w:val="21"/>
                <w:szCs w:val="21"/>
                <w:highlight w:val="none"/>
                <w:lang w:val="en-US" w:eastAsia="zh-CN"/>
              </w:rPr>
              <w:t>三价铬</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trPr>
        <w:tc>
          <w:tcPr>
            <w:tcW w:w="1495" w:type="dxa"/>
            <w:tcBorders>
              <w:left w:val="nil"/>
            </w:tcBorders>
            <w:noWrap w:val="0"/>
            <w:vAlign w:val="center"/>
          </w:tcPr>
          <w:p>
            <w:pPr>
              <w:spacing w:line="300" w:lineRule="exact"/>
              <w:jc w:val="center"/>
              <w:rPr>
                <w:color w:val="auto"/>
                <w:kern w:val="0"/>
                <w:sz w:val="21"/>
                <w:szCs w:val="21"/>
                <w:highlight w:val="none"/>
              </w:rPr>
            </w:pPr>
            <w:r>
              <w:rPr>
                <w:color w:val="auto"/>
                <w:kern w:val="0"/>
                <w:szCs w:val="21"/>
                <w:highlight w:val="none"/>
              </w:rPr>
              <w:t>光亮剂</w:t>
            </w:r>
          </w:p>
        </w:tc>
        <w:tc>
          <w:tcPr>
            <w:tcW w:w="1131"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val="en-US" w:eastAsia="zh-CN"/>
              </w:rPr>
              <w:t>3</w:t>
            </w:r>
          </w:p>
        </w:tc>
        <w:tc>
          <w:tcPr>
            <w:tcW w:w="1203" w:type="dxa"/>
            <w:noWrap w:val="0"/>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0.</w:t>
            </w:r>
            <w:r>
              <w:rPr>
                <w:rFonts w:hint="eastAsia"/>
                <w:color w:val="auto"/>
                <w:kern w:val="0"/>
                <w:sz w:val="21"/>
                <w:szCs w:val="21"/>
                <w:highlight w:val="none"/>
                <w:lang w:val="en-US" w:eastAsia="zh-CN"/>
              </w:rPr>
              <w:t>5</w:t>
            </w:r>
          </w:p>
        </w:tc>
        <w:tc>
          <w:tcPr>
            <w:tcW w:w="1441" w:type="dxa"/>
            <w:noWrap w:val="0"/>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桶装</w:t>
            </w:r>
          </w:p>
        </w:tc>
        <w:tc>
          <w:tcPr>
            <w:tcW w:w="1276" w:type="dxa"/>
            <w:noWrap w:val="0"/>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液</w:t>
            </w:r>
            <w:r>
              <w:rPr>
                <w:rFonts w:hint="eastAsia"/>
                <w:color w:val="auto"/>
                <w:kern w:val="0"/>
                <w:sz w:val="21"/>
                <w:szCs w:val="21"/>
                <w:highlight w:val="none"/>
              </w:rPr>
              <w:t>态</w:t>
            </w:r>
          </w:p>
        </w:tc>
        <w:tc>
          <w:tcPr>
            <w:tcW w:w="2684" w:type="dxa"/>
            <w:noWrap w:val="0"/>
            <w:vAlign w:val="center"/>
          </w:tcPr>
          <w:p>
            <w:pPr>
              <w:widowControl/>
              <w:spacing w:line="240" w:lineRule="auto"/>
              <w:ind w:firstLine="0" w:firstLineChars="0"/>
              <w:jc w:val="center"/>
              <w:rPr>
                <w:rFonts w:hint="eastAsia" w:eastAsia="宋体"/>
                <w:color w:val="auto"/>
                <w:kern w:val="0"/>
                <w:sz w:val="21"/>
                <w:szCs w:val="21"/>
                <w:highlight w:val="none"/>
                <w:lang w:eastAsia="zh-CN"/>
              </w:rPr>
            </w:pPr>
            <w:r>
              <w:rPr>
                <w:rFonts w:hint="eastAsia"/>
                <w:color w:val="auto"/>
                <w:kern w:val="0"/>
                <w:sz w:val="21"/>
                <w:szCs w:val="21"/>
                <w:highlight w:val="none"/>
                <w:lang w:val="en-US" w:eastAsia="zh-CN"/>
              </w:rPr>
              <w:t>/</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trPr>
        <w:tc>
          <w:tcPr>
            <w:tcW w:w="1495" w:type="dxa"/>
            <w:tcBorders>
              <w:left w:val="nil"/>
            </w:tcBorders>
            <w:noWrap w:val="0"/>
            <w:vAlign w:val="center"/>
          </w:tcPr>
          <w:p>
            <w:pPr>
              <w:spacing w:line="300" w:lineRule="exact"/>
              <w:jc w:val="center"/>
              <w:rPr>
                <w:color w:val="auto"/>
                <w:kern w:val="0"/>
                <w:sz w:val="21"/>
                <w:szCs w:val="21"/>
                <w:highlight w:val="none"/>
              </w:rPr>
            </w:pPr>
            <w:r>
              <w:rPr>
                <w:color w:val="auto"/>
                <w:highlight w:val="none"/>
              </w:rPr>
              <w:t>柔软剂</w:t>
            </w:r>
          </w:p>
        </w:tc>
        <w:tc>
          <w:tcPr>
            <w:tcW w:w="1131"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val="en-US" w:eastAsia="zh-CN"/>
              </w:rPr>
              <w:t>6</w:t>
            </w:r>
          </w:p>
        </w:tc>
        <w:tc>
          <w:tcPr>
            <w:tcW w:w="1203" w:type="dxa"/>
            <w:noWrap w:val="0"/>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0.</w:t>
            </w:r>
            <w:r>
              <w:rPr>
                <w:rFonts w:hint="eastAsia"/>
                <w:color w:val="auto"/>
                <w:kern w:val="0"/>
                <w:sz w:val="21"/>
                <w:szCs w:val="21"/>
                <w:highlight w:val="none"/>
                <w:lang w:val="en-US" w:eastAsia="zh-CN"/>
              </w:rPr>
              <w:t>7</w:t>
            </w:r>
          </w:p>
        </w:tc>
        <w:tc>
          <w:tcPr>
            <w:tcW w:w="1441" w:type="dxa"/>
            <w:noWrap w:val="0"/>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桶装</w:t>
            </w:r>
          </w:p>
        </w:tc>
        <w:tc>
          <w:tcPr>
            <w:tcW w:w="1276" w:type="dxa"/>
            <w:noWrap w:val="0"/>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液</w:t>
            </w:r>
            <w:r>
              <w:rPr>
                <w:rFonts w:hint="eastAsia"/>
                <w:color w:val="auto"/>
                <w:kern w:val="0"/>
                <w:sz w:val="21"/>
                <w:szCs w:val="21"/>
                <w:highlight w:val="none"/>
              </w:rPr>
              <w:t>态</w:t>
            </w:r>
          </w:p>
        </w:tc>
        <w:tc>
          <w:tcPr>
            <w:tcW w:w="2684" w:type="dxa"/>
            <w:noWrap w:val="0"/>
            <w:vAlign w:val="center"/>
          </w:tcPr>
          <w:p>
            <w:pPr>
              <w:widowControl/>
              <w:spacing w:line="240" w:lineRule="auto"/>
              <w:ind w:firstLine="0" w:firstLineChars="0"/>
              <w:jc w:val="center"/>
              <w:rPr>
                <w:rFonts w:hint="eastAsia" w:eastAsia="宋体"/>
                <w:color w:val="auto"/>
                <w:kern w:val="0"/>
                <w:sz w:val="21"/>
                <w:szCs w:val="21"/>
                <w:highlight w:val="none"/>
                <w:lang w:eastAsia="zh-CN"/>
              </w:rPr>
            </w:pPr>
            <w:r>
              <w:rPr>
                <w:rFonts w:hint="eastAsia"/>
                <w:color w:val="auto"/>
                <w:kern w:val="0"/>
                <w:sz w:val="21"/>
                <w:szCs w:val="21"/>
                <w:highlight w:val="none"/>
                <w:lang w:val="en-US" w:eastAsia="zh-CN"/>
              </w:rPr>
              <w:t>/</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trPr>
        <w:tc>
          <w:tcPr>
            <w:tcW w:w="1495" w:type="dxa"/>
            <w:tcBorders>
              <w:left w:val="nil"/>
            </w:tcBorders>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eastAsia="zh-CN"/>
              </w:rPr>
              <w:t>封孔剂</w:t>
            </w:r>
          </w:p>
        </w:tc>
        <w:tc>
          <w:tcPr>
            <w:tcW w:w="1131"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val="en-US" w:eastAsia="zh-CN"/>
              </w:rPr>
              <w:t>0.3</w:t>
            </w:r>
          </w:p>
        </w:tc>
        <w:tc>
          <w:tcPr>
            <w:tcW w:w="1203" w:type="dxa"/>
            <w:noWrap w:val="0"/>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0.</w:t>
            </w:r>
            <w:r>
              <w:rPr>
                <w:rFonts w:hint="eastAsia"/>
                <w:color w:val="auto"/>
                <w:kern w:val="0"/>
                <w:sz w:val="21"/>
                <w:szCs w:val="21"/>
                <w:highlight w:val="none"/>
                <w:lang w:val="en-US" w:eastAsia="zh-CN"/>
              </w:rPr>
              <w:t>05</w:t>
            </w:r>
          </w:p>
        </w:tc>
        <w:tc>
          <w:tcPr>
            <w:tcW w:w="1441" w:type="dxa"/>
            <w:noWrap w:val="0"/>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桶装</w:t>
            </w:r>
          </w:p>
        </w:tc>
        <w:tc>
          <w:tcPr>
            <w:tcW w:w="1276" w:type="dxa"/>
            <w:noWrap w:val="0"/>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液</w:t>
            </w:r>
            <w:r>
              <w:rPr>
                <w:rFonts w:hint="eastAsia"/>
                <w:color w:val="auto"/>
                <w:kern w:val="0"/>
                <w:sz w:val="21"/>
                <w:szCs w:val="21"/>
                <w:highlight w:val="none"/>
              </w:rPr>
              <w:t>态</w:t>
            </w:r>
          </w:p>
        </w:tc>
        <w:tc>
          <w:tcPr>
            <w:tcW w:w="2684" w:type="dxa"/>
            <w:noWrap w:val="0"/>
            <w:vAlign w:val="center"/>
          </w:tcPr>
          <w:p>
            <w:pPr>
              <w:widowControl/>
              <w:spacing w:line="240" w:lineRule="auto"/>
              <w:ind w:firstLine="0" w:firstLineChars="0"/>
              <w:jc w:val="center"/>
              <w:rPr>
                <w:rFonts w:hint="eastAsia" w:eastAsia="宋体"/>
                <w:color w:val="auto"/>
                <w:kern w:val="0"/>
                <w:sz w:val="21"/>
                <w:szCs w:val="21"/>
                <w:highlight w:val="none"/>
                <w:lang w:eastAsia="zh-CN"/>
              </w:rPr>
            </w:pPr>
            <w:r>
              <w:rPr>
                <w:rFonts w:hint="eastAsia" w:eastAsia="宋体"/>
                <w:color w:val="auto"/>
                <w:kern w:val="0"/>
                <w:sz w:val="21"/>
                <w:szCs w:val="21"/>
                <w:highlight w:val="none"/>
                <w:lang w:eastAsia="zh-CN"/>
              </w:rPr>
              <w:t>水溶性、无机，无色，胶性，不含镍、铬</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trPr>
        <w:tc>
          <w:tcPr>
            <w:tcW w:w="1495" w:type="dxa"/>
            <w:tcBorders>
              <w:left w:val="nil"/>
            </w:tcBorders>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eastAsia="zh-CN"/>
              </w:rPr>
              <w:t>氢氧化钠</w:t>
            </w:r>
          </w:p>
        </w:tc>
        <w:tc>
          <w:tcPr>
            <w:tcW w:w="1131"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val="en-US" w:eastAsia="zh-CN"/>
              </w:rPr>
              <w:t>1</w:t>
            </w:r>
            <w:r>
              <w:rPr>
                <w:color w:val="auto"/>
                <w:kern w:val="0"/>
                <w:sz w:val="21"/>
                <w:szCs w:val="21"/>
                <w:highlight w:val="none"/>
              </w:rPr>
              <w:t>2</w:t>
            </w:r>
          </w:p>
        </w:tc>
        <w:tc>
          <w:tcPr>
            <w:tcW w:w="1203"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val="en-US" w:eastAsia="zh-CN"/>
              </w:rPr>
              <w:t>1</w:t>
            </w:r>
          </w:p>
        </w:tc>
        <w:tc>
          <w:tcPr>
            <w:tcW w:w="1441"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eastAsia="zh-CN"/>
              </w:rPr>
              <w:t>袋装</w:t>
            </w:r>
          </w:p>
        </w:tc>
        <w:tc>
          <w:tcPr>
            <w:tcW w:w="1276" w:type="dxa"/>
            <w:noWrap w:val="0"/>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液</w:t>
            </w:r>
            <w:r>
              <w:rPr>
                <w:rFonts w:hint="eastAsia"/>
                <w:color w:val="auto"/>
                <w:kern w:val="0"/>
                <w:sz w:val="21"/>
                <w:szCs w:val="21"/>
                <w:highlight w:val="none"/>
              </w:rPr>
              <w:t>态</w:t>
            </w:r>
          </w:p>
        </w:tc>
        <w:tc>
          <w:tcPr>
            <w:tcW w:w="2684" w:type="dxa"/>
            <w:noWrap w:val="0"/>
            <w:vAlign w:val="center"/>
          </w:tcPr>
          <w:p>
            <w:pPr>
              <w:widowControl/>
              <w:spacing w:line="240" w:lineRule="auto"/>
              <w:ind w:firstLine="0" w:firstLineChars="0"/>
              <w:jc w:val="center"/>
              <w:rPr>
                <w:rFonts w:hint="eastAsia" w:eastAsia="宋体"/>
                <w:color w:val="auto"/>
                <w:kern w:val="0"/>
                <w:sz w:val="21"/>
                <w:szCs w:val="21"/>
                <w:highlight w:val="none"/>
                <w:lang w:eastAsia="zh-CN"/>
              </w:rPr>
            </w:pPr>
            <w:r>
              <w:rPr>
                <w:rFonts w:hint="eastAsia"/>
                <w:color w:val="auto"/>
                <w:kern w:val="0"/>
                <w:sz w:val="21"/>
                <w:szCs w:val="21"/>
                <w:highlight w:val="none"/>
                <w:lang w:val="en-US" w:eastAsia="zh-CN"/>
              </w:rPr>
              <w:t>/</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trPr>
        <w:tc>
          <w:tcPr>
            <w:tcW w:w="1495" w:type="dxa"/>
            <w:tcBorders>
              <w:left w:val="nil"/>
            </w:tcBorders>
            <w:noWrap w:val="0"/>
            <w:vAlign w:val="center"/>
          </w:tcPr>
          <w:p>
            <w:pPr>
              <w:spacing w:line="300" w:lineRule="exact"/>
              <w:jc w:val="center"/>
              <w:rPr>
                <w:color w:val="auto"/>
                <w:kern w:val="0"/>
                <w:sz w:val="21"/>
                <w:szCs w:val="21"/>
                <w:highlight w:val="none"/>
              </w:rPr>
            </w:pPr>
            <w:r>
              <w:rPr>
                <w:color w:val="auto"/>
                <w:kern w:val="0"/>
                <w:sz w:val="21"/>
                <w:szCs w:val="21"/>
                <w:highlight w:val="none"/>
              </w:rPr>
              <w:t>氧化锌</w:t>
            </w:r>
          </w:p>
        </w:tc>
        <w:tc>
          <w:tcPr>
            <w:tcW w:w="1131"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val="en-US" w:eastAsia="zh-CN"/>
              </w:rPr>
              <w:t>3</w:t>
            </w:r>
          </w:p>
        </w:tc>
        <w:tc>
          <w:tcPr>
            <w:tcW w:w="1203"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val="en-US" w:eastAsia="zh-CN"/>
              </w:rPr>
              <w:t>0.5</w:t>
            </w:r>
          </w:p>
        </w:tc>
        <w:tc>
          <w:tcPr>
            <w:tcW w:w="1441"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eastAsia="zh-CN"/>
              </w:rPr>
              <w:t>桶装</w:t>
            </w:r>
          </w:p>
        </w:tc>
        <w:tc>
          <w:tcPr>
            <w:tcW w:w="1276" w:type="dxa"/>
            <w:noWrap w:val="0"/>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固</w:t>
            </w:r>
            <w:r>
              <w:rPr>
                <w:rFonts w:hint="eastAsia"/>
                <w:color w:val="auto"/>
                <w:kern w:val="0"/>
                <w:sz w:val="21"/>
                <w:szCs w:val="21"/>
                <w:highlight w:val="none"/>
              </w:rPr>
              <w:t>态</w:t>
            </w:r>
          </w:p>
        </w:tc>
        <w:tc>
          <w:tcPr>
            <w:tcW w:w="2684" w:type="dxa"/>
            <w:noWrap w:val="0"/>
            <w:vAlign w:val="center"/>
          </w:tcPr>
          <w:p>
            <w:pPr>
              <w:widowControl/>
              <w:spacing w:line="240" w:lineRule="auto"/>
              <w:ind w:firstLine="0" w:firstLineChars="0"/>
              <w:jc w:val="center"/>
              <w:rPr>
                <w:rFonts w:hint="eastAsia" w:eastAsia="宋体"/>
                <w:color w:val="auto"/>
                <w:kern w:val="0"/>
                <w:sz w:val="21"/>
                <w:szCs w:val="21"/>
                <w:highlight w:val="none"/>
                <w:lang w:eastAsia="zh-CN"/>
              </w:rPr>
            </w:pPr>
            <w:r>
              <w:rPr>
                <w:rFonts w:hint="eastAsia"/>
                <w:color w:val="auto"/>
                <w:kern w:val="0"/>
                <w:sz w:val="21"/>
                <w:szCs w:val="21"/>
                <w:highlight w:val="none"/>
                <w:lang w:val="en-US" w:eastAsia="zh-CN"/>
              </w:rPr>
              <w:t>/</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trPr>
        <w:tc>
          <w:tcPr>
            <w:tcW w:w="1495" w:type="dxa"/>
            <w:tcBorders>
              <w:left w:val="nil"/>
            </w:tcBorders>
            <w:noWrap w:val="0"/>
            <w:vAlign w:val="center"/>
          </w:tcPr>
          <w:p>
            <w:pPr>
              <w:spacing w:line="300" w:lineRule="exact"/>
              <w:jc w:val="center"/>
              <w:rPr>
                <w:color w:val="auto"/>
                <w:kern w:val="0"/>
                <w:sz w:val="21"/>
                <w:szCs w:val="21"/>
                <w:highlight w:val="none"/>
              </w:rPr>
            </w:pPr>
            <w:r>
              <w:rPr>
                <w:rFonts w:hint="eastAsia"/>
                <w:color w:val="auto"/>
                <w:highlight w:val="none"/>
                <w:lang w:val="en-US" w:eastAsia="zh-CN"/>
              </w:rPr>
              <w:t>添加</w:t>
            </w:r>
            <w:r>
              <w:rPr>
                <w:color w:val="auto"/>
                <w:highlight w:val="none"/>
              </w:rPr>
              <w:t>剂</w:t>
            </w:r>
          </w:p>
        </w:tc>
        <w:tc>
          <w:tcPr>
            <w:tcW w:w="1131"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val="en-US" w:eastAsia="zh-CN"/>
              </w:rPr>
              <w:t>0.6</w:t>
            </w:r>
          </w:p>
        </w:tc>
        <w:tc>
          <w:tcPr>
            <w:tcW w:w="1203"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val="en-US" w:eastAsia="zh-CN"/>
              </w:rPr>
              <w:t>0.1</w:t>
            </w:r>
          </w:p>
        </w:tc>
        <w:tc>
          <w:tcPr>
            <w:tcW w:w="1441" w:type="dxa"/>
            <w:noWrap w:val="0"/>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w:t>
            </w:r>
          </w:p>
        </w:tc>
        <w:tc>
          <w:tcPr>
            <w:tcW w:w="1276" w:type="dxa"/>
            <w:noWrap w:val="0"/>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固</w:t>
            </w:r>
            <w:r>
              <w:rPr>
                <w:rFonts w:hint="eastAsia"/>
                <w:color w:val="auto"/>
                <w:kern w:val="0"/>
                <w:sz w:val="21"/>
                <w:szCs w:val="21"/>
                <w:highlight w:val="none"/>
              </w:rPr>
              <w:t>态</w:t>
            </w:r>
          </w:p>
        </w:tc>
        <w:tc>
          <w:tcPr>
            <w:tcW w:w="2684" w:type="dxa"/>
            <w:noWrap w:val="0"/>
            <w:vAlign w:val="center"/>
          </w:tcPr>
          <w:p>
            <w:pPr>
              <w:widowControl/>
              <w:spacing w:line="240" w:lineRule="auto"/>
              <w:ind w:firstLine="0" w:firstLineChars="0"/>
              <w:jc w:val="center"/>
              <w:rPr>
                <w:rFonts w:hint="eastAsia" w:eastAsia="宋体"/>
                <w:color w:val="auto"/>
                <w:kern w:val="0"/>
                <w:sz w:val="21"/>
                <w:szCs w:val="21"/>
                <w:highlight w:val="none"/>
                <w:lang w:eastAsia="zh-CN"/>
              </w:rPr>
            </w:pPr>
            <w:r>
              <w:rPr>
                <w:rFonts w:hint="eastAsia"/>
                <w:color w:val="auto"/>
                <w:kern w:val="0"/>
                <w:sz w:val="21"/>
                <w:szCs w:val="21"/>
                <w:highlight w:val="none"/>
                <w:lang w:val="en-US" w:eastAsia="zh-CN"/>
              </w:rPr>
              <w:t>/</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trPr>
        <w:tc>
          <w:tcPr>
            <w:tcW w:w="1495" w:type="dxa"/>
            <w:tcBorders>
              <w:left w:val="nil"/>
            </w:tcBorders>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eastAsia="zh-CN"/>
              </w:rPr>
              <w:t>脱脂剂</w:t>
            </w:r>
          </w:p>
        </w:tc>
        <w:tc>
          <w:tcPr>
            <w:tcW w:w="1131"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val="en-US" w:eastAsia="zh-CN"/>
              </w:rPr>
              <w:t>7</w:t>
            </w:r>
          </w:p>
        </w:tc>
        <w:tc>
          <w:tcPr>
            <w:tcW w:w="1203"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val="en-US" w:eastAsia="zh-CN"/>
              </w:rPr>
              <w:t>1</w:t>
            </w:r>
          </w:p>
        </w:tc>
        <w:tc>
          <w:tcPr>
            <w:tcW w:w="1441" w:type="dxa"/>
            <w:noWrap w:val="0"/>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袋装</w:t>
            </w:r>
          </w:p>
        </w:tc>
        <w:tc>
          <w:tcPr>
            <w:tcW w:w="1276" w:type="dxa"/>
            <w:noWrap w:val="0"/>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固</w:t>
            </w:r>
            <w:r>
              <w:rPr>
                <w:rFonts w:hint="eastAsia"/>
                <w:color w:val="auto"/>
                <w:kern w:val="0"/>
                <w:sz w:val="21"/>
                <w:szCs w:val="21"/>
                <w:highlight w:val="none"/>
              </w:rPr>
              <w:t>态</w:t>
            </w:r>
          </w:p>
        </w:tc>
        <w:tc>
          <w:tcPr>
            <w:tcW w:w="2684" w:type="dxa"/>
            <w:noWrap w:val="0"/>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trPr>
        <w:tc>
          <w:tcPr>
            <w:tcW w:w="1495" w:type="dxa"/>
            <w:tcBorders>
              <w:left w:val="nil"/>
            </w:tcBorders>
            <w:noWrap w:val="0"/>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硝酸</w:t>
            </w:r>
          </w:p>
        </w:tc>
        <w:tc>
          <w:tcPr>
            <w:tcW w:w="1131"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val="en-US" w:eastAsia="zh-CN"/>
              </w:rPr>
              <w:t>1</w:t>
            </w:r>
          </w:p>
        </w:tc>
        <w:tc>
          <w:tcPr>
            <w:tcW w:w="1203"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val="en-US" w:eastAsia="zh-CN"/>
              </w:rPr>
              <w:t>0.2</w:t>
            </w:r>
          </w:p>
        </w:tc>
        <w:tc>
          <w:tcPr>
            <w:tcW w:w="1441"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eastAsia="zh-CN"/>
              </w:rPr>
              <w:t>瓶装</w:t>
            </w:r>
          </w:p>
        </w:tc>
        <w:tc>
          <w:tcPr>
            <w:tcW w:w="1276" w:type="dxa"/>
            <w:noWrap w:val="0"/>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固</w:t>
            </w:r>
            <w:r>
              <w:rPr>
                <w:rFonts w:hint="eastAsia"/>
                <w:color w:val="auto"/>
                <w:kern w:val="0"/>
                <w:sz w:val="21"/>
                <w:szCs w:val="21"/>
                <w:highlight w:val="none"/>
              </w:rPr>
              <w:t>态</w:t>
            </w:r>
          </w:p>
        </w:tc>
        <w:tc>
          <w:tcPr>
            <w:tcW w:w="2684" w:type="dxa"/>
            <w:noWrap w:val="0"/>
            <w:vAlign w:val="center"/>
          </w:tcPr>
          <w:p>
            <w:pPr>
              <w:widowControl/>
              <w:spacing w:line="240" w:lineRule="auto"/>
              <w:ind w:firstLine="0" w:firstLineChars="0"/>
              <w:jc w:val="center"/>
              <w:rPr>
                <w:rFonts w:hint="eastAsia" w:eastAsia="宋体"/>
                <w:color w:val="auto"/>
                <w:kern w:val="0"/>
                <w:sz w:val="21"/>
                <w:szCs w:val="21"/>
                <w:highlight w:val="none"/>
                <w:lang w:val="en-US" w:eastAsia="zh-CN"/>
              </w:rPr>
            </w:pPr>
            <w:r>
              <w:rPr>
                <w:rFonts w:hint="eastAsia"/>
                <w:color w:val="auto"/>
                <w:kern w:val="0"/>
                <w:sz w:val="21"/>
                <w:szCs w:val="21"/>
                <w:highlight w:val="none"/>
                <w:lang w:val="en-US" w:eastAsia="zh-CN"/>
              </w:rPr>
              <w:t>50%</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trPr>
        <w:tc>
          <w:tcPr>
            <w:tcW w:w="1495" w:type="dxa"/>
            <w:tcBorders>
              <w:left w:val="nil"/>
            </w:tcBorders>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eastAsia="zh-CN"/>
              </w:rPr>
              <w:t>盐酸</w:t>
            </w:r>
          </w:p>
        </w:tc>
        <w:tc>
          <w:tcPr>
            <w:tcW w:w="1131"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val="en-US" w:eastAsia="zh-CN"/>
              </w:rPr>
              <w:t>10</w:t>
            </w:r>
          </w:p>
        </w:tc>
        <w:tc>
          <w:tcPr>
            <w:tcW w:w="1203" w:type="dxa"/>
            <w:noWrap w:val="0"/>
            <w:vAlign w:val="center"/>
          </w:tcPr>
          <w:p>
            <w:pPr>
              <w:widowControl/>
              <w:spacing w:line="240" w:lineRule="auto"/>
              <w:ind w:firstLine="0" w:firstLineChars="0"/>
              <w:jc w:val="center"/>
              <w:rPr>
                <w:rFonts w:hint="default"/>
                <w:color w:val="auto"/>
                <w:kern w:val="0"/>
                <w:sz w:val="21"/>
                <w:szCs w:val="21"/>
                <w:highlight w:val="none"/>
                <w:lang w:val="en-US"/>
              </w:rPr>
            </w:pPr>
            <w:r>
              <w:rPr>
                <w:rFonts w:hint="eastAsia"/>
                <w:color w:val="auto"/>
                <w:kern w:val="0"/>
                <w:sz w:val="21"/>
                <w:szCs w:val="21"/>
                <w:highlight w:val="none"/>
                <w:lang w:val="en-US" w:eastAsia="zh-CN"/>
              </w:rPr>
              <w:t>0.5</w:t>
            </w:r>
          </w:p>
        </w:tc>
        <w:tc>
          <w:tcPr>
            <w:tcW w:w="1441"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eastAsia="zh-CN"/>
              </w:rPr>
              <w:t>桶装</w:t>
            </w:r>
          </w:p>
        </w:tc>
        <w:tc>
          <w:tcPr>
            <w:tcW w:w="1276" w:type="dxa"/>
            <w:noWrap w:val="0"/>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固</w:t>
            </w:r>
            <w:r>
              <w:rPr>
                <w:rFonts w:hint="eastAsia"/>
                <w:color w:val="auto"/>
                <w:kern w:val="0"/>
                <w:sz w:val="21"/>
                <w:szCs w:val="21"/>
                <w:highlight w:val="none"/>
              </w:rPr>
              <w:t>态</w:t>
            </w:r>
          </w:p>
        </w:tc>
        <w:tc>
          <w:tcPr>
            <w:tcW w:w="2684"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val="en-US" w:eastAsia="zh-CN"/>
              </w:rPr>
              <w:t>30</w:t>
            </w:r>
            <w:r>
              <w:rPr>
                <w:color w:val="auto"/>
                <w:kern w:val="0"/>
                <w:sz w:val="21"/>
                <w:szCs w:val="21"/>
                <w:highlight w:val="none"/>
              </w:rPr>
              <w:t>%</w:t>
            </w:r>
          </w:p>
        </w:tc>
      </w:tr>
      <w:tr>
        <w:tblPrEx>
          <w:tblBorders>
            <w:top w:val="single" w:color="auto" w:sz="8" w:space="0"/>
            <w:left w:val="none" w:color="auto" w:sz="0" w:space="0"/>
            <w:bottom w:val="single" w:color="auto" w:sz="8"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trPr>
        <w:tc>
          <w:tcPr>
            <w:tcW w:w="1495" w:type="dxa"/>
            <w:tcBorders>
              <w:left w:val="nil"/>
            </w:tcBorders>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eastAsia="zh-CN"/>
              </w:rPr>
              <w:t>锌板</w:t>
            </w:r>
          </w:p>
        </w:tc>
        <w:tc>
          <w:tcPr>
            <w:tcW w:w="1131"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val="en-US" w:eastAsia="zh-CN"/>
              </w:rPr>
              <w:t>10</w:t>
            </w:r>
          </w:p>
        </w:tc>
        <w:tc>
          <w:tcPr>
            <w:tcW w:w="1203"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val="en-US" w:eastAsia="zh-CN"/>
              </w:rPr>
              <w:t>2</w:t>
            </w:r>
          </w:p>
        </w:tc>
        <w:tc>
          <w:tcPr>
            <w:tcW w:w="1441"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lang w:eastAsia="zh-CN"/>
              </w:rPr>
              <w:t>块</w:t>
            </w:r>
          </w:p>
        </w:tc>
        <w:tc>
          <w:tcPr>
            <w:tcW w:w="1276" w:type="dxa"/>
            <w:noWrap w:val="0"/>
            <w:vAlign w:val="center"/>
          </w:tcPr>
          <w:p>
            <w:pPr>
              <w:widowControl/>
              <w:spacing w:line="240" w:lineRule="auto"/>
              <w:ind w:firstLine="0" w:firstLineChars="0"/>
              <w:jc w:val="center"/>
              <w:rPr>
                <w:color w:val="auto"/>
                <w:kern w:val="0"/>
                <w:sz w:val="21"/>
                <w:szCs w:val="21"/>
                <w:highlight w:val="none"/>
              </w:rPr>
            </w:pPr>
            <w:r>
              <w:rPr>
                <w:color w:val="auto"/>
                <w:kern w:val="0"/>
                <w:sz w:val="21"/>
                <w:szCs w:val="21"/>
                <w:highlight w:val="none"/>
              </w:rPr>
              <w:t>液</w:t>
            </w:r>
            <w:r>
              <w:rPr>
                <w:rFonts w:hint="eastAsia"/>
                <w:color w:val="auto"/>
                <w:kern w:val="0"/>
                <w:sz w:val="21"/>
                <w:szCs w:val="21"/>
                <w:highlight w:val="none"/>
              </w:rPr>
              <w:t>态</w:t>
            </w:r>
          </w:p>
        </w:tc>
        <w:tc>
          <w:tcPr>
            <w:tcW w:w="2684" w:type="dxa"/>
            <w:noWrap w:val="0"/>
            <w:vAlign w:val="center"/>
          </w:tcPr>
          <w:p>
            <w:pPr>
              <w:widowControl/>
              <w:spacing w:line="240" w:lineRule="auto"/>
              <w:ind w:firstLine="0" w:firstLineChars="0"/>
              <w:jc w:val="center"/>
              <w:rPr>
                <w:color w:val="auto"/>
                <w:kern w:val="0"/>
                <w:sz w:val="21"/>
                <w:szCs w:val="21"/>
                <w:highlight w:val="none"/>
              </w:rPr>
            </w:pPr>
            <w:r>
              <w:rPr>
                <w:rFonts w:hint="eastAsia"/>
                <w:color w:val="auto"/>
                <w:szCs w:val="21"/>
                <w:highlight w:val="none"/>
              </w:rPr>
              <w:t>阳极，</w:t>
            </w:r>
            <w:r>
              <w:rPr>
                <w:color w:val="auto"/>
                <w:szCs w:val="21"/>
                <w:highlight w:val="none"/>
              </w:rPr>
              <w:t>Zn≥99.99%</w:t>
            </w:r>
          </w:p>
        </w:tc>
      </w:tr>
    </w:tbl>
    <w:p>
      <w:pPr>
        <w:pStyle w:val="104"/>
        <w:ind w:firstLine="472"/>
        <w:rPr>
          <w:rFonts w:hint="eastAsia"/>
          <w:color w:val="auto"/>
          <w:highlight w:val="none"/>
        </w:rPr>
      </w:pPr>
      <w:r>
        <w:rPr>
          <w:rFonts w:hint="eastAsia"/>
          <w:color w:val="auto"/>
          <w:highlight w:val="none"/>
        </w:rPr>
        <w:t>项目所需原料均直接从外购进，储存在车间内单独的化学原料库。由于项目电镀行业所涉及药品多为有毒有害物质，生产时均从指定厂家购入，且大多数不在厂内大量储存，随用随买。车间不设化学品储罐。</w:t>
      </w:r>
    </w:p>
    <w:p>
      <w:pPr>
        <w:pStyle w:val="104"/>
        <w:ind w:firstLine="472"/>
        <w:rPr>
          <w:rFonts w:hint="eastAsia"/>
          <w:color w:val="auto"/>
          <w:highlight w:val="none"/>
        </w:rPr>
      </w:pPr>
      <w:r>
        <w:rPr>
          <w:rFonts w:hint="eastAsia"/>
          <w:color w:val="auto"/>
          <w:highlight w:val="none"/>
        </w:rPr>
        <w:t>主要原辅材料理化性质详见下表。</w:t>
      </w:r>
    </w:p>
    <w:p>
      <w:pPr>
        <w:keepNext w:val="0"/>
        <w:keepLines w:val="0"/>
        <w:pageBreakBefore w:val="0"/>
        <w:widowControl w:val="0"/>
        <w:kinsoku w:val="0"/>
        <w:wordWrap/>
        <w:overflowPunct w:val="0"/>
        <w:topLinePunct w:val="0"/>
        <w:autoSpaceDE w:val="0"/>
        <w:autoSpaceDN w:val="0"/>
        <w:bidi w:val="0"/>
        <w:adjustRightInd w:val="0"/>
        <w:snapToGrid/>
        <w:spacing w:line="240" w:lineRule="auto"/>
        <w:ind w:firstLine="0" w:firstLineChars="0"/>
        <w:jc w:val="center"/>
        <w:textAlignment w:val="auto"/>
        <w:outlineLvl w:val="9"/>
        <w:rPr>
          <w:rFonts w:eastAsia="黑体"/>
          <w:color w:val="auto"/>
          <w:kern w:val="0"/>
          <w:sz w:val="24"/>
          <w:szCs w:val="24"/>
          <w:highlight w:val="none"/>
        </w:rPr>
      </w:pPr>
      <w:r>
        <w:rPr>
          <w:rFonts w:eastAsia="黑体"/>
          <w:color w:val="auto"/>
          <w:kern w:val="0"/>
          <w:sz w:val="24"/>
          <w:szCs w:val="24"/>
          <w:highlight w:val="none"/>
        </w:rPr>
        <w:t>表 2.2-</w:t>
      </w:r>
      <w:r>
        <w:rPr>
          <w:rFonts w:hint="eastAsia" w:eastAsia="黑体"/>
          <w:color w:val="auto"/>
          <w:kern w:val="0"/>
          <w:sz w:val="24"/>
          <w:szCs w:val="24"/>
          <w:highlight w:val="none"/>
          <w:lang w:val="en-US" w:eastAsia="zh-CN"/>
        </w:rPr>
        <w:t>4</w:t>
      </w:r>
      <w:r>
        <w:rPr>
          <w:rFonts w:eastAsia="黑体"/>
          <w:color w:val="auto"/>
          <w:kern w:val="0"/>
          <w:sz w:val="24"/>
          <w:szCs w:val="24"/>
          <w:highlight w:val="none"/>
        </w:rPr>
        <w:t xml:space="preserve">  主要原辅材料理化性质一览表</w:t>
      </w:r>
    </w:p>
    <w:tbl>
      <w:tblPr>
        <w:tblStyle w:val="36"/>
        <w:tblW w:w="9297" w:type="dxa"/>
        <w:jc w:val="center"/>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707"/>
        <w:gridCol w:w="1003"/>
        <w:gridCol w:w="7587"/>
      </w:tblGrid>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0" w:hRule="atLeast"/>
          <w:jc w:val="center"/>
        </w:trPr>
        <w:tc>
          <w:tcPr>
            <w:tcW w:w="70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83" w:line="240" w:lineRule="auto"/>
              <w:ind w:firstLine="0" w:firstLineChars="0"/>
              <w:jc w:val="center"/>
              <w:textAlignment w:val="auto"/>
              <w:outlineLvl w:val="9"/>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序号</w:t>
            </w:r>
          </w:p>
        </w:tc>
        <w:tc>
          <w:tcPr>
            <w:tcW w:w="1003"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83" w:line="240" w:lineRule="auto"/>
              <w:ind w:firstLine="0" w:firstLineChars="0"/>
              <w:jc w:val="center"/>
              <w:textAlignment w:val="auto"/>
              <w:outlineLvl w:val="9"/>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化学品</w:t>
            </w:r>
          </w:p>
        </w:tc>
        <w:tc>
          <w:tcPr>
            <w:tcW w:w="758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83" w:line="240" w:lineRule="auto"/>
              <w:ind w:firstLine="0" w:firstLineChars="0"/>
              <w:jc w:val="center"/>
              <w:textAlignment w:val="auto"/>
              <w:outlineLvl w:val="9"/>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主要理化性质</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0" w:hRule="atLeast"/>
          <w:jc w:val="center"/>
        </w:trPr>
        <w:tc>
          <w:tcPr>
            <w:tcW w:w="707" w:type="dxa"/>
            <w:tcBorders>
              <w:tl2br w:val="nil"/>
              <w:tr2bl w:val="nil"/>
            </w:tcBorders>
            <w:noWrap w:val="0"/>
            <w:vAlign w:val="center"/>
          </w:tcPr>
          <w:p>
            <w:pPr>
              <w:keepNext w:val="0"/>
              <w:keepLines w:val="0"/>
              <w:pageBreakBefore w:val="0"/>
              <w:numPr>
                <w:ilvl w:val="0"/>
                <w:numId w:val="12"/>
              </w:numPr>
              <w:kinsoku/>
              <w:wordWrap/>
              <w:overflowPunct/>
              <w:topLinePunct w:val="0"/>
              <w:autoSpaceDE/>
              <w:autoSpaceDN/>
              <w:bidi w:val="0"/>
              <w:adjustRightInd w:val="0"/>
              <w:snapToGrid w:val="0"/>
              <w:spacing w:line="240" w:lineRule="auto"/>
              <w:ind w:firstLineChars="0"/>
              <w:jc w:val="center"/>
              <w:textAlignment w:val="auto"/>
              <w:outlineLvl w:val="9"/>
              <w:rPr>
                <w:rFonts w:hint="default" w:ascii="Times New Roman" w:hAnsi="Times New Roman" w:cs="Times New Roman"/>
                <w:color w:val="auto"/>
                <w:sz w:val="21"/>
                <w:szCs w:val="21"/>
                <w:highlight w:val="none"/>
              </w:rPr>
            </w:pPr>
          </w:p>
        </w:tc>
        <w:tc>
          <w:tcPr>
            <w:tcW w:w="1003"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脱脂剂</w:t>
            </w:r>
          </w:p>
        </w:tc>
        <w:tc>
          <w:tcPr>
            <w:tcW w:w="758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主要用于脱除物体表面油污，包括：碱性脱脂剂、乳液脱脂剂和溶剂脱脂剂三种。本项目使用的化学脱脂剂主要成分为碳酸钠、硅酸钠、氢氧化钠、烯基磺酸钠等。</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0" w:hRule="atLeast"/>
          <w:jc w:val="center"/>
        </w:trPr>
        <w:tc>
          <w:tcPr>
            <w:tcW w:w="707" w:type="dxa"/>
            <w:tcBorders>
              <w:tl2br w:val="nil"/>
              <w:tr2bl w:val="nil"/>
            </w:tcBorders>
            <w:noWrap w:val="0"/>
            <w:vAlign w:val="center"/>
          </w:tcPr>
          <w:p>
            <w:pPr>
              <w:keepNext w:val="0"/>
              <w:keepLines w:val="0"/>
              <w:pageBreakBefore w:val="0"/>
              <w:numPr>
                <w:ilvl w:val="0"/>
                <w:numId w:val="12"/>
              </w:numPr>
              <w:kinsoku/>
              <w:wordWrap/>
              <w:overflowPunct/>
              <w:topLinePunct w:val="0"/>
              <w:autoSpaceDE/>
              <w:autoSpaceDN/>
              <w:bidi w:val="0"/>
              <w:adjustRightInd w:val="0"/>
              <w:snapToGrid w:val="0"/>
              <w:spacing w:line="240" w:lineRule="auto"/>
              <w:ind w:firstLineChars="0"/>
              <w:jc w:val="center"/>
              <w:textAlignment w:val="auto"/>
              <w:outlineLvl w:val="9"/>
              <w:rPr>
                <w:rFonts w:hint="default" w:ascii="Times New Roman" w:hAnsi="Times New Roman" w:cs="Times New Roman"/>
                <w:color w:val="auto"/>
                <w:sz w:val="21"/>
                <w:szCs w:val="21"/>
                <w:highlight w:val="none"/>
              </w:rPr>
            </w:pPr>
          </w:p>
        </w:tc>
        <w:tc>
          <w:tcPr>
            <w:tcW w:w="1003"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硫酸</w:t>
            </w:r>
          </w:p>
        </w:tc>
        <w:tc>
          <w:tcPr>
            <w:tcW w:w="758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纯品为无色、无臭、透明的油状液体，呈强酸性。本项目硫酸浓度为98%，为无色至微黄色，甚至红棕色。分子量为98.07；相对密度：98%硫酸为1.8365(20℃)；熔点10.35℃，沸点338℃。有很强的吸水能力，与水可以按不同比例混合，并放出大量的热。为无机强酸，腐蚀性很强。用途用于染料中间体，医药，农药，塑料，化纤，制革，洗浆和颜料，还可用作脱水剂，气体干燥剂。</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0" w:hRule="atLeast"/>
          <w:jc w:val="center"/>
        </w:trPr>
        <w:tc>
          <w:tcPr>
            <w:tcW w:w="707" w:type="dxa"/>
            <w:tcBorders>
              <w:tl2br w:val="nil"/>
              <w:tr2bl w:val="nil"/>
            </w:tcBorders>
            <w:noWrap w:val="0"/>
            <w:vAlign w:val="center"/>
          </w:tcPr>
          <w:p>
            <w:pPr>
              <w:keepNext w:val="0"/>
              <w:keepLines w:val="0"/>
              <w:pageBreakBefore w:val="0"/>
              <w:numPr>
                <w:ilvl w:val="0"/>
                <w:numId w:val="12"/>
              </w:numPr>
              <w:kinsoku/>
              <w:wordWrap/>
              <w:overflowPunct/>
              <w:topLinePunct w:val="0"/>
              <w:autoSpaceDE/>
              <w:autoSpaceDN/>
              <w:bidi w:val="0"/>
              <w:adjustRightInd w:val="0"/>
              <w:snapToGrid w:val="0"/>
              <w:spacing w:line="240" w:lineRule="auto"/>
              <w:ind w:firstLineChars="0"/>
              <w:jc w:val="center"/>
              <w:textAlignment w:val="auto"/>
              <w:outlineLvl w:val="9"/>
              <w:rPr>
                <w:rFonts w:hint="default" w:ascii="Times New Roman" w:hAnsi="Times New Roman" w:cs="Times New Roman"/>
                <w:color w:val="auto"/>
                <w:sz w:val="21"/>
                <w:szCs w:val="21"/>
                <w:highlight w:val="none"/>
              </w:rPr>
            </w:pPr>
          </w:p>
        </w:tc>
        <w:tc>
          <w:tcPr>
            <w:tcW w:w="1003"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盐酸</w:t>
            </w:r>
          </w:p>
        </w:tc>
        <w:tc>
          <w:tcPr>
            <w:tcW w:w="758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本项目盐酸为36%的工业盐酸，工业盐酸因含有铁、氯等杂质，略带微黄色。相对密度1.187。氯化氢熔点-114.8℃。沸点-84.9℃。易溶于水，有强烈的腐蚀性，能腐蚀金属，对动植物纤维和人体肌肤均有腐蚀作用。浓盐酸在空气中发烟，触及氨蒸气会生成白色云雾。氯化氢气体对动植物有害。盐酸是极强的无机酸，与金属作用能生成金属氯化物并放出氯；与金属氧化物作用生成盐和水；与碱起中和反应生成盐和水；与盐类能起复分解反应生成新的盐和新的酸。</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0" w:hRule="atLeast"/>
          <w:jc w:val="center"/>
        </w:trPr>
        <w:tc>
          <w:tcPr>
            <w:tcW w:w="707" w:type="dxa"/>
            <w:tcBorders>
              <w:tl2br w:val="nil"/>
              <w:tr2bl w:val="nil"/>
            </w:tcBorders>
            <w:noWrap w:val="0"/>
            <w:vAlign w:val="center"/>
          </w:tcPr>
          <w:p>
            <w:pPr>
              <w:keepNext w:val="0"/>
              <w:keepLines w:val="0"/>
              <w:pageBreakBefore w:val="0"/>
              <w:numPr>
                <w:ilvl w:val="0"/>
                <w:numId w:val="12"/>
              </w:numPr>
              <w:kinsoku/>
              <w:wordWrap/>
              <w:overflowPunct/>
              <w:topLinePunct w:val="0"/>
              <w:autoSpaceDE/>
              <w:autoSpaceDN/>
              <w:bidi w:val="0"/>
              <w:adjustRightInd w:val="0"/>
              <w:snapToGrid w:val="0"/>
              <w:spacing w:line="240" w:lineRule="auto"/>
              <w:ind w:firstLineChars="0"/>
              <w:jc w:val="center"/>
              <w:textAlignment w:val="auto"/>
              <w:outlineLvl w:val="9"/>
              <w:rPr>
                <w:rFonts w:hint="default" w:ascii="Times New Roman" w:hAnsi="Times New Roman" w:cs="Times New Roman"/>
                <w:color w:val="auto"/>
                <w:sz w:val="21"/>
                <w:szCs w:val="21"/>
                <w:highlight w:val="none"/>
              </w:rPr>
            </w:pPr>
          </w:p>
        </w:tc>
        <w:tc>
          <w:tcPr>
            <w:tcW w:w="1003"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硫酸铜</w:t>
            </w:r>
          </w:p>
        </w:tc>
        <w:tc>
          <w:tcPr>
            <w:tcW w:w="758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硫酸铜为亮蓝色不对称三斜晶系结晶或粉末。一般为五水合物CuSO</w:t>
            </w:r>
            <w:r>
              <w:rPr>
                <w:rFonts w:hint="default" w:ascii="Times New Roman" w:hAnsi="Times New Roman" w:cs="Times New Roman"/>
                <w:color w:val="auto"/>
                <w:kern w:val="0"/>
                <w:sz w:val="21"/>
                <w:szCs w:val="21"/>
                <w:highlight w:val="none"/>
                <w:vertAlign w:val="subscript"/>
              </w:rPr>
              <w:t>4</w:t>
            </w:r>
            <w:r>
              <w:rPr>
                <w:rFonts w:hint="default" w:ascii="Times New Roman" w:hAnsi="Times New Roman" w:cs="Times New Roman"/>
                <w:color w:val="auto"/>
                <w:kern w:val="0"/>
                <w:sz w:val="21"/>
                <w:szCs w:val="21"/>
                <w:highlight w:val="none"/>
              </w:rPr>
              <w:t>•5H</w:t>
            </w:r>
            <w:r>
              <w:rPr>
                <w:rFonts w:hint="default" w:ascii="Times New Roman" w:hAnsi="Times New Roman" w:cs="Times New Roman"/>
                <w:color w:val="auto"/>
                <w:kern w:val="0"/>
                <w:sz w:val="21"/>
                <w:szCs w:val="21"/>
                <w:highlight w:val="none"/>
                <w:vertAlign w:val="subscript"/>
              </w:rPr>
              <w:t>2</w:t>
            </w:r>
            <w:r>
              <w:rPr>
                <w:rFonts w:hint="default" w:ascii="Times New Roman" w:hAnsi="Times New Roman" w:cs="Times New Roman"/>
                <w:color w:val="auto"/>
                <w:kern w:val="0"/>
                <w:sz w:val="21"/>
                <w:szCs w:val="21"/>
                <w:highlight w:val="none"/>
              </w:rPr>
              <w:t>O，分子量250，相对密度2.248。易溶于水</w:t>
            </w:r>
            <w:r>
              <w:rPr>
                <w:rFonts w:hint="eastAsia"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0℃时，31.6g/100ml水，100℃时203.3g/100ml水</w:t>
            </w:r>
            <w:r>
              <w:rPr>
                <w:rFonts w:hint="eastAsia"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，微溶于甲醇，不溶于无水乙醇。100℃失去4个结晶水，150℃以上将失去全部结晶水形成白色强烈吸湿性无水硫酸铜粉末。加热到897～934℃分解成为氧化铜</w:t>
            </w:r>
            <w:r>
              <w:rPr>
                <w:rFonts w:hint="eastAsia"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CuO</w:t>
            </w:r>
            <w:r>
              <w:rPr>
                <w:rFonts w:hint="eastAsia"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和三氧化硫。在干燥空气中慢慢风化，表面变为白色粉状物，有毒，主要用作媒染剂，颜料，杀虫剂，杀菌剂，防腐剂，也用于鞣革，铜电镀，选矿等。</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0" w:hRule="atLeast"/>
          <w:jc w:val="center"/>
        </w:trPr>
        <w:tc>
          <w:tcPr>
            <w:tcW w:w="707" w:type="dxa"/>
            <w:tcBorders>
              <w:tl2br w:val="nil"/>
              <w:tr2bl w:val="nil"/>
            </w:tcBorders>
            <w:noWrap w:val="0"/>
            <w:vAlign w:val="center"/>
          </w:tcPr>
          <w:p>
            <w:pPr>
              <w:keepNext w:val="0"/>
              <w:keepLines w:val="0"/>
              <w:pageBreakBefore w:val="0"/>
              <w:numPr>
                <w:ilvl w:val="0"/>
                <w:numId w:val="12"/>
              </w:numPr>
              <w:kinsoku/>
              <w:wordWrap/>
              <w:overflowPunct/>
              <w:topLinePunct w:val="0"/>
              <w:autoSpaceDE/>
              <w:autoSpaceDN/>
              <w:bidi w:val="0"/>
              <w:adjustRightInd w:val="0"/>
              <w:snapToGrid w:val="0"/>
              <w:spacing w:line="240" w:lineRule="auto"/>
              <w:ind w:firstLineChars="0"/>
              <w:jc w:val="center"/>
              <w:textAlignment w:val="auto"/>
              <w:outlineLvl w:val="9"/>
              <w:rPr>
                <w:rFonts w:hint="default" w:ascii="Times New Roman" w:hAnsi="Times New Roman" w:cs="Times New Roman"/>
                <w:color w:val="auto"/>
                <w:sz w:val="21"/>
                <w:szCs w:val="21"/>
                <w:highlight w:val="none"/>
              </w:rPr>
            </w:pPr>
          </w:p>
        </w:tc>
        <w:tc>
          <w:tcPr>
            <w:tcW w:w="1003"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硫酸镍</w:t>
            </w:r>
          </w:p>
        </w:tc>
        <w:tc>
          <w:tcPr>
            <w:tcW w:w="758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化学式：NiSO</w:t>
            </w:r>
            <w:r>
              <w:rPr>
                <w:rFonts w:hint="default" w:ascii="Times New Roman" w:hAnsi="Times New Roman" w:cs="Times New Roman"/>
                <w:color w:val="auto"/>
                <w:kern w:val="0"/>
                <w:sz w:val="21"/>
                <w:szCs w:val="21"/>
                <w:highlight w:val="none"/>
                <w:vertAlign w:val="subscript"/>
              </w:rPr>
              <w:t>4</w:t>
            </w:r>
            <w:r>
              <w:rPr>
                <w:rFonts w:hint="default" w:ascii="Times New Roman" w:hAnsi="Times New Roman" w:cs="Times New Roman"/>
                <w:color w:val="auto"/>
                <w:kern w:val="0"/>
                <w:sz w:val="21"/>
                <w:szCs w:val="21"/>
                <w:highlight w:val="none"/>
              </w:rPr>
              <w:t>•6H</w:t>
            </w:r>
            <w:r>
              <w:rPr>
                <w:rFonts w:hint="default" w:ascii="Times New Roman" w:hAnsi="Times New Roman" w:cs="Times New Roman"/>
                <w:color w:val="auto"/>
                <w:kern w:val="0"/>
                <w:sz w:val="21"/>
                <w:szCs w:val="21"/>
                <w:highlight w:val="none"/>
                <w:vertAlign w:val="subscript"/>
              </w:rPr>
              <w:t>2</w:t>
            </w:r>
            <w:r>
              <w:rPr>
                <w:rFonts w:hint="default" w:ascii="Times New Roman" w:hAnsi="Times New Roman" w:cs="Times New Roman"/>
                <w:color w:val="auto"/>
                <w:kern w:val="0"/>
                <w:sz w:val="21"/>
                <w:szCs w:val="21"/>
                <w:highlight w:val="none"/>
              </w:rPr>
              <w:t>O。分子量：262.84。40℃时稳定，室温时成为蓝色不透明晶体。含7份结晶水的为翠绿色透明结晶。有甜涩味。稍有风化性。约在100℃时失去5分子结晶水成为一水物，在280℃时成黄绿色无水物。溶于1.4份水，微溶于乙醇、甲醇，其水溶液呈酸性，pH约4.5。相对密度2.031、1.98(7水物)。熔点31.5℃。</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0" w:hRule="atLeast"/>
          <w:jc w:val="center"/>
        </w:trPr>
        <w:tc>
          <w:tcPr>
            <w:tcW w:w="707" w:type="dxa"/>
            <w:tcBorders>
              <w:tl2br w:val="nil"/>
              <w:tr2bl w:val="nil"/>
            </w:tcBorders>
            <w:noWrap w:val="0"/>
            <w:vAlign w:val="center"/>
          </w:tcPr>
          <w:p>
            <w:pPr>
              <w:keepNext w:val="0"/>
              <w:keepLines w:val="0"/>
              <w:pageBreakBefore w:val="0"/>
              <w:numPr>
                <w:ilvl w:val="0"/>
                <w:numId w:val="12"/>
              </w:numPr>
              <w:kinsoku/>
              <w:wordWrap/>
              <w:overflowPunct/>
              <w:topLinePunct w:val="0"/>
              <w:autoSpaceDE/>
              <w:autoSpaceDN/>
              <w:bidi w:val="0"/>
              <w:adjustRightInd w:val="0"/>
              <w:snapToGrid w:val="0"/>
              <w:spacing w:line="240" w:lineRule="auto"/>
              <w:ind w:firstLineChars="0"/>
              <w:jc w:val="center"/>
              <w:textAlignment w:val="auto"/>
              <w:outlineLvl w:val="9"/>
              <w:rPr>
                <w:rFonts w:hint="default" w:ascii="Times New Roman" w:hAnsi="Times New Roman" w:cs="Times New Roman"/>
                <w:color w:val="auto"/>
                <w:sz w:val="21"/>
                <w:szCs w:val="21"/>
                <w:highlight w:val="none"/>
              </w:rPr>
            </w:pPr>
          </w:p>
        </w:tc>
        <w:tc>
          <w:tcPr>
            <w:tcW w:w="1003"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氯化镍</w:t>
            </w:r>
          </w:p>
        </w:tc>
        <w:tc>
          <w:tcPr>
            <w:tcW w:w="758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化学式：NiCl</w:t>
            </w:r>
            <w:r>
              <w:rPr>
                <w:rFonts w:hint="default" w:ascii="Times New Roman" w:hAnsi="Times New Roman" w:cs="Times New Roman"/>
                <w:color w:val="auto"/>
                <w:kern w:val="0"/>
                <w:sz w:val="21"/>
                <w:szCs w:val="21"/>
                <w:highlight w:val="none"/>
                <w:vertAlign w:val="subscript"/>
              </w:rPr>
              <w:t>2</w:t>
            </w:r>
            <w:r>
              <w:rPr>
                <w:rFonts w:hint="default" w:ascii="Times New Roman" w:hAnsi="Times New Roman" w:cs="Times New Roman"/>
                <w:color w:val="auto"/>
                <w:kern w:val="0"/>
                <w:sz w:val="21"/>
                <w:szCs w:val="21"/>
                <w:highlight w:val="none"/>
              </w:rPr>
              <w:t>•6H</w:t>
            </w:r>
            <w:r>
              <w:rPr>
                <w:rFonts w:hint="default" w:ascii="Times New Roman" w:hAnsi="Times New Roman" w:cs="Times New Roman"/>
                <w:color w:val="auto"/>
                <w:kern w:val="0"/>
                <w:sz w:val="21"/>
                <w:szCs w:val="21"/>
                <w:highlight w:val="none"/>
                <w:vertAlign w:val="subscript"/>
              </w:rPr>
              <w:t>2</w:t>
            </w:r>
            <w:r>
              <w:rPr>
                <w:rFonts w:hint="default" w:ascii="Times New Roman" w:hAnsi="Times New Roman" w:cs="Times New Roman"/>
                <w:color w:val="auto"/>
                <w:kern w:val="0"/>
                <w:sz w:val="21"/>
                <w:szCs w:val="21"/>
                <w:highlight w:val="none"/>
              </w:rPr>
              <w:t>0，分子量：237.69。绿色或草绿色单斜棱柱状结晶。相对密度1.921克/立方厘米。体积密度：大约1.00克/立方厘米</w:t>
            </w:r>
            <w:r>
              <w:rPr>
                <w:rFonts w:hint="eastAsia"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未压实</w:t>
            </w:r>
            <w:r>
              <w:rPr>
                <w:rFonts w:hint="eastAsia"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。熔点80℃。脱水在103oC。分解在973 ℃。溶解度：2135克/升</w:t>
            </w:r>
            <w:r>
              <w:rPr>
                <w:rFonts w:hint="eastAsia"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20℃</w:t>
            </w:r>
            <w:r>
              <w:rPr>
                <w:rFonts w:hint="eastAsia"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；5878克/升</w:t>
            </w:r>
            <w:r>
              <w:rPr>
                <w:rFonts w:hint="eastAsia"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80℃</w:t>
            </w:r>
            <w:r>
              <w:rPr>
                <w:rFonts w:hint="eastAsia"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。5%水溶液pH值=3.5。易溶于水、乙醇，其水溶液呈微酸性。在干燥空气中易风化，在潮湿空气中易潮解。</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0" w:hRule="atLeast"/>
          <w:jc w:val="center"/>
        </w:trPr>
        <w:tc>
          <w:tcPr>
            <w:tcW w:w="707" w:type="dxa"/>
            <w:tcBorders>
              <w:tl2br w:val="nil"/>
              <w:tr2bl w:val="nil"/>
            </w:tcBorders>
            <w:noWrap w:val="0"/>
            <w:vAlign w:val="center"/>
          </w:tcPr>
          <w:p>
            <w:pPr>
              <w:keepNext w:val="0"/>
              <w:keepLines w:val="0"/>
              <w:pageBreakBefore w:val="0"/>
              <w:numPr>
                <w:ilvl w:val="0"/>
                <w:numId w:val="12"/>
              </w:numPr>
              <w:kinsoku/>
              <w:wordWrap/>
              <w:overflowPunct/>
              <w:topLinePunct w:val="0"/>
              <w:autoSpaceDE/>
              <w:autoSpaceDN/>
              <w:bidi w:val="0"/>
              <w:adjustRightInd w:val="0"/>
              <w:snapToGrid w:val="0"/>
              <w:spacing w:line="240" w:lineRule="auto"/>
              <w:ind w:firstLineChars="0"/>
              <w:jc w:val="center"/>
              <w:textAlignment w:val="auto"/>
              <w:outlineLvl w:val="9"/>
              <w:rPr>
                <w:rFonts w:hint="default" w:ascii="Times New Roman" w:hAnsi="Times New Roman" w:cs="Times New Roman"/>
                <w:color w:val="auto"/>
                <w:sz w:val="21"/>
                <w:szCs w:val="21"/>
                <w:highlight w:val="none"/>
              </w:rPr>
            </w:pPr>
          </w:p>
        </w:tc>
        <w:tc>
          <w:tcPr>
            <w:tcW w:w="1003"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氢氧化钠</w:t>
            </w:r>
          </w:p>
        </w:tc>
        <w:tc>
          <w:tcPr>
            <w:tcW w:w="758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分子量：40.01。密度：2.130克/厘米。熔点：318.4℃。俗称烧碱、火碱、苛性钠，常温下是一种白色晶体，具有强腐蚀性。易溶于水，其水溶液呈强碱性，能使酚酞变红。</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0" w:hRule="atLeast"/>
          <w:jc w:val="center"/>
        </w:trPr>
        <w:tc>
          <w:tcPr>
            <w:tcW w:w="707" w:type="dxa"/>
            <w:tcBorders>
              <w:tl2br w:val="nil"/>
              <w:tr2bl w:val="nil"/>
            </w:tcBorders>
            <w:noWrap w:val="0"/>
            <w:vAlign w:val="center"/>
          </w:tcPr>
          <w:p>
            <w:pPr>
              <w:keepNext w:val="0"/>
              <w:keepLines w:val="0"/>
              <w:pageBreakBefore w:val="0"/>
              <w:numPr>
                <w:ilvl w:val="0"/>
                <w:numId w:val="12"/>
              </w:numPr>
              <w:kinsoku/>
              <w:wordWrap/>
              <w:overflowPunct/>
              <w:topLinePunct w:val="0"/>
              <w:autoSpaceDE/>
              <w:autoSpaceDN/>
              <w:bidi w:val="0"/>
              <w:adjustRightInd w:val="0"/>
              <w:snapToGrid w:val="0"/>
              <w:spacing w:line="240" w:lineRule="auto"/>
              <w:ind w:firstLineChars="0"/>
              <w:jc w:val="center"/>
              <w:textAlignment w:val="auto"/>
              <w:outlineLvl w:val="9"/>
              <w:rPr>
                <w:rFonts w:hint="default" w:ascii="Times New Roman" w:hAnsi="Times New Roman" w:cs="Times New Roman"/>
                <w:color w:val="auto"/>
                <w:sz w:val="21"/>
                <w:szCs w:val="21"/>
                <w:highlight w:val="none"/>
              </w:rPr>
            </w:pPr>
          </w:p>
        </w:tc>
        <w:tc>
          <w:tcPr>
            <w:tcW w:w="1003"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硼酸</w:t>
            </w:r>
          </w:p>
        </w:tc>
        <w:tc>
          <w:tcPr>
            <w:tcW w:w="758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分子式为H</w:t>
            </w:r>
            <w:r>
              <w:rPr>
                <w:rFonts w:hint="default" w:ascii="Times New Roman" w:hAnsi="Times New Roman" w:cs="Times New Roman"/>
                <w:color w:val="auto"/>
                <w:kern w:val="0"/>
                <w:sz w:val="21"/>
                <w:szCs w:val="21"/>
                <w:highlight w:val="none"/>
                <w:vertAlign w:val="subscript"/>
              </w:rPr>
              <w:t>3</w:t>
            </w:r>
            <w:r>
              <w:rPr>
                <w:rFonts w:hint="default" w:ascii="Times New Roman" w:hAnsi="Times New Roman" w:cs="Times New Roman"/>
                <w:color w:val="auto"/>
                <w:kern w:val="0"/>
                <w:sz w:val="21"/>
                <w:szCs w:val="21"/>
                <w:highlight w:val="none"/>
              </w:rPr>
              <w:t>BO</w:t>
            </w:r>
            <w:r>
              <w:rPr>
                <w:rFonts w:hint="default" w:ascii="Times New Roman" w:hAnsi="Times New Roman" w:cs="Times New Roman"/>
                <w:color w:val="auto"/>
                <w:kern w:val="0"/>
                <w:sz w:val="21"/>
                <w:szCs w:val="21"/>
                <w:highlight w:val="none"/>
                <w:vertAlign w:val="subscript"/>
              </w:rPr>
              <w:t>3</w:t>
            </w:r>
            <w:r>
              <w:rPr>
                <w:rFonts w:hint="default" w:ascii="Times New Roman" w:hAnsi="Times New Roman" w:cs="Times New Roman"/>
                <w:color w:val="auto"/>
                <w:kern w:val="0"/>
                <w:sz w:val="21"/>
                <w:szCs w:val="21"/>
                <w:highlight w:val="none"/>
              </w:rPr>
              <w:t>,为白色粉末状结晶或三斜轴面鳞片状光泽结晶，有滑腻手感，无臭味，溶于水、酒精、甘油、醚类及香精油中，水溶液呈弱酸性。与皮肤接触有滑腻感，露置空气中无变化，能随水蒸气挥发，相对密度1.4347。熔点169,沸点300℃。有刺激性，有毒，半数致死量(大鼠，经口)5.14G/kG。</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0" w:hRule="atLeast"/>
          <w:jc w:val="center"/>
        </w:trPr>
        <w:tc>
          <w:tcPr>
            <w:tcW w:w="707" w:type="dxa"/>
            <w:tcBorders>
              <w:tl2br w:val="nil"/>
              <w:tr2bl w:val="nil"/>
            </w:tcBorders>
            <w:noWrap w:val="0"/>
            <w:vAlign w:val="center"/>
          </w:tcPr>
          <w:p>
            <w:pPr>
              <w:keepNext w:val="0"/>
              <w:keepLines w:val="0"/>
              <w:pageBreakBefore w:val="0"/>
              <w:numPr>
                <w:ilvl w:val="0"/>
                <w:numId w:val="12"/>
              </w:numPr>
              <w:kinsoku/>
              <w:wordWrap/>
              <w:overflowPunct/>
              <w:topLinePunct w:val="0"/>
              <w:autoSpaceDE/>
              <w:autoSpaceDN/>
              <w:bidi w:val="0"/>
              <w:adjustRightInd w:val="0"/>
              <w:snapToGrid w:val="0"/>
              <w:spacing w:line="240" w:lineRule="auto"/>
              <w:ind w:firstLineChars="0"/>
              <w:jc w:val="center"/>
              <w:textAlignment w:val="auto"/>
              <w:outlineLvl w:val="9"/>
              <w:rPr>
                <w:rFonts w:hint="default" w:ascii="Times New Roman" w:hAnsi="Times New Roman" w:cs="Times New Roman"/>
                <w:color w:val="auto"/>
                <w:sz w:val="21"/>
                <w:szCs w:val="21"/>
                <w:highlight w:val="none"/>
              </w:rPr>
            </w:pPr>
          </w:p>
        </w:tc>
        <w:tc>
          <w:tcPr>
            <w:tcW w:w="1003"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氧化锌</w:t>
            </w:r>
          </w:p>
        </w:tc>
        <w:tc>
          <w:tcPr>
            <w:tcW w:w="758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氧化锌</w:t>
            </w:r>
            <w:r>
              <w:rPr>
                <w:rFonts w:hint="eastAsia"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ZnO</w:t>
            </w:r>
            <w:r>
              <w:rPr>
                <w:rFonts w:hint="eastAsia"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俗称锌白，是锌的一种氧化物。难溶于水，可溶于酸和强碱。氧化锌是一种常用的化学添加剂，广泛地应用于塑料、硅酸盐制品、合成橡胶、润滑油、油漆涂料、药膏、粘合剂、食品、电池、阻燃剂等产品的制作中。本项目用于镀仿金。</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0" w:hRule="atLeast"/>
          <w:jc w:val="center"/>
        </w:trPr>
        <w:tc>
          <w:tcPr>
            <w:tcW w:w="707" w:type="dxa"/>
            <w:tcBorders>
              <w:tl2br w:val="nil"/>
              <w:tr2bl w:val="nil"/>
            </w:tcBorders>
            <w:noWrap w:val="0"/>
            <w:vAlign w:val="center"/>
          </w:tcPr>
          <w:p>
            <w:pPr>
              <w:keepNext w:val="0"/>
              <w:keepLines w:val="0"/>
              <w:pageBreakBefore w:val="0"/>
              <w:numPr>
                <w:ilvl w:val="0"/>
                <w:numId w:val="12"/>
              </w:numPr>
              <w:kinsoku/>
              <w:wordWrap/>
              <w:overflowPunct/>
              <w:topLinePunct w:val="0"/>
              <w:autoSpaceDE/>
              <w:autoSpaceDN/>
              <w:bidi w:val="0"/>
              <w:adjustRightInd w:val="0"/>
              <w:snapToGrid w:val="0"/>
              <w:spacing w:line="240" w:lineRule="auto"/>
              <w:ind w:firstLineChars="0"/>
              <w:jc w:val="center"/>
              <w:textAlignment w:val="auto"/>
              <w:outlineLvl w:val="9"/>
              <w:rPr>
                <w:rFonts w:hint="default" w:ascii="Times New Roman" w:hAnsi="Times New Roman" w:cs="Times New Roman"/>
                <w:color w:val="auto"/>
                <w:sz w:val="21"/>
                <w:szCs w:val="21"/>
                <w:highlight w:val="none"/>
              </w:rPr>
            </w:pPr>
          </w:p>
        </w:tc>
        <w:tc>
          <w:tcPr>
            <w:tcW w:w="1003"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氯化锌</w:t>
            </w:r>
          </w:p>
        </w:tc>
        <w:tc>
          <w:tcPr>
            <w:tcW w:w="758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白色粉末，分子式:ZnCl</w:t>
            </w:r>
            <w:r>
              <w:rPr>
                <w:rFonts w:hint="default" w:ascii="Times New Roman" w:hAnsi="Times New Roman" w:cs="Times New Roman"/>
                <w:color w:val="auto"/>
                <w:kern w:val="0"/>
                <w:sz w:val="21"/>
                <w:szCs w:val="21"/>
                <w:highlight w:val="none"/>
                <w:vertAlign w:val="subscript"/>
              </w:rPr>
              <w:t>2</w:t>
            </w:r>
            <w:r>
              <w:rPr>
                <w:rFonts w:hint="default" w:ascii="Times New Roman" w:hAnsi="Times New Roman" w:cs="Times New Roman"/>
                <w:color w:val="auto"/>
                <w:kern w:val="0"/>
                <w:sz w:val="21"/>
                <w:szCs w:val="21"/>
                <w:highlight w:val="none"/>
              </w:rPr>
              <w:t>，分子量:136.315。无气味。易吸湿。水中溶解度 25℃时为432g、100℃时为614g。1g溶于0.25ml2%盐酸、1.3ml乙醇、2ml甘油。易溶于丙酮。加多量水有氧氯化锌产生。其水溶液对石蕊呈酸性，pH约为4。相对密度2.907。熔点约290℃。沸点732℃。有毒，半数致死量</w:t>
            </w:r>
            <w:r>
              <w:rPr>
                <w:rFonts w:hint="eastAsia"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大鼠，静脉</w:t>
            </w:r>
            <w:r>
              <w:rPr>
                <w:rFonts w:hint="eastAsia"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60～90mg/kg。有腐蚀性。</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0" w:hRule="atLeast"/>
          <w:jc w:val="center"/>
        </w:trPr>
        <w:tc>
          <w:tcPr>
            <w:tcW w:w="707" w:type="dxa"/>
            <w:tcBorders>
              <w:tl2br w:val="nil"/>
              <w:tr2bl w:val="nil"/>
            </w:tcBorders>
            <w:noWrap w:val="0"/>
            <w:vAlign w:val="center"/>
          </w:tcPr>
          <w:p>
            <w:pPr>
              <w:keepNext w:val="0"/>
              <w:keepLines w:val="0"/>
              <w:pageBreakBefore w:val="0"/>
              <w:numPr>
                <w:ilvl w:val="0"/>
                <w:numId w:val="12"/>
              </w:numPr>
              <w:kinsoku/>
              <w:wordWrap/>
              <w:overflowPunct/>
              <w:topLinePunct w:val="0"/>
              <w:autoSpaceDE/>
              <w:autoSpaceDN/>
              <w:bidi w:val="0"/>
              <w:adjustRightInd w:val="0"/>
              <w:snapToGrid w:val="0"/>
              <w:spacing w:line="240" w:lineRule="auto"/>
              <w:ind w:firstLineChars="0"/>
              <w:jc w:val="center"/>
              <w:textAlignment w:val="auto"/>
              <w:outlineLvl w:val="9"/>
              <w:rPr>
                <w:rFonts w:hint="default" w:ascii="Times New Roman" w:hAnsi="Times New Roman" w:cs="Times New Roman"/>
                <w:color w:val="auto"/>
                <w:sz w:val="21"/>
                <w:szCs w:val="21"/>
                <w:highlight w:val="none"/>
              </w:rPr>
            </w:pPr>
          </w:p>
        </w:tc>
        <w:tc>
          <w:tcPr>
            <w:tcW w:w="1003"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氯化钾</w:t>
            </w:r>
          </w:p>
        </w:tc>
        <w:tc>
          <w:tcPr>
            <w:tcW w:w="758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白色结晶或结晶性粉末，易溶于水和甘油，难溶于醇，不溶于醚和丙酮，不易燃不易爆。主要用于无机工业，是制造各种钾盐如氢氧化钾、硫酸钾、硝酸钾、氯酸钾、红矾钾等的基本原料。</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0" w:hRule="atLeast"/>
          <w:jc w:val="center"/>
        </w:trPr>
        <w:tc>
          <w:tcPr>
            <w:tcW w:w="707" w:type="dxa"/>
            <w:tcBorders>
              <w:tl2br w:val="nil"/>
              <w:tr2bl w:val="nil"/>
            </w:tcBorders>
            <w:noWrap w:val="0"/>
            <w:vAlign w:val="center"/>
          </w:tcPr>
          <w:p>
            <w:pPr>
              <w:keepNext w:val="0"/>
              <w:keepLines w:val="0"/>
              <w:pageBreakBefore w:val="0"/>
              <w:numPr>
                <w:ilvl w:val="0"/>
                <w:numId w:val="12"/>
              </w:numPr>
              <w:kinsoku/>
              <w:wordWrap/>
              <w:overflowPunct/>
              <w:topLinePunct w:val="0"/>
              <w:autoSpaceDE/>
              <w:autoSpaceDN/>
              <w:bidi w:val="0"/>
              <w:adjustRightInd w:val="0"/>
              <w:snapToGrid w:val="0"/>
              <w:spacing w:line="240" w:lineRule="auto"/>
              <w:ind w:firstLineChars="0"/>
              <w:jc w:val="center"/>
              <w:textAlignment w:val="auto"/>
              <w:outlineLvl w:val="9"/>
              <w:rPr>
                <w:rFonts w:hint="default" w:ascii="Times New Roman" w:hAnsi="Times New Roman" w:cs="Times New Roman"/>
                <w:color w:val="auto"/>
                <w:sz w:val="21"/>
                <w:szCs w:val="21"/>
                <w:highlight w:val="none"/>
              </w:rPr>
            </w:pPr>
          </w:p>
        </w:tc>
        <w:tc>
          <w:tcPr>
            <w:tcW w:w="1003"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三价铬钝化剂</w:t>
            </w:r>
          </w:p>
        </w:tc>
        <w:tc>
          <w:tcPr>
            <w:tcW w:w="758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三价铬钝化液，不含六价铬，三价铬镀液多以甲酸、乙酸、草酸、柠檬酸等为配位剂</w:t>
            </w:r>
            <w:r>
              <w:rPr>
                <w:rFonts w:hint="eastAsia" w:ascii="Times New Roman" w:hAnsi="Times New Roman" w:cs="Times New Roman"/>
                <w:color w:val="auto"/>
                <w:kern w:val="0"/>
                <w:sz w:val="21"/>
                <w:szCs w:val="21"/>
                <w:highlight w:val="none"/>
              </w:rPr>
              <w:t>，</w:t>
            </w:r>
            <w:r>
              <w:rPr>
                <w:rFonts w:hint="default" w:ascii="Times New Roman" w:hAnsi="Times New Roman" w:cs="Times New Roman"/>
                <w:color w:val="auto"/>
                <w:kern w:val="0"/>
                <w:sz w:val="21"/>
                <w:szCs w:val="21"/>
                <w:highlight w:val="none"/>
              </w:rPr>
              <w:t>铬盐主要成分为三氯化铬，铬含量约</w:t>
            </w:r>
            <w:r>
              <w:rPr>
                <w:rFonts w:hint="eastAsia" w:ascii="Times New Roman" w:hAnsi="Times New Roman" w:cs="Times New Roman"/>
                <w:color w:val="auto"/>
                <w:kern w:val="0"/>
                <w:sz w:val="21"/>
                <w:szCs w:val="21"/>
                <w:highlight w:val="none"/>
              </w:rPr>
              <w:t>为</w:t>
            </w:r>
            <w:r>
              <w:rPr>
                <w:rFonts w:hint="eastAsia" w:cs="Times New Roman"/>
                <w:color w:val="auto"/>
                <w:kern w:val="0"/>
                <w:sz w:val="21"/>
                <w:szCs w:val="21"/>
                <w:highlight w:val="none"/>
                <w:lang w:val="en-US" w:eastAsia="zh-CN"/>
              </w:rPr>
              <w:t>33</w:t>
            </w:r>
            <w:r>
              <w:rPr>
                <w:rFonts w:hint="default" w:ascii="Times New Roman" w:hAnsi="Times New Roman" w:cs="Times New Roman"/>
                <w:color w:val="auto"/>
                <w:kern w:val="0"/>
                <w:sz w:val="21"/>
                <w:szCs w:val="21"/>
                <w:highlight w:val="none"/>
              </w:rPr>
              <w:t>%。相比六价铬，三价铬毒性低，三价铬的毒性只有六价铬的1/100。</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0" w:hRule="atLeast"/>
          <w:jc w:val="center"/>
        </w:trPr>
        <w:tc>
          <w:tcPr>
            <w:tcW w:w="707" w:type="dxa"/>
            <w:tcBorders>
              <w:tl2br w:val="nil"/>
              <w:tr2bl w:val="nil"/>
            </w:tcBorders>
            <w:noWrap w:val="0"/>
            <w:vAlign w:val="center"/>
          </w:tcPr>
          <w:p>
            <w:pPr>
              <w:keepNext w:val="0"/>
              <w:keepLines w:val="0"/>
              <w:pageBreakBefore w:val="0"/>
              <w:numPr>
                <w:ilvl w:val="0"/>
                <w:numId w:val="12"/>
              </w:numPr>
              <w:kinsoku/>
              <w:wordWrap/>
              <w:overflowPunct/>
              <w:topLinePunct w:val="0"/>
              <w:autoSpaceDE/>
              <w:autoSpaceDN/>
              <w:bidi w:val="0"/>
              <w:adjustRightInd w:val="0"/>
              <w:snapToGrid w:val="0"/>
              <w:spacing w:line="240" w:lineRule="auto"/>
              <w:ind w:firstLineChars="0"/>
              <w:jc w:val="center"/>
              <w:textAlignment w:val="auto"/>
              <w:outlineLvl w:val="9"/>
              <w:rPr>
                <w:rFonts w:hint="default" w:ascii="Times New Roman" w:hAnsi="Times New Roman" w:cs="Times New Roman"/>
                <w:color w:val="auto"/>
                <w:sz w:val="21"/>
                <w:szCs w:val="21"/>
                <w:highlight w:val="none"/>
              </w:rPr>
            </w:pPr>
          </w:p>
        </w:tc>
        <w:tc>
          <w:tcPr>
            <w:tcW w:w="1003"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铬酸酐</w:t>
            </w:r>
          </w:p>
        </w:tc>
        <w:tc>
          <w:tcPr>
            <w:tcW w:w="758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学名：三氧化铬，分子式：CrO</w:t>
            </w:r>
            <w:r>
              <w:rPr>
                <w:rFonts w:hint="default" w:ascii="Times New Roman" w:hAnsi="Times New Roman" w:cs="Times New Roman"/>
                <w:color w:val="auto"/>
                <w:kern w:val="0"/>
                <w:sz w:val="21"/>
                <w:szCs w:val="21"/>
                <w:highlight w:val="none"/>
                <w:vertAlign w:val="subscript"/>
              </w:rPr>
              <w:t>3</w:t>
            </w:r>
            <w:r>
              <w:rPr>
                <w:rFonts w:hint="default" w:ascii="Times New Roman" w:hAnsi="Times New Roman" w:cs="Times New Roman"/>
                <w:color w:val="auto"/>
                <w:kern w:val="0"/>
                <w:sz w:val="21"/>
                <w:szCs w:val="21"/>
                <w:highlight w:val="none"/>
              </w:rPr>
              <w:t>，分子量：100.01。铬酐是紫红色针状或片状晶体。比重2．70。熔点 196℃，在熔融状态时，稍有分解。铬酐极易吸收空气中的水分而潮解，易溶于水。15℃时的溶解度为160 克/100 克水，溶于水生成重铬酸，也溶于乙醇、乙醚和硫酸。铬酐的毒性较大并有强酸性及腐蚀性，铬酐是强氧化剂，其水溶液重铬酸在常温下能分解放出氧，破坏动植物的组织。铬酐可以氧化各种有机物，但不与醋酸作用。铬酐加热至250℃时，分解而放出氧气并生成三氧化铬和三氧化二铬的混合物，在更高的温度下，全部生成三氧化二铬。</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0" w:hRule="atLeast"/>
          <w:jc w:val="center"/>
        </w:trPr>
        <w:tc>
          <w:tcPr>
            <w:tcW w:w="707" w:type="dxa"/>
            <w:tcBorders>
              <w:tl2br w:val="nil"/>
              <w:tr2bl w:val="nil"/>
            </w:tcBorders>
            <w:noWrap w:val="0"/>
            <w:vAlign w:val="center"/>
          </w:tcPr>
          <w:p>
            <w:pPr>
              <w:keepNext w:val="0"/>
              <w:keepLines w:val="0"/>
              <w:pageBreakBefore w:val="0"/>
              <w:numPr>
                <w:ilvl w:val="0"/>
                <w:numId w:val="12"/>
              </w:numPr>
              <w:kinsoku/>
              <w:wordWrap/>
              <w:overflowPunct/>
              <w:topLinePunct w:val="0"/>
              <w:autoSpaceDE/>
              <w:autoSpaceDN/>
              <w:bidi w:val="0"/>
              <w:adjustRightInd w:val="0"/>
              <w:snapToGrid w:val="0"/>
              <w:spacing w:line="240" w:lineRule="auto"/>
              <w:ind w:firstLineChars="0"/>
              <w:jc w:val="center"/>
              <w:textAlignment w:val="auto"/>
              <w:outlineLvl w:val="9"/>
              <w:rPr>
                <w:rFonts w:hint="default" w:ascii="Times New Roman" w:hAnsi="Times New Roman" w:cs="Times New Roman"/>
                <w:color w:val="auto"/>
                <w:sz w:val="21"/>
                <w:szCs w:val="21"/>
                <w:highlight w:val="none"/>
              </w:rPr>
            </w:pPr>
          </w:p>
        </w:tc>
        <w:tc>
          <w:tcPr>
            <w:tcW w:w="1003"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光亮剂</w:t>
            </w:r>
          </w:p>
        </w:tc>
        <w:tc>
          <w:tcPr>
            <w:tcW w:w="758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光亮剂有多种表面活性剂、有机酸、无机酸等组成，外观表现为棕褐色透明均质液体。不同材质需不同光亮剂、同时配合其他表面添加剂达到表面光亮效果。光亮剂是酸性镀铜关键添加剂之一。主要作用表现在通过活性表面除去停留在金属表面的油污、氧化及未氧化的表面杂质，保持物体外部的洁净、光泽度、色牢度。</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0" w:hRule="atLeast"/>
          <w:jc w:val="center"/>
        </w:trPr>
        <w:tc>
          <w:tcPr>
            <w:tcW w:w="707" w:type="dxa"/>
            <w:tcBorders>
              <w:tl2br w:val="nil"/>
              <w:tr2bl w:val="nil"/>
            </w:tcBorders>
            <w:noWrap w:val="0"/>
            <w:vAlign w:val="center"/>
          </w:tcPr>
          <w:p>
            <w:pPr>
              <w:keepNext w:val="0"/>
              <w:keepLines w:val="0"/>
              <w:pageBreakBefore w:val="0"/>
              <w:numPr>
                <w:ilvl w:val="0"/>
                <w:numId w:val="12"/>
              </w:numPr>
              <w:kinsoku/>
              <w:wordWrap/>
              <w:overflowPunct/>
              <w:topLinePunct w:val="0"/>
              <w:autoSpaceDE/>
              <w:autoSpaceDN/>
              <w:bidi w:val="0"/>
              <w:adjustRightInd w:val="0"/>
              <w:snapToGrid w:val="0"/>
              <w:spacing w:line="240" w:lineRule="auto"/>
              <w:ind w:firstLineChars="0"/>
              <w:jc w:val="center"/>
              <w:textAlignment w:val="auto"/>
              <w:outlineLvl w:val="9"/>
              <w:rPr>
                <w:rFonts w:hint="default" w:ascii="Times New Roman" w:hAnsi="Times New Roman" w:cs="Times New Roman"/>
                <w:color w:val="auto"/>
                <w:sz w:val="21"/>
                <w:szCs w:val="21"/>
                <w:highlight w:val="none"/>
              </w:rPr>
            </w:pPr>
          </w:p>
        </w:tc>
        <w:tc>
          <w:tcPr>
            <w:tcW w:w="1003"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封闭剂</w:t>
            </w:r>
          </w:p>
        </w:tc>
        <w:tc>
          <w:tcPr>
            <w:tcW w:w="758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主要成分为封闭剂和去离子水，有很高的防腐性能和极强的附着力，不含甲醛、苯、重金属等有害物质，有利于环境保护和操作者的身心健康，干燥后变为透明光亮膜层，可以用做最终的防腐涂层，也可作为防锈底漆使用。封闭膜层具有优异的光亮性、平整性、防变色性、抗腐蚀性和高附着性等特点。</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0" w:hRule="atLeast"/>
          <w:jc w:val="center"/>
        </w:trPr>
        <w:tc>
          <w:tcPr>
            <w:tcW w:w="707" w:type="dxa"/>
            <w:tcBorders>
              <w:tl2br w:val="nil"/>
              <w:tr2bl w:val="nil"/>
            </w:tcBorders>
            <w:noWrap w:val="0"/>
            <w:vAlign w:val="center"/>
          </w:tcPr>
          <w:p>
            <w:pPr>
              <w:keepNext w:val="0"/>
              <w:keepLines w:val="0"/>
              <w:pageBreakBefore w:val="0"/>
              <w:numPr>
                <w:ilvl w:val="0"/>
                <w:numId w:val="12"/>
              </w:numPr>
              <w:kinsoku/>
              <w:wordWrap/>
              <w:overflowPunct/>
              <w:topLinePunct w:val="0"/>
              <w:autoSpaceDE/>
              <w:autoSpaceDN/>
              <w:bidi w:val="0"/>
              <w:adjustRightInd w:val="0"/>
              <w:snapToGrid w:val="0"/>
              <w:spacing w:line="240" w:lineRule="auto"/>
              <w:ind w:firstLineChars="0"/>
              <w:jc w:val="center"/>
              <w:textAlignment w:val="auto"/>
              <w:outlineLvl w:val="9"/>
              <w:rPr>
                <w:rFonts w:hint="default" w:ascii="Times New Roman" w:hAnsi="Times New Roman" w:cs="Times New Roman"/>
                <w:color w:val="auto"/>
                <w:sz w:val="21"/>
                <w:szCs w:val="21"/>
                <w:highlight w:val="none"/>
              </w:rPr>
            </w:pPr>
          </w:p>
        </w:tc>
        <w:tc>
          <w:tcPr>
            <w:tcW w:w="1003"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酸雾抑制剂</w:t>
            </w:r>
          </w:p>
        </w:tc>
        <w:tc>
          <w:tcPr>
            <w:tcW w:w="758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outlineLvl w:val="9"/>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rPr>
              <w:t>酸雾抑制剂是一种由多种有机成份组成的复合型抑雾缓蚀剂。其外观为淡黄色液体，适用于硝酸、硝酸与氢氟酸的混合酸酸洗介质，是一种高效酸洗抑雾缓蚀剂。具有添加量低，效率高的特点，可有效防止黄烟的产生及酸雾逸出，黄烟抑制率95%，可有效改善工作环境。抑雾原理是利用表面活性剂的发泡作用，气泡将升到溶液表面多层密布，从而对铬酸雾的逸出起阻碍作用，达到抑雾效果</w:t>
            </w:r>
            <w:r>
              <w:rPr>
                <w:rFonts w:hint="default" w:ascii="Times New Roman" w:hAnsi="Times New Roman" w:cs="Times New Roman"/>
                <w:color w:val="auto"/>
                <w:kern w:val="0"/>
                <w:sz w:val="21"/>
                <w:szCs w:val="21"/>
                <w:highlight w:val="none"/>
                <w:lang w:eastAsia="zh-CN"/>
              </w:rPr>
              <w:t>。</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0" w:hRule="atLeast"/>
          <w:jc w:val="center"/>
        </w:trPr>
        <w:tc>
          <w:tcPr>
            <w:tcW w:w="707" w:type="dxa"/>
            <w:tcBorders>
              <w:tl2br w:val="nil"/>
              <w:tr2bl w:val="nil"/>
            </w:tcBorders>
            <w:noWrap w:val="0"/>
            <w:vAlign w:val="center"/>
          </w:tcPr>
          <w:p>
            <w:pPr>
              <w:keepNext w:val="0"/>
              <w:keepLines w:val="0"/>
              <w:pageBreakBefore w:val="0"/>
              <w:numPr>
                <w:ilvl w:val="0"/>
                <w:numId w:val="12"/>
              </w:numPr>
              <w:kinsoku/>
              <w:wordWrap/>
              <w:overflowPunct/>
              <w:topLinePunct w:val="0"/>
              <w:autoSpaceDE/>
              <w:autoSpaceDN/>
              <w:bidi w:val="0"/>
              <w:adjustRightInd w:val="0"/>
              <w:snapToGrid w:val="0"/>
              <w:spacing w:line="240" w:lineRule="auto"/>
              <w:ind w:firstLineChars="0"/>
              <w:jc w:val="center"/>
              <w:textAlignment w:val="auto"/>
              <w:outlineLvl w:val="9"/>
              <w:rPr>
                <w:rFonts w:hint="default" w:ascii="Times New Roman" w:hAnsi="Times New Roman" w:cs="Times New Roman"/>
                <w:color w:val="auto"/>
                <w:sz w:val="21"/>
                <w:szCs w:val="21"/>
                <w:highlight w:val="none"/>
              </w:rPr>
            </w:pPr>
          </w:p>
        </w:tc>
        <w:tc>
          <w:tcPr>
            <w:tcW w:w="1003"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 w:val="21"/>
                <w:szCs w:val="21"/>
                <w:highlight w:val="none"/>
              </w:rPr>
              <w:t>柔软剂</w:t>
            </w:r>
          </w:p>
        </w:tc>
        <w:tc>
          <w:tcPr>
            <w:tcW w:w="7587" w:type="dxa"/>
            <w:tcBorders>
              <w:tl2br w:val="nil"/>
              <w:tr2bl w:val="nil"/>
            </w:tcBorders>
            <w:noWrap w:val="0"/>
            <w:vAlign w:val="center"/>
          </w:tcPr>
          <w:p>
            <w:pPr>
              <w:pStyle w:val="19"/>
              <w:keepNext w:val="0"/>
              <w:keepLines w:val="0"/>
              <w:pageBreakBefore w:val="0"/>
              <w:kinsoku/>
              <w:wordWrap/>
              <w:overflowPunct/>
              <w:topLinePunct w:val="0"/>
              <w:autoSpaceDE/>
              <w:autoSpaceDN/>
              <w:bidi w:val="0"/>
              <w:adjustRightInd w:val="0"/>
              <w:snapToGrid w:val="0"/>
              <w:spacing w:line="240" w:lineRule="auto"/>
              <w:jc w:val="left"/>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kern w:val="2"/>
                <w:sz w:val="21"/>
                <w:szCs w:val="21"/>
                <w:highlight w:val="none"/>
                <w:lang w:val="en-US" w:eastAsia="zh-CN"/>
              </w:rPr>
              <w:t> 柔软剂是减少或消除镀层脆性的一种电镀添加剂。由于镀层的脆性很大程度上是由于镀层内应力不均衡造成的，因此柔软剂也可以说是内应力消除剂。</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0" w:hRule="atLeast"/>
          <w:jc w:val="center"/>
        </w:trPr>
        <w:tc>
          <w:tcPr>
            <w:tcW w:w="707" w:type="dxa"/>
            <w:tcBorders>
              <w:tl2br w:val="nil"/>
              <w:tr2bl w:val="nil"/>
            </w:tcBorders>
            <w:noWrap w:val="0"/>
            <w:vAlign w:val="center"/>
          </w:tcPr>
          <w:p>
            <w:pPr>
              <w:keepNext w:val="0"/>
              <w:keepLines w:val="0"/>
              <w:pageBreakBefore w:val="0"/>
              <w:numPr>
                <w:ilvl w:val="0"/>
                <w:numId w:val="12"/>
              </w:numPr>
              <w:kinsoku/>
              <w:wordWrap/>
              <w:overflowPunct/>
              <w:topLinePunct w:val="0"/>
              <w:autoSpaceDE/>
              <w:autoSpaceDN/>
              <w:bidi w:val="0"/>
              <w:adjustRightInd w:val="0"/>
              <w:snapToGrid w:val="0"/>
              <w:spacing w:line="240" w:lineRule="auto"/>
              <w:ind w:firstLineChars="0"/>
              <w:jc w:val="center"/>
              <w:textAlignment w:val="auto"/>
              <w:outlineLvl w:val="9"/>
              <w:rPr>
                <w:rFonts w:hint="default" w:ascii="Times New Roman" w:hAnsi="Times New Roman" w:cs="Times New Roman"/>
                <w:color w:val="auto"/>
                <w:sz w:val="21"/>
                <w:szCs w:val="21"/>
                <w:highlight w:val="none"/>
              </w:rPr>
            </w:pPr>
          </w:p>
        </w:tc>
        <w:tc>
          <w:tcPr>
            <w:tcW w:w="100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甲基磺酸</w:t>
            </w:r>
          </w:p>
        </w:tc>
        <w:tc>
          <w:tcPr>
            <w:tcW w:w="758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outlineLvl w:val="9"/>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rPr>
              <w:t>无色或微棕色油状液体，低温下为固体。分子式CH</w:t>
            </w:r>
            <w:r>
              <w:rPr>
                <w:rFonts w:hint="default" w:ascii="Times New Roman" w:hAnsi="Times New Roman" w:cs="Times New Roman"/>
                <w:color w:val="auto"/>
                <w:kern w:val="0"/>
                <w:sz w:val="21"/>
                <w:szCs w:val="21"/>
                <w:highlight w:val="none"/>
                <w:vertAlign w:val="subscript"/>
              </w:rPr>
              <w:t>4</w:t>
            </w:r>
            <w:r>
              <w:rPr>
                <w:rFonts w:hint="default" w:ascii="Times New Roman" w:hAnsi="Times New Roman" w:cs="Times New Roman"/>
                <w:color w:val="auto"/>
                <w:kern w:val="0"/>
                <w:sz w:val="21"/>
                <w:szCs w:val="21"/>
                <w:highlight w:val="none"/>
              </w:rPr>
              <w:t>O</w:t>
            </w:r>
            <w:r>
              <w:rPr>
                <w:rFonts w:hint="default" w:ascii="Times New Roman" w:hAnsi="Times New Roman" w:cs="Times New Roman"/>
                <w:color w:val="auto"/>
                <w:kern w:val="0"/>
                <w:sz w:val="21"/>
                <w:szCs w:val="21"/>
                <w:highlight w:val="none"/>
                <w:vertAlign w:val="subscript"/>
              </w:rPr>
              <w:t>3</w:t>
            </w:r>
            <w:r>
              <w:rPr>
                <w:rFonts w:hint="default" w:ascii="Times New Roman" w:hAnsi="Times New Roman" w:cs="Times New Roman"/>
                <w:color w:val="auto"/>
                <w:kern w:val="0"/>
                <w:sz w:val="21"/>
                <w:szCs w:val="21"/>
                <w:highlight w:val="none"/>
              </w:rPr>
              <w:t>S，分子量是96.11。溶解性：溶于水、醇和醚，不溶于烷烃、苯、甲苯等，对沸水、热碱液不分解，对金属铁、铜和铅等有强烈腐蚀作用。本品对皮肤、黏膜有强刺激作用，但比亚甲磺酸毒性小</w:t>
            </w:r>
            <w:r>
              <w:rPr>
                <w:rFonts w:hint="default" w:ascii="Times New Roman" w:hAnsi="Times New Roman" w:cs="Times New Roman"/>
                <w:color w:val="auto"/>
                <w:kern w:val="0"/>
                <w:sz w:val="21"/>
                <w:szCs w:val="21"/>
                <w:highlight w:val="none"/>
                <w:lang w:eastAsia="zh-CN"/>
              </w:rPr>
              <w:t>。</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0" w:hRule="atLeast"/>
          <w:jc w:val="center"/>
        </w:trPr>
        <w:tc>
          <w:tcPr>
            <w:tcW w:w="707" w:type="dxa"/>
            <w:tcBorders>
              <w:tl2br w:val="nil"/>
              <w:tr2bl w:val="nil"/>
            </w:tcBorders>
            <w:noWrap w:val="0"/>
            <w:vAlign w:val="center"/>
          </w:tcPr>
          <w:p>
            <w:pPr>
              <w:keepNext w:val="0"/>
              <w:keepLines w:val="0"/>
              <w:pageBreakBefore w:val="0"/>
              <w:numPr>
                <w:ilvl w:val="0"/>
                <w:numId w:val="12"/>
              </w:numPr>
              <w:kinsoku/>
              <w:wordWrap/>
              <w:overflowPunct/>
              <w:topLinePunct w:val="0"/>
              <w:autoSpaceDE/>
              <w:autoSpaceDN/>
              <w:bidi w:val="0"/>
              <w:adjustRightInd w:val="0"/>
              <w:snapToGrid w:val="0"/>
              <w:spacing w:line="240" w:lineRule="auto"/>
              <w:ind w:firstLineChars="0"/>
              <w:jc w:val="center"/>
              <w:textAlignment w:val="auto"/>
              <w:outlineLvl w:val="9"/>
              <w:rPr>
                <w:rFonts w:hint="default" w:ascii="Times New Roman" w:hAnsi="Times New Roman" w:cs="Times New Roman"/>
                <w:color w:val="auto"/>
                <w:sz w:val="21"/>
                <w:szCs w:val="21"/>
                <w:highlight w:val="none"/>
              </w:rPr>
            </w:pPr>
          </w:p>
        </w:tc>
        <w:tc>
          <w:tcPr>
            <w:tcW w:w="100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甲基磺酸锡</w:t>
            </w:r>
          </w:p>
        </w:tc>
        <w:tc>
          <w:tcPr>
            <w:tcW w:w="758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outlineLvl w:val="9"/>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rPr>
              <w:t>无色透明液体</w:t>
            </w:r>
            <w:r>
              <w:rPr>
                <w:rFonts w:hint="default" w:ascii="Times New Roman" w:hAnsi="Times New Roman" w:cs="Times New Roman"/>
                <w:color w:val="auto"/>
                <w:kern w:val="0"/>
                <w:sz w:val="21"/>
                <w:szCs w:val="21"/>
                <w:highlight w:val="none"/>
                <w:lang w:eastAsia="zh-CN"/>
              </w:rPr>
              <w:t>，</w:t>
            </w:r>
            <w:r>
              <w:rPr>
                <w:rFonts w:hint="default" w:ascii="Times New Roman" w:hAnsi="Times New Roman" w:eastAsia="宋体" w:cs="Times New Roman"/>
                <w:i w:val="0"/>
                <w:caps w:val="0"/>
                <w:color w:val="auto"/>
                <w:spacing w:val="0"/>
                <w:sz w:val="21"/>
                <w:szCs w:val="21"/>
                <w:highlight w:val="none"/>
                <w:shd w:val="clear" w:fill="FFFFFF"/>
              </w:rPr>
              <w:t>用于电镀及其它电子行业</w:t>
            </w:r>
            <w:r>
              <w:rPr>
                <w:rFonts w:hint="default" w:ascii="Times New Roman" w:hAnsi="Times New Roman" w:cs="Times New Roman"/>
                <w:i w:val="0"/>
                <w:caps w:val="0"/>
                <w:color w:val="auto"/>
                <w:spacing w:val="0"/>
                <w:sz w:val="21"/>
                <w:szCs w:val="21"/>
                <w:highlight w:val="none"/>
                <w:shd w:val="clear" w:fill="FFFFFF"/>
                <w:lang w:eastAsia="zh-CN"/>
              </w:rPr>
              <w:t>。</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0" w:hRule="atLeast"/>
          <w:jc w:val="center"/>
        </w:trPr>
        <w:tc>
          <w:tcPr>
            <w:tcW w:w="707" w:type="dxa"/>
            <w:tcBorders>
              <w:tl2br w:val="nil"/>
              <w:tr2bl w:val="nil"/>
            </w:tcBorders>
            <w:noWrap w:val="0"/>
            <w:vAlign w:val="center"/>
          </w:tcPr>
          <w:p>
            <w:pPr>
              <w:keepNext w:val="0"/>
              <w:keepLines w:val="0"/>
              <w:pageBreakBefore w:val="0"/>
              <w:numPr>
                <w:ilvl w:val="0"/>
                <w:numId w:val="12"/>
              </w:numPr>
              <w:kinsoku/>
              <w:wordWrap/>
              <w:overflowPunct/>
              <w:topLinePunct w:val="0"/>
              <w:autoSpaceDE/>
              <w:autoSpaceDN/>
              <w:bidi w:val="0"/>
              <w:adjustRightInd w:val="0"/>
              <w:snapToGrid w:val="0"/>
              <w:spacing w:line="240" w:lineRule="auto"/>
              <w:ind w:firstLineChars="0"/>
              <w:jc w:val="center"/>
              <w:textAlignment w:val="auto"/>
              <w:outlineLvl w:val="9"/>
              <w:rPr>
                <w:rFonts w:hint="default" w:ascii="Times New Roman" w:hAnsi="Times New Roman" w:cs="Times New Roman"/>
                <w:color w:val="auto"/>
                <w:sz w:val="21"/>
                <w:szCs w:val="21"/>
                <w:highlight w:val="none"/>
              </w:rPr>
            </w:pPr>
          </w:p>
        </w:tc>
        <w:tc>
          <w:tcPr>
            <w:tcW w:w="100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rPr>
              <w:t>无水亚硫酸钠</w:t>
            </w:r>
          </w:p>
        </w:tc>
        <w:tc>
          <w:tcPr>
            <w:tcW w:w="758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outlineLvl w:val="9"/>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rPr>
              <w:t>亚硫酸钠，化学式Na</w:t>
            </w:r>
            <w:r>
              <w:rPr>
                <w:rFonts w:hint="default" w:ascii="Times New Roman" w:hAnsi="Times New Roman" w:cs="Times New Roman"/>
                <w:color w:val="auto"/>
                <w:kern w:val="0"/>
                <w:sz w:val="21"/>
                <w:szCs w:val="21"/>
                <w:highlight w:val="none"/>
                <w:vertAlign w:val="subscript"/>
              </w:rPr>
              <w:t>2</w:t>
            </w:r>
            <w:r>
              <w:rPr>
                <w:rFonts w:hint="default" w:ascii="Times New Roman" w:hAnsi="Times New Roman" w:cs="Times New Roman"/>
                <w:color w:val="auto"/>
                <w:kern w:val="0"/>
                <w:sz w:val="21"/>
                <w:szCs w:val="21"/>
                <w:highlight w:val="none"/>
              </w:rPr>
              <w:t>SO</w:t>
            </w:r>
            <w:r>
              <w:rPr>
                <w:rFonts w:hint="default" w:ascii="Times New Roman" w:hAnsi="Times New Roman" w:cs="Times New Roman"/>
                <w:color w:val="auto"/>
                <w:kern w:val="0"/>
                <w:sz w:val="21"/>
                <w:szCs w:val="21"/>
                <w:highlight w:val="none"/>
                <w:vertAlign w:val="subscript"/>
              </w:rPr>
              <w:t>3</w:t>
            </w:r>
            <w:r>
              <w:rPr>
                <w:rFonts w:hint="default" w:ascii="Times New Roman" w:hAnsi="Times New Roman" w:cs="Times New Roman"/>
                <w:color w:val="auto"/>
                <w:kern w:val="0"/>
                <w:sz w:val="21"/>
                <w:szCs w:val="21"/>
                <w:highlight w:val="none"/>
              </w:rPr>
              <w:t>，常见的亚硫酸盐，白色、单斜晶体或粉末。对眼睛、皮肤、粘膜有刺激作用，可污染水源。受高热分解产生有毒的硫化物烟气</w:t>
            </w:r>
            <w:r>
              <w:rPr>
                <w:rFonts w:hint="default" w:ascii="Times New Roman" w:hAnsi="Times New Roman" w:cs="Times New Roman"/>
                <w:color w:val="auto"/>
                <w:kern w:val="0"/>
                <w:sz w:val="21"/>
                <w:szCs w:val="21"/>
                <w:highlight w:val="none"/>
                <w:lang w:eastAsia="zh-CN"/>
              </w:rPr>
              <w:t>。</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0" w:hRule="atLeast"/>
          <w:jc w:val="center"/>
        </w:trPr>
        <w:tc>
          <w:tcPr>
            <w:tcW w:w="707" w:type="dxa"/>
            <w:tcBorders>
              <w:tl2br w:val="nil"/>
              <w:tr2bl w:val="nil"/>
            </w:tcBorders>
            <w:noWrap w:val="0"/>
            <w:vAlign w:val="center"/>
          </w:tcPr>
          <w:p>
            <w:pPr>
              <w:keepNext w:val="0"/>
              <w:keepLines w:val="0"/>
              <w:pageBreakBefore w:val="0"/>
              <w:numPr>
                <w:ilvl w:val="0"/>
                <w:numId w:val="12"/>
              </w:numPr>
              <w:kinsoku/>
              <w:wordWrap/>
              <w:overflowPunct/>
              <w:topLinePunct w:val="0"/>
              <w:autoSpaceDE/>
              <w:autoSpaceDN/>
              <w:bidi w:val="0"/>
              <w:adjustRightInd w:val="0"/>
              <w:snapToGrid w:val="0"/>
              <w:spacing w:line="240" w:lineRule="auto"/>
              <w:ind w:firstLineChars="0"/>
              <w:jc w:val="center"/>
              <w:textAlignment w:val="auto"/>
              <w:outlineLvl w:val="9"/>
              <w:rPr>
                <w:rFonts w:hint="default" w:ascii="Times New Roman" w:hAnsi="Times New Roman" w:cs="Times New Roman"/>
                <w:color w:val="auto"/>
                <w:sz w:val="21"/>
                <w:szCs w:val="21"/>
                <w:highlight w:val="none"/>
              </w:rPr>
            </w:pPr>
          </w:p>
        </w:tc>
        <w:tc>
          <w:tcPr>
            <w:tcW w:w="100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rPr>
              <w:t>焦亚硫酸钠</w:t>
            </w:r>
          </w:p>
        </w:tc>
        <w:tc>
          <w:tcPr>
            <w:tcW w:w="758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白色或黄色结晶粉末或小结晶</w:t>
            </w:r>
            <w:r>
              <w:rPr>
                <w:rFonts w:hint="default" w:ascii="Times New Roman" w:hAnsi="Times New Roman" w:cs="Times New Roman"/>
                <w:color w:val="auto"/>
                <w:kern w:val="0"/>
                <w:sz w:val="21"/>
                <w:szCs w:val="21"/>
                <w:highlight w:val="none"/>
              </w:rPr>
              <w:t>，带有强烈的SO</w:t>
            </w:r>
            <w:r>
              <w:rPr>
                <w:rFonts w:hint="default" w:ascii="Times New Roman" w:hAnsi="Times New Roman" w:cs="Times New Roman"/>
                <w:color w:val="auto"/>
                <w:kern w:val="0"/>
                <w:sz w:val="21"/>
                <w:szCs w:val="21"/>
                <w:highlight w:val="none"/>
                <w:vertAlign w:val="subscript"/>
              </w:rPr>
              <w:t>2</w:t>
            </w:r>
            <w:r>
              <w:rPr>
                <w:rFonts w:hint="default" w:ascii="Times New Roman" w:hAnsi="Times New Roman" w:cs="Times New Roman"/>
                <w:color w:val="auto"/>
                <w:kern w:val="0"/>
                <w:sz w:val="21"/>
                <w:szCs w:val="21"/>
                <w:highlight w:val="none"/>
              </w:rPr>
              <w:t>气味，比重</w:t>
            </w:r>
            <w:r>
              <w:rPr>
                <w:rFonts w:hint="default" w:ascii="Times New Roman" w:hAnsi="Times New Roman" w:cs="Times New Roman"/>
                <w:color w:val="auto"/>
                <w:kern w:val="0"/>
                <w:sz w:val="21"/>
                <w:szCs w:val="21"/>
                <w:highlight w:val="none"/>
              </w:rPr>
              <w:t>1.4，溶于水，水溶液呈酸性，与强酸接触则放出SO</w:t>
            </w:r>
            <w:r>
              <w:rPr>
                <w:rFonts w:hint="default" w:ascii="Times New Roman" w:hAnsi="Times New Roman" w:cs="Times New Roman"/>
                <w:color w:val="auto"/>
                <w:kern w:val="0"/>
                <w:sz w:val="21"/>
                <w:szCs w:val="21"/>
                <w:highlight w:val="none"/>
                <w:vertAlign w:val="subscript"/>
              </w:rPr>
              <w:t>2</w:t>
            </w:r>
            <w:r>
              <w:rPr>
                <w:rFonts w:hint="default" w:ascii="Times New Roman" w:hAnsi="Times New Roman" w:cs="Times New Roman"/>
                <w:color w:val="auto"/>
                <w:kern w:val="0"/>
                <w:sz w:val="21"/>
                <w:szCs w:val="21"/>
                <w:highlight w:val="none"/>
              </w:rPr>
              <w:t>而生成相应的盐类，久置空气中，则氧化成Na</w:t>
            </w:r>
            <w:r>
              <w:rPr>
                <w:rFonts w:hint="default" w:ascii="Times New Roman" w:hAnsi="Times New Roman" w:cs="Times New Roman"/>
                <w:color w:val="auto"/>
                <w:kern w:val="0"/>
                <w:sz w:val="21"/>
                <w:szCs w:val="21"/>
                <w:highlight w:val="none"/>
                <w:vertAlign w:val="subscript"/>
              </w:rPr>
              <w:t>2</w:t>
            </w:r>
            <w:r>
              <w:rPr>
                <w:rFonts w:hint="default" w:ascii="Times New Roman" w:hAnsi="Times New Roman" w:cs="Times New Roman"/>
                <w:color w:val="auto"/>
                <w:kern w:val="0"/>
                <w:sz w:val="21"/>
                <w:szCs w:val="21"/>
                <w:highlight w:val="none"/>
              </w:rPr>
              <w:t>S</w:t>
            </w:r>
            <w:r>
              <w:rPr>
                <w:rFonts w:hint="default" w:ascii="Times New Roman" w:hAnsi="Times New Roman" w:cs="Times New Roman"/>
                <w:color w:val="auto"/>
                <w:kern w:val="0"/>
                <w:sz w:val="21"/>
                <w:szCs w:val="21"/>
                <w:highlight w:val="none"/>
                <w:vertAlign w:val="subscript"/>
              </w:rPr>
              <w:t>2</w:t>
            </w:r>
            <w:r>
              <w:rPr>
                <w:rFonts w:hint="default" w:ascii="Times New Roman" w:hAnsi="Times New Roman" w:cs="Times New Roman"/>
                <w:color w:val="auto"/>
                <w:kern w:val="0"/>
                <w:sz w:val="21"/>
                <w:szCs w:val="21"/>
                <w:highlight w:val="none"/>
              </w:rPr>
              <w:t>O</w:t>
            </w:r>
            <w:r>
              <w:rPr>
                <w:rFonts w:hint="default" w:ascii="Times New Roman" w:hAnsi="Times New Roman" w:cs="Times New Roman"/>
                <w:color w:val="auto"/>
                <w:kern w:val="0"/>
                <w:sz w:val="21"/>
                <w:szCs w:val="21"/>
                <w:highlight w:val="none"/>
                <w:vertAlign w:val="subscript"/>
              </w:rPr>
              <w:t>6</w:t>
            </w:r>
            <w:r>
              <w:rPr>
                <w:rFonts w:hint="default" w:ascii="Times New Roman" w:hAnsi="Times New Roman" w:cs="Times New Roman"/>
                <w:color w:val="auto"/>
                <w:kern w:val="0"/>
                <w:sz w:val="21"/>
                <w:szCs w:val="21"/>
                <w:highlight w:val="none"/>
              </w:rPr>
              <w:t>，故该产品不能久存。高于150摄氏度，即分解出SO</w:t>
            </w:r>
            <w:r>
              <w:rPr>
                <w:rFonts w:hint="default" w:ascii="Times New Roman" w:hAnsi="Times New Roman" w:cs="Times New Roman"/>
                <w:color w:val="auto"/>
                <w:kern w:val="0"/>
                <w:sz w:val="21"/>
                <w:szCs w:val="21"/>
                <w:highlight w:val="none"/>
                <w:vertAlign w:val="subscript"/>
              </w:rPr>
              <w:t>2</w:t>
            </w:r>
            <w:r>
              <w:rPr>
                <w:rFonts w:hint="default" w:ascii="Times New Roman" w:hAnsi="Times New Roman" w:cs="Times New Roman"/>
                <w:color w:val="auto"/>
                <w:kern w:val="0"/>
                <w:sz w:val="21"/>
                <w:szCs w:val="21"/>
                <w:highlight w:val="none"/>
              </w:rPr>
              <w:t>。</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0" w:hRule="atLeast"/>
          <w:jc w:val="center"/>
        </w:trPr>
        <w:tc>
          <w:tcPr>
            <w:tcW w:w="707" w:type="dxa"/>
            <w:tcBorders>
              <w:tl2br w:val="nil"/>
              <w:tr2bl w:val="nil"/>
            </w:tcBorders>
            <w:noWrap w:val="0"/>
            <w:vAlign w:val="center"/>
          </w:tcPr>
          <w:p>
            <w:pPr>
              <w:keepNext w:val="0"/>
              <w:keepLines w:val="0"/>
              <w:pageBreakBefore w:val="0"/>
              <w:numPr>
                <w:ilvl w:val="0"/>
                <w:numId w:val="12"/>
              </w:numPr>
              <w:kinsoku/>
              <w:wordWrap/>
              <w:overflowPunct/>
              <w:topLinePunct w:val="0"/>
              <w:autoSpaceDE/>
              <w:autoSpaceDN/>
              <w:bidi w:val="0"/>
              <w:adjustRightInd w:val="0"/>
              <w:snapToGrid w:val="0"/>
              <w:spacing w:line="240" w:lineRule="auto"/>
              <w:ind w:firstLineChars="0"/>
              <w:jc w:val="center"/>
              <w:textAlignment w:val="auto"/>
              <w:outlineLvl w:val="9"/>
              <w:rPr>
                <w:rFonts w:hint="default" w:ascii="Times New Roman" w:hAnsi="Times New Roman" w:cs="Times New Roman"/>
                <w:color w:val="auto"/>
                <w:sz w:val="21"/>
                <w:szCs w:val="21"/>
                <w:highlight w:val="none"/>
              </w:rPr>
            </w:pPr>
          </w:p>
        </w:tc>
        <w:tc>
          <w:tcPr>
            <w:tcW w:w="100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rPr>
              <w:t>氯化亚锡</w:t>
            </w:r>
          </w:p>
        </w:tc>
        <w:tc>
          <w:tcPr>
            <w:tcW w:w="758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outlineLvl w:val="9"/>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rPr>
              <w:t>化学式SnCl</w:t>
            </w:r>
            <w:r>
              <w:rPr>
                <w:rFonts w:hint="default" w:ascii="Times New Roman" w:hAnsi="Times New Roman" w:cs="Times New Roman"/>
                <w:color w:val="auto"/>
                <w:kern w:val="0"/>
                <w:sz w:val="21"/>
                <w:szCs w:val="21"/>
                <w:highlight w:val="none"/>
                <w:vertAlign w:val="subscript"/>
              </w:rPr>
              <w:t>2</w:t>
            </w:r>
            <w:r>
              <w:rPr>
                <w:rFonts w:hint="default" w:ascii="Times New Roman" w:hAnsi="Times New Roman" w:cs="Times New Roman"/>
                <w:color w:val="auto"/>
                <w:kern w:val="0"/>
                <w:sz w:val="21"/>
                <w:szCs w:val="21"/>
                <w:highlight w:val="none"/>
              </w:rPr>
              <w:t>。为白色或白色单斜晶系结晶。相对密度2.710，熔点37.7度，在熔点下分解为盐酸和碱式盐。无水物密度为3.950g/cm3 ，沸点623度，在溶点下分解为盐酸和碱式盐，易溶于水、醇、冰醋酸中，在浓盐酸中溶解度大大增加，还可以以一水物、四水物的形式存在</w:t>
            </w:r>
            <w:r>
              <w:rPr>
                <w:rFonts w:hint="default" w:ascii="Times New Roman" w:hAnsi="Times New Roman" w:cs="Times New Roman"/>
                <w:color w:val="auto"/>
                <w:kern w:val="0"/>
                <w:sz w:val="21"/>
                <w:szCs w:val="21"/>
                <w:highlight w:val="none"/>
                <w:lang w:eastAsia="zh-CN"/>
              </w:rPr>
              <w:t>。</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0" w:hRule="atLeast"/>
          <w:jc w:val="center"/>
        </w:trPr>
        <w:tc>
          <w:tcPr>
            <w:tcW w:w="707" w:type="dxa"/>
            <w:tcBorders>
              <w:tl2br w:val="nil"/>
              <w:tr2bl w:val="nil"/>
            </w:tcBorders>
            <w:noWrap w:val="0"/>
            <w:vAlign w:val="center"/>
          </w:tcPr>
          <w:p>
            <w:pPr>
              <w:keepNext w:val="0"/>
              <w:keepLines w:val="0"/>
              <w:pageBreakBefore w:val="0"/>
              <w:numPr>
                <w:ilvl w:val="0"/>
                <w:numId w:val="12"/>
              </w:numPr>
              <w:kinsoku/>
              <w:wordWrap/>
              <w:overflowPunct/>
              <w:topLinePunct w:val="0"/>
              <w:autoSpaceDE/>
              <w:autoSpaceDN/>
              <w:bidi w:val="0"/>
              <w:adjustRightInd w:val="0"/>
              <w:snapToGrid w:val="0"/>
              <w:spacing w:line="240" w:lineRule="auto"/>
              <w:ind w:firstLineChars="0"/>
              <w:jc w:val="center"/>
              <w:textAlignment w:val="auto"/>
              <w:outlineLvl w:val="9"/>
              <w:rPr>
                <w:rFonts w:hint="default" w:ascii="Times New Roman" w:hAnsi="Times New Roman" w:cs="Times New Roman"/>
                <w:color w:val="auto"/>
                <w:sz w:val="21"/>
                <w:szCs w:val="21"/>
                <w:highlight w:val="none"/>
              </w:rPr>
            </w:pPr>
          </w:p>
        </w:tc>
        <w:tc>
          <w:tcPr>
            <w:tcW w:w="100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rPr>
              <w:t>硝酸银</w:t>
            </w:r>
          </w:p>
        </w:tc>
        <w:tc>
          <w:tcPr>
            <w:tcW w:w="758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无色晶体，易溶于水。纯硝酸银对光稳定，但由于一般的产品纯度不够，其水溶液和固体常被保存在棕色试剂瓶中。</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0" w:hRule="atLeast"/>
          <w:jc w:val="center"/>
        </w:trPr>
        <w:tc>
          <w:tcPr>
            <w:tcW w:w="707" w:type="dxa"/>
            <w:tcBorders>
              <w:tl2br w:val="nil"/>
              <w:tr2bl w:val="nil"/>
            </w:tcBorders>
            <w:noWrap w:val="0"/>
            <w:vAlign w:val="center"/>
          </w:tcPr>
          <w:p>
            <w:pPr>
              <w:keepNext w:val="0"/>
              <w:keepLines w:val="0"/>
              <w:pageBreakBefore w:val="0"/>
              <w:numPr>
                <w:ilvl w:val="0"/>
                <w:numId w:val="12"/>
              </w:numPr>
              <w:kinsoku/>
              <w:wordWrap/>
              <w:overflowPunct/>
              <w:topLinePunct w:val="0"/>
              <w:autoSpaceDE/>
              <w:autoSpaceDN/>
              <w:bidi w:val="0"/>
              <w:adjustRightInd w:val="0"/>
              <w:snapToGrid w:val="0"/>
              <w:spacing w:line="240" w:lineRule="auto"/>
              <w:ind w:firstLineChars="0"/>
              <w:jc w:val="center"/>
              <w:textAlignment w:val="auto"/>
              <w:outlineLvl w:val="9"/>
              <w:rPr>
                <w:rFonts w:hint="default" w:ascii="Times New Roman" w:hAnsi="Times New Roman" w:cs="Times New Roman"/>
                <w:color w:val="auto"/>
                <w:sz w:val="21"/>
                <w:szCs w:val="21"/>
                <w:highlight w:val="none"/>
              </w:rPr>
            </w:pPr>
          </w:p>
        </w:tc>
        <w:tc>
          <w:tcPr>
            <w:tcW w:w="100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rPr>
              <w:t>氨水</w:t>
            </w:r>
          </w:p>
        </w:tc>
        <w:tc>
          <w:tcPr>
            <w:tcW w:w="758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主要成分为NH</w:t>
            </w:r>
            <w:r>
              <w:rPr>
                <w:rFonts w:hint="default" w:ascii="Times New Roman" w:hAnsi="Times New Roman" w:cs="Times New Roman"/>
                <w:color w:val="auto"/>
                <w:kern w:val="0"/>
                <w:sz w:val="21"/>
                <w:szCs w:val="21"/>
                <w:highlight w:val="none"/>
                <w:vertAlign w:val="subscript"/>
              </w:rPr>
              <w:t>3</w:t>
            </w:r>
            <w:r>
              <w:rPr>
                <w:rFonts w:hint="default" w:ascii="Times New Roman" w:hAnsi="Times New Roman" w:cs="Times New Roman"/>
                <w:color w:val="auto"/>
                <w:kern w:val="0"/>
                <w:sz w:val="21"/>
                <w:szCs w:val="21"/>
                <w:highlight w:val="none"/>
              </w:rPr>
              <w:t>·H</w:t>
            </w:r>
            <w:r>
              <w:rPr>
                <w:rFonts w:hint="default" w:ascii="Times New Roman" w:hAnsi="Times New Roman" w:cs="Times New Roman"/>
                <w:color w:val="auto"/>
                <w:kern w:val="0"/>
                <w:sz w:val="21"/>
                <w:szCs w:val="21"/>
                <w:highlight w:val="none"/>
                <w:vertAlign w:val="subscript"/>
              </w:rPr>
              <w:t>2</w:t>
            </w:r>
            <w:r>
              <w:rPr>
                <w:rFonts w:hint="default" w:ascii="Times New Roman" w:hAnsi="Times New Roman" w:cs="Times New Roman"/>
                <w:color w:val="auto"/>
                <w:kern w:val="0"/>
                <w:sz w:val="21"/>
                <w:szCs w:val="21"/>
                <w:highlight w:val="none"/>
              </w:rPr>
              <w:t>O，是氨的水溶液，无色透明且具有刺激性气味。氨的熔点-77.7℃，沸点-33.5℃，密度0.91g/cm³。氨气易溶于水、乙醇。易挥发，具有部分碱的通性，氨水由氨气通入水中制得。氨气有毒，对眼、鼻、皮肤有刺激性和腐蚀性，能使人窒息，空气中最高容许浓度30mg/m</w:t>
            </w:r>
            <w:r>
              <w:rPr>
                <w:rFonts w:hint="default" w:ascii="Times New Roman" w:hAnsi="Times New Roman" w:cs="Times New Roman"/>
                <w:color w:val="auto"/>
                <w:kern w:val="0"/>
                <w:sz w:val="21"/>
                <w:szCs w:val="21"/>
                <w:highlight w:val="none"/>
                <w:vertAlign w:val="superscript"/>
              </w:rPr>
              <w:t>3</w:t>
            </w:r>
            <w:r>
              <w:rPr>
                <w:rFonts w:hint="default" w:ascii="Times New Roman" w:hAnsi="Times New Roman" w:cs="Times New Roman"/>
                <w:color w:val="auto"/>
                <w:kern w:val="0"/>
                <w:sz w:val="21"/>
                <w:szCs w:val="21"/>
                <w:highlight w:val="none"/>
              </w:rPr>
              <w:t>。</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0" w:hRule="atLeast"/>
          <w:jc w:val="center"/>
        </w:trPr>
        <w:tc>
          <w:tcPr>
            <w:tcW w:w="707" w:type="dxa"/>
            <w:tcBorders>
              <w:tl2br w:val="nil"/>
              <w:tr2bl w:val="nil"/>
            </w:tcBorders>
            <w:noWrap w:val="0"/>
            <w:vAlign w:val="center"/>
          </w:tcPr>
          <w:p>
            <w:pPr>
              <w:keepNext w:val="0"/>
              <w:keepLines w:val="0"/>
              <w:pageBreakBefore w:val="0"/>
              <w:numPr>
                <w:ilvl w:val="0"/>
                <w:numId w:val="12"/>
              </w:numPr>
              <w:kinsoku/>
              <w:wordWrap/>
              <w:overflowPunct/>
              <w:topLinePunct w:val="0"/>
              <w:autoSpaceDE/>
              <w:autoSpaceDN/>
              <w:bidi w:val="0"/>
              <w:adjustRightInd w:val="0"/>
              <w:snapToGrid w:val="0"/>
              <w:spacing w:line="240" w:lineRule="auto"/>
              <w:ind w:firstLineChars="0"/>
              <w:jc w:val="center"/>
              <w:textAlignment w:val="auto"/>
              <w:outlineLvl w:val="9"/>
              <w:rPr>
                <w:rFonts w:hint="default" w:ascii="Times New Roman" w:hAnsi="Times New Roman" w:cs="Times New Roman"/>
                <w:color w:val="auto"/>
                <w:sz w:val="21"/>
                <w:szCs w:val="21"/>
                <w:highlight w:val="none"/>
              </w:rPr>
            </w:pPr>
          </w:p>
        </w:tc>
        <w:tc>
          <w:tcPr>
            <w:tcW w:w="100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rPr>
              <w:t>葡萄糖</w:t>
            </w:r>
          </w:p>
        </w:tc>
        <w:tc>
          <w:tcPr>
            <w:tcW w:w="758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有机化合物，分子式C</w:t>
            </w:r>
            <w:r>
              <w:rPr>
                <w:rFonts w:hint="default" w:ascii="Times New Roman" w:hAnsi="Times New Roman" w:cs="Times New Roman"/>
                <w:color w:val="auto"/>
                <w:kern w:val="0"/>
                <w:sz w:val="21"/>
                <w:szCs w:val="21"/>
                <w:highlight w:val="none"/>
                <w:vertAlign w:val="subscript"/>
              </w:rPr>
              <w:t>6</w:t>
            </w:r>
            <w:r>
              <w:rPr>
                <w:rFonts w:hint="default" w:ascii="Times New Roman" w:hAnsi="Times New Roman" w:cs="Times New Roman"/>
                <w:color w:val="auto"/>
                <w:kern w:val="0"/>
                <w:sz w:val="21"/>
                <w:szCs w:val="21"/>
                <w:highlight w:val="none"/>
              </w:rPr>
              <w:t>H</w:t>
            </w:r>
            <w:r>
              <w:rPr>
                <w:rFonts w:hint="default" w:ascii="Times New Roman" w:hAnsi="Times New Roman" w:cs="Times New Roman"/>
                <w:color w:val="auto"/>
                <w:kern w:val="0"/>
                <w:sz w:val="21"/>
                <w:szCs w:val="21"/>
                <w:highlight w:val="none"/>
                <w:vertAlign w:val="subscript"/>
              </w:rPr>
              <w:t>12</w:t>
            </w:r>
            <w:r>
              <w:rPr>
                <w:rFonts w:hint="default" w:ascii="Times New Roman" w:hAnsi="Times New Roman" w:cs="Times New Roman"/>
                <w:color w:val="auto"/>
                <w:kern w:val="0"/>
                <w:sz w:val="21"/>
                <w:szCs w:val="21"/>
                <w:highlight w:val="none"/>
              </w:rPr>
              <w:t>O</w:t>
            </w:r>
            <w:r>
              <w:rPr>
                <w:rFonts w:hint="default" w:ascii="Times New Roman" w:hAnsi="Times New Roman" w:cs="Times New Roman"/>
                <w:color w:val="auto"/>
                <w:kern w:val="0"/>
                <w:sz w:val="21"/>
                <w:szCs w:val="21"/>
                <w:highlight w:val="none"/>
                <w:vertAlign w:val="subscript"/>
              </w:rPr>
              <w:t>6</w:t>
            </w:r>
            <w:r>
              <w:rPr>
                <w:rFonts w:hint="default" w:ascii="Times New Roman" w:hAnsi="Times New Roman" w:cs="Times New Roman"/>
                <w:color w:val="auto"/>
                <w:kern w:val="0"/>
                <w:sz w:val="21"/>
                <w:szCs w:val="21"/>
                <w:highlight w:val="none"/>
              </w:rPr>
              <w:t>。是自然界分布最广且最为重要的一种单糖，它是一种多羟基醛。纯净的葡萄糖为无色晶体，有甜味但甜味不如蔗糖，易溶于水，微溶于乙醇，不溶于乙醚。</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0" w:hRule="atLeast"/>
          <w:jc w:val="center"/>
        </w:trPr>
        <w:tc>
          <w:tcPr>
            <w:tcW w:w="707" w:type="dxa"/>
            <w:tcBorders>
              <w:tl2br w:val="nil"/>
              <w:tr2bl w:val="nil"/>
            </w:tcBorders>
            <w:noWrap w:val="0"/>
            <w:vAlign w:val="center"/>
          </w:tcPr>
          <w:p>
            <w:pPr>
              <w:keepNext w:val="0"/>
              <w:keepLines w:val="0"/>
              <w:pageBreakBefore w:val="0"/>
              <w:numPr>
                <w:ilvl w:val="0"/>
                <w:numId w:val="12"/>
              </w:numPr>
              <w:kinsoku/>
              <w:wordWrap/>
              <w:overflowPunct/>
              <w:topLinePunct w:val="0"/>
              <w:autoSpaceDE/>
              <w:autoSpaceDN/>
              <w:bidi w:val="0"/>
              <w:adjustRightInd w:val="0"/>
              <w:snapToGrid w:val="0"/>
              <w:spacing w:line="240" w:lineRule="auto"/>
              <w:ind w:firstLineChars="0"/>
              <w:jc w:val="center"/>
              <w:textAlignment w:val="auto"/>
              <w:outlineLvl w:val="9"/>
              <w:rPr>
                <w:rFonts w:hint="default" w:ascii="Times New Roman" w:hAnsi="Times New Roman" w:cs="Times New Roman"/>
                <w:color w:val="auto"/>
                <w:sz w:val="21"/>
                <w:szCs w:val="21"/>
                <w:highlight w:val="none"/>
              </w:rPr>
            </w:pPr>
          </w:p>
        </w:tc>
        <w:tc>
          <w:tcPr>
            <w:tcW w:w="100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rPr>
              <w:t>酒石酸</w:t>
            </w:r>
          </w:p>
        </w:tc>
        <w:tc>
          <w:tcPr>
            <w:tcW w:w="758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C</w:t>
            </w:r>
            <w:r>
              <w:rPr>
                <w:rFonts w:hint="default" w:ascii="Times New Roman" w:hAnsi="Times New Roman" w:cs="Times New Roman"/>
                <w:color w:val="auto"/>
                <w:kern w:val="0"/>
                <w:sz w:val="21"/>
                <w:szCs w:val="21"/>
                <w:highlight w:val="none"/>
                <w:vertAlign w:val="subscript"/>
              </w:rPr>
              <w:t>4</w:t>
            </w:r>
            <w:r>
              <w:rPr>
                <w:rFonts w:hint="default" w:ascii="Times New Roman" w:hAnsi="Times New Roman" w:cs="Times New Roman"/>
                <w:color w:val="auto"/>
                <w:kern w:val="0"/>
                <w:sz w:val="21"/>
                <w:szCs w:val="21"/>
                <w:highlight w:val="none"/>
              </w:rPr>
              <w:t>H</w:t>
            </w:r>
            <w:r>
              <w:rPr>
                <w:rFonts w:hint="default" w:ascii="Times New Roman" w:hAnsi="Times New Roman" w:cs="Times New Roman"/>
                <w:color w:val="auto"/>
                <w:kern w:val="0"/>
                <w:sz w:val="21"/>
                <w:szCs w:val="21"/>
                <w:highlight w:val="none"/>
                <w:vertAlign w:val="subscript"/>
              </w:rPr>
              <w:t>6</w:t>
            </w:r>
            <w:r>
              <w:rPr>
                <w:rFonts w:hint="default" w:ascii="Times New Roman" w:hAnsi="Times New Roman" w:cs="Times New Roman"/>
                <w:color w:val="auto"/>
                <w:kern w:val="0"/>
                <w:sz w:val="21"/>
                <w:szCs w:val="21"/>
                <w:highlight w:val="none"/>
              </w:rPr>
              <w:t>O</w:t>
            </w:r>
            <w:r>
              <w:rPr>
                <w:rFonts w:hint="default" w:ascii="Times New Roman" w:hAnsi="Times New Roman" w:cs="Times New Roman"/>
                <w:color w:val="auto"/>
                <w:kern w:val="0"/>
                <w:sz w:val="21"/>
                <w:szCs w:val="21"/>
                <w:highlight w:val="none"/>
                <w:vertAlign w:val="subscript"/>
              </w:rPr>
              <w:t>6</w:t>
            </w: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2,3-二羟基丁二酸，是一种羧酸﹐密度：1.7598</w:t>
            </w:r>
            <w:r>
              <w:rPr>
                <w:rFonts w:hint="default" w:ascii="Times New Roman" w:hAnsi="Times New Roman" w:cs="Times New Roman"/>
                <w:color w:val="auto"/>
                <w:kern w:val="0"/>
                <w:sz w:val="21"/>
                <w:szCs w:val="21"/>
                <w:highlight w:val="none"/>
                <w:lang w:eastAsia="zh-CN"/>
              </w:rPr>
              <w:t>，溶于水、丙酮、乙醇，</w:t>
            </w:r>
            <w:r>
              <w:rPr>
                <w:rFonts w:hint="default" w:ascii="Times New Roman" w:hAnsi="Times New Roman" w:cs="Times New Roman"/>
                <w:color w:val="auto"/>
                <w:kern w:val="0"/>
                <w:sz w:val="21"/>
                <w:szCs w:val="21"/>
                <w:highlight w:val="none"/>
              </w:rPr>
              <w:t>是一个重要的助剂和还原剂，可以控制银镜的形成速度，获得非常均一的镀层。</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0" w:hRule="atLeast"/>
          <w:jc w:val="center"/>
        </w:trPr>
        <w:tc>
          <w:tcPr>
            <w:tcW w:w="707" w:type="dxa"/>
            <w:tcBorders>
              <w:tl2br w:val="nil"/>
              <w:tr2bl w:val="nil"/>
            </w:tcBorders>
            <w:noWrap w:val="0"/>
            <w:vAlign w:val="center"/>
          </w:tcPr>
          <w:p>
            <w:pPr>
              <w:keepNext w:val="0"/>
              <w:keepLines w:val="0"/>
              <w:pageBreakBefore w:val="0"/>
              <w:numPr>
                <w:ilvl w:val="0"/>
                <w:numId w:val="12"/>
              </w:numPr>
              <w:kinsoku/>
              <w:wordWrap/>
              <w:overflowPunct/>
              <w:topLinePunct w:val="0"/>
              <w:autoSpaceDE/>
              <w:autoSpaceDN/>
              <w:bidi w:val="0"/>
              <w:adjustRightInd w:val="0"/>
              <w:snapToGrid w:val="0"/>
              <w:spacing w:line="240" w:lineRule="auto"/>
              <w:ind w:firstLineChars="0"/>
              <w:jc w:val="center"/>
              <w:textAlignment w:val="auto"/>
              <w:outlineLvl w:val="9"/>
              <w:rPr>
                <w:rFonts w:hint="default" w:ascii="Times New Roman" w:hAnsi="Times New Roman" w:cs="Times New Roman"/>
                <w:color w:val="auto"/>
                <w:sz w:val="21"/>
                <w:szCs w:val="21"/>
                <w:highlight w:val="none"/>
              </w:rPr>
            </w:pPr>
          </w:p>
        </w:tc>
        <w:tc>
          <w:tcPr>
            <w:tcW w:w="100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咪唑</w:t>
            </w:r>
          </w:p>
        </w:tc>
        <w:tc>
          <w:tcPr>
            <w:tcW w:w="758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单斜晶系棱柱状无色结晶。有氨气味。相对分子质量68.08。相对密度1.0303(101/4℃)。熔点89～91℃，闪点145℃。折射率1.4801(101℃)。粘度2.696mPa·s(100℃)。微溶于苯、石油醚，溶于乙醚、丙酮、氯仿、吡啶，易溶于水(常温70)、乙醇。显弱碱性。</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0" w:hRule="atLeast"/>
          <w:jc w:val="center"/>
        </w:trPr>
        <w:tc>
          <w:tcPr>
            <w:tcW w:w="707" w:type="dxa"/>
            <w:tcBorders>
              <w:tl2br w:val="nil"/>
              <w:tr2bl w:val="nil"/>
            </w:tcBorders>
            <w:noWrap w:val="0"/>
            <w:vAlign w:val="center"/>
          </w:tcPr>
          <w:p>
            <w:pPr>
              <w:keepNext w:val="0"/>
              <w:keepLines w:val="0"/>
              <w:pageBreakBefore w:val="0"/>
              <w:numPr>
                <w:ilvl w:val="0"/>
                <w:numId w:val="12"/>
              </w:numPr>
              <w:kinsoku/>
              <w:wordWrap/>
              <w:overflowPunct/>
              <w:topLinePunct w:val="0"/>
              <w:autoSpaceDE/>
              <w:autoSpaceDN/>
              <w:bidi w:val="0"/>
              <w:adjustRightInd w:val="0"/>
              <w:snapToGrid w:val="0"/>
              <w:spacing w:line="240" w:lineRule="auto"/>
              <w:ind w:firstLineChars="0"/>
              <w:jc w:val="center"/>
              <w:textAlignment w:val="auto"/>
              <w:outlineLvl w:val="9"/>
              <w:rPr>
                <w:rFonts w:hint="default" w:ascii="Times New Roman" w:hAnsi="Times New Roman" w:cs="Times New Roman"/>
                <w:color w:val="auto"/>
                <w:sz w:val="21"/>
                <w:szCs w:val="21"/>
                <w:highlight w:val="none"/>
              </w:rPr>
            </w:pPr>
          </w:p>
        </w:tc>
        <w:tc>
          <w:tcPr>
            <w:tcW w:w="100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三氯化铁</w:t>
            </w:r>
          </w:p>
        </w:tc>
        <w:tc>
          <w:tcPr>
            <w:tcW w:w="758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FeCl</w:t>
            </w:r>
            <w:r>
              <w:rPr>
                <w:rFonts w:hint="default" w:ascii="Times New Roman" w:hAnsi="Times New Roman" w:cs="Times New Roman"/>
                <w:color w:val="auto"/>
                <w:kern w:val="0"/>
                <w:sz w:val="21"/>
                <w:szCs w:val="21"/>
                <w:highlight w:val="none"/>
                <w:vertAlign w:val="subscript"/>
              </w:rPr>
              <w:t>3</w:t>
            </w:r>
            <w:r>
              <w:rPr>
                <w:rFonts w:hint="default" w:ascii="Times New Roman" w:hAnsi="Times New Roman" w:cs="Times New Roman"/>
                <w:color w:val="auto"/>
                <w:kern w:val="0"/>
                <w:sz w:val="21"/>
                <w:szCs w:val="21"/>
                <w:highlight w:val="none"/>
              </w:rPr>
              <w:t>。是一种共价化合物。为黑棕色结晶，也有薄片状，熔点306℃、沸点315℃，易溶于水并且有强烈的吸水性，能吸收空气里的水分而潮解。FeCl</w:t>
            </w:r>
            <w:r>
              <w:rPr>
                <w:rFonts w:hint="default" w:ascii="Times New Roman" w:hAnsi="Times New Roman" w:cs="Times New Roman"/>
                <w:color w:val="auto"/>
                <w:kern w:val="0"/>
                <w:sz w:val="21"/>
                <w:szCs w:val="21"/>
                <w:highlight w:val="none"/>
                <w:vertAlign w:val="subscript"/>
              </w:rPr>
              <w:t>3</w:t>
            </w:r>
            <w:r>
              <w:rPr>
                <w:rFonts w:hint="default" w:ascii="Times New Roman" w:hAnsi="Times New Roman" w:cs="Times New Roman"/>
                <w:color w:val="auto"/>
                <w:kern w:val="0"/>
                <w:sz w:val="21"/>
                <w:szCs w:val="21"/>
                <w:highlight w:val="none"/>
              </w:rPr>
              <w:t>从水溶液析出时带六个结晶水为FeCl</w:t>
            </w:r>
            <w:r>
              <w:rPr>
                <w:rFonts w:hint="default" w:ascii="Times New Roman" w:hAnsi="Times New Roman" w:cs="Times New Roman"/>
                <w:color w:val="auto"/>
                <w:kern w:val="0"/>
                <w:sz w:val="21"/>
                <w:szCs w:val="21"/>
                <w:highlight w:val="none"/>
                <w:vertAlign w:val="subscript"/>
              </w:rPr>
              <w:t>3</w:t>
            </w:r>
            <w:r>
              <w:rPr>
                <w:rFonts w:hint="default" w:ascii="Times New Roman" w:hAnsi="Times New Roman" w:cs="Times New Roman"/>
                <w:color w:val="auto"/>
                <w:kern w:val="0"/>
                <w:sz w:val="21"/>
                <w:szCs w:val="21"/>
                <w:highlight w:val="none"/>
              </w:rPr>
              <w:t>·6H</w:t>
            </w:r>
            <w:r>
              <w:rPr>
                <w:rFonts w:hint="default" w:ascii="Times New Roman" w:hAnsi="Times New Roman" w:cs="Times New Roman"/>
                <w:color w:val="auto"/>
                <w:kern w:val="0"/>
                <w:sz w:val="21"/>
                <w:szCs w:val="21"/>
                <w:highlight w:val="none"/>
                <w:vertAlign w:val="subscript"/>
              </w:rPr>
              <w:t>2</w:t>
            </w:r>
            <w:r>
              <w:rPr>
                <w:rFonts w:hint="default" w:ascii="Times New Roman" w:hAnsi="Times New Roman" w:cs="Times New Roman"/>
                <w:color w:val="auto"/>
                <w:kern w:val="0"/>
                <w:sz w:val="21"/>
                <w:szCs w:val="21"/>
                <w:highlight w:val="none"/>
              </w:rPr>
              <w:t>O，六水合氯化铁是橘黄色的晶体。</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0" w:hRule="atLeast"/>
          <w:jc w:val="center"/>
        </w:trPr>
        <w:tc>
          <w:tcPr>
            <w:tcW w:w="707" w:type="dxa"/>
            <w:tcBorders>
              <w:tl2br w:val="nil"/>
              <w:tr2bl w:val="nil"/>
            </w:tcBorders>
            <w:noWrap w:val="0"/>
            <w:vAlign w:val="center"/>
          </w:tcPr>
          <w:p>
            <w:pPr>
              <w:keepNext w:val="0"/>
              <w:keepLines w:val="0"/>
              <w:pageBreakBefore w:val="0"/>
              <w:numPr>
                <w:ilvl w:val="0"/>
                <w:numId w:val="12"/>
              </w:numPr>
              <w:kinsoku/>
              <w:wordWrap/>
              <w:overflowPunct/>
              <w:topLinePunct w:val="0"/>
              <w:autoSpaceDE/>
              <w:autoSpaceDN/>
              <w:bidi w:val="0"/>
              <w:adjustRightInd w:val="0"/>
              <w:snapToGrid w:val="0"/>
              <w:spacing w:line="240" w:lineRule="auto"/>
              <w:ind w:firstLineChars="0"/>
              <w:jc w:val="center"/>
              <w:textAlignment w:val="auto"/>
              <w:outlineLvl w:val="9"/>
              <w:rPr>
                <w:rFonts w:hint="default" w:ascii="Times New Roman" w:hAnsi="Times New Roman" w:cs="Times New Roman"/>
                <w:color w:val="auto"/>
                <w:sz w:val="21"/>
                <w:szCs w:val="21"/>
                <w:highlight w:val="none"/>
              </w:rPr>
            </w:pPr>
          </w:p>
        </w:tc>
        <w:tc>
          <w:tcPr>
            <w:tcW w:w="100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硫化钠</w:t>
            </w:r>
          </w:p>
        </w:tc>
        <w:tc>
          <w:tcPr>
            <w:tcW w:w="758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outlineLvl w:val="9"/>
              <w:rPr>
                <w:rFonts w:hint="eastAsia"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又称硫化碱，</w:t>
            </w:r>
            <w:r>
              <w:rPr>
                <w:rFonts w:hint="default" w:ascii="Times New Roman" w:hAnsi="Times New Roman" w:cs="Times New Roman"/>
                <w:color w:val="auto"/>
                <w:kern w:val="0"/>
                <w:sz w:val="21"/>
                <w:szCs w:val="21"/>
                <w:highlight w:val="none"/>
              </w:rPr>
              <w:t>无色结晶粉末。吸潮性强，易溶于水。水溶液呈强碱性反应。触及皮肤和毛发时会造成灼伤。</w:t>
            </w:r>
            <w:r>
              <w:rPr>
                <w:rFonts w:hint="eastAsia" w:cs="Times New Roman"/>
                <w:color w:val="auto"/>
                <w:kern w:val="0"/>
                <w:sz w:val="21"/>
                <w:szCs w:val="21"/>
                <w:highlight w:val="none"/>
                <w:lang w:val="en-US" w:eastAsia="zh-CN"/>
              </w:rPr>
              <w:t>熔点950℃，相对密度1.86。</w:t>
            </w:r>
          </w:p>
        </w:tc>
      </w:tr>
    </w:tbl>
    <w:p>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2"/>
        <w:rPr>
          <w:rFonts w:hint="eastAsia" w:ascii="黑体" w:hAnsi="黑体" w:eastAsia="黑体" w:cs="Times New Roman"/>
          <w:color w:val="auto"/>
          <w:sz w:val="24"/>
          <w:highlight w:val="none"/>
        </w:rPr>
      </w:pPr>
      <w:r>
        <w:rPr>
          <w:rFonts w:hint="eastAsia" w:ascii="黑体" w:hAnsi="黑体" w:eastAsia="黑体" w:cs="Times New Roman"/>
          <w:color w:val="auto"/>
          <w:sz w:val="24"/>
          <w:highlight w:val="none"/>
        </w:rPr>
        <w:t>2.2.4主要生产设备</w:t>
      </w:r>
      <w:bookmarkEnd w:id="55"/>
      <w:bookmarkEnd w:id="56"/>
      <w:bookmarkEnd w:id="57"/>
      <w:bookmarkEnd w:id="58"/>
      <w:bookmarkEnd w:id="59"/>
      <w:bookmarkEnd w:id="60"/>
      <w:bookmarkEnd w:id="61"/>
      <w:bookmarkEnd w:id="62"/>
      <w:bookmarkEnd w:id="63"/>
    </w:p>
    <w:p>
      <w:pPr>
        <w:pStyle w:val="104"/>
        <w:ind w:firstLine="472"/>
        <w:rPr>
          <w:color w:val="auto"/>
          <w:highlight w:val="none"/>
        </w:rPr>
      </w:pPr>
      <w:r>
        <w:rPr>
          <w:rFonts w:hint="eastAsia"/>
          <w:color w:val="auto"/>
          <w:highlight w:val="none"/>
        </w:rPr>
        <w:t>本项目主要设备情况详见表2.2-</w:t>
      </w:r>
      <w:r>
        <w:rPr>
          <w:rFonts w:hint="eastAsia"/>
          <w:color w:val="auto"/>
          <w:highlight w:val="none"/>
          <w:lang w:val="en-US" w:eastAsia="zh-CN"/>
        </w:rPr>
        <w:t>5</w:t>
      </w:r>
      <w:r>
        <w:rPr>
          <w:rFonts w:hint="eastAsia"/>
          <w:color w:val="auto"/>
          <w:highlight w:val="none"/>
        </w:rPr>
        <w:t>。</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eastAsia="黑体"/>
          <w:color w:val="auto"/>
          <w:sz w:val="24"/>
          <w:szCs w:val="24"/>
          <w:highlight w:val="none"/>
        </w:rPr>
      </w:pPr>
      <w:r>
        <w:rPr>
          <w:rFonts w:hint="eastAsia" w:eastAsia="黑体"/>
          <w:color w:val="auto"/>
          <w:sz w:val="24"/>
          <w:szCs w:val="24"/>
          <w:highlight w:val="none"/>
        </w:rPr>
        <w:t>表2.2-</w:t>
      </w:r>
      <w:r>
        <w:rPr>
          <w:rFonts w:hint="eastAsia" w:eastAsia="黑体"/>
          <w:color w:val="auto"/>
          <w:sz w:val="24"/>
          <w:szCs w:val="24"/>
          <w:highlight w:val="none"/>
          <w:lang w:val="en-US" w:eastAsia="zh-CN"/>
        </w:rPr>
        <w:t>5</w:t>
      </w:r>
      <w:r>
        <w:rPr>
          <w:rFonts w:eastAsia="黑体"/>
          <w:color w:val="auto"/>
          <w:sz w:val="24"/>
          <w:szCs w:val="24"/>
          <w:highlight w:val="none"/>
        </w:rPr>
        <w:t xml:space="preserve">  </w:t>
      </w:r>
      <w:r>
        <w:rPr>
          <w:rFonts w:hint="eastAsia" w:eastAsia="黑体"/>
          <w:color w:val="auto"/>
          <w:sz w:val="24"/>
          <w:szCs w:val="24"/>
          <w:highlight w:val="none"/>
        </w:rPr>
        <w:t>项目</w:t>
      </w:r>
      <w:r>
        <w:rPr>
          <w:rFonts w:eastAsia="黑体"/>
          <w:color w:val="auto"/>
          <w:sz w:val="24"/>
          <w:szCs w:val="24"/>
          <w:highlight w:val="none"/>
        </w:rPr>
        <w:t>工程</w:t>
      </w:r>
      <w:r>
        <w:rPr>
          <w:rFonts w:hint="eastAsia" w:eastAsia="黑体"/>
          <w:color w:val="auto"/>
          <w:sz w:val="24"/>
          <w:szCs w:val="24"/>
          <w:highlight w:val="none"/>
        </w:rPr>
        <w:t>设备一览</w:t>
      </w:r>
    </w:p>
    <w:tbl>
      <w:tblPr>
        <w:tblStyle w:val="36"/>
        <w:tblW w:w="9198" w:type="dxa"/>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786"/>
        <w:gridCol w:w="682"/>
        <w:gridCol w:w="2325"/>
        <w:gridCol w:w="3281"/>
        <w:gridCol w:w="881"/>
        <w:gridCol w:w="1243"/>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tcMar>
              <w:left w:w="0" w:type="dxa"/>
              <w:right w:w="0" w:type="dxa"/>
            </w:tcMar>
            <w:vAlign w:val="center"/>
          </w:tcPr>
          <w:p>
            <w:pPr>
              <w:keepNext w:val="0"/>
              <w:keepLines w:val="0"/>
              <w:pageBreakBefore w:val="0"/>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eastAsia="宋体" w:cs="Times New Roman"/>
                <w:b/>
                <w:color w:val="auto"/>
                <w:kern w:val="0"/>
                <w:sz w:val="21"/>
                <w:szCs w:val="21"/>
                <w:highlight w:val="none"/>
                <w:lang w:val="en-US" w:eastAsia="zh-CN"/>
              </w:rPr>
            </w:pPr>
            <w:r>
              <w:rPr>
                <w:rFonts w:hint="default" w:ascii="Times New Roman" w:hAnsi="Times New Roman" w:cs="Times New Roman"/>
                <w:b/>
                <w:color w:val="auto"/>
                <w:kern w:val="0"/>
                <w:sz w:val="21"/>
                <w:szCs w:val="21"/>
                <w:highlight w:val="none"/>
                <w:lang w:val="en-US" w:eastAsia="zh-CN"/>
              </w:rPr>
              <w:t>车间</w:t>
            </w:r>
          </w:p>
        </w:tc>
        <w:tc>
          <w:tcPr>
            <w:tcW w:w="682" w:type="dxa"/>
            <w:tcMar>
              <w:left w:w="0" w:type="dxa"/>
              <w:right w:w="0" w:type="dxa"/>
            </w:tcMar>
            <w:vAlign w:val="center"/>
          </w:tcPr>
          <w:p>
            <w:pPr>
              <w:keepNext w:val="0"/>
              <w:keepLines w:val="0"/>
              <w:pageBreakBefore w:val="0"/>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b/>
                <w:color w:val="auto"/>
                <w:kern w:val="0"/>
                <w:sz w:val="21"/>
                <w:szCs w:val="21"/>
                <w:highlight w:val="none"/>
              </w:rPr>
              <w:t>序号</w:t>
            </w:r>
          </w:p>
        </w:tc>
        <w:tc>
          <w:tcPr>
            <w:tcW w:w="2325" w:type="dxa"/>
            <w:tcMar>
              <w:left w:w="0" w:type="dxa"/>
              <w:right w:w="0" w:type="dxa"/>
            </w:tcMar>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名称</w:t>
            </w:r>
          </w:p>
        </w:tc>
        <w:tc>
          <w:tcPr>
            <w:tcW w:w="3281" w:type="dxa"/>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型号/尺寸</w:t>
            </w:r>
          </w:p>
        </w:tc>
        <w:tc>
          <w:tcPr>
            <w:tcW w:w="881" w:type="dxa"/>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单位</w:t>
            </w:r>
          </w:p>
        </w:tc>
        <w:tc>
          <w:tcPr>
            <w:tcW w:w="1243" w:type="dxa"/>
            <w:tcMar>
              <w:left w:w="0" w:type="dxa"/>
              <w:right w:w="0" w:type="dxa"/>
            </w:tcMar>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数量</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restart"/>
            <w:tcMar>
              <w:left w:w="0" w:type="dxa"/>
              <w:right w:w="0" w:type="dxa"/>
            </w:tcMar>
            <w:vAlign w:val="center"/>
          </w:tcPr>
          <w:p>
            <w:pPr>
              <w:keepNext w:val="0"/>
              <w:keepLines w:val="0"/>
              <w:pageBreakBefore w:val="0"/>
              <w:numPr>
                <w:ilvl w:val="0"/>
                <w:numId w:val="0"/>
              </w:numPr>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1#车间</w:t>
            </w:r>
          </w:p>
        </w:tc>
        <w:tc>
          <w:tcPr>
            <w:tcW w:w="682" w:type="dxa"/>
            <w:tcMar>
              <w:left w:w="0" w:type="dxa"/>
              <w:right w:w="0" w:type="dxa"/>
            </w:tcMar>
            <w:vAlign w:val="center"/>
          </w:tcPr>
          <w:p>
            <w:pPr>
              <w:keepNext w:val="0"/>
              <w:keepLines w:val="0"/>
              <w:pageBreakBefore w:val="0"/>
              <w:kinsoku/>
              <w:wordWrap/>
              <w:overflowPunct/>
              <w:topLinePunct w:val="0"/>
              <w:autoSpaceDE/>
              <w:autoSpaceDN/>
              <w:bidi w:val="0"/>
              <w:snapToGrid w:val="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2325" w:type="dxa"/>
            <w:tcMar>
              <w:left w:w="0" w:type="dxa"/>
              <w:right w:w="0" w:type="dxa"/>
            </w:tcMar>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5H槽</w:t>
            </w:r>
          </w:p>
        </w:tc>
        <w:tc>
          <w:tcPr>
            <w:tcW w:w="3281" w:type="dxa"/>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w:t>
            </w:r>
          </w:p>
        </w:tc>
        <w:tc>
          <w:tcPr>
            <w:tcW w:w="881" w:type="dxa"/>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个</w:t>
            </w:r>
          </w:p>
        </w:tc>
        <w:tc>
          <w:tcPr>
            <w:tcW w:w="1243" w:type="dxa"/>
            <w:tcMar>
              <w:left w:w="0" w:type="dxa"/>
              <w:right w:w="0" w:type="dxa"/>
            </w:tcMar>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3</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numPr>
                <w:ilvl w:val="0"/>
                <w:numId w:val="0"/>
              </w:numPr>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kinsoku/>
              <w:wordWrap/>
              <w:overflowPunct/>
              <w:topLinePunct w:val="0"/>
              <w:autoSpaceDE/>
              <w:autoSpaceDN/>
              <w:bidi w:val="0"/>
              <w:snapToGrid w:val="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c>
          <w:tcPr>
            <w:tcW w:w="2325" w:type="dxa"/>
            <w:tcMar>
              <w:left w:w="0" w:type="dxa"/>
              <w:right w:w="0" w:type="dxa"/>
            </w:tcMar>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泡酸槽</w:t>
            </w:r>
          </w:p>
        </w:tc>
        <w:tc>
          <w:tcPr>
            <w:tcW w:w="3281" w:type="dxa"/>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w:t>
            </w:r>
          </w:p>
        </w:tc>
        <w:tc>
          <w:tcPr>
            <w:tcW w:w="881" w:type="dxa"/>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个</w:t>
            </w:r>
          </w:p>
        </w:tc>
        <w:tc>
          <w:tcPr>
            <w:tcW w:w="1243" w:type="dxa"/>
            <w:tcMar>
              <w:left w:w="0" w:type="dxa"/>
              <w:right w:w="0" w:type="dxa"/>
            </w:tcMar>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4</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PrEx>
        <w:trPr>
          <w:cantSplit/>
          <w:trHeight w:val="283" w:hRule="atLeast"/>
          <w:jc w:val="center"/>
        </w:trPr>
        <w:tc>
          <w:tcPr>
            <w:tcW w:w="786" w:type="dxa"/>
            <w:vMerge w:val="continue"/>
            <w:tcMar>
              <w:left w:w="0" w:type="dxa"/>
              <w:right w:w="0" w:type="dxa"/>
            </w:tcMar>
            <w:vAlign w:val="center"/>
          </w:tcPr>
          <w:p>
            <w:pPr>
              <w:keepNext w:val="0"/>
              <w:keepLines w:val="0"/>
              <w:pageBreakBefore w:val="0"/>
              <w:numPr>
                <w:ilvl w:val="0"/>
                <w:numId w:val="0"/>
              </w:numPr>
              <w:kinsoku/>
              <w:wordWrap/>
              <w:overflowPunct/>
              <w:topLinePunct w:val="0"/>
              <w:autoSpaceDE/>
              <w:autoSpaceDN/>
              <w:bidi w:val="0"/>
              <w:adjustRightInd/>
              <w:snapToGrid w:val="0"/>
              <w:ind w:left="0" w:leftChars="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kinsoku/>
              <w:wordWrap/>
              <w:overflowPunct/>
              <w:topLinePunct w:val="0"/>
              <w:autoSpaceDE/>
              <w:autoSpaceDN/>
              <w:bidi w:val="0"/>
              <w:snapToGrid w:val="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w:t>
            </w:r>
          </w:p>
        </w:tc>
        <w:tc>
          <w:tcPr>
            <w:tcW w:w="2325" w:type="dxa"/>
            <w:tcMar>
              <w:left w:w="0" w:type="dxa"/>
              <w:right w:w="0" w:type="dxa"/>
            </w:tcMar>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清洗水槽</w:t>
            </w:r>
          </w:p>
        </w:tc>
        <w:tc>
          <w:tcPr>
            <w:tcW w:w="3281" w:type="dxa"/>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w:t>
            </w:r>
          </w:p>
        </w:tc>
        <w:tc>
          <w:tcPr>
            <w:tcW w:w="881" w:type="dxa"/>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个</w:t>
            </w:r>
          </w:p>
        </w:tc>
        <w:tc>
          <w:tcPr>
            <w:tcW w:w="1243" w:type="dxa"/>
            <w:tcMar>
              <w:left w:w="0" w:type="dxa"/>
              <w:right w:w="0" w:type="dxa"/>
            </w:tcMar>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6</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numPr>
                <w:ilvl w:val="0"/>
                <w:numId w:val="0"/>
              </w:numPr>
              <w:kinsoku/>
              <w:wordWrap/>
              <w:overflowPunct/>
              <w:topLinePunct w:val="0"/>
              <w:autoSpaceDE/>
              <w:autoSpaceDN/>
              <w:bidi w:val="0"/>
              <w:adjustRightInd/>
              <w:snapToGrid w:val="0"/>
              <w:ind w:left="0" w:leftChars="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kinsoku/>
              <w:wordWrap/>
              <w:overflowPunct/>
              <w:topLinePunct w:val="0"/>
              <w:autoSpaceDE/>
              <w:autoSpaceDN/>
              <w:bidi w:val="0"/>
              <w:snapToGrid w:val="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w:t>
            </w:r>
          </w:p>
        </w:tc>
        <w:tc>
          <w:tcPr>
            <w:tcW w:w="2325" w:type="dxa"/>
            <w:tcMar>
              <w:left w:w="0" w:type="dxa"/>
              <w:right w:w="0" w:type="dxa"/>
            </w:tcMar>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自动滚镀线</w:t>
            </w:r>
          </w:p>
        </w:tc>
        <w:tc>
          <w:tcPr>
            <w:tcW w:w="3281" w:type="dxa"/>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w:t>
            </w:r>
          </w:p>
        </w:tc>
        <w:tc>
          <w:tcPr>
            <w:tcW w:w="881" w:type="dxa"/>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条</w:t>
            </w:r>
          </w:p>
        </w:tc>
        <w:tc>
          <w:tcPr>
            <w:tcW w:w="1243" w:type="dxa"/>
            <w:tcMar>
              <w:left w:w="0" w:type="dxa"/>
              <w:right w:w="0" w:type="dxa"/>
            </w:tcMar>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numPr>
                <w:ilvl w:val="0"/>
                <w:numId w:val="0"/>
              </w:numPr>
              <w:kinsoku/>
              <w:wordWrap/>
              <w:overflowPunct/>
              <w:topLinePunct w:val="0"/>
              <w:autoSpaceDE/>
              <w:autoSpaceDN/>
              <w:bidi w:val="0"/>
              <w:adjustRightInd/>
              <w:snapToGrid w:val="0"/>
              <w:ind w:left="0" w:leftChars="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kinsoku/>
              <w:wordWrap/>
              <w:overflowPunct/>
              <w:topLinePunct w:val="0"/>
              <w:autoSpaceDE/>
              <w:autoSpaceDN/>
              <w:bidi w:val="0"/>
              <w:snapToGrid w:val="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w:t>
            </w:r>
          </w:p>
        </w:tc>
        <w:tc>
          <w:tcPr>
            <w:tcW w:w="2325" w:type="dxa"/>
            <w:tcMar>
              <w:left w:w="0" w:type="dxa"/>
              <w:right w:w="0" w:type="dxa"/>
            </w:tcMar>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热纯水超声器</w:t>
            </w:r>
          </w:p>
        </w:tc>
        <w:tc>
          <w:tcPr>
            <w:tcW w:w="3281" w:type="dxa"/>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w:t>
            </w:r>
          </w:p>
        </w:tc>
        <w:tc>
          <w:tcPr>
            <w:tcW w:w="881" w:type="dxa"/>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台</w:t>
            </w:r>
          </w:p>
        </w:tc>
        <w:tc>
          <w:tcPr>
            <w:tcW w:w="1243" w:type="dxa"/>
            <w:tcMar>
              <w:left w:w="0" w:type="dxa"/>
              <w:right w:w="0" w:type="dxa"/>
            </w:tcMar>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kinsoku/>
              <w:wordWrap/>
              <w:overflowPunct/>
              <w:topLinePunct w:val="0"/>
              <w:autoSpaceDE/>
              <w:autoSpaceDN/>
              <w:bidi w:val="0"/>
              <w:snapToGrid w:val="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w:t>
            </w:r>
          </w:p>
        </w:tc>
        <w:tc>
          <w:tcPr>
            <w:tcW w:w="2325" w:type="dxa"/>
            <w:tcMar>
              <w:left w:w="0" w:type="dxa"/>
              <w:right w:w="0" w:type="dxa"/>
            </w:tcMar>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烤箱</w:t>
            </w:r>
          </w:p>
        </w:tc>
        <w:tc>
          <w:tcPr>
            <w:tcW w:w="3281" w:type="dxa"/>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w:t>
            </w:r>
          </w:p>
        </w:tc>
        <w:tc>
          <w:tcPr>
            <w:tcW w:w="881" w:type="dxa"/>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台</w:t>
            </w:r>
          </w:p>
        </w:tc>
        <w:tc>
          <w:tcPr>
            <w:tcW w:w="1243" w:type="dxa"/>
            <w:tcMar>
              <w:left w:w="0" w:type="dxa"/>
              <w:right w:w="0" w:type="dxa"/>
            </w:tcMar>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5</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kinsoku/>
              <w:wordWrap/>
              <w:overflowPunct/>
              <w:topLinePunct w:val="0"/>
              <w:autoSpaceDE/>
              <w:autoSpaceDN/>
              <w:bidi w:val="0"/>
              <w:snapToGrid w:val="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7</w:t>
            </w:r>
          </w:p>
        </w:tc>
        <w:tc>
          <w:tcPr>
            <w:tcW w:w="2325" w:type="dxa"/>
            <w:tcMar>
              <w:left w:w="0" w:type="dxa"/>
              <w:right w:w="0" w:type="dxa"/>
            </w:tcMar>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自动挂镀线</w:t>
            </w:r>
          </w:p>
        </w:tc>
        <w:tc>
          <w:tcPr>
            <w:tcW w:w="3281" w:type="dxa"/>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w:t>
            </w:r>
          </w:p>
        </w:tc>
        <w:tc>
          <w:tcPr>
            <w:tcW w:w="881" w:type="dxa"/>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条</w:t>
            </w:r>
          </w:p>
        </w:tc>
        <w:tc>
          <w:tcPr>
            <w:tcW w:w="1243" w:type="dxa"/>
            <w:tcMar>
              <w:left w:w="0" w:type="dxa"/>
              <w:right w:w="0" w:type="dxa"/>
            </w:tcMar>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kinsoku/>
              <w:wordWrap/>
              <w:overflowPunct/>
              <w:topLinePunct w:val="0"/>
              <w:autoSpaceDE/>
              <w:autoSpaceDN/>
              <w:bidi w:val="0"/>
              <w:snapToGrid w:val="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8</w:t>
            </w:r>
          </w:p>
        </w:tc>
        <w:tc>
          <w:tcPr>
            <w:tcW w:w="2325" w:type="dxa"/>
            <w:tcMar>
              <w:left w:w="0" w:type="dxa"/>
              <w:right w:w="0" w:type="dxa"/>
            </w:tcMar>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滚镀线滚筒</w:t>
            </w:r>
          </w:p>
        </w:tc>
        <w:tc>
          <w:tcPr>
            <w:tcW w:w="3281" w:type="dxa"/>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w:t>
            </w:r>
          </w:p>
        </w:tc>
        <w:tc>
          <w:tcPr>
            <w:tcW w:w="881" w:type="dxa"/>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个</w:t>
            </w:r>
          </w:p>
        </w:tc>
        <w:tc>
          <w:tcPr>
            <w:tcW w:w="1243" w:type="dxa"/>
            <w:tcMar>
              <w:left w:w="0" w:type="dxa"/>
              <w:right w:w="0" w:type="dxa"/>
            </w:tcMar>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12</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kinsoku/>
              <w:wordWrap/>
              <w:overflowPunct/>
              <w:topLinePunct w:val="0"/>
              <w:autoSpaceDE/>
              <w:autoSpaceDN/>
              <w:bidi w:val="0"/>
              <w:snapToGrid w:val="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9</w:t>
            </w:r>
          </w:p>
        </w:tc>
        <w:tc>
          <w:tcPr>
            <w:tcW w:w="2325" w:type="dxa"/>
            <w:tcMar>
              <w:left w:w="0" w:type="dxa"/>
              <w:right w:w="0" w:type="dxa"/>
            </w:tcMar>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挂镀线挂架</w:t>
            </w:r>
          </w:p>
        </w:tc>
        <w:tc>
          <w:tcPr>
            <w:tcW w:w="3281" w:type="dxa"/>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w:t>
            </w:r>
          </w:p>
        </w:tc>
        <w:tc>
          <w:tcPr>
            <w:tcW w:w="881" w:type="dxa"/>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个</w:t>
            </w:r>
          </w:p>
        </w:tc>
        <w:tc>
          <w:tcPr>
            <w:tcW w:w="1243" w:type="dxa"/>
            <w:tcMar>
              <w:left w:w="0" w:type="dxa"/>
              <w:right w:w="0" w:type="dxa"/>
            </w:tcMar>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50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kinsoku/>
              <w:wordWrap/>
              <w:overflowPunct/>
              <w:topLinePunct w:val="0"/>
              <w:autoSpaceDE/>
              <w:autoSpaceDN/>
              <w:bidi w:val="0"/>
              <w:snapToGrid w:val="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w:t>
            </w:r>
          </w:p>
        </w:tc>
        <w:tc>
          <w:tcPr>
            <w:tcW w:w="2325" w:type="dxa"/>
            <w:tcMar>
              <w:left w:w="0" w:type="dxa"/>
              <w:right w:w="0" w:type="dxa"/>
            </w:tcMar>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制冷机</w:t>
            </w:r>
          </w:p>
        </w:tc>
        <w:tc>
          <w:tcPr>
            <w:tcW w:w="3281" w:type="dxa"/>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10P</w:t>
            </w:r>
          </w:p>
        </w:tc>
        <w:tc>
          <w:tcPr>
            <w:tcW w:w="881" w:type="dxa"/>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个</w:t>
            </w:r>
          </w:p>
        </w:tc>
        <w:tc>
          <w:tcPr>
            <w:tcW w:w="1243" w:type="dxa"/>
            <w:tcMar>
              <w:left w:w="0" w:type="dxa"/>
              <w:right w:w="0" w:type="dxa"/>
            </w:tcMar>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4</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kinsoku/>
              <w:wordWrap/>
              <w:overflowPunct/>
              <w:topLinePunct w:val="0"/>
              <w:autoSpaceDE/>
              <w:autoSpaceDN/>
              <w:bidi w:val="0"/>
              <w:snapToGrid w:val="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11</w:t>
            </w:r>
          </w:p>
        </w:tc>
        <w:tc>
          <w:tcPr>
            <w:tcW w:w="2325" w:type="dxa"/>
            <w:tcMar>
              <w:left w:w="0" w:type="dxa"/>
              <w:right w:w="0" w:type="dxa"/>
            </w:tcMar>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过滤机</w:t>
            </w:r>
          </w:p>
        </w:tc>
        <w:tc>
          <w:tcPr>
            <w:tcW w:w="3281" w:type="dxa"/>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15T</w:t>
            </w:r>
          </w:p>
        </w:tc>
        <w:tc>
          <w:tcPr>
            <w:tcW w:w="881" w:type="dxa"/>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个</w:t>
            </w:r>
          </w:p>
        </w:tc>
        <w:tc>
          <w:tcPr>
            <w:tcW w:w="1243" w:type="dxa"/>
            <w:tcMar>
              <w:left w:w="0" w:type="dxa"/>
              <w:right w:w="0" w:type="dxa"/>
            </w:tcMar>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4</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kinsoku/>
              <w:wordWrap/>
              <w:overflowPunct/>
              <w:topLinePunct w:val="0"/>
              <w:autoSpaceDE/>
              <w:autoSpaceDN/>
              <w:bidi w:val="0"/>
              <w:snapToGrid w:val="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12</w:t>
            </w:r>
          </w:p>
        </w:tc>
        <w:tc>
          <w:tcPr>
            <w:tcW w:w="2325" w:type="dxa"/>
            <w:tcMar>
              <w:left w:w="0" w:type="dxa"/>
              <w:right w:w="0" w:type="dxa"/>
            </w:tcMar>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水刀机</w:t>
            </w:r>
          </w:p>
        </w:tc>
        <w:tc>
          <w:tcPr>
            <w:tcW w:w="3281" w:type="dxa"/>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w:t>
            </w:r>
          </w:p>
        </w:tc>
        <w:tc>
          <w:tcPr>
            <w:tcW w:w="881" w:type="dxa"/>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台</w:t>
            </w:r>
          </w:p>
        </w:tc>
        <w:tc>
          <w:tcPr>
            <w:tcW w:w="1243" w:type="dxa"/>
            <w:tcMar>
              <w:left w:w="0" w:type="dxa"/>
              <w:right w:w="0" w:type="dxa"/>
            </w:tcMar>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3</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kinsoku/>
              <w:wordWrap/>
              <w:overflowPunct/>
              <w:topLinePunct w:val="0"/>
              <w:autoSpaceDE/>
              <w:autoSpaceDN/>
              <w:bidi w:val="0"/>
              <w:snapToGrid w:val="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13</w:t>
            </w:r>
          </w:p>
        </w:tc>
        <w:tc>
          <w:tcPr>
            <w:tcW w:w="2325" w:type="dxa"/>
            <w:tcMar>
              <w:left w:w="0" w:type="dxa"/>
              <w:right w:w="0" w:type="dxa"/>
            </w:tcMar>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整流电源</w:t>
            </w:r>
          </w:p>
        </w:tc>
        <w:tc>
          <w:tcPr>
            <w:tcW w:w="3281" w:type="dxa"/>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12V 600A</w:t>
            </w:r>
          </w:p>
        </w:tc>
        <w:tc>
          <w:tcPr>
            <w:tcW w:w="881" w:type="dxa"/>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台</w:t>
            </w:r>
          </w:p>
        </w:tc>
        <w:tc>
          <w:tcPr>
            <w:tcW w:w="1243" w:type="dxa"/>
            <w:tcMar>
              <w:left w:w="0" w:type="dxa"/>
              <w:right w:w="0" w:type="dxa"/>
            </w:tcMar>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kinsoku/>
              <w:wordWrap/>
              <w:overflowPunct/>
              <w:topLinePunct w:val="0"/>
              <w:autoSpaceDE/>
              <w:autoSpaceDN/>
              <w:bidi w:val="0"/>
              <w:snapToGrid w:val="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14</w:t>
            </w:r>
          </w:p>
        </w:tc>
        <w:tc>
          <w:tcPr>
            <w:tcW w:w="2325" w:type="dxa"/>
            <w:tcMar>
              <w:left w:w="0" w:type="dxa"/>
              <w:right w:w="0" w:type="dxa"/>
            </w:tcMar>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热纯水槽</w:t>
            </w:r>
          </w:p>
        </w:tc>
        <w:tc>
          <w:tcPr>
            <w:tcW w:w="3281" w:type="dxa"/>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w:t>
            </w:r>
          </w:p>
        </w:tc>
        <w:tc>
          <w:tcPr>
            <w:tcW w:w="881" w:type="dxa"/>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个</w:t>
            </w:r>
          </w:p>
        </w:tc>
        <w:tc>
          <w:tcPr>
            <w:tcW w:w="1243" w:type="dxa"/>
            <w:tcMar>
              <w:left w:w="0" w:type="dxa"/>
              <w:right w:w="0" w:type="dxa"/>
            </w:tcMar>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3</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15</w:t>
            </w:r>
          </w:p>
        </w:tc>
        <w:tc>
          <w:tcPr>
            <w:tcW w:w="2325" w:type="dxa"/>
            <w:tcMar>
              <w:left w:w="0" w:type="dxa"/>
              <w:right w:w="0" w:type="dxa"/>
            </w:tcMar>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塑料框</w:t>
            </w:r>
          </w:p>
        </w:tc>
        <w:tc>
          <w:tcPr>
            <w:tcW w:w="3281" w:type="dxa"/>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w:t>
            </w:r>
          </w:p>
        </w:tc>
        <w:tc>
          <w:tcPr>
            <w:tcW w:w="881" w:type="dxa"/>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eastAsia="zh-CN"/>
              </w:rPr>
              <w:t>个</w:t>
            </w:r>
          </w:p>
        </w:tc>
        <w:tc>
          <w:tcPr>
            <w:tcW w:w="1243" w:type="dxa"/>
            <w:tcMar>
              <w:left w:w="0" w:type="dxa"/>
              <w:right w:w="0" w:type="dxa"/>
            </w:tcMar>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20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16</w:t>
            </w:r>
          </w:p>
        </w:tc>
        <w:tc>
          <w:tcPr>
            <w:tcW w:w="2325" w:type="dxa"/>
            <w:tcMar>
              <w:left w:w="0" w:type="dxa"/>
              <w:right w:w="0" w:type="dxa"/>
            </w:tcMar>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塑料盒</w:t>
            </w:r>
          </w:p>
        </w:tc>
        <w:tc>
          <w:tcPr>
            <w:tcW w:w="3281" w:type="dxa"/>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w:t>
            </w:r>
          </w:p>
        </w:tc>
        <w:tc>
          <w:tcPr>
            <w:tcW w:w="881" w:type="dxa"/>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eastAsia="zh-CN"/>
              </w:rPr>
              <w:t>个</w:t>
            </w:r>
          </w:p>
        </w:tc>
        <w:tc>
          <w:tcPr>
            <w:tcW w:w="1243" w:type="dxa"/>
            <w:tcMar>
              <w:left w:w="0" w:type="dxa"/>
              <w:right w:w="0" w:type="dxa"/>
            </w:tcMar>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10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17</w:t>
            </w:r>
          </w:p>
        </w:tc>
        <w:tc>
          <w:tcPr>
            <w:tcW w:w="2325" w:type="dxa"/>
            <w:tcMar>
              <w:left w:w="0" w:type="dxa"/>
              <w:right w:w="0" w:type="dxa"/>
            </w:tcMar>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甩干机</w:t>
            </w:r>
          </w:p>
        </w:tc>
        <w:tc>
          <w:tcPr>
            <w:tcW w:w="3281" w:type="dxa"/>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w:t>
            </w:r>
          </w:p>
        </w:tc>
        <w:tc>
          <w:tcPr>
            <w:tcW w:w="881" w:type="dxa"/>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eastAsia="zh-CN"/>
              </w:rPr>
              <w:t>台</w:t>
            </w:r>
          </w:p>
        </w:tc>
        <w:tc>
          <w:tcPr>
            <w:tcW w:w="1243" w:type="dxa"/>
            <w:tcMar>
              <w:left w:w="0" w:type="dxa"/>
              <w:right w:w="0" w:type="dxa"/>
            </w:tcMar>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2</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18</w:t>
            </w:r>
          </w:p>
        </w:tc>
        <w:tc>
          <w:tcPr>
            <w:tcW w:w="2325" w:type="dxa"/>
            <w:tcMar>
              <w:left w:w="0" w:type="dxa"/>
              <w:right w:w="0" w:type="dxa"/>
            </w:tcMar>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不锈钢蓝</w:t>
            </w:r>
          </w:p>
        </w:tc>
        <w:tc>
          <w:tcPr>
            <w:tcW w:w="3281" w:type="dxa"/>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w:t>
            </w:r>
          </w:p>
        </w:tc>
        <w:tc>
          <w:tcPr>
            <w:tcW w:w="881" w:type="dxa"/>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eastAsia="zh-CN"/>
              </w:rPr>
              <w:t>个</w:t>
            </w:r>
          </w:p>
        </w:tc>
        <w:tc>
          <w:tcPr>
            <w:tcW w:w="1243" w:type="dxa"/>
            <w:tcMar>
              <w:left w:w="0" w:type="dxa"/>
              <w:right w:w="0" w:type="dxa"/>
            </w:tcMar>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12</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19</w:t>
            </w:r>
          </w:p>
        </w:tc>
        <w:tc>
          <w:tcPr>
            <w:tcW w:w="2325" w:type="dxa"/>
            <w:tcMar>
              <w:left w:w="0" w:type="dxa"/>
              <w:right w:w="0" w:type="dxa"/>
            </w:tcMar>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eastAsia="zh-CN"/>
              </w:rPr>
              <w:t>引风机</w:t>
            </w:r>
          </w:p>
        </w:tc>
        <w:tc>
          <w:tcPr>
            <w:tcW w:w="3281" w:type="dxa"/>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w:t>
            </w:r>
          </w:p>
        </w:tc>
        <w:tc>
          <w:tcPr>
            <w:tcW w:w="881" w:type="dxa"/>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台</w:t>
            </w:r>
          </w:p>
        </w:tc>
        <w:tc>
          <w:tcPr>
            <w:tcW w:w="1243" w:type="dxa"/>
            <w:tcMar>
              <w:left w:w="0" w:type="dxa"/>
              <w:right w:w="0" w:type="dxa"/>
            </w:tcMar>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2</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20</w:t>
            </w:r>
          </w:p>
        </w:tc>
        <w:tc>
          <w:tcPr>
            <w:tcW w:w="2325" w:type="dxa"/>
            <w:tcMar>
              <w:left w:w="0" w:type="dxa"/>
              <w:right w:w="0" w:type="dxa"/>
            </w:tcMar>
            <w:vAlign w:val="center"/>
          </w:tcPr>
          <w:p>
            <w:pPr>
              <w:keepNext w:val="0"/>
              <w:keepLines w:val="0"/>
              <w:pageBreakBefore w:val="0"/>
              <w:widowControl/>
              <w:kinsoku/>
              <w:wordWrap/>
              <w:overflowPunct/>
              <w:topLinePunct w:val="0"/>
              <w:autoSpaceDE/>
              <w:autoSpaceDN/>
              <w:bidi w:val="0"/>
              <w:adjustRightInd/>
              <w:snapToGrid w:val="0"/>
              <w:ind w:left="0" w:leftChars="0" w:right="0" w:firstLine="0" w:firstLineChars="0"/>
              <w:jc w:val="center"/>
              <w:textAlignment w:val="auto"/>
              <w:outlineLvl w:val="9"/>
              <w:rPr>
                <w:rFonts w:hint="default" w:ascii="Times New Roman" w:hAnsi="Times New Roman"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lang w:eastAsia="zh-CN"/>
              </w:rPr>
              <w:t>排风罩</w:t>
            </w:r>
          </w:p>
        </w:tc>
        <w:tc>
          <w:tcPr>
            <w:tcW w:w="3281" w:type="dxa"/>
            <w:vAlign w:val="center"/>
          </w:tcPr>
          <w:p>
            <w:pPr>
              <w:keepNext w:val="0"/>
              <w:keepLines w:val="0"/>
              <w:pageBreakBefore w:val="0"/>
              <w:widowControl/>
              <w:kinsoku/>
              <w:wordWrap/>
              <w:overflowPunct/>
              <w:topLinePunct w:val="0"/>
              <w:autoSpaceDE/>
              <w:autoSpaceDN/>
              <w:bidi w:val="0"/>
              <w:adjustRightInd/>
              <w:snapToGrid w:val="0"/>
              <w:ind w:left="0" w:leftChars="0" w:right="0" w:firstLine="0" w:firstLineChars="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w:t>
            </w:r>
          </w:p>
        </w:tc>
        <w:tc>
          <w:tcPr>
            <w:tcW w:w="881" w:type="dxa"/>
            <w:vAlign w:val="center"/>
          </w:tcPr>
          <w:p>
            <w:pPr>
              <w:keepNext w:val="0"/>
              <w:keepLines w:val="0"/>
              <w:pageBreakBefore w:val="0"/>
              <w:widowControl/>
              <w:kinsoku/>
              <w:wordWrap/>
              <w:overflowPunct/>
              <w:topLinePunct w:val="0"/>
              <w:autoSpaceDE/>
              <w:autoSpaceDN/>
              <w:bidi w:val="0"/>
              <w:adjustRightInd/>
              <w:snapToGrid w:val="0"/>
              <w:ind w:left="0" w:leftChars="0" w:right="0" w:firstLine="0" w:firstLineChars="0"/>
              <w:jc w:val="center"/>
              <w:textAlignment w:val="auto"/>
              <w:outlineLvl w:val="9"/>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eastAsia="zh-CN"/>
              </w:rPr>
              <w:t>个</w:t>
            </w:r>
          </w:p>
        </w:tc>
        <w:tc>
          <w:tcPr>
            <w:tcW w:w="1243" w:type="dxa"/>
            <w:tcMar>
              <w:left w:w="0" w:type="dxa"/>
              <w:right w:w="0" w:type="dxa"/>
            </w:tcMar>
            <w:vAlign w:val="center"/>
          </w:tcPr>
          <w:p>
            <w:pPr>
              <w:keepNext w:val="0"/>
              <w:keepLines w:val="0"/>
              <w:pageBreakBefore w:val="0"/>
              <w:widowControl/>
              <w:kinsoku/>
              <w:wordWrap/>
              <w:overflowPunct/>
              <w:topLinePunct w:val="0"/>
              <w:autoSpaceDE/>
              <w:autoSpaceDN/>
              <w:bidi w:val="0"/>
              <w:adjustRightInd/>
              <w:snapToGrid w:val="0"/>
              <w:ind w:left="0" w:leftChars="0" w:right="0" w:firstLine="0" w:firstLineChars="0"/>
              <w:jc w:val="center"/>
              <w:textAlignment w:val="auto"/>
              <w:outlineLvl w:val="9"/>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6</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21</w:t>
            </w:r>
          </w:p>
        </w:tc>
        <w:tc>
          <w:tcPr>
            <w:tcW w:w="2325"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 w:val="21"/>
                <w:szCs w:val="21"/>
                <w:highlight w:val="none"/>
              </w:rPr>
              <w:t>酸雾净化塔</w:t>
            </w:r>
          </w:p>
        </w:tc>
        <w:tc>
          <w:tcPr>
            <w:tcW w:w="3281" w:type="dxa"/>
            <w:vAlign w:val="center"/>
          </w:tcPr>
          <w:p>
            <w:pPr>
              <w:keepNext w:val="0"/>
              <w:keepLines w:val="0"/>
              <w:pageBreakBefore w:val="0"/>
              <w:widowControl/>
              <w:kinsoku/>
              <w:wordWrap/>
              <w:overflowPunct/>
              <w:topLinePunct w:val="0"/>
              <w:autoSpaceDE/>
              <w:autoSpaceDN/>
              <w:bidi w:val="0"/>
              <w:adjustRightInd/>
              <w:snapToGrid w:val="0"/>
              <w:ind w:left="0" w:leftChars="0" w:right="0" w:firstLine="0" w:firstLineChars="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w:t>
            </w:r>
          </w:p>
        </w:tc>
        <w:tc>
          <w:tcPr>
            <w:tcW w:w="881" w:type="dxa"/>
            <w:vAlign w:val="center"/>
          </w:tcPr>
          <w:p>
            <w:pPr>
              <w:keepNext w:val="0"/>
              <w:keepLines w:val="0"/>
              <w:pageBreakBefore w:val="0"/>
              <w:widowControl/>
              <w:kinsoku/>
              <w:wordWrap/>
              <w:overflowPunct/>
              <w:topLinePunct w:val="0"/>
              <w:autoSpaceDE/>
              <w:autoSpaceDN/>
              <w:bidi w:val="0"/>
              <w:adjustRightInd/>
              <w:snapToGrid w:val="0"/>
              <w:ind w:left="0" w:leftChars="0" w:right="0" w:firstLine="0" w:firstLineChars="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eastAsia="zh-CN"/>
              </w:rPr>
              <w:t>个</w:t>
            </w:r>
          </w:p>
        </w:tc>
        <w:tc>
          <w:tcPr>
            <w:tcW w:w="1243" w:type="dxa"/>
            <w:tcMar>
              <w:left w:w="0" w:type="dxa"/>
              <w:right w:w="0" w:type="dxa"/>
            </w:tcMar>
            <w:vAlign w:val="center"/>
          </w:tcPr>
          <w:p>
            <w:pPr>
              <w:keepNext w:val="0"/>
              <w:keepLines w:val="0"/>
              <w:pageBreakBefore w:val="0"/>
              <w:widowControl/>
              <w:kinsoku/>
              <w:wordWrap/>
              <w:overflowPunct/>
              <w:topLinePunct w:val="0"/>
              <w:autoSpaceDE/>
              <w:autoSpaceDN/>
              <w:bidi w:val="0"/>
              <w:adjustRightInd/>
              <w:snapToGrid w:val="0"/>
              <w:ind w:left="0" w:leftChars="0" w:right="0" w:firstLine="0" w:firstLineChars="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restart"/>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2#车间</w:t>
            </w:r>
          </w:p>
        </w:tc>
        <w:tc>
          <w:tcPr>
            <w:tcW w:w="682"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2325"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化学除油槽</w:t>
            </w:r>
          </w:p>
        </w:tc>
        <w:tc>
          <w:tcPr>
            <w:tcW w:w="3281" w:type="dxa"/>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118cm*120cm*80cm</w:t>
            </w:r>
          </w:p>
        </w:tc>
        <w:tc>
          <w:tcPr>
            <w:tcW w:w="881" w:type="dxa"/>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个</w:t>
            </w:r>
          </w:p>
        </w:tc>
        <w:tc>
          <w:tcPr>
            <w:tcW w:w="1243"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c>
          <w:tcPr>
            <w:tcW w:w="2325"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水洗槽</w:t>
            </w:r>
          </w:p>
        </w:tc>
        <w:tc>
          <w:tcPr>
            <w:tcW w:w="3281" w:type="dxa"/>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118cm*120cm*80cm</w:t>
            </w:r>
          </w:p>
        </w:tc>
        <w:tc>
          <w:tcPr>
            <w:tcW w:w="881" w:type="dxa"/>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个</w:t>
            </w:r>
          </w:p>
        </w:tc>
        <w:tc>
          <w:tcPr>
            <w:tcW w:w="1243"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18</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w:t>
            </w:r>
          </w:p>
        </w:tc>
        <w:tc>
          <w:tcPr>
            <w:tcW w:w="2325"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酸洗槽</w:t>
            </w:r>
          </w:p>
        </w:tc>
        <w:tc>
          <w:tcPr>
            <w:tcW w:w="3281" w:type="dxa"/>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118cm*120cm*80cm</w:t>
            </w:r>
          </w:p>
        </w:tc>
        <w:tc>
          <w:tcPr>
            <w:tcW w:w="881" w:type="dxa"/>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个</w:t>
            </w:r>
          </w:p>
        </w:tc>
        <w:tc>
          <w:tcPr>
            <w:tcW w:w="1243"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w:t>
            </w:r>
          </w:p>
        </w:tc>
        <w:tc>
          <w:tcPr>
            <w:tcW w:w="2325"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预镀槽</w:t>
            </w:r>
          </w:p>
        </w:tc>
        <w:tc>
          <w:tcPr>
            <w:tcW w:w="3281" w:type="dxa"/>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118cm*120cm*80cm</w:t>
            </w:r>
          </w:p>
        </w:tc>
        <w:tc>
          <w:tcPr>
            <w:tcW w:w="881" w:type="dxa"/>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个</w:t>
            </w:r>
          </w:p>
        </w:tc>
        <w:tc>
          <w:tcPr>
            <w:tcW w:w="1243"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w:t>
            </w:r>
          </w:p>
        </w:tc>
        <w:tc>
          <w:tcPr>
            <w:tcW w:w="2325"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移动槽</w:t>
            </w:r>
          </w:p>
        </w:tc>
        <w:tc>
          <w:tcPr>
            <w:tcW w:w="3281" w:type="dxa"/>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118cm*120cm*80cm</w:t>
            </w:r>
          </w:p>
        </w:tc>
        <w:tc>
          <w:tcPr>
            <w:tcW w:w="881" w:type="dxa"/>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个</w:t>
            </w:r>
          </w:p>
        </w:tc>
        <w:tc>
          <w:tcPr>
            <w:tcW w:w="1243"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w:t>
            </w:r>
          </w:p>
        </w:tc>
        <w:tc>
          <w:tcPr>
            <w:tcW w:w="2325"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电镀</w:t>
            </w:r>
            <w:r>
              <w:rPr>
                <w:rFonts w:hint="default" w:ascii="Times New Roman" w:hAnsi="Times New Roman" w:cs="Times New Roman"/>
                <w:color w:val="auto"/>
                <w:sz w:val="21"/>
                <w:szCs w:val="21"/>
                <w:highlight w:val="none"/>
                <w:lang w:val="en-US" w:eastAsia="zh-CN"/>
              </w:rPr>
              <w:t>6工位</w:t>
            </w:r>
          </w:p>
        </w:tc>
        <w:tc>
          <w:tcPr>
            <w:tcW w:w="3281" w:type="dxa"/>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118cm*120cm*80cm</w:t>
            </w:r>
          </w:p>
        </w:tc>
        <w:tc>
          <w:tcPr>
            <w:tcW w:w="881" w:type="dxa"/>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个</w:t>
            </w:r>
          </w:p>
        </w:tc>
        <w:tc>
          <w:tcPr>
            <w:tcW w:w="1243"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7</w:t>
            </w:r>
          </w:p>
        </w:tc>
        <w:tc>
          <w:tcPr>
            <w:tcW w:w="2325"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融锌槽</w:t>
            </w:r>
          </w:p>
        </w:tc>
        <w:tc>
          <w:tcPr>
            <w:tcW w:w="3281" w:type="dxa"/>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118cm*120cm*160cm</w:t>
            </w:r>
          </w:p>
        </w:tc>
        <w:tc>
          <w:tcPr>
            <w:tcW w:w="881" w:type="dxa"/>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个</w:t>
            </w:r>
          </w:p>
        </w:tc>
        <w:tc>
          <w:tcPr>
            <w:tcW w:w="1243"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8</w:t>
            </w:r>
          </w:p>
        </w:tc>
        <w:tc>
          <w:tcPr>
            <w:tcW w:w="2325"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出光槽</w:t>
            </w:r>
          </w:p>
        </w:tc>
        <w:tc>
          <w:tcPr>
            <w:tcW w:w="3281" w:type="dxa"/>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118cm*120cm*80cm</w:t>
            </w:r>
          </w:p>
        </w:tc>
        <w:tc>
          <w:tcPr>
            <w:tcW w:w="881" w:type="dxa"/>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个</w:t>
            </w:r>
          </w:p>
        </w:tc>
        <w:tc>
          <w:tcPr>
            <w:tcW w:w="1243"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9</w:t>
            </w:r>
          </w:p>
        </w:tc>
        <w:tc>
          <w:tcPr>
            <w:tcW w:w="2325"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蓝白钝化槽</w:t>
            </w:r>
          </w:p>
        </w:tc>
        <w:tc>
          <w:tcPr>
            <w:tcW w:w="3281" w:type="dxa"/>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118cm*120cm*80cm</w:t>
            </w:r>
          </w:p>
        </w:tc>
        <w:tc>
          <w:tcPr>
            <w:tcW w:w="881" w:type="dxa"/>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个</w:t>
            </w:r>
          </w:p>
        </w:tc>
        <w:tc>
          <w:tcPr>
            <w:tcW w:w="1243"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w:t>
            </w:r>
          </w:p>
        </w:tc>
        <w:tc>
          <w:tcPr>
            <w:tcW w:w="2325"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彩色钝化槽</w:t>
            </w:r>
          </w:p>
        </w:tc>
        <w:tc>
          <w:tcPr>
            <w:tcW w:w="3281" w:type="dxa"/>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118cm*120cm*80cm</w:t>
            </w:r>
          </w:p>
        </w:tc>
        <w:tc>
          <w:tcPr>
            <w:tcW w:w="881" w:type="dxa"/>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个</w:t>
            </w:r>
          </w:p>
        </w:tc>
        <w:tc>
          <w:tcPr>
            <w:tcW w:w="1243"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11</w:t>
            </w:r>
          </w:p>
        </w:tc>
        <w:tc>
          <w:tcPr>
            <w:tcW w:w="2325"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电镀</w:t>
            </w:r>
            <w:r>
              <w:rPr>
                <w:rFonts w:hint="default" w:ascii="Times New Roman" w:hAnsi="Times New Roman" w:cs="Times New Roman"/>
                <w:color w:val="auto"/>
                <w:sz w:val="21"/>
                <w:szCs w:val="21"/>
                <w:highlight w:val="none"/>
                <w:lang w:val="en-US" w:eastAsia="zh-CN"/>
              </w:rPr>
              <w:t>4工位</w:t>
            </w:r>
          </w:p>
        </w:tc>
        <w:tc>
          <w:tcPr>
            <w:tcW w:w="3281" w:type="dxa"/>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118cm*120cm*80cm</w:t>
            </w:r>
          </w:p>
        </w:tc>
        <w:tc>
          <w:tcPr>
            <w:tcW w:w="881" w:type="dxa"/>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个</w:t>
            </w:r>
          </w:p>
        </w:tc>
        <w:tc>
          <w:tcPr>
            <w:tcW w:w="1243"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12</w:t>
            </w:r>
          </w:p>
        </w:tc>
        <w:tc>
          <w:tcPr>
            <w:tcW w:w="2325"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黑色钝化槽</w:t>
            </w:r>
          </w:p>
        </w:tc>
        <w:tc>
          <w:tcPr>
            <w:tcW w:w="3281" w:type="dxa"/>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50cm*50cm*100cm</w:t>
            </w:r>
          </w:p>
        </w:tc>
        <w:tc>
          <w:tcPr>
            <w:tcW w:w="881" w:type="dxa"/>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个</w:t>
            </w:r>
          </w:p>
        </w:tc>
        <w:tc>
          <w:tcPr>
            <w:tcW w:w="1243"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13</w:t>
            </w:r>
          </w:p>
        </w:tc>
        <w:tc>
          <w:tcPr>
            <w:tcW w:w="2325"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水洗槽</w:t>
            </w:r>
          </w:p>
        </w:tc>
        <w:tc>
          <w:tcPr>
            <w:tcW w:w="3281" w:type="dxa"/>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50cm*50cm*100cm</w:t>
            </w:r>
          </w:p>
        </w:tc>
        <w:tc>
          <w:tcPr>
            <w:tcW w:w="881" w:type="dxa"/>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个</w:t>
            </w:r>
          </w:p>
        </w:tc>
        <w:tc>
          <w:tcPr>
            <w:tcW w:w="1243"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14</w:t>
            </w:r>
          </w:p>
        </w:tc>
        <w:tc>
          <w:tcPr>
            <w:tcW w:w="2325"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封闭槽</w:t>
            </w:r>
          </w:p>
        </w:tc>
        <w:tc>
          <w:tcPr>
            <w:tcW w:w="3281" w:type="dxa"/>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50cm*50cm*100cm</w:t>
            </w:r>
          </w:p>
        </w:tc>
        <w:tc>
          <w:tcPr>
            <w:tcW w:w="881" w:type="dxa"/>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个</w:t>
            </w:r>
          </w:p>
        </w:tc>
        <w:tc>
          <w:tcPr>
            <w:tcW w:w="1243"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right="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15</w:t>
            </w:r>
          </w:p>
        </w:tc>
        <w:tc>
          <w:tcPr>
            <w:tcW w:w="2325" w:type="dxa"/>
            <w:tcMar>
              <w:left w:w="0" w:type="dxa"/>
              <w:right w:w="0" w:type="dxa"/>
            </w:tcMar>
            <w:vAlign w:val="center"/>
          </w:tcPr>
          <w:p>
            <w:pPr>
              <w:pStyle w:val="129"/>
              <w:keepNext w:val="0"/>
              <w:keepLines w:val="0"/>
              <w:pageBreakBefore w:val="0"/>
              <w:kinsoku/>
              <w:wordWrap/>
              <w:overflowPunct/>
              <w:topLinePunct w:val="0"/>
              <w:autoSpaceDE/>
              <w:autoSpaceDN/>
              <w:bidi w:val="0"/>
              <w:snapToGrid w:val="0"/>
              <w:spacing w:before="63"/>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整流器</w:t>
            </w:r>
          </w:p>
        </w:tc>
        <w:tc>
          <w:tcPr>
            <w:tcW w:w="3281" w:type="dxa"/>
            <w:vAlign w:val="center"/>
          </w:tcPr>
          <w:p>
            <w:pPr>
              <w:pStyle w:val="129"/>
              <w:keepNext w:val="0"/>
              <w:keepLines w:val="0"/>
              <w:pageBreakBefore w:val="0"/>
              <w:kinsoku/>
              <w:wordWrap/>
              <w:overflowPunct/>
              <w:topLinePunct w:val="0"/>
              <w:autoSpaceDE/>
              <w:autoSpaceDN/>
              <w:bidi w:val="0"/>
              <w:snapToGrid w:val="0"/>
              <w:spacing w:before="58"/>
              <w:ind w:left="0" w:leftChars="0" w:right="0" w:right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 w:val="21"/>
                <w:szCs w:val="21"/>
                <w:highlight w:val="none"/>
                <w:lang w:val="en-US"/>
              </w:rPr>
              <w:t>500</w:t>
            </w:r>
            <w:r>
              <w:rPr>
                <w:rFonts w:hint="default" w:ascii="Times New Roman" w:hAnsi="Times New Roman" w:cs="Times New Roman"/>
                <w:color w:val="auto"/>
                <w:sz w:val="21"/>
                <w:szCs w:val="21"/>
                <w:highlight w:val="none"/>
              </w:rPr>
              <w:t>A</w:t>
            </w:r>
          </w:p>
        </w:tc>
        <w:tc>
          <w:tcPr>
            <w:tcW w:w="881" w:type="dxa"/>
            <w:vAlign w:val="center"/>
          </w:tcPr>
          <w:p>
            <w:pPr>
              <w:pStyle w:val="129"/>
              <w:keepNext w:val="0"/>
              <w:keepLines w:val="0"/>
              <w:pageBreakBefore w:val="0"/>
              <w:kinsoku/>
              <w:wordWrap/>
              <w:overflowPunct/>
              <w:topLinePunct w:val="0"/>
              <w:autoSpaceDE/>
              <w:autoSpaceDN/>
              <w:bidi w:val="0"/>
              <w:snapToGrid w:val="0"/>
              <w:spacing w:before="63"/>
              <w:ind w:left="0" w:leftChars="0" w:right="0"/>
              <w:jc w:val="center"/>
              <w:rPr>
                <w:rFonts w:hint="default" w:ascii="Times New Roman" w:hAnsi="Times New Roman" w:cs="Times New Roman"/>
                <w:color w:val="auto"/>
                <w:kern w:val="0"/>
                <w:sz w:val="21"/>
                <w:szCs w:val="21"/>
                <w:highlight w:val="none"/>
                <w:lang w:eastAsia="zh-CN"/>
              </w:rPr>
            </w:pPr>
            <w:r>
              <w:rPr>
                <w:rFonts w:hint="default" w:ascii="Times New Roman" w:hAnsi="Times New Roman" w:cs="Times New Roman"/>
                <w:color w:val="auto"/>
                <w:w w:val="99"/>
                <w:sz w:val="21"/>
                <w:szCs w:val="21"/>
                <w:highlight w:val="none"/>
              </w:rPr>
              <w:t>个</w:t>
            </w:r>
          </w:p>
        </w:tc>
        <w:tc>
          <w:tcPr>
            <w:tcW w:w="1243" w:type="dxa"/>
            <w:tcMar>
              <w:left w:w="0" w:type="dxa"/>
              <w:right w:w="0" w:type="dxa"/>
            </w:tcMar>
            <w:vAlign w:val="center"/>
          </w:tcPr>
          <w:p>
            <w:pPr>
              <w:pStyle w:val="129"/>
              <w:keepNext w:val="0"/>
              <w:keepLines w:val="0"/>
              <w:pageBreakBefore w:val="0"/>
              <w:kinsoku/>
              <w:wordWrap/>
              <w:overflowPunct/>
              <w:topLinePunct w:val="0"/>
              <w:autoSpaceDE/>
              <w:autoSpaceDN/>
              <w:bidi w:val="0"/>
              <w:snapToGrid w:val="0"/>
              <w:spacing w:before="58"/>
              <w:ind w:left="0" w:right="0" w:rightChars="0"/>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sz w:val="21"/>
                <w:szCs w:val="21"/>
                <w:highlight w:val="none"/>
              </w:rPr>
              <w:t>1</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right="0"/>
              <w:jc w:val="center"/>
              <w:textAlignment w:val="auto"/>
              <w:outlineLvl w:val="9"/>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16</w:t>
            </w:r>
          </w:p>
        </w:tc>
        <w:tc>
          <w:tcPr>
            <w:tcW w:w="2325" w:type="dxa"/>
            <w:tcMar>
              <w:left w:w="0" w:type="dxa"/>
              <w:right w:w="0" w:type="dxa"/>
            </w:tcMar>
            <w:vAlign w:val="center"/>
          </w:tcPr>
          <w:p>
            <w:pPr>
              <w:pStyle w:val="129"/>
              <w:keepNext w:val="0"/>
              <w:keepLines w:val="0"/>
              <w:pageBreakBefore w:val="0"/>
              <w:kinsoku/>
              <w:wordWrap/>
              <w:overflowPunct/>
              <w:topLinePunct w:val="0"/>
              <w:autoSpaceDE/>
              <w:autoSpaceDN/>
              <w:bidi w:val="0"/>
              <w:snapToGrid w:val="0"/>
              <w:spacing w:before="63"/>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整流器</w:t>
            </w:r>
          </w:p>
        </w:tc>
        <w:tc>
          <w:tcPr>
            <w:tcW w:w="3281" w:type="dxa"/>
            <w:vAlign w:val="center"/>
          </w:tcPr>
          <w:p>
            <w:pPr>
              <w:pStyle w:val="129"/>
              <w:keepNext w:val="0"/>
              <w:keepLines w:val="0"/>
              <w:pageBreakBefore w:val="0"/>
              <w:kinsoku/>
              <w:wordWrap/>
              <w:overflowPunct/>
              <w:topLinePunct w:val="0"/>
              <w:autoSpaceDE/>
              <w:autoSpaceDN/>
              <w:bidi w:val="0"/>
              <w:snapToGrid w:val="0"/>
              <w:spacing w:before="58"/>
              <w:ind w:left="0" w:leftChars="0" w:right="0" w:right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 w:val="21"/>
                <w:szCs w:val="21"/>
                <w:highlight w:val="none"/>
                <w:lang w:val="en-US"/>
              </w:rPr>
              <w:t>1200</w:t>
            </w:r>
            <w:r>
              <w:rPr>
                <w:rFonts w:hint="default" w:ascii="Times New Roman" w:hAnsi="Times New Roman" w:cs="Times New Roman"/>
                <w:color w:val="auto"/>
                <w:sz w:val="21"/>
                <w:szCs w:val="21"/>
                <w:highlight w:val="none"/>
              </w:rPr>
              <w:t>A</w:t>
            </w:r>
          </w:p>
        </w:tc>
        <w:tc>
          <w:tcPr>
            <w:tcW w:w="881" w:type="dxa"/>
            <w:vAlign w:val="center"/>
          </w:tcPr>
          <w:p>
            <w:pPr>
              <w:pStyle w:val="129"/>
              <w:keepNext w:val="0"/>
              <w:keepLines w:val="0"/>
              <w:pageBreakBefore w:val="0"/>
              <w:kinsoku/>
              <w:wordWrap/>
              <w:overflowPunct/>
              <w:topLinePunct w:val="0"/>
              <w:autoSpaceDE/>
              <w:autoSpaceDN/>
              <w:bidi w:val="0"/>
              <w:snapToGrid w:val="0"/>
              <w:spacing w:before="63"/>
              <w:ind w:left="0" w:leftChars="0" w:right="0"/>
              <w:jc w:val="center"/>
              <w:rPr>
                <w:rFonts w:hint="default" w:ascii="Times New Roman" w:hAnsi="Times New Roman" w:cs="Times New Roman"/>
                <w:color w:val="auto"/>
                <w:kern w:val="0"/>
                <w:sz w:val="21"/>
                <w:szCs w:val="21"/>
                <w:highlight w:val="none"/>
                <w:lang w:eastAsia="zh-CN"/>
              </w:rPr>
            </w:pPr>
            <w:r>
              <w:rPr>
                <w:rFonts w:hint="default" w:ascii="Times New Roman" w:hAnsi="Times New Roman" w:cs="Times New Roman"/>
                <w:color w:val="auto"/>
                <w:w w:val="99"/>
                <w:sz w:val="21"/>
                <w:szCs w:val="21"/>
                <w:highlight w:val="none"/>
              </w:rPr>
              <w:t>个</w:t>
            </w:r>
          </w:p>
        </w:tc>
        <w:tc>
          <w:tcPr>
            <w:tcW w:w="1243" w:type="dxa"/>
            <w:tcMar>
              <w:left w:w="0" w:type="dxa"/>
              <w:right w:w="0" w:type="dxa"/>
            </w:tcMar>
            <w:vAlign w:val="center"/>
          </w:tcPr>
          <w:p>
            <w:pPr>
              <w:pStyle w:val="129"/>
              <w:keepNext w:val="0"/>
              <w:keepLines w:val="0"/>
              <w:pageBreakBefore w:val="0"/>
              <w:kinsoku/>
              <w:wordWrap/>
              <w:overflowPunct/>
              <w:topLinePunct w:val="0"/>
              <w:autoSpaceDE/>
              <w:autoSpaceDN/>
              <w:bidi w:val="0"/>
              <w:snapToGrid w:val="0"/>
              <w:spacing w:before="58"/>
              <w:ind w:left="0" w:right="0" w:rightChars="0"/>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w w:val="99"/>
                <w:sz w:val="21"/>
                <w:szCs w:val="21"/>
                <w:highlight w:val="none"/>
                <w:lang w:val="en-US"/>
              </w:rPr>
              <w:t>2</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right="0"/>
              <w:jc w:val="center"/>
              <w:textAlignment w:val="auto"/>
              <w:outlineLvl w:val="9"/>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17</w:t>
            </w:r>
          </w:p>
        </w:tc>
        <w:tc>
          <w:tcPr>
            <w:tcW w:w="2325" w:type="dxa"/>
            <w:tcMar>
              <w:left w:w="0" w:type="dxa"/>
              <w:right w:w="0" w:type="dxa"/>
            </w:tcMar>
            <w:vAlign w:val="center"/>
          </w:tcPr>
          <w:p>
            <w:pPr>
              <w:pStyle w:val="129"/>
              <w:keepNext w:val="0"/>
              <w:keepLines w:val="0"/>
              <w:pageBreakBefore w:val="0"/>
              <w:kinsoku/>
              <w:wordWrap/>
              <w:overflowPunct/>
              <w:topLinePunct w:val="0"/>
              <w:autoSpaceDE/>
              <w:autoSpaceDN/>
              <w:bidi w:val="0"/>
              <w:snapToGrid w:val="0"/>
              <w:spacing w:before="63"/>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整流器</w:t>
            </w:r>
          </w:p>
        </w:tc>
        <w:tc>
          <w:tcPr>
            <w:tcW w:w="3281" w:type="dxa"/>
            <w:vAlign w:val="center"/>
          </w:tcPr>
          <w:p>
            <w:pPr>
              <w:pStyle w:val="129"/>
              <w:keepNext w:val="0"/>
              <w:keepLines w:val="0"/>
              <w:pageBreakBefore w:val="0"/>
              <w:kinsoku/>
              <w:wordWrap/>
              <w:overflowPunct/>
              <w:topLinePunct w:val="0"/>
              <w:autoSpaceDE/>
              <w:autoSpaceDN/>
              <w:bidi w:val="0"/>
              <w:snapToGrid w:val="0"/>
              <w:spacing w:before="58"/>
              <w:ind w:left="0" w:leftChars="0" w:right="0" w:right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 w:val="21"/>
                <w:szCs w:val="21"/>
                <w:highlight w:val="none"/>
                <w:lang w:val="en-US"/>
              </w:rPr>
              <w:t>1500</w:t>
            </w:r>
            <w:r>
              <w:rPr>
                <w:rFonts w:hint="default" w:ascii="Times New Roman" w:hAnsi="Times New Roman" w:cs="Times New Roman"/>
                <w:color w:val="auto"/>
                <w:sz w:val="21"/>
                <w:szCs w:val="21"/>
                <w:highlight w:val="none"/>
              </w:rPr>
              <w:t>A</w:t>
            </w:r>
          </w:p>
        </w:tc>
        <w:tc>
          <w:tcPr>
            <w:tcW w:w="881" w:type="dxa"/>
            <w:vAlign w:val="center"/>
          </w:tcPr>
          <w:p>
            <w:pPr>
              <w:pStyle w:val="129"/>
              <w:keepNext w:val="0"/>
              <w:keepLines w:val="0"/>
              <w:pageBreakBefore w:val="0"/>
              <w:kinsoku/>
              <w:wordWrap/>
              <w:overflowPunct/>
              <w:topLinePunct w:val="0"/>
              <w:autoSpaceDE/>
              <w:autoSpaceDN/>
              <w:bidi w:val="0"/>
              <w:snapToGrid w:val="0"/>
              <w:spacing w:before="63"/>
              <w:ind w:left="0" w:leftChars="0" w:right="0"/>
              <w:jc w:val="center"/>
              <w:rPr>
                <w:rFonts w:hint="default" w:ascii="Times New Roman" w:hAnsi="Times New Roman" w:cs="Times New Roman"/>
                <w:color w:val="auto"/>
                <w:kern w:val="0"/>
                <w:sz w:val="21"/>
                <w:szCs w:val="21"/>
                <w:highlight w:val="none"/>
                <w:lang w:eastAsia="zh-CN"/>
              </w:rPr>
            </w:pPr>
            <w:r>
              <w:rPr>
                <w:rFonts w:hint="default" w:ascii="Times New Roman" w:hAnsi="Times New Roman" w:cs="Times New Roman"/>
                <w:color w:val="auto"/>
                <w:w w:val="99"/>
                <w:sz w:val="21"/>
                <w:szCs w:val="21"/>
                <w:highlight w:val="none"/>
              </w:rPr>
              <w:t>个</w:t>
            </w:r>
          </w:p>
        </w:tc>
        <w:tc>
          <w:tcPr>
            <w:tcW w:w="1243" w:type="dxa"/>
            <w:tcMar>
              <w:left w:w="0" w:type="dxa"/>
              <w:right w:w="0" w:type="dxa"/>
            </w:tcMar>
            <w:vAlign w:val="center"/>
          </w:tcPr>
          <w:p>
            <w:pPr>
              <w:pStyle w:val="129"/>
              <w:keepNext w:val="0"/>
              <w:keepLines w:val="0"/>
              <w:pageBreakBefore w:val="0"/>
              <w:kinsoku/>
              <w:wordWrap/>
              <w:overflowPunct/>
              <w:topLinePunct w:val="0"/>
              <w:autoSpaceDE/>
              <w:autoSpaceDN/>
              <w:bidi w:val="0"/>
              <w:snapToGrid w:val="0"/>
              <w:spacing w:before="58"/>
              <w:ind w:left="0" w:right="0" w:rightChars="0"/>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w w:val="99"/>
                <w:sz w:val="21"/>
                <w:szCs w:val="21"/>
                <w:highlight w:val="none"/>
                <w:lang w:val="en-US"/>
              </w:rPr>
              <w:t>2</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right="0"/>
              <w:jc w:val="center"/>
              <w:textAlignment w:val="auto"/>
              <w:outlineLvl w:val="9"/>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18</w:t>
            </w:r>
          </w:p>
        </w:tc>
        <w:tc>
          <w:tcPr>
            <w:tcW w:w="2325" w:type="dxa"/>
            <w:tcMar>
              <w:left w:w="0" w:type="dxa"/>
              <w:right w:w="0" w:type="dxa"/>
            </w:tcMar>
            <w:vAlign w:val="center"/>
          </w:tcPr>
          <w:p>
            <w:pPr>
              <w:pStyle w:val="129"/>
              <w:keepNext w:val="0"/>
              <w:keepLines w:val="0"/>
              <w:pageBreakBefore w:val="0"/>
              <w:kinsoku/>
              <w:wordWrap/>
              <w:overflowPunct/>
              <w:topLinePunct w:val="0"/>
              <w:autoSpaceDE/>
              <w:autoSpaceDN/>
              <w:bidi w:val="0"/>
              <w:snapToGrid w:val="0"/>
              <w:spacing w:before="64"/>
              <w:ind w:left="0" w:right="0"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排风系统玻璃钢风机</w:t>
            </w:r>
          </w:p>
        </w:tc>
        <w:tc>
          <w:tcPr>
            <w:tcW w:w="3281" w:type="dxa"/>
            <w:vAlign w:val="center"/>
          </w:tcPr>
          <w:p>
            <w:pPr>
              <w:pStyle w:val="129"/>
              <w:keepNext w:val="0"/>
              <w:keepLines w:val="0"/>
              <w:pageBreakBefore w:val="0"/>
              <w:kinsoku/>
              <w:wordWrap/>
              <w:overflowPunct/>
              <w:topLinePunct w:val="0"/>
              <w:autoSpaceDE/>
              <w:autoSpaceDN/>
              <w:bidi w:val="0"/>
              <w:snapToGrid w:val="0"/>
              <w:spacing w:before="57"/>
              <w:ind w:left="0" w:leftChars="0" w:right="0" w:right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 w:val="21"/>
                <w:szCs w:val="21"/>
                <w:highlight w:val="none"/>
              </w:rPr>
              <w:t>NO:8C 15kW,26400m³/h</w:t>
            </w:r>
          </w:p>
        </w:tc>
        <w:tc>
          <w:tcPr>
            <w:tcW w:w="881" w:type="dxa"/>
            <w:vAlign w:val="center"/>
          </w:tcPr>
          <w:p>
            <w:pPr>
              <w:pStyle w:val="129"/>
              <w:keepNext w:val="0"/>
              <w:keepLines w:val="0"/>
              <w:pageBreakBefore w:val="0"/>
              <w:kinsoku/>
              <w:wordWrap/>
              <w:overflowPunct/>
              <w:topLinePunct w:val="0"/>
              <w:autoSpaceDE/>
              <w:autoSpaceDN/>
              <w:bidi w:val="0"/>
              <w:snapToGrid w:val="0"/>
              <w:spacing w:before="64"/>
              <w:ind w:left="0" w:leftChars="0" w:right="0"/>
              <w:jc w:val="center"/>
              <w:rPr>
                <w:rFonts w:hint="default" w:ascii="Times New Roman" w:hAnsi="Times New Roman" w:cs="Times New Roman"/>
                <w:color w:val="auto"/>
                <w:kern w:val="0"/>
                <w:sz w:val="21"/>
                <w:szCs w:val="21"/>
                <w:highlight w:val="none"/>
                <w:lang w:eastAsia="zh-CN"/>
              </w:rPr>
            </w:pPr>
            <w:r>
              <w:rPr>
                <w:rFonts w:hint="default" w:ascii="Times New Roman" w:hAnsi="Times New Roman" w:cs="Times New Roman"/>
                <w:color w:val="auto"/>
                <w:w w:val="99"/>
                <w:sz w:val="21"/>
                <w:szCs w:val="21"/>
                <w:highlight w:val="none"/>
              </w:rPr>
              <w:t>台</w:t>
            </w:r>
          </w:p>
        </w:tc>
        <w:tc>
          <w:tcPr>
            <w:tcW w:w="1243" w:type="dxa"/>
            <w:tcMar>
              <w:left w:w="0" w:type="dxa"/>
              <w:right w:w="0" w:type="dxa"/>
            </w:tcMar>
            <w:vAlign w:val="center"/>
          </w:tcPr>
          <w:p>
            <w:pPr>
              <w:pStyle w:val="129"/>
              <w:keepNext w:val="0"/>
              <w:keepLines w:val="0"/>
              <w:pageBreakBefore w:val="0"/>
              <w:kinsoku/>
              <w:wordWrap/>
              <w:overflowPunct/>
              <w:topLinePunct w:val="0"/>
              <w:autoSpaceDE/>
              <w:autoSpaceDN/>
              <w:bidi w:val="0"/>
              <w:snapToGrid w:val="0"/>
              <w:spacing w:before="57"/>
              <w:ind w:left="0" w:right="0" w:rightChars="0"/>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w w:val="99"/>
                <w:sz w:val="21"/>
                <w:szCs w:val="21"/>
                <w:highlight w:val="none"/>
              </w:rPr>
              <w:t>1</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right="0"/>
              <w:jc w:val="center"/>
              <w:textAlignment w:val="auto"/>
              <w:outlineLvl w:val="9"/>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19</w:t>
            </w:r>
          </w:p>
        </w:tc>
        <w:tc>
          <w:tcPr>
            <w:tcW w:w="2325" w:type="dxa"/>
            <w:tcMar>
              <w:left w:w="0" w:type="dxa"/>
              <w:right w:w="0" w:type="dxa"/>
            </w:tcMar>
            <w:vAlign w:val="center"/>
          </w:tcPr>
          <w:p>
            <w:pPr>
              <w:pStyle w:val="129"/>
              <w:keepNext w:val="0"/>
              <w:keepLines w:val="0"/>
              <w:pageBreakBefore w:val="0"/>
              <w:kinsoku/>
              <w:wordWrap/>
              <w:overflowPunct/>
              <w:topLinePunct w:val="0"/>
              <w:autoSpaceDE/>
              <w:autoSpaceDN/>
              <w:bidi w:val="0"/>
              <w:snapToGrid w:val="0"/>
              <w:spacing w:before="62"/>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离心甩干机</w:t>
            </w:r>
          </w:p>
        </w:tc>
        <w:tc>
          <w:tcPr>
            <w:tcW w:w="3281" w:type="dxa"/>
            <w:vAlign w:val="center"/>
          </w:tcPr>
          <w:p>
            <w:pPr>
              <w:pStyle w:val="129"/>
              <w:keepNext w:val="0"/>
              <w:keepLines w:val="0"/>
              <w:pageBreakBefore w:val="0"/>
              <w:kinsoku/>
              <w:wordWrap/>
              <w:overflowPunct/>
              <w:topLinePunct w:val="0"/>
              <w:autoSpaceDE/>
              <w:autoSpaceDN/>
              <w:bidi w:val="0"/>
              <w:snapToGrid w:val="0"/>
              <w:spacing w:before="57"/>
              <w:ind w:left="0" w:leftChars="0" w:right="0" w:right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 w:val="21"/>
                <w:szCs w:val="21"/>
                <w:highlight w:val="none"/>
              </w:rPr>
              <w:t>500*600</w:t>
            </w:r>
          </w:p>
        </w:tc>
        <w:tc>
          <w:tcPr>
            <w:tcW w:w="881" w:type="dxa"/>
            <w:vAlign w:val="center"/>
          </w:tcPr>
          <w:p>
            <w:pPr>
              <w:pStyle w:val="129"/>
              <w:keepNext w:val="0"/>
              <w:keepLines w:val="0"/>
              <w:pageBreakBefore w:val="0"/>
              <w:kinsoku/>
              <w:wordWrap/>
              <w:overflowPunct/>
              <w:topLinePunct w:val="0"/>
              <w:autoSpaceDE/>
              <w:autoSpaceDN/>
              <w:bidi w:val="0"/>
              <w:snapToGrid w:val="0"/>
              <w:spacing w:before="62"/>
              <w:ind w:left="0" w:leftChars="0" w:right="0"/>
              <w:jc w:val="center"/>
              <w:rPr>
                <w:rFonts w:hint="default" w:ascii="Times New Roman" w:hAnsi="Times New Roman" w:cs="Times New Roman"/>
                <w:color w:val="auto"/>
                <w:kern w:val="0"/>
                <w:sz w:val="21"/>
                <w:szCs w:val="21"/>
                <w:highlight w:val="none"/>
                <w:lang w:eastAsia="zh-CN"/>
              </w:rPr>
            </w:pPr>
            <w:r>
              <w:rPr>
                <w:rFonts w:hint="default" w:ascii="Times New Roman" w:hAnsi="Times New Roman" w:cs="Times New Roman"/>
                <w:color w:val="auto"/>
                <w:w w:val="99"/>
                <w:sz w:val="21"/>
                <w:szCs w:val="21"/>
                <w:highlight w:val="none"/>
              </w:rPr>
              <w:t>台</w:t>
            </w:r>
          </w:p>
        </w:tc>
        <w:tc>
          <w:tcPr>
            <w:tcW w:w="1243" w:type="dxa"/>
            <w:tcMar>
              <w:left w:w="0" w:type="dxa"/>
              <w:right w:w="0" w:type="dxa"/>
            </w:tcMar>
            <w:vAlign w:val="center"/>
          </w:tcPr>
          <w:p>
            <w:pPr>
              <w:pStyle w:val="129"/>
              <w:keepNext w:val="0"/>
              <w:keepLines w:val="0"/>
              <w:pageBreakBefore w:val="0"/>
              <w:kinsoku/>
              <w:wordWrap/>
              <w:overflowPunct/>
              <w:topLinePunct w:val="0"/>
              <w:autoSpaceDE/>
              <w:autoSpaceDN/>
              <w:bidi w:val="0"/>
              <w:snapToGrid w:val="0"/>
              <w:spacing w:before="57"/>
              <w:ind w:left="0" w:right="0" w:rightChars="0"/>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w w:val="99"/>
                <w:sz w:val="21"/>
                <w:szCs w:val="21"/>
                <w:highlight w:val="none"/>
              </w:rPr>
              <w:t>1</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right="0"/>
              <w:jc w:val="center"/>
              <w:textAlignment w:val="auto"/>
              <w:outlineLvl w:val="9"/>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20</w:t>
            </w:r>
          </w:p>
        </w:tc>
        <w:tc>
          <w:tcPr>
            <w:tcW w:w="2325" w:type="dxa"/>
            <w:tcMar>
              <w:left w:w="0" w:type="dxa"/>
              <w:right w:w="0" w:type="dxa"/>
            </w:tcMar>
            <w:vAlign w:val="center"/>
          </w:tcPr>
          <w:p>
            <w:pPr>
              <w:pStyle w:val="129"/>
              <w:keepNext w:val="0"/>
              <w:keepLines w:val="0"/>
              <w:pageBreakBefore w:val="0"/>
              <w:kinsoku/>
              <w:wordWrap/>
              <w:overflowPunct/>
              <w:topLinePunct w:val="0"/>
              <w:autoSpaceDE/>
              <w:autoSpaceDN/>
              <w:bidi w:val="0"/>
              <w:snapToGrid w:val="0"/>
              <w:spacing w:before="62"/>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电磁加热</w:t>
            </w:r>
          </w:p>
        </w:tc>
        <w:tc>
          <w:tcPr>
            <w:tcW w:w="3281" w:type="dxa"/>
            <w:vAlign w:val="center"/>
          </w:tcPr>
          <w:p>
            <w:pPr>
              <w:pStyle w:val="129"/>
              <w:keepNext w:val="0"/>
              <w:keepLines w:val="0"/>
              <w:pageBreakBefore w:val="0"/>
              <w:kinsoku/>
              <w:wordWrap/>
              <w:overflowPunct/>
              <w:topLinePunct w:val="0"/>
              <w:autoSpaceDE/>
              <w:autoSpaceDN/>
              <w:bidi w:val="0"/>
              <w:snapToGrid w:val="0"/>
              <w:spacing w:before="57"/>
              <w:ind w:left="0" w:leftChars="0" w:right="0" w:right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 w:val="21"/>
                <w:szCs w:val="21"/>
                <w:highlight w:val="none"/>
              </w:rPr>
              <w:t>30kw</w:t>
            </w:r>
          </w:p>
        </w:tc>
        <w:tc>
          <w:tcPr>
            <w:tcW w:w="881" w:type="dxa"/>
            <w:vAlign w:val="center"/>
          </w:tcPr>
          <w:p>
            <w:pPr>
              <w:pStyle w:val="129"/>
              <w:keepNext w:val="0"/>
              <w:keepLines w:val="0"/>
              <w:pageBreakBefore w:val="0"/>
              <w:kinsoku/>
              <w:wordWrap/>
              <w:overflowPunct/>
              <w:topLinePunct w:val="0"/>
              <w:autoSpaceDE/>
              <w:autoSpaceDN/>
              <w:bidi w:val="0"/>
              <w:snapToGrid w:val="0"/>
              <w:spacing w:before="62"/>
              <w:ind w:left="0" w:leftChars="0" w:right="0"/>
              <w:jc w:val="center"/>
              <w:rPr>
                <w:rFonts w:hint="default" w:ascii="Times New Roman" w:hAnsi="Times New Roman" w:cs="Times New Roman"/>
                <w:color w:val="auto"/>
                <w:kern w:val="0"/>
                <w:sz w:val="21"/>
                <w:szCs w:val="21"/>
                <w:highlight w:val="none"/>
                <w:lang w:eastAsia="zh-CN"/>
              </w:rPr>
            </w:pPr>
            <w:r>
              <w:rPr>
                <w:rFonts w:hint="default" w:ascii="Times New Roman" w:hAnsi="Times New Roman" w:cs="Times New Roman"/>
                <w:color w:val="auto"/>
                <w:sz w:val="21"/>
                <w:szCs w:val="21"/>
                <w:highlight w:val="none"/>
              </w:rPr>
              <w:t>台</w:t>
            </w:r>
          </w:p>
        </w:tc>
        <w:tc>
          <w:tcPr>
            <w:tcW w:w="1243" w:type="dxa"/>
            <w:tcMar>
              <w:left w:w="0" w:type="dxa"/>
              <w:right w:w="0" w:type="dxa"/>
            </w:tcMar>
            <w:vAlign w:val="center"/>
          </w:tcPr>
          <w:p>
            <w:pPr>
              <w:pStyle w:val="129"/>
              <w:keepNext w:val="0"/>
              <w:keepLines w:val="0"/>
              <w:pageBreakBefore w:val="0"/>
              <w:kinsoku/>
              <w:wordWrap/>
              <w:overflowPunct/>
              <w:topLinePunct w:val="0"/>
              <w:autoSpaceDE/>
              <w:autoSpaceDN/>
              <w:bidi w:val="0"/>
              <w:snapToGrid w:val="0"/>
              <w:spacing w:before="57"/>
              <w:ind w:left="0" w:leftChars="0" w:right="0"/>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sz w:val="21"/>
                <w:szCs w:val="21"/>
                <w:highlight w:val="none"/>
              </w:rPr>
              <w:t>1</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right="0"/>
              <w:jc w:val="center"/>
              <w:textAlignment w:val="auto"/>
              <w:outlineLvl w:val="9"/>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21</w:t>
            </w:r>
          </w:p>
        </w:tc>
        <w:tc>
          <w:tcPr>
            <w:tcW w:w="2325" w:type="dxa"/>
            <w:tcMar>
              <w:left w:w="0" w:type="dxa"/>
              <w:right w:w="0" w:type="dxa"/>
            </w:tcMar>
            <w:vAlign w:val="center"/>
          </w:tcPr>
          <w:p>
            <w:pPr>
              <w:pStyle w:val="129"/>
              <w:keepNext w:val="0"/>
              <w:keepLines w:val="0"/>
              <w:pageBreakBefore w:val="0"/>
              <w:kinsoku/>
              <w:wordWrap/>
              <w:overflowPunct/>
              <w:topLinePunct w:val="0"/>
              <w:autoSpaceDE/>
              <w:autoSpaceDN/>
              <w:bidi w:val="0"/>
              <w:snapToGrid w:val="0"/>
              <w:spacing w:before="176"/>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烘干箱</w:t>
            </w:r>
          </w:p>
        </w:tc>
        <w:tc>
          <w:tcPr>
            <w:tcW w:w="3281" w:type="dxa"/>
            <w:vAlign w:val="center"/>
          </w:tcPr>
          <w:p>
            <w:pPr>
              <w:pStyle w:val="129"/>
              <w:keepNext w:val="0"/>
              <w:keepLines w:val="0"/>
              <w:pageBreakBefore w:val="0"/>
              <w:kinsoku/>
              <w:wordWrap/>
              <w:overflowPunct/>
              <w:topLinePunct w:val="0"/>
              <w:autoSpaceDE/>
              <w:autoSpaceDN/>
              <w:bidi w:val="0"/>
              <w:snapToGrid w:val="0"/>
              <w:spacing w:before="36"/>
              <w:ind w:left="0" w:leftChars="0" w:right="0" w:right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 w:val="21"/>
                <w:szCs w:val="21"/>
                <w:highlight w:val="none"/>
                <w:lang w:val="en-US"/>
              </w:rPr>
              <w:t>6kw</w:t>
            </w:r>
          </w:p>
        </w:tc>
        <w:tc>
          <w:tcPr>
            <w:tcW w:w="881" w:type="dxa"/>
            <w:vAlign w:val="center"/>
          </w:tcPr>
          <w:p>
            <w:pPr>
              <w:pStyle w:val="129"/>
              <w:keepNext w:val="0"/>
              <w:keepLines w:val="0"/>
              <w:pageBreakBefore w:val="0"/>
              <w:kinsoku/>
              <w:wordWrap/>
              <w:overflowPunct/>
              <w:topLinePunct w:val="0"/>
              <w:autoSpaceDE/>
              <w:autoSpaceDN/>
              <w:bidi w:val="0"/>
              <w:snapToGrid w:val="0"/>
              <w:spacing w:before="176"/>
              <w:ind w:left="0" w:leftChars="0" w:right="0"/>
              <w:jc w:val="center"/>
              <w:rPr>
                <w:rFonts w:hint="default" w:ascii="Times New Roman" w:hAnsi="Times New Roman" w:cs="Times New Roman"/>
                <w:color w:val="auto"/>
                <w:kern w:val="0"/>
                <w:sz w:val="21"/>
                <w:szCs w:val="21"/>
                <w:highlight w:val="none"/>
                <w:lang w:eastAsia="zh-CN"/>
              </w:rPr>
            </w:pPr>
            <w:r>
              <w:rPr>
                <w:rFonts w:hint="default" w:ascii="Times New Roman" w:hAnsi="Times New Roman" w:cs="Times New Roman"/>
                <w:color w:val="auto"/>
                <w:sz w:val="21"/>
                <w:szCs w:val="21"/>
                <w:highlight w:val="none"/>
                <w:lang w:val="en-US"/>
              </w:rPr>
              <w:t>个</w:t>
            </w:r>
          </w:p>
        </w:tc>
        <w:tc>
          <w:tcPr>
            <w:tcW w:w="1243" w:type="dxa"/>
            <w:tcMar>
              <w:left w:w="0" w:type="dxa"/>
              <w:right w:w="0" w:type="dxa"/>
            </w:tcMar>
            <w:vAlign w:val="center"/>
          </w:tcPr>
          <w:p>
            <w:pPr>
              <w:pStyle w:val="129"/>
              <w:keepNext w:val="0"/>
              <w:keepLines w:val="0"/>
              <w:pageBreakBefore w:val="0"/>
              <w:kinsoku/>
              <w:wordWrap/>
              <w:overflowPunct/>
              <w:topLinePunct w:val="0"/>
              <w:autoSpaceDE/>
              <w:autoSpaceDN/>
              <w:bidi w:val="0"/>
              <w:snapToGrid w:val="0"/>
              <w:spacing w:before="171"/>
              <w:ind w:left="0" w:right="0" w:rightChars="0"/>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w w:val="99"/>
                <w:sz w:val="21"/>
                <w:szCs w:val="21"/>
                <w:highlight w:val="none"/>
              </w:rPr>
              <w:t>1</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right="0"/>
              <w:jc w:val="center"/>
              <w:textAlignment w:val="auto"/>
              <w:outlineLvl w:val="9"/>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22</w:t>
            </w:r>
          </w:p>
        </w:tc>
        <w:tc>
          <w:tcPr>
            <w:tcW w:w="2325" w:type="dxa"/>
            <w:tcMar>
              <w:left w:w="0" w:type="dxa"/>
              <w:right w:w="0" w:type="dxa"/>
            </w:tcMar>
            <w:vAlign w:val="center"/>
          </w:tcPr>
          <w:p>
            <w:pPr>
              <w:pStyle w:val="129"/>
              <w:keepNext w:val="0"/>
              <w:keepLines w:val="0"/>
              <w:pageBreakBefore w:val="0"/>
              <w:kinsoku/>
              <w:wordWrap/>
              <w:overflowPunct/>
              <w:topLinePunct w:val="0"/>
              <w:autoSpaceDE/>
              <w:autoSpaceDN/>
              <w:bidi w:val="0"/>
              <w:snapToGrid w:val="0"/>
              <w:spacing w:before="63"/>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酸雾引风机</w:t>
            </w:r>
          </w:p>
        </w:tc>
        <w:tc>
          <w:tcPr>
            <w:tcW w:w="3281" w:type="dxa"/>
            <w:vAlign w:val="center"/>
          </w:tcPr>
          <w:p>
            <w:pPr>
              <w:pStyle w:val="129"/>
              <w:keepNext w:val="0"/>
              <w:keepLines w:val="0"/>
              <w:pageBreakBefore w:val="0"/>
              <w:kinsoku/>
              <w:wordWrap/>
              <w:overflowPunct/>
              <w:topLinePunct w:val="0"/>
              <w:autoSpaceDE/>
              <w:autoSpaceDN/>
              <w:bidi w:val="0"/>
              <w:snapToGrid w:val="0"/>
              <w:spacing w:before="58"/>
              <w:ind w:left="0" w:leftChars="0" w:right="0" w:right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 w:val="21"/>
                <w:szCs w:val="21"/>
                <w:highlight w:val="none"/>
              </w:rPr>
              <w:t>20000m³/h</w:t>
            </w:r>
          </w:p>
        </w:tc>
        <w:tc>
          <w:tcPr>
            <w:tcW w:w="881" w:type="dxa"/>
            <w:vAlign w:val="center"/>
          </w:tcPr>
          <w:p>
            <w:pPr>
              <w:pStyle w:val="129"/>
              <w:keepNext w:val="0"/>
              <w:keepLines w:val="0"/>
              <w:pageBreakBefore w:val="0"/>
              <w:kinsoku/>
              <w:wordWrap/>
              <w:overflowPunct/>
              <w:topLinePunct w:val="0"/>
              <w:autoSpaceDE/>
              <w:autoSpaceDN/>
              <w:bidi w:val="0"/>
              <w:snapToGrid w:val="0"/>
              <w:spacing w:before="63"/>
              <w:ind w:left="0" w:leftChars="0" w:right="0"/>
              <w:jc w:val="center"/>
              <w:rPr>
                <w:rFonts w:hint="default" w:ascii="Times New Roman" w:hAnsi="Times New Roman" w:cs="Times New Roman"/>
                <w:color w:val="auto"/>
                <w:kern w:val="0"/>
                <w:sz w:val="21"/>
                <w:szCs w:val="21"/>
                <w:highlight w:val="none"/>
                <w:lang w:eastAsia="zh-CN"/>
              </w:rPr>
            </w:pPr>
            <w:r>
              <w:rPr>
                <w:rFonts w:hint="default" w:ascii="Times New Roman" w:hAnsi="Times New Roman" w:cs="Times New Roman"/>
                <w:color w:val="auto"/>
                <w:w w:val="99"/>
                <w:sz w:val="21"/>
                <w:szCs w:val="21"/>
                <w:highlight w:val="none"/>
              </w:rPr>
              <w:t>台</w:t>
            </w:r>
          </w:p>
        </w:tc>
        <w:tc>
          <w:tcPr>
            <w:tcW w:w="1243" w:type="dxa"/>
            <w:tcMar>
              <w:left w:w="0" w:type="dxa"/>
              <w:right w:w="0" w:type="dxa"/>
            </w:tcMar>
            <w:vAlign w:val="center"/>
          </w:tcPr>
          <w:p>
            <w:pPr>
              <w:pStyle w:val="129"/>
              <w:keepNext w:val="0"/>
              <w:keepLines w:val="0"/>
              <w:pageBreakBefore w:val="0"/>
              <w:kinsoku/>
              <w:wordWrap/>
              <w:overflowPunct/>
              <w:topLinePunct w:val="0"/>
              <w:autoSpaceDE/>
              <w:autoSpaceDN/>
              <w:bidi w:val="0"/>
              <w:snapToGrid w:val="0"/>
              <w:spacing w:before="58"/>
              <w:ind w:left="0" w:right="0" w:rightChars="0"/>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w w:val="99"/>
                <w:sz w:val="21"/>
                <w:szCs w:val="21"/>
                <w:highlight w:val="none"/>
              </w:rPr>
              <w:t>1</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0" w:leftChars="0" w:right="0"/>
              <w:jc w:val="center"/>
              <w:textAlignment w:val="auto"/>
              <w:outlineLvl w:val="9"/>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23</w:t>
            </w:r>
          </w:p>
        </w:tc>
        <w:tc>
          <w:tcPr>
            <w:tcW w:w="2325" w:type="dxa"/>
            <w:tcMar>
              <w:left w:w="0" w:type="dxa"/>
              <w:right w:w="0" w:type="dxa"/>
            </w:tcMar>
            <w:vAlign w:val="center"/>
          </w:tcPr>
          <w:p>
            <w:pPr>
              <w:pStyle w:val="129"/>
              <w:keepNext w:val="0"/>
              <w:keepLines w:val="0"/>
              <w:pageBreakBefore w:val="0"/>
              <w:kinsoku/>
              <w:wordWrap/>
              <w:overflowPunct/>
              <w:topLinePunct w:val="0"/>
              <w:autoSpaceDE/>
              <w:autoSpaceDN/>
              <w:bidi w:val="0"/>
              <w:snapToGrid w:val="0"/>
              <w:spacing w:before="64"/>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酸雾净化塔</w:t>
            </w:r>
          </w:p>
        </w:tc>
        <w:tc>
          <w:tcPr>
            <w:tcW w:w="3281" w:type="dxa"/>
            <w:vAlign w:val="center"/>
          </w:tcPr>
          <w:p>
            <w:pPr>
              <w:pStyle w:val="129"/>
              <w:keepNext w:val="0"/>
              <w:keepLines w:val="0"/>
              <w:pageBreakBefore w:val="0"/>
              <w:kinsoku/>
              <w:wordWrap/>
              <w:overflowPunct/>
              <w:topLinePunct w:val="0"/>
              <w:autoSpaceDE/>
              <w:autoSpaceDN/>
              <w:bidi w:val="0"/>
              <w:snapToGrid w:val="0"/>
              <w:spacing w:before="54"/>
              <w:ind w:left="0" w:leftChars="0" w:right="0" w:right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 w:val="21"/>
                <w:szCs w:val="21"/>
                <w:highlight w:val="none"/>
              </w:rPr>
              <w:t>1700*1700*2000</w:t>
            </w:r>
            <w:r>
              <w:rPr>
                <w:rFonts w:hint="default" w:ascii="Times New Roman" w:hAnsi="Times New Roman" w:eastAsia="Segoe UI" w:cs="Times New Roman"/>
                <w:color w:val="auto"/>
                <w:sz w:val="21"/>
                <w:szCs w:val="21"/>
                <w:highlight w:val="none"/>
              </w:rPr>
              <w:t xml:space="preserve"> </w:t>
            </w:r>
            <w:r>
              <w:rPr>
                <w:rFonts w:hint="default" w:ascii="Times New Roman" w:hAnsi="Times New Roman" w:cs="Times New Roman"/>
                <w:color w:val="auto"/>
                <w:sz w:val="21"/>
                <w:szCs w:val="21"/>
                <w:highlight w:val="none"/>
              </w:rPr>
              <w:t>二级喷淋</w:t>
            </w:r>
          </w:p>
        </w:tc>
        <w:tc>
          <w:tcPr>
            <w:tcW w:w="881" w:type="dxa"/>
            <w:vAlign w:val="center"/>
          </w:tcPr>
          <w:p>
            <w:pPr>
              <w:pStyle w:val="129"/>
              <w:keepNext w:val="0"/>
              <w:keepLines w:val="0"/>
              <w:pageBreakBefore w:val="0"/>
              <w:kinsoku/>
              <w:wordWrap/>
              <w:overflowPunct/>
              <w:topLinePunct w:val="0"/>
              <w:autoSpaceDE/>
              <w:autoSpaceDN/>
              <w:bidi w:val="0"/>
              <w:snapToGrid w:val="0"/>
              <w:spacing w:before="64"/>
              <w:ind w:left="0" w:leftChars="0" w:right="0"/>
              <w:jc w:val="center"/>
              <w:rPr>
                <w:rFonts w:hint="default" w:ascii="Times New Roman" w:hAnsi="Times New Roman" w:cs="Times New Roman"/>
                <w:color w:val="auto"/>
                <w:kern w:val="0"/>
                <w:sz w:val="21"/>
                <w:szCs w:val="21"/>
                <w:highlight w:val="none"/>
                <w:lang w:eastAsia="zh-CN"/>
              </w:rPr>
            </w:pPr>
            <w:r>
              <w:rPr>
                <w:rFonts w:hint="default" w:ascii="Times New Roman" w:hAnsi="Times New Roman" w:cs="Times New Roman"/>
                <w:color w:val="auto"/>
                <w:w w:val="99"/>
                <w:sz w:val="21"/>
                <w:szCs w:val="21"/>
                <w:highlight w:val="none"/>
              </w:rPr>
              <w:t>台</w:t>
            </w:r>
          </w:p>
        </w:tc>
        <w:tc>
          <w:tcPr>
            <w:tcW w:w="1243" w:type="dxa"/>
            <w:tcMar>
              <w:left w:w="0" w:type="dxa"/>
              <w:right w:w="0" w:type="dxa"/>
            </w:tcMar>
            <w:vAlign w:val="center"/>
          </w:tcPr>
          <w:p>
            <w:pPr>
              <w:pStyle w:val="129"/>
              <w:keepNext w:val="0"/>
              <w:keepLines w:val="0"/>
              <w:pageBreakBefore w:val="0"/>
              <w:kinsoku/>
              <w:wordWrap/>
              <w:overflowPunct/>
              <w:topLinePunct w:val="0"/>
              <w:autoSpaceDE/>
              <w:autoSpaceDN/>
              <w:bidi w:val="0"/>
              <w:snapToGrid w:val="0"/>
              <w:spacing w:before="57"/>
              <w:ind w:left="0" w:right="0" w:rightChars="0"/>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w w:val="99"/>
                <w:sz w:val="21"/>
                <w:szCs w:val="21"/>
                <w:highlight w:val="none"/>
              </w:rPr>
              <w:t>1</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restart"/>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3#车间</w:t>
            </w:r>
          </w:p>
        </w:tc>
        <w:tc>
          <w:tcPr>
            <w:tcW w:w="682" w:type="dxa"/>
            <w:tcMar>
              <w:left w:w="0" w:type="dxa"/>
              <w:right w:w="0" w:type="dxa"/>
            </w:tcMar>
            <w:vAlign w:val="center"/>
          </w:tcPr>
          <w:p>
            <w:pPr>
              <w:keepNext w:val="0"/>
              <w:keepLines w:val="0"/>
              <w:pageBreakBefore w:val="0"/>
              <w:numPr>
                <w:ilvl w:val="0"/>
                <w:numId w:val="0"/>
              </w:numPr>
              <w:kinsoku/>
              <w:wordWrap/>
              <w:overflowPunct/>
              <w:topLinePunct w:val="0"/>
              <w:autoSpaceDE/>
              <w:autoSpaceDN/>
              <w:bidi w:val="0"/>
              <w:adjustRightInd/>
              <w:snapToGrid w:val="0"/>
              <w:ind w:left="0" w:leftChars="0" w:right="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1</w:t>
            </w:r>
          </w:p>
        </w:tc>
        <w:tc>
          <w:tcPr>
            <w:tcW w:w="2325" w:type="dxa"/>
            <w:tcMar>
              <w:left w:w="0" w:type="dxa"/>
              <w:right w:w="0" w:type="dxa"/>
            </w:tcMar>
            <w:vAlign w:val="center"/>
          </w:tcPr>
          <w:p>
            <w:pPr>
              <w:keepNext w:val="0"/>
              <w:keepLines w:val="0"/>
              <w:pageBreakBefore w:val="0"/>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lang w:eastAsia="zh-CN"/>
              </w:rPr>
            </w:pPr>
            <w:r>
              <w:rPr>
                <w:rFonts w:hint="default" w:ascii="Times New Roman" w:hAnsi="Times New Roman" w:cs="Times New Roman"/>
                <w:color w:val="auto"/>
                <w:sz w:val="21"/>
                <w:szCs w:val="21"/>
                <w:highlight w:val="none"/>
                <w:shd w:val="clear" w:color="auto" w:fill="auto"/>
              </w:rPr>
              <w:t>全封闭酸洗槽</w:t>
            </w:r>
          </w:p>
        </w:tc>
        <w:tc>
          <w:tcPr>
            <w:tcW w:w="3281" w:type="dxa"/>
            <w:vAlign w:val="center"/>
          </w:tcPr>
          <w:p>
            <w:pPr>
              <w:keepNext w:val="0"/>
              <w:keepLines w:val="0"/>
              <w:pageBreakBefore w:val="0"/>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120</w:t>
            </w:r>
            <w:r>
              <w:rPr>
                <w:rFonts w:hint="eastAsia" w:cs="Times New Roman"/>
                <w:color w:val="auto"/>
                <w:sz w:val="21"/>
                <w:szCs w:val="21"/>
                <w:highlight w:val="none"/>
                <w:shd w:val="clear" w:color="auto" w:fill="auto"/>
                <w:lang w:val="en-US" w:eastAsia="zh-CN"/>
              </w:rPr>
              <w:t>0</w:t>
            </w:r>
            <w:r>
              <w:rPr>
                <w:rFonts w:hint="default" w:ascii="Times New Roman" w:hAnsi="Times New Roman" w:cs="Times New Roman"/>
                <w:color w:val="auto"/>
                <w:sz w:val="21"/>
                <w:szCs w:val="21"/>
                <w:highlight w:val="none"/>
                <w:shd w:val="clear" w:color="auto" w:fill="auto"/>
              </w:rPr>
              <w:t>0mm×1500mm×450 mm</w:t>
            </w:r>
          </w:p>
        </w:tc>
        <w:tc>
          <w:tcPr>
            <w:tcW w:w="881" w:type="dxa"/>
            <w:vAlign w:val="center"/>
          </w:tcPr>
          <w:p>
            <w:pPr>
              <w:keepNext w:val="0"/>
              <w:keepLines w:val="0"/>
              <w:pageBreakBefore w:val="0"/>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sz w:val="21"/>
                <w:szCs w:val="21"/>
                <w:highlight w:val="none"/>
                <w:shd w:val="clear" w:color="auto" w:fill="auto"/>
                <w:lang w:eastAsia="zh-CN"/>
              </w:rPr>
            </w:pPr>
            <w:r>
              <w:rPr>
                <w:rFonts w:hint="default" w:ascii="Times New Roman" w:hAnsi="Times New Roman" w:cs="Times New Roman"/>
                <w:color w:val="auto"/>
                <w:sz w:val="21"/>
                <w:szCs w:val="21"/>
                <w:highlight w:val="none"/>
                <w:shd w:val="clear" w:color="auto" w:fill="auto"/>
              </w:rPr>
              <w:t>个</w:t>
            </w:r>
          </w:p>
        </w:tc>
        <w:tc>
          <w:tcPr>
            <w:tcW w:w="1243" w:type="dxa"/>
            <w:tcMar>
              <w:left w:w="0" w:type="dxa"/>
              <w:right w:w="0" w:type="dxa"/>
            </w:tcMar>
            <w:vAlign w:val="center"/>
          </w:tcPr>
          <w:p>
            <w:pPr>
              <w:keepNext w:val="0"/>
              <w:keepLines w:val="0"/>
              <w:pageBreakBefore w:val="0"/>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rPr>
              <w:t>1</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numPr>
                <w:ilvl w:val="0"/>
                <w:numId w:val="0"/>
              </w:numPr>
              <w:kinsoku/>
              <w:wordWrap/>
              <w:overflowPunct/>
              <w:topLinePunct w:val="0"/>
              <w:autoSpaceDE/>
              <w:autoSpaceDN/>
              <w:bidi w:val="0"/>
              <w:adjustRightInd/>
              <w:snapToGrid w:val="0"/>
              <w:ind w:left="0" w:leftChars="0" w:right="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2</w:t>
            </w:r>
          </w:p>
        </w:tc>
        <w:tc>
          <w:tcPr>
            <w:tcW w:w="2325" w:type="dxa"/>
            <w:tcMar>
              <w:left w:w="0" w:type="dxa"/>
              <w:right w:w="0" w:type="dxa"/>
            </w:tcMar>
            <w:vAlign w:val="center"/>
          </w:tcPr>
          <w:p>
            <w:pPr>
              <w:keepNext w:val="0"/>
              <w:keepLines w:val="0"/>
              <w:pageBreakBefore w:val="0"/>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lang w:eastAsia="zh-CN"/>
              </w:rPr>
            </w:pPr>
            <w:r>
              <w:rPr>
                <w:rFonts w:hint="default" w:ascii="Times New Roman" w:hAnsi="Times New Roman" w:cs="Times New Roman"/>
                <w:color w:val="auto"/>
                <w:sz w:val="21"/>
                <w:szCs w:val="21"/>
                <w:highlight w:val="none"/>
                <w:shd w:val="clear" w:color="auto" w:fill="auto"/>
              </w:rPr>
              <w:t>水洗槽</w:t>
            </w:r>
          </w:p>
        </w:tc>
        <w:tc>
          <w:tcPr>
            <w:tcW w:w="3281" w:type="dxa"/>
            <w:vAlign w:val="center"/>
          </w:tcPr>
          <w:p>
            <w:pPr>
              <w:keepNext w:val="0"/>
              <w:keepLines w:val="0"/>
              <w:pageBreakBefore w:val="0"/>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400 mm×1500 mm×850mm</w:t>
            </w:r>
          </w:p>
        </w:tc>
        <w:tc>
          <w:tcPr>
            <w:tcW w:w="881" w:type="dxa"/>
            <w:vAlign w:val="center"/>
          </w:tcPr>
          <w:p>
            <w:pPr>
              <w:keepNext w:val="0"/>
              <w:keepLines w:val="0"/>
              <w:pageBreakBefore w:val="0"/>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sz w:val="21"/>
                <w:szCs w:val="21"/>
                <w:highlight w:val="none"/>
                <w:shd w:val="clear" w:color="auto" w:fill="auto"/>
                <w:lang w:eastAsia="zh-CN"/>
              </w:rPr>
            </w:pPr>
            <w:r>
              <w:rPr>
                <w:rFonts w:hint="default" w:ascii="Times New Roman" w:hAnsi="Times New Roman" w:cs="Times New Roman"/>
                <w:color w:val="auto"/>
                <w:sz w:val="21"/>
                <w:szCs w:val="21"/>
                <w:highlight w:val="none"/>
                <w:shd w:val="clear" w:color="auto" w:fill="auto"/>
              </w:rPr>
              <w:t>个</w:t>
            </w:r>
          </w:p>
        </w:tc>
        <w:tc>
          <w:tcPr>
            <w:tcW w:w="1243" w:type="dxa"/>
            <w:tcMar>
              <w:left w:w="0" w:type="dxa"/>
              <w:right w:w="0" w:type="dxa"/>
            </w:tcMar>
            <w:vAlign w:val="center"/>
          </w:tcPr>
          <w:p>
            <w:pPr>
              <w:keepNext w:val="0"/>
              <w:keepLines w:val="0"/>
              <w:pageBreakBefore w:val="0"/>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rPr>
              <w:t>1</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numPr>
                <w:ilvl w:val="0"/>
                <w:numId w:val="0"/>
              </w:numPr>
              <w:kinsoku/>
              <w:wordWrap/>
              <w:overflowPunct/>
              <w:topLinePunct w:val="0"/>
              <w:autoSpaceDE/>
              <w:autoSpaceDN/>
              <w:bidi w:val="0"/>
              <w:adjustRightInd/>
              <w:snapToGrid w:val="0"/>
              <w:ind w:left="0" w:leftChars="0" w:right="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3</w:t>
            </w:r>
          </w:p>
        </w:tc>
        <w:tc>
          <w:tcPr>
            <w:tcW w:w="2325" w:type="dxa"/>
            <w:tcMar>
              <w:left w:w="0" w:type="dxa"/>
              <w:right w:w="0" w:type="dxa"/>
            </w:tcMar>
            <w:vAlign w:val="center"/>
          </w:tcPr>
          <w:p>
            <w:pPr>
              <w:keepNext w:val="0"/>
              <w:keepLines w:val="0"/>
              <w:pageBreakBefore w:val="0"/>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lang w:eastAsia="zh-CN"/>
              </w:rPr>
            </w:pPr>
            <w:r>
              <w:rPr>
                <w:rFonts w:hint="default" w:ascii="Times New Roman" w:hAnsi="Times New Roman" w:cs="Times New Roman"/>
                <w:color w:val="auto"/>
                <w:sz w:val="21"/>
                <w:szCs w:val="21"/>
                <w:highlight w:val="none"/>
                <w:shd w:val="clear" w:color="auto" w:fill="auto"/>
              </w:rPr>
              <w:t>水洗槽</w:t>
            </w:r>
          </w:p>
        </w:tc>
        <w:tc>
          <w:tcPr>
            <w:tcW w:w="3281" w:type="dxa"/>
            <w:vAlign w:val="center"/>
          </w:tcPr>
          <w:p>
            <w:pPr>
              <w:keepNext w:val="0"/>
              <w:keepLines w:val="0"/>
              <w:pageBreakBefore w:val="0"/>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1500 mm×1200 mm×450 mm</w:t>
            </w:r>
          </w:p>
        </w:tc>
        <w:tc>
          <w:tcPr>
            <w:tcW w:w="881" w:type="dxa"/>
            <w:vAlign w:val="center"/>
          </w:tcPr>
          <w:p>
            <w:pPr>
              <w:keepNext w:val="0"/>
              <w:keepLines w:val="0"/>
              <w:pageBreakBefore w:val="0"/>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sz w:val="21"/>
                <w:szCs w:val="21"/>
                <w:highlight w:val="none"/>
                <w:shd w:val="clear" w:color="auto" w:fill="auto"/>
                <w:lang w:eastAsia="zh-CN"/>
              </w:rPr>
            </w:pPr>
            <w:r>
              <w:rPr>
                <w:rFonts w:hint="default" w:ascii="Times New Roman" w:hAnsi="Times New Roman" w:cs="Times New Roman"/>
                <w:color w:val="auto"/>
                <w:sz w:val="21"/>
                <w:szCs w:val="21"/>
                <w:highlight w:val="none"/>
                <w:shd w:val="clear" w:color="auto" w:fill="auto"/>
              </w:rPr>
              <w:t>个</w:t>
            </w:r>
          </w:p>
        </w:tc>
        <w:tc>
          <w:tcPr>
            <w:tcW w:w="1243" w:type="dxa"/>
            <w:tcMar>
              <w:left w:w="0" w:type="dxa"/>
              <w:right w:w="0" w:type="dxa"/>
            </w:tcMar>
            <w:vAlign w:val="center"/>
          </w:tcPr>
          <w:p>
            <w:pPr>
              <w:keepNext w:val="0"/>
              <w:keepLines w:val="0"/>
              <w:pageBreakBefore w:val="0"/>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rPr>
              <w:t>1</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numPr>
                <w:ilvl w:val="0"/>
                <w:numId w:val="0"/>
              </w:numPr>
              <w:kinsoku/>
              <w:wordWrap/>
              <w:overflowPunct/>
              <w:topLinePunct w:val="0"/>
              <w:autoSpaceDE/>
              <w:autoSpaceDN/>
              <w:bidi w:val="0"/>
              <w:adjustRightInd/>
              <w:snapToGrid w:val="0"/>
              <w:ind w:left="0" w:leftChars="0" w:right="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4</w:t>
            </w:r>
          </w:p>
        </w:tc>
        <w:tc>
          <w:tcPr>
            <w:tcW w:w="2325" w:type="dxa"/>
            <w:tcMar>
              <w:left w:w="0" w:type="dxa"/>
              <w:right w:w="0" w:type="dxa"/>
            </w:tcMar>
            <w:vAlign w:val="center"/>
          </w:tcPr>
          <w:p>
            <w:pPr>
              <w:keepNext w:val="0"/>
              <w:keepLines w:val="0"/>
              <w:pageBreakBefore w:val="0"/>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lang w:eastAsia="zh-CN"/>
              </w:rPr>
            </w:pPr>
            <w:r>
              <w:rPr>
                <w:rFonts w:hint="default" w:ascii="Times New Roman" w:hAnsi="Times New Roman" w:cs="Times New Roman"/>
                <w:color w:val="auto"/>
                <w:sz w:val="21"/>
                <w:szCs w:val="21"/>
                <w:highlight w:val="none"/>
                <w:shd w:val="clear" w:color="auto" w:fill="auto"/>
              </w:rPr>
              <w:t>酸性镀铜槽</w:t>
            </w:r>
          </w:p>
        </w:tc>
        <w:tc>
          <w:tcPr>
            <w:tcW w:w="3281" w:type="dxa"/>
            <w:vAlign w:val="center"/>
          </w:tcPr>
          <w:p>
            <w:pPr>
              <w:keepNext w:val="0"/>
              <w:keepLines w:val="0"/>
              <w:pageBreakBefore w:val="0"/>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5000 mm×1150 mm×450 mm</w:t>
            </w:r>
          </w:p>
        </w:tc>
        <w:tc>
          <w:tcPr>
            <w:tcW w:w="881" w:type="dxa"/>
            <w:vAlign w:val="center"/>
          </w:tcPr>
          <w:p>
            <w:pPr>
              <w:keepNext w:val="0"/>
              <w:keepLines w:val="0"/>
              <w:pageBreakBefore w:val="0"/>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sz w:val="21"/>
                <w:szCs w:val="21"/>
                <w:highlight w:val="none"/>
                <w:shd w:val="clear" w:color="auto" w:fill="auto"/>
                <w:lang w:eastAsia="zh-CN"/>
              </w:rPr>
            </w:pPr>
            <w:r>
              <w:rPr>
                <w:rFonts w:hint="default" w:ascii="Times New Roman" w:hAnsi="Times New Roman" w:cs="Times New Roman"/>
                <w:color w:val="auto"/>
                <w:sz w:val="21"/>
                <w:szCs w:val="21"/>
                <w:highlight w:val="none"/>
                <w:shd w:val="clear" w:color="auto" w:fill="auto"/>
              </w:rPr>
              <w:t>个</w:t>
            </w:r>
          </w:p>
        </w:tc>
        <w:tc>
          <w:tcPr>
            <w:tcW w:w="1243" w:type="dxa"/>
            <w:tcMar>
              <w:left w:w="0" w:type="dxa"/>
              <w:right w:w="0" w:type="dxa"/>
            </w:tcMar>
            <w:vAlign w:val="center"/>
          </w:tcPr>
          <w:p>
            <w:pPr>
              <w:keepNext w:val="0"/>
              <w:keepLines w:val="0"/>
              <w:pageBreakBefore w:val="0"/>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1</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numPr>
                <w:ilvl w:val="0"/>
                <w:numId w:val="0"/>
              </w:numPr>
              <w:kinsoku/>
              <w:wordWrap/>
              <w:overflowPunct/>
              <w:topLinePunct w:val="0"/>
              <w:autoSpaceDE/>
              <w:autoSpaceDN/>
              <w:bidi w:val="0"/>
              <w:adjustRightInd/>
              <w:snapToGrid w:val="0"/>
              <w:ind w:left="0" w:leftChars="0" w:right="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5</w:t>
            </w:r>
          </w:p>
        </w:tc>
        <w:tc>
          <w:tcPr>
            <w:tcW w:w="2325" w:type="dxa"/>
            <w:tcMar>
              <w:left w:w="0" w:type="dxa"/>
              <w:right w:w="0" w:type="dxa"/>
            </w:tcMar>
            <w:vAlign w:val="center"/>
          </w:tcPr>
          <w:p>
            <w:pPr>
              <w:keepNext w:val="0"/>
              <w:keepLines w:val="0"/>
              <w:pageBreakBefore w:val="0"/>
              <w:kinsoku/>
              <w:wordWrap/>
              <w:overflowPunct/>
              <w:topLinePunct w:val="0"/>
              <w:autoSpaceDE/>
              <w:autoSpaceDN/>
              <w:bidi w:val="0"/>
              <w:adjustRightInd/>
              <w:snapToGrid w:val="0"/>
              <w:ind w:left="0" w:leftChars="0" w:right="0" w:firstLine="0" w:firstLineChars="0"/>
              <w:jc w:val="center"/>
              <w:textAlignment w:val="auto"/>
              <w:outlineLvl w:val="9"/>
              <w:rPr>
                <w:rFonts w:hint="default" w:ascii="Times New Roman" w:hAnsi="Times New Roman" w:cs="Times New Roman"/>
                <w:color w:val="auto"/>
                <w:kern w:val="0"/>
                <w:sz w:val="21"/>
                <w:szCs w:val="21"/>
                <w:highlight w:val="none"/>
                <w:lang w:eastAsia="zh-CN"/>
              </w:rPr>
            </w:pPr>
            <w:r>
              <w:rPr>
                <w:rFonts w:hint="default" w:ascii="Times New Roman" w:hAnsi="Times New Roman" w:cs="Times New Roman"/>
                <w:color w:val="auto"/>
                <w:sz w:val="21"/>
                <w:szCs w:val="21"/>
                <w:highlight w:val="none"/>
                <w:shd w:val="clear" w:color="auto" w:fill="auto"/>
              </w:rPr>
              <w:t>镀</w:t>
            </w:r>
            <w:r>
              <w:rPr>
                <w:rFonts w:hint="default" w:ascii="Times New Roman" w:hAnsi="Times New Roman" w:cs="Times New Roman"/>
                <w:color w:val="auto"/>
                <w:sz w:val="21"/>
                <w:szCs w:val="21"/>
                <w:highlight w:val="none"/>
                <w:shd w:val="clear" w:color="auto" w:fill="auto"/>
                <w:lang w:val="en-US" w:eastAsia="zh-CN"/>
              </w:rPr>
              <w:t>镍</w:t>
            </w:r>
            <w:r>
              <w:rPr>
                <w:rFonts w:hint="default" w:ascii="Times New Roman" w:hAnsi="Times New Roman" w:cs="Times New Roman"/>
                <w:color w:val="auto"/>
                <w:sz w:val="21"/>
                <w:szCs w:val="21"/>
                <w:highlight w:val="none"/>
                <w:shd w:val="clear" w:color="auto" w:fill="auto"/>
              </w:rPr>
              <w:t>槽</w:t>
            </w:r>
          </w:p>
        </w:tc>
        <w:tc>
          <w:tcPr>
            <w:tcW w:w="3281" w:type="dxa"/>
            <w:vAlign w:val="center"/>
          </w:tcPr>
          <w:p>
            <w:pPr>
              <w:keepNext w:val="0"/>
              <w:keepLines w:val="0"/>
              <w:pageBreakBefore w:val="0"/>
              <w:kinsoku/>
              <w:wordWrap/>
              <w:overflowPunct/>
              <w:topLinePunct w:val="0"/>
              <w:autoSpaceDE/>
              <w:autoSpaceDN/>
              <w:bidi w:val="0"/>
              <w:adjustRightInd/>
              <w:snapToGrid w:val="0"/>
              <w:ind w:left="0" w:leftChars="0" w:right="0" w:firstLine="0" w:firstLineChars="0"/>
              <w:jc w:val="center"/>
              <w:textAlignment w:val="auto"/>
              <w:outlineLvl w:val="9"/>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5000 mm×1150 mm×450 mm</w:t>
            </w:r>
          </w:p>
        </w:tc>
        <w:tc>
          <w:tcPr>
            <w:tcW w:w="881" w:type="dxa"/>
            <w:vAlign w:val="center"/>
          </w:tcPr>
          <w:p>
            <w:pPr>
              <w:keepNext w:val="0"/>
              <w:keepLines w:val="0"/>
              <w:pageBreakBefore w:val="0"/>
              <w:kinsoku/>
              <w:wordWrap/>
              <w:overflowPunct/>
              <w:topLinePunct w:val="0"/>
              <w:autoSpaceDE/>
              <w:autoSpaceDN/>
              <w:bidi w:val="0"/>
              <w:adjustRightInd/>
              <w:snapToGrid w:val="0"/>
              <w:ind w:left="0" w:leftChars="0" w:right="0" w:firstLine="0" w:firstLineChars="0"/>
              <w:jc w:val="center"/>
              <w:textAlignment w:val="auto"/>
              <w:outlineLvl w:val="9"/>
              <w:rPr>
                <w:rFonts w:hint="default" w:ascii="Times New Roman" w:hAnsi="Times New Roman" w:cs="Times New Roman"/>
                <w:color w:val="auto"/>
                <w:sz w:val="21"/>
                <w:szCs w:val="21"/>
                <w:highlight w:val="none"/>
                <w:shd w:val="clear" w:color="auto" w:fill="auto"/>
                <w:lang w:eastAsia="zh-CN"/>
              </w:rPr>
            </w:pPr>
            <w:r>
              <w:rPr>
                <w:rFonts w:hint="default" w:ascii="Times New Roman" w:hAnsi="Times New Roman" w:cs="Times New Roman"/>
                <w:color w:val="auto"/>
                <w:sz w:val="21"/>
                <w:szCs w:val="21"/>
                <w:highlight w:val="none"/>
                <w:shd w:val="clear" w:color="auto" w:fill="auto"/>
              </w:rPr>
              <w:t>个</w:t>
            </w:r>
          </w:p>
        </w:tc>
        <w:tc>
          <w:tcPr>
            <w:tcW w:w="1243" w:type="dxa"/>
            <w:tcMar>
              <w:left w:w="0" w:type="dxa"/>
              <w:right w:w="0" w:type="dxa"/>
            </w:tcMar>
            <w:vAlign w:val="center"/>
          </w:tcPr>
          <w:p>
            <w:pPr>
              <w:keepNext w:val="0"/>
              <w:keepLines w:val="0"/>
              <w:pageBreakBefore w:val="0"/>
              <w:kinsoku/>
              <w:wordWrap/>
              <w:overflowPunct/>
              <w:topLinePunct w:val="0"/>
              <w:autoSpaceDE/>
              <w:autoSpaceDN/>
              <w:bidi w:val="0"/>
              <w:adjustRightInd/>
              <w:snapToGrid w:val="0"/>
              <w:ind w:left="0" w:leftChars="0" w:right="0" w:firstLine="0" w:firstLineChars="0"/>
              <w:jc w:val="center"/>
              <w:textAlignment w:val="auto"/>
              <w:outlineLvl w:val="9"/>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1</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numPr>
                <w:ilvl w:val="0"/>
                <w:numId w:val="0"/>
              </w:numPr>
              <w:kinsoku/>
              <w:wordWrap/>
              <w:overflowPunct/>
              <w:topLinePunct w:val="0"/>
              <w:autoSpaceDE/>
              <w:autoSpaceDN/>
              <w:bidi w:val="0"/>
              <w:adjustRightInd/>
              <w:snapToGrid w:val="0"/>
              <w:ind w:left="0" w:leftChars="0" w:right="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6</w:t>
            </w:r>
          </w:p>
        </w:tc>
        <w:tc>
          <w:tcPr>
            <w:tcW w:w="2325" w:type="dxa"/>
            <w:tcMar>
              <w:left w:w="0" w:type="dxa"/>
              <w:right w:w="0" w:type="dxa"/>
            </w:tcMar>
            <w:vAlign w:val="center"/>
          </w:tcPr>
          <w:p>
            <w:pPr>
              <w:keepNext w:val="0"/>
              <w:keepLines w:val="0"/>
              <w:pageBreakBefore w:val="0"/>
              <w:kinsoku/>
              <w:wordWrap/>
              <w:overflowPunct/>
              <w:topLinePunct w:val="0"/>
              <w:autoSpaceDE/>
              <w:autoSpaceDN/>
              <w:bidi w:val="0"/>
              <w:adjustRightInd/>
              <w:snapToGrid w:val="0"/>
              <w:ind w:left="0" w:leftChars="0" w:right="0" w:firstLine="0" w:firstLineChars="0"/>
              <w:jc w:val="center"/>
              <w:textAlignment w:val="auto"/>
              <w:outlineLvl w:val="9"/>
              <w:rPr>
                <w:rFonts w:hint="default" w:ascii="Times New Roman" w:hAnsi="Times New Roman" w:cs="Times New Roman"/>
                <w:color w:val="auto"/>
                <w:kern w:val="0"/>
                <w:sz w:val="21"/>
                <w:szCs w:val="21"/>
                <w:highlight w:val="none"/>
                <w:lang w:eastAsia="zh-CN"/>
              </w:rPr>
            </w:pPr>
            <w:r>
              <w:rPr>
                <w:rFonts w:hint="default" w:ascii="Times New Roman" w:hAnsi="Times New Roman" w:cs="Times New Roman"/>
                <w:color w:val="auto"/>
                <w:sz w:val="21"/>
                <w:szCs w:val="21"/>
                <w:highlight w:val="none"/>
                <w:shd w:val="clear" w:color="auto" w:fill="auto"/>
              </w:rPr>
              <w:t>镀</w:t>
            </w:r>
            <w:r>
              <w:rPr>
                <w:rFonts w:hint="default" w:ascii="Times New Roman" w:hAnsi="Times New Roman" w:cs="Times New Roman"/>
                <w:color w:val="auto"/>
                <w:sz w:val="21"/>
                <w:szCs w:val="21"/>
                <w:highlight w:val="none"/>
                <w:shd w:val="clear" w:color="auto" w:fill="auto"/>
                <w:lang w:val="en-US" w:eastAsia="zh-CN"/>
              </w:rPr>
              <w:t>铬</w:t>
            </w:r>
            <w:r>
              <w:rPr>
                <w:rFonts w:hint="default" w:ascii="Times New Roman" w:hAnsi="Times New Roman" w:cs="Times New Roman"/>
                <w:color w:val="auto"/>
                <w:sz w:val="21"/>
                <w:szCs w:val="21"/>
                <w:highlight w:val="none"/>
                <w:shd w:val="clear" w:color="auto" w:fill="auto"/>
              </w:rPr>
              <w:t>槽</w:t>
            </w:r>
          </w:p>
        </w:tc>
        <w:tc>
          <w:tcPr>
            <w:tcW w:w="3281" w:type="dxa"/>
            <w:vAlign w:val="center"/>
          </w:tcPr>
          <w:p>
            <w:pPr>
              <w:keepNext w:val="0"/>
              <w:keepLines w:val="0"/>
              <w:pageBreakBefore w:val="0"/>
              <w:kinsoku/>
              <w:wordWrap/>
              <w:overflowPunct/>
              <w:topLinePunct w:val="0"/>
              <w:autoSpaceDE/>
              <w:autoSpaceDN/>
              <w:bidi w:val="0"/>
              <w:adjustRightInd/>
              <w:snapToGrid w:val="0"/>
              <w:ind w:left="0" w:leftChars="0" w:right="0" w:firstLine="0" w:firstLineChars="0"/>
              <w:jc w:val="center"/>
              <w:textAlignment w:val="auto"/>
              <w:outlineLvl w:val="9"/>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5000 mm×1150 mm×450 mm</w:t>
            </w:r>
          </w:p>
        </w:tc>
        <w:tc>
          <w:tcPr>
            <w:tcW w:w="881" w:type="dxa"/>
            <w:vAlign w:val="center"/>
          </w:tcPr>
          <w:p>
            <w:pPr>
              <w:keepNext w:val="0"/>
              <w:keepLines w:val="0"/>
              <w:pageBreakBefore w:val="0"/>
              <w:kinsoku/>
              <w:wordWrap/>
              <w:overflowPunct/>
              <w:topLinePunct w:val="0"/>
              <w:autoSpaceDE/>
              <w:autoSpaceDN/>
              <w:bidi w:val="0"/>
              <w:adjustRightInd/>
              <w:snapToGrid w:val="0"/>
              <w:ind w:left="0" w:leftChars="0" w:right="0" w:firstLine="0" w:firstLineChars="0"/>
              <w:jc w:val="center"/>
              <w:textAlignment w:val="auto"/>
              <w:outlineLvl w:val="9"/>
              <w:rPr>
                <w:rFonts w:hint="default" w:ascii="Times New Roman" w:hAnsi="Times New Roman" w:cs="Times New Roman"/>
                <w:color w:val="auto"/>
                <w:sz w:val="21"/>
                <w:szCs w:val="21"/>
                <w:highlight w:val="none"/>
                <w:shd w:val="clear" w:color="auto" w:fill="auto"/>
                <w:lang w:eastAsia="zh-CN"/>
              </w:rPr>
            </w:pPr>
            <w:r>
              <w:rPr>
                <w:rFonts w:hint="default" w:ascii="Times New Roman" w:hAnsi="Times New Roman" w:cs="Times New Roman"/>
                <w:color w:val="auto"/>
                <w:sz w:val="21"/>
                <w:szCs w:val="21"/>
                <w:highlight w:val="none"/>
                <w:shd w:val="clear" w:color="auto" w:fill="auto"/>
              </w:rPr>
              <w:t>个</w:t>
            </w:r>
          </w:p>
        </w:tc>
        <w:tc>
          <w:tcPr>
            <w:tcW w:w="1243" w:type="dxa"/>
            <w:tcMar>
              <w:left w:w="0" w:type="dxa"/>
              <w:right w:w="0" w:type="dxa"/>
            </w:tcMar>
            <w:vAlign w:val="center"/>
          </w:tcPr>
          <w:p>
            <w:pPr>
              <w:keepNext w:val="0"/>
              <w:keepLines w:val="0"/>
              <w:pageBreakBefore w:val="0"/>
              <w:kinsoku/>
              <w:wordWrap/>
              <w:overflowPunct/>
              <w:topLinePunct w:val="0"/>
              <w:autoSpaceDE/>
              <w:autoSpaceDN/>
              <w:bidi w:val="0"/>
              <w:adjustRightInd/>
              <w:snapToGrid w:val="0"/>
              <w:ind w:left="0" w:leftChars="0" w:right="0" w:firstLine="0" w:firstLineChars="0"/>
              <w:jc w:val="center"/>
              <w:textAlignment w:val="auto"/>
              <w:outlineLvl w:val="9"/>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1</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numPr>
                <w:ilvl w:val="0"/>
                <w:numId w:val="0"/>
              </w:numPr>
              <w:kinsoku/>
              <w:wordWrap/>
              <w:overflowPunct/>
              <w:topLinePunct w:val="0"/>
              <w:autoSpaceDE/>
              <w:autoSpaceDN/>
              <w:bidi w:val="0"/>
              <w:adjustRightInd/>
              <w:snapToGrid w:val="0"/>
              <w:ind w:left="0" w:leftChars="0" w:right="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7</w:t>
            </w:r>
          </w:p>
        </w:tc>
        <w:tc>
          <w:tcPr>
            <w:tcW w:w="2325" w:type="dxa"/>
            <w:tcMar>
              <w:left w:w="0" w:type="dxa"/>
              <w:right w:w="0" w:type="dxa"/>
            </w:tcMar>
            <w:vAlign w:val="center"/>
          </w:tcPr>
          <w:p>
            <w:pPr>
              <w:keepNext w:val="0"/>
              <w:keepLines w:val="0"/>
              <w:pageBreakBefore w:val="0"/>
              <w:kinsoku/>
              <w:wordWrap/>
              <w:overflowPunct/>
              <w:topLinePunct w:val="0"/>
              <w:autoSpaceDE/>
              <w:autoSpaceDN/>
              <w:bidi w:val="0"/>
              <w:adjustRightInd/>
              <w:snapToGrid w:val="0"/>
              <w:ind w:left="0" w:leftChars="0" w:right="0" w:firstLine="0" w:firstLineChars="0"/>
              <w:jc w:val="center"/>
              <w:textAlignment w:val="auto"/>
              <w:outlineLvl w:val="9"/>
              <w:rPr>
                <w:rFonts w:hint="default" w:ascii="Times New Roman" w:hAnsi="Times New Roman" w:cs="Times New Roman"/>
                <w:color w:val="auto"/>
                <w:kern w:val="0"/>
                <w:sz w:val="21"/>
                <w:szCs w:val="21"/>
                <w:highlight w:val="none"/>
                <w:lang w:eastAsia="zh-CN"/>
              </w:rPr>
            </w:pPr>
            <w:r>
              <w:rPr>
                <w:rFonts w:hint="default" w:ascii="Times New Roman" w:hAnsi="Times New Roman" w:cs="Times New Roman"/>
                <w:color w:val="auto"/>
                <w:sz w:val="21"/>
                <w:szCs w:val="21"/>
                <w:highlight w:val="none"/>
                <w:shd w:val="clear" w:color="auto" w:fill="auto"/>
              </w:rPr>
              <w:t>水洗槽</w:t>
            </w:r>
          </w:p>
        </w:tc>
        <w:tc>
          <w:tcPr>
            <w:tcW w:w="3281" w:type="dxa"/>
            <w:vAlign w:val="center"/>
          </w:tcPr>
          <w:p>
            <w:pPr>
              <w:keepNext w:val="0"/>
              <w:keepLines w:val="0"/>
              <w:pageBreakBefore w:val="0"/>
              <w:kinsoku/>
              <w:wordWrap/>
              <w:overflowPunct/>
              <w:topLinePunct w:val="0"/>
              <w:autoSpaceDE/>
              <w:autoSpaceDN/>
              <w:bidi w:val="0"/>
              <w:adjustRightInd/>
              <w:snapToGrid w:val="0"/>
              <w:ind w:left="0" w:leftChars="0" w:right="0" w:firstLine="0" w:firstLineChars="0"/>
              <w:jc w:val="center"/>
              <w:textAlignment w:val="auto"/>
              <w:outlineLvl w:val="9"/>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2000 mm×1250 mm×450 mm</w:t>
            </w:r>
          </w:p>
        </w:tc>
        <w:tc>
          <w:tcPr>
            <w:tcW w:w="881" w:type="dxa"/>
            <w:vAlign w:val="center"/>
          </w:tcPr>
          <w:p>
            <w:pPr>
              <w:keepNext w:val="0"/>
              <w:keepLines w:val="0"/>
              <w:pageBreakBefore w:val="0"/>
              <w:kinsoku/>
              <w:wordWrap/>
              <w:overflowPunct/>
              <w:topLinePunct w:val="0"/>
              <w:autoSpaceDE/>
              <w:autoSpaceDN/>
              <w:bidi w:val="0"/>
              <w:adjustRightInd/>
              <w:snapToGrid w:val="0"/>
              <w:ind w:left="0" w:leftChars="0" w:right="0" w:firstLine="0" w:firstLineChars="0"/>
              <w:jc w:val="center"/>
              <w:textAlignment w:val="auto"/>
              <w:outlineLvl w:val="9"/>
              <w:rPr>
                <w:rFonts w:hint="default" w:ascii="Times New Roman" w:hAnsi="Times New Roman" w:cs="Times New Roman"/>
                <w:color w:val="auto"/>
                <w:sz w:val="21"/>
                <w:szCs w:val="21"/>
                <w:highlight w:val="none"/>
                <w:shd w:val="clear" w:color="auto" w:fill="auto"/>
                <w:lang w:eastAsia="zh-CN"/>
              </w:rPr>
            </w:pPr>
            <w:r>
              <w:rPr>
                <w:rFonts w:hint="default" w:ascii="Times New Roman" w:hAnsi="Times New Roman" w:cs="Times New Roman"/>
                <w:color w:val="auto"/>
                <w:sz w:val="21"/>
                <w:szCs w:val="21"/>
                <w:highlight w:val="none"/>
                <w:shd w:val="clear" w:color="auto" w:fill="auto"/>
              </w:rPr>
              <w:t>个</w:t>
            </w:r>
          </w:p>
        </w:tc>
        <w:tc>
          <w:tcPr>
            <w:tcW w:w="1243" w:type="dxa"/>
            <w:tcMar>
              <w:left w:w="0" w:type="dxa"/>
              <w:right w:w="0" w:type="dxa"/>
            </w:tcMar>
            <w:vAlign w:val="center"/>
          </w:tcPr>
          <w:p>
            <w:pPr>
              <w:keepNext w:val="0"/>
              <w:keepLines w:val="0"/>
              <w:pageBreakBefore w:val="0"/>
              <w:kinsoku/>
              <w:wordWrap/>
              <w:overflowPunct/>
              <w:topLinePunct w:val="0"/>
              <w:autoSpaceDE/>
              <w:autoSpaceDN/>
              <w:bidi w:val="0"/>
              <w:adjustRightInd/>
              <w:snapToGrid w:val="0"/>
              <w:ind w:left="0" w:leftChars="0" w:right="0" w:firstLine="0" w:firstLineChars="0"/>
              <w:jc w:val="center"/>
              <w:textAlignment w:val="auto"/>
              <w:outlineLvl w:val="9"/>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rPr>
              <w:t>6</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numPr>
                <w:ilvl w:val="0"/>
                <w:numId w:val="0"/>
              </w:numPr>
              <w:kinsoku/>
              <w:wordWrap/>
              <w:overflowPunct/>
              <w:topLinePunct w:val="0"/>
              <w:autoSpaceDE/>
              <w:autoSpaceDN/>
              <w:bidi w:val="0"/>
              <w:adjustRightInd/>
              <w:snapToGrid w:val="0"/>
              <w:ind w:left="0" w:leftChars="0" w:right="0" w:firstLine="0" w:firstLineChars="0"/>
              <w:jc w:val="center"/>
              <w:textAlignment w:val="auto"/>
              <w:outlineLvl w:val="9"/>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8</w:t>
            </w:r>
          </w:p>
        </w:tc>
        <w:tc>
          <w:tcPr>
            <w:tcW w:w="2325" w:type="dxa"/>
            <w:tcMar>
              <w:left w:w="0" w:type="dxa"/>
              <w:right w:w="0" w:type="dxa"/>
            </w:tcMar>
            <w:vAlign w:val="center"/>
          </w:tcPr>
          <w:p>
            <w:pPr>
              <w:keepNext w:val="0"/>
              <w:keepLines w:val="0"/>
              <w:pageBreakBefore w:val="0"/>
              <w:kinsoku/>
              <w:wordWrap/>
              <w:overflowPunct/>
              <w:topLinePunct w:val="0"/>
              <w:autoSpaceDE/>
              <w:autoSpaceDN/>
              <w:bidi w:val="0"/>
              <w:adjustRightInd/>
              <w:snapToGrid w:val="0"/>
              <w:ind w:left="0" w:leftChars="0" w:right="0" w:firstLine="0" w:firstLineChars="0"/>
              <w:jc w:val="center"/>
              <w:textAlignment w:val="auto"/>
              <w:outlineLvl w:val="9"/>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封闭槽</w:t>
            </w:r>
          </w:p>
        </w:tc>
        <w:tc>
          <w:tcPr>
            <w:tcW w:w="3281" w:type="dxa"/>
            <w:vAlign w:val="center"/>
          </w:tcPr>
          <w:p>
            <w:pPr>
              <w:keepNext w:val="0"/>
              <w:keepLines w:val="0"/>
              <w:pageBreakBefore w:val="0"/>
              <w:kinsoku/>
              <w:wordWrap/>
              <w:overflowPunct/>
              <w:topLinePunct w:val="0"/>
              <w:autoSpaceDE/>
              <w:autoSpaceDN/>
              <w:bidi w:val="0"/>
              <w:adjustRightInd/>
              <w:snapToGrid w:val="0"/>
              <w:ind w:left="0" w:leftChars="0" w:right="0" w:firstLine="0" w:firstLineChars="0"/>
              <w:jc w:val="center"/>
              <w:textAlignment w:val="auto"/>
              <w:outlineLvl w:val="9"/>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1500 mm×1250 mm×450 mm</w:t>
            </w:r>
          </w:p>
        </w:tc>
        <w:tc>
          <w:tcPr>
            <w:tcW w:w="881" w:type="dxa"/>
            <w:vAlign w:val="center"/>
          </w:tcPr>
          <w:p>
            <w:pPr>
              <w:keepNext w:val="0"/>
              <w:keepLines w:val="0"/>
              <w:pageBreakBefore w:val="0"/>
              <w:kinsoku/>
              <w:wordWrap/>
              <w:overflowPunct/>
              <w:topLinePunct w:val="0"/>
              <w:autoSpaceDE/>
              <w:autoSpaceDN/>
              <w:bidi w:val="0"/>
              <w:adjustRightInd/>
              <w:snapToGrid w:val="0"/>
              <w:ind w:left="0" w:leftChars="0" w:right="0" w:firstLine="0" w:firstLineChars="0"/>
              <w:jc w:val="center"/>
              <w:textAlignment w:val="auto"/>
              <w:outlineLvl w:val="9"/>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个</w:t>
            </w:r>
          </w:p>
        </w:tc>
        <w:tc>
          <w:tcPr>
            <w:tcW w:w="1243" w:type="dxa"/>
            <w:tcMar>
              <w:left w:w="0" w:type="dxa"/>
              <w:right w:w="0" w:type="dxa"/>
            </w:tcMar>
            <w:vAlign w:val="center"/>
          </w:tcPr>
          <w:p>
            <w:pPr>
              <w:keepNext w:val="0"/>
              <w:keepLines w:val="0"/>
              <w:pageBreakBefore w:val="0"/>
              <w:kinsoku/>
              <w:wordWrap/>
              <w:overflowPunct/>
              <w:topLinePunct w:val="0"/>
              <w:autoSpaceDE/>
              <w:autoSpaceDN/>
              <w:bidi w:val="0"/>
              <w:adjustRightInd/>
              <w:snapToGrid w:val="0"/>
              <w:ind w:left="0" w:leftChars="0" w:right="0" w:firstLine="0" w:firstLineChars="0"/>
              <w:jc w:val="center"/>
              <w:textAlignment w:val="auto"/>
              <w:outlineLvl w:val="9"/>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1</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numPr>
                <w:ilvl w:val="0"/>
                <w:numId w:val="0"/>
              </w:numPr>
              <w:kinsoku/>
              <w:wordWrap/>
              <w:overflowPunct/>
              <w:topLinePunct w:val="0"/>
              <w:autoSpaceDE/>
              <w:autoSpaceDN/>
              <w:bidi w:val="0"/>
              <w:adjustRightInd/>
              <w:snapToGrid w:val="0"/>
              <w:ind w:left="0" w:leftChars="0" w:right="0" w:firstLine="0" w:firstLineChars="0"/>
              <w:jc w:val="center"/>
              <w:textAlignment w:val="auto"/>
              <w:outlineLvl w:val="9"/>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9</w:t>
            </w:r>
          </w:p>
        </w:tc>
        <w:tc>
          <w:tcPr>
            <w:tcW w:w="2325" w:type="dxa"/>
            <w:tcMar>
              <w:left w:w="0" w:type="dxa"/>
              <w:right w:w="0" w:type="dxa"/>
            </w:tcMar>
            <w:vAlign w:val="center"/>
          </w:tcPr>
          <w:p>
            <w:pPr>
              <w:keepNext w:val="0"/>
              <w:keepLines w:val="0"/>
              <w:pageBreakBefore w:val="0"/>
              <w:kinsoku/>
              <w:wordWrap/>
              <w:overflowPunct/>
              <w:topLinePunct w:val="0"/>
              <w:autoSpaceDE/>
              <w:autoSpaceDN/>
              <w:bidi w:val="0"/>
              <w:adjustRightInd/>
              <w:snapToGrid w:val="0"/>
              <w:ind w:left="0" w:leftChars="0" w:right="0" w:firstLine="0" w:firstLineChars="0"/>
              <w:jc w:val="center"/>
              <w:textAlignment w:val="auto"/>
              <w:outlineLvl w:val="9"/>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烘干炉</w:t>
            </w:r>
          </w:p>
        </w:tc>
        <w:tc>
          <w:tcPr>
            <w:tcW w:w="3281" w:type="dxa"/>
            <w:vAlign w:val="center"/>
          </w:tcPr>
          <w:p>
            <w:pPr>
              <w:keepNext w:val="0"/>
              <w:keepLines w:val="0"/>
              <w:pageBreakBefore w:val="0"/>
              <w:kinsoku/>
              <w:wordWrap/>
              <w:overflowPunct/>
              <w:topLinePunct w:val="0"/>
              <w:autoSpaceDE/>
              <w:autoSpaceDN/>
              <w:bidi w:val="0"/>
              <w:adjustRightInd/>
              <w:snapToGrid w:val="0"/>
              <w:ind w:left="0" w:leftChars="0" w:right="0" w:firstLine="0" w:firstLineChars="0"/>
              <w:jc w:val="center"/>
              <w:textAlignment w:val="auto"/>
              <w:outlineLvl w:val="9"/>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4000 mm×400 mm×300 mm</w:t>
            </w:r>
          </w:p>
        </w:tc>
        <w:tc>
          <w:tcPr>
            <w:tcW w:w="881" w:type="dxa"/>
            <w:vAlign w:val="center"/>
          </w:tcPr>
          <w:p>
            <w:pPr>
              <w:keepNext w:val="0"/>
              <w:keepLines w:val="0"/>
              <w:pageBreakBefore w:val="0"/>
              <w:kinsoku/>
              <w:wordWrap/>
              <w:overflowPunct/>
              <w:topLinePunct w:val="0"/>
              <w:autoSpaceDE/>
              <w:autoSpaceDN/>
              <w:bidi w:val="0"/>
              <w:adjustRightInd/>
              <w:snapToGrid w:val="0"/>
              <w:ind w:left="0" w:leftChars="0" w:right="0" w:firstLine="0" w:firstLineChars="0"/>
              <w:jc w:val="center"/>
              <w:textAlignment w:val="auto"/>
              <w:outlineLvl w:val="9"/>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个</w:t>
            </w:r>
          </w:p>
        </w:tc>
        <w:tc>
          <w:tcPr>
            <w:tcW w:w="1243" w:type="dxa"/>
            <w:tcMar>
              <w:left w:w="0" w:type="dxa"/>
              <w:right w:w="0" w:type="dxa"/>
            </w:tcMar>
            <w:vAlign w:val="center"/>
          </w:tcPr>
          <w:p>
            <w:pPr>
              <w:keepNext w:val="0"/>
              <w:keepLines w:val="0"/>
              <w:pageBreakBefore w:val="0"/>
              <w:kinsoku/>
              <w:wordWrap/>
              <w:overflowPunct/>
              <w:topLinePunct w:val="0"/>
              <w:autoSpaceDE/>
              <w:autoSpaceDN/>
              <w:bidi w:val="0"/>
              <w:adjustRightInd/>
              <w:snapToGrid w:val="0"/>
              <w:ind w:left="0" w:leftChars="0" w:right="0" w:firstLine="0" w:firstLineChars="0"/>
              <w:jc w:val="center"/>
              <w:textAlignment w:val="auto"/>
              <w:outlineLvl w:val="9"/>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2</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numPr>
                <w:ilvl w:val="0"/>
                <w:numId w:val="0"/>
              </w:numPr>
              <w:kinsoku/>
              <w:wordWrap/>
              <w:overflowPunct/>
              <w:topLinePunct w:val="0"/>
              <w:autoSpaceDE/>
              <w:autoSpaceDN/>
              <w:bidi w:val="0"/>
              <w:adjustRightInd/>
              <w:snapToGrid w:val="0"/>
              <w:ind w:left="0" w:leftChars="0" w:right="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10</w:t>
            </w:r>
          </w:p>
        </w:tc>
        <w:tc>
          <w:tcPr>
            <w:tcW w:w="2325"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kern w:val="0"/>
                <w:sz w:val="21"/>
                <w:szCs w:val="21"/>
                <w:highlight w:val="none"/>
                <w:lang w:eastAsia="zh-CN"/>
              </w:rPr>
            </w:pPr>
            <w:r>
              <w:rPr>
                <w:rFonts w:hint="default" w:ascii="Times New Roman" w:hAnsi="Times New Roman" w:cs="Times New Roman"/>
                <w:color w:val="auto"/>
                <w:sz w:val="21"/>
                <w:szCs w:val="21"/>
                <w:highlight w:val="none"/>
              </w:rPr>
              <w:t>酸雾净化塔</w:t>
            </w:r>
          </w:p>
        </w:tc>
        <w:tc>
          <w:tcPr>
            <w:tcW w:w="3281" w:type="dxa"/>
            <w:vAlign w:val="center"/>
          </w:tcPr>
          <w:p>
            <w:pPr>
              <w:keepNext w:val="0"/>
              <w:keepLines w:val="0"/>
              <w:pageBreakBefore w:val="0"/>
              <w:widowControl/>
              <w:kinsoku/>
              <w:wordWrap/>
              <w:overflowPunct/>
              <w:topLinePunct w:val="0"/>
              <w:autoSpaceDE/>
              <w:autoSpaceDN/>
              <w:bidi w:val="0"/>
              <w:adjustRightInd/>
              <w:snapToGrid w:val="0"/>
              <w:ind w:left="0" w:leftChars="0" w:right="0" w:firstLine="0" w:firstLineChars="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w:t>
            </w:r>
          </w:p>
        </w:tc>
        <w:tc>
          <w:tcPr>
            <w:tcW w:w="881" w:type="dxa"/>
            <w:vAlign w:val="center"/>
          </w:tcPr>
          <w:p>
            <w:pPr>
              <w:keepNext w:val="0"/>
              <w:keepLines w:val="0"/>
              <w:pageBreakBefore w:val="0"/>
              <w:widowControl/>
              <w:kinsoku/>
              <w:wordWrap/>
              <w:overflowPunct/>
              <w:topLinePunct w:val="0"/>
              <w:autoSpaceDE/>
              <w:autoSpaceDN/>
              <w:bidi w:val="0"/>
              <w:adjustRightInd/>
              <w:snapToGrid w:val="0"/>
              <w:ind w:left="0" w:leftChars="0" w:right="0" w:firstLine="0" w:firstLineChars="0"/>
              <w:jc w:val="center"/>
              <w:textAlignment w:val="auto"/>
              <w:outlineLvl w:val="9"/>
              <w:rPr>
                <w:rFonts w:hint="default" w:ascii="Times New Roman" w:hAnsi="Times New Roman"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lang w:eastAsia="zh-CN"/>
              </w:rPr>
              <w:t>个</w:t>
            </w:r>
          </w:p>
        </w:tc>
        <w:tc>
          <w:tcPr>
            <w:tcW w:w="1243" w:type="dxa"/>
            <w:tcMar>
              <w:left w:w="0" w:type="dxa"/>
              <w:right w:w="0" w:type="dxa"/>
            </w:tcMar>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numPr>
                <w:ilvl w:val="0"/>
                <w:numId w:val="0"/>
              </w:numPr>
              <w:kinsoku/>
              <w:wordWrap/>
              <w:overflowPunct/>
              <w:topLinePunct w:val="0"/>
              <w:autoSpaceDE/>
              <w:autoSpaceDN/>
              <w:bidi w:val="0"/>
              <w:adjustRightInd/>
              <w:snapToGrid w:val="0"/>
              <w:ind w:left="0" w:leftChars="0" w:right="0"/>
              <w:jc w:val="center"/>
              <w:textAlignment w:val="auto"/>
              <w:outlineLvl w:val="9"/>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11</w:t>
            </w:r>
          </w:p>
        </w:tc>
        <w:tc>
          <w:tcPr>
            <w:tcW w:w="2325" w:type="dxa"/>
            <w:tcMar>
              <w:left w:w="0" w:type="dxa"/>
              <w:right w:w="0" w:type="dxa"/>
            </w:tcMar>
            <w:vAlign w:val="center"/>
          </w:tcPr>
          <w:p>
            <w:pPr>
              <w:pStyle w:val="129"/>
              <w:keepNext w:val="0"/>
              <w:keepLines w:val="0"/>
              <w:pageBreakBefore w:val="0"/>
              <w:kinsoku/>
              <w:wordWrap/>
              <w:overflowPunct/>
              <w:topLinePunct w:val="0"/>
              <w:autoSpaceDE/>
              <w:autoSpaceDN/>
              <w:bidi w:val="0"/>
              <w:snapToGrid w:val="0"/>
              <w:spacing w:before="63"/>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整流器</w:t>
            </w:r>
          </w:p>
        </w:tc>
        <w:tc>
          <w:tcPr>
            <w:tcW w:w="3281" w:type="dxa"/>
            <w:vAlign w:val="center"/>
          </w:tcPr>
          <w:p>
            <w:pPr>
              <w:pStyle w:val="129"/>
              <w:keepNext w:val="0"/>
              <w:keepLines w:val="0"/>
              <w:pageBreakBefore w:val="0"/>
              <w:kinsoku/>
              <w:wordWrap/>
              <w:overflowPunct/>
              <w:topLinePunct w:val="0"/>
              <w:autoSpaceDE/>
              <w:autoSpaceDN/>
              <w:bidi w:val="0"/>
              <w:snapToGrid w:val="0"/>
              <w:spacing w:before="58"/>
              <w:ind w:left="0" w:leftChars="0" w:right="0" w:right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 w:val="21"/>
                <w:szCs w:val="21"/>
                <w:highlight w:val="none"/>
                <w:lang w:val="en-US"/>
              </w:rPr>
              <w:t>1500</w:t>
            </w:r>
            <w:r>
              <w:rPr>
                <w:rFonts w:hint="default" w:ascii="Times New Roman" w:hAnsi="Times New Roman" w:cs="Times New Roman"/>
                <w:color w:val="auto"/>
                <w:sz w:val="21"/>
                <w:szCs w:val="21"/>
                <w:highlight w:val="none"/>
              </w:rPr>
              <w:t>A</w:t>
            </w:r>
          </w:p>
        </w:tc>
        <w:tc>
          <w:tcPr>
            <w:tcW w:w="881" w:type="dxa"/>
            <w:vAlign w:val="center"/>
          </w:tcPr>
          <w:p>
            <w:pPr>
              <w:pStyle w:val="129"/>
              <w:keepNext w:val="0"/>
              <w:keepLines w:val="0"/>
              <w:pageBreakBefore w:val="0"/>
              <w:kinsoku/>
              <w:wordWrap/>
              <w:overflowPunct/>
              <w:topLinePunct w:val="0"/>
              <w:autoSpaceDE/>
              <w:autoSpaceDN/>
              <w:bidi w:val="0"/>
              <w:snapToGrid w:val="0"/>
              <w:spacing w:before="63"/>
              <w:ind w:left="0" w:leftChars="0" w:right="0" w:rightChars="0"/>
              <w:jc w:val="center"/>
              <w:rPr>
                <w:rFonts w:hint="default" w:ascii="Times New Roman" w:hAnsi="Times New Roman" w:cs="Times New Roman"/>
                <w:color w:val="auto"/>
                <w:kern w:val="0"/>
                <w:sz w:val="21"/>
                <w:szCs w:val="21"/>
                <w:highlight w:val="none"/>
                <w:lang w:eastAsia="zh-CN"/>
              </w:rPr>
            </w:pPr>
            <w:r>
              <w:rPr>
                <w:rFonts w:hint="default" w:ascii="Times New Roman" w:hAnsi="Times New Roman" w:cs="Times New Roman"/>
                <w:color w:val="auto"/>
                <w:w w:val="99"/>
                <w:sz w:val="21"/>
                <w:szCs w:val="21"/>
                <w:highlight w:val="none"/>
              </w:rPr>
              <w:t>个</w:t>
            </w:r>
          </w:p>
        </w:tc>
        <w:tc>
          <w:tcPr>
            <w:tcW w:w="1243" w:type="dxa"/>
            <w:tcMar>
              <w:left w:w="0" w:type="dxa"/>
              <w:right w:w="0" w:type="dxa"/>
            </w:tcMar>
            <w:vAlign w:val="center"/>
          </w:tcPr>
          <w:p>
            <w:pPr>
              <w:pStyle w:val="129"/>
              <w:keepNext w:val="0"/>
              <w:keepLines w:val="0"/>
              <w:pageBreakBefore w:val="0"/>
              <w:kinsoku/>
              <w:wordWrap/>
              <w:overflowPunct/>
              <w:topLinePunct w:val="0"/>
              <w:autoSpaceDE/>
              <w:autoSpaceDN/>
              <w:bidi w:val="0"/>
              <w:snapToGrid w:val="0"/>
              <w:spacing w:before="58"/>
              <w:ind w:left="0" w:leftChars="0" w:right="0" w:rightChars="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w w:val="99"/>
                <w:sz w:val="21"/>
                <w:szCs w:val="21"/>
                <w:highlight w:val="none"/>
                <w:lang w:val="en-US" w:eastAsia="zh-CN"/>
              </w:rPr>
              <w:t>5</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numPr>
                <w:ilvl w:val="0"/>
                <w:numId w:val="0"/>
              </w:numPr>
              <w:kinsoku/>
              <w:wordWrap/>
              <w:overflowPunct/>
              <w:topLinePunct w:val="0"/>
              <w:autoSpaceDE/>
              <w:autoSpaceDN/>
              <w:bidi w:val="0"/>
              <w:adjustRightInd/>
              <w:snapToGrid w:val="0"/>
              <w:ind w:left="0" w:leftChars="0" w:right="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12</w:t>
            </w:r>
          </w:p>
        </w:tc>
        <w:tc>
          <w:tcPr>
            <w:tcW w:w="2325"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kern w:val="0"/>
                <w:sz w:val="21"/>
                <w:szCs w:val="21"/>
                <w:highlight w:val="none"/>
                <w:lang w:eastAsia="zh-CN"/>
              </w:rPr>
            </w:pPr>
            <w:r>
              <w:rPr>
                <w:rFonts w:hint="default" w:ascii="Times New Roman" w:hAnsi="Times New Roman" w:cs="Times New Roman"/>
                <w:color w:val="auto"/>
                <w:sz w:val="21"/>
                <w:szCs w:val="21"/>
                <w:highlight w:val="none"/>
              </w:rPr>
              <w:t>铬酸雾净化塔</w:t>
            </w:r>
          </w:p>
        </w:tc>
        <w:tc>
          <w:tcPr>
            <w:tcW w:w="3281" w:type="dxa"/>
            <w:vAlign w:val="center"/>
          </w:tcPr>
          <w:p>
            <w:pPr>
              <w:keepNext w:val="0"/>
              <w:keepLines w:val="0"/>
              <w:pageBreakBefore w:val="0"/>
              <w:widowControl/>
              <w:kinsoku/>
              <w:wordWrap/>
              <w:overflowPunct/>
              <w:topLinePunct w:val="0"/>
              <w:autoSpaceDE/>
              <w:autoSpaceDN/>
              <w:bidi w:val="0"/>
              <w:adjustRightInd/>
              <w:snapToGrid w:val="0"/>
              <w:ind w:left="0" w:leftChars="0" w:right="0" w:firstLine="0" w:firstLineChars="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w:t>
            </w:r>
          </w:p>
        </w:tc>
        <w:tc>
          <w:tcPr>
            <w:tcW w:w="881" w:type="dxa"/>
            <w:vAlign w:val="center"/>
          </w:tcPr>
          <w:p>
            <w:pPr>
              <w:keepNext w:val="0"/>
              <w:keepLines w:val="0"/>
              <w:pageBreakBefore w:val="0"/>
              <w:widowControl/>
              <w:kinsoku/>
              <w:wordWrap/>
              <w:overflowPunct/>
              <w:topLinePunct w:val="0"/>
              <w:autoSpaceDE/>
              <w:autoSpaceDN/>
              <w:bidi w:val="0"/>
              <w:adjustRightInd/>
              <w:snapToGrid w:val="0"/>
              <w:ind w:left="0" w:leftChars="0" w:right="0" w:firstLine="0" w:firstLineChars="0"/>
              <w:jc w:val="center"/>
              <w:textAlignment w:val="auto"/>
              <w:outlineLvl w:val="9"/>
              <w:rPr>
                <w:rFonts w:hint="default" w:ascii="Times New Roman" w:hAnsi="Times New Roman"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lang w:eastAsia="zh-CN"/>
              </w:rPr>
              <w:t>个</w:t>
            </w:r>
          </w:p>
        </w:tc>
        <w:tc>
          <w:tcPr>
            <w:tcW w:w="1243" w:type="dxa"/>
            <w:tcMar>
              <w:left w:w="0" w:type="dxa"/>
              <w:right w:w="0" w:type="dxa"/>
            </w:tcMar>
            <w:vAlign w:val="center"/>
          </w:tcPr>
          <w:p>
            <w:pPr>
              <w:keepNext w:val="0"/>
              <w:keepLines w:val="0"/>
              <w:pageBreakBefore w:val="0"/>
              <w:widowControl/>
              <w:kinsoku/>
              <w:wordWrap/>
              <w:overflowPunct/>
              <w:topLinePunct w:val="0"/>
              <w:autoSpaceDE/>
              <w:autoSpaceDN/>
              <w:bidi w:val="0"/>
              <w:adjustRightInd/>
              <w:snapToGrid w:val="0"/>
              <w:ind w:left="0" w:leftChars="0" w:right="0" w:firstLine="0" w:firstLineChars="0"/>
              <w:jc w:val="center"/>
              <w:textAlignment w:val="auto"/>
              <w:outlineLvl w:val="9"/>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restart"/>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4#车间</w:t>
            </w:r>
          </w:p>
        </w:tc>
        <w:tc>
          <w:tcPr>
            <w:tcW w:w="8412" w:type="dxa"/>
            <w:gridSpan w:val="5"/>
            <w:tcMar>
              <w:left w:w="0" w:type="dxa"/>
              <w:right w:w="0" w:type="dxa"/>
            </w:tcMar>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挂镀生产线</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numPr>
                <w:ilvl w:val="0"/>
                <w:numId w:val="0"/>
              </w:numPr>
              <w:kinsoku/>
              <w:wordWrap/>
              <w:overflowPunct/>
              <w:topLinePunct w:val="0"/>
              <w:autoSpaceDE/>
              <w:autoSpaceDN/>
              <w:bidi w:val="0"/>
              <w:adjustRightInd/>
              <w:snapToGrid w:val="0"/>
              <w:ind w:left="0" w:leftChars="0" w:right="0" w:firstLine="0" w:firstLineChars="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1</w:t>
            </w:r>
          </w:p>
        </w:tc>
        <w:tc>
          <w:tcPr>
            <w:tcW w:w="2325" w:type="dxa"/>
            <w:tcMar>
              <w:left w:w="0" w:type="dxa"/>
              <w:right w:w="0" w:type="dxa"/>
            </w:tcMar>
            <w:vAlign w:val="center"/>
          </w:tcPr>
          <w:p>
            <w:pPr>
              <w:keepNext w:val="0"/>
              <w:keepLines w:val="0"/>
              <w:pageBreakBefore w:val="0"/>
              <w:widowControl/>
              <w:suppressLineNumbers w:val="0"/>
              <w:kinsoku/>
              <w:wordWrap/>
              <w:overflowPunct/>
              <w:topLinePunct w:val="0"/>
              <w:autoSpaceDE/>
              <w:autoSpaceDN/>
              <w:bidi w:val="0"/>
              <w:snapToGrid w:val="0"/>
              <w:ind w:left="0" w:right="0"/>
              <w:jc w:val="center"/>
              <w:textAlignment w:val="bottom"/>
              <w:rPr>
                <w:rFonts w:hint="default" w:ascii="Times New Roman" w:hAnsi="Times New Roman" w:cs="Times New Roman"/>
                <w:color w:val="auto"/>
                <w:kern w:val="0"/>
                <w:sz w:val="21"/>
                <w:szCs w:val="21"/>
                <w:highlight w:val="none"/>
                <w:lang w:eastAsia="zh-CN"/>
              </w:rPr>
            </w:pPr>
            <w:r>
              <w:rPr>
                <w:rFonts w:hint="default" w:ascii="Times New Roman" w:hAnsi="Times New Roman" w:eastAsia="宋体" w:cs="Times New Roman"/>
                <w:i w:val="0"/>
                <w:color w:val="auto"/>
                <w:kern w:val="0"/>
                <w:sz w:val="21"/>
                <w:szCs w:val="21"/>
                <w:highlight w:val="none"/>
                <w:u w:val="none"/>
                <w:lang w:val="en-US" w:eastAsia="zh-CN" w:bidi="ar"/>
              </w:rPr>
              <w:t>化学除油槽</w:t>
            </w:r>
          </w:p>
        </w:tc>
        <w:tc>
          <w:tcPr>
            <w:tcW w:w="3281" w:type="dxa"/>
            <w:vAlign w:val="center"/>
          </w:tcPr>
          <w:p>
            <w:pPr>
              <w:keepNext w:val="0"/>
              <w:keepLines w:val="0"/>
              <w:pageBreakBefore w:val="0"/>
              <w:widowControl/>
              <w:suppressLineNumbers w:val="0"/>
              <w:kinsoku/>
              <w:wordWrap/>
              <w:overflowPunct/>
              <w:topLinePunct w:val="0"/>
              <w:autoSpaceDE/>
              <w:autoSpaceDN/>
              <w:bidi w:val="0"/>
              <w:snapToGrid w:val="0"/>
              <w:ind w:left="0" w:right="0"/>
              <w:jc w:val="center"/>
              <w:textAlignment w:val="bottom"/>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4000 mm×950 mm×1450 mm</w:t>
            </w:r>
          </w:p>
        </w:tc>
        <w:tc>
          <w:tcPr>
            <w:tcW w:w="881" w:type="dxa"/>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lang w:eastAsia="zh-CN"/>
              </w:rPr>
              <w:t>个</w:t>
            </w:r>
          </w:p>
        </w:tc>
        <w:tc>
          <w:tcPr>
            <w:tcW w:w="1243" w:type="dxa"/>
            <w:tcMar>
              <w:left w:w="0" w:type="dxa"/>
              <w:right w:w="0" w:type="dxa"/>
            </w:tcMar>
            <w:vAlign w:val="center"/>
          </w:tcPr>
          <w:p>
            <w:pPr>
              <w:keepNext w:val="0"/>
              <w:keepLines w:val="0"/>
              <w:pageBreakBefore w:val="0"/>
              <w:widowControl/>
              <w:suppressLineNumbers w:val="0"/>
              <w:kinsoku/>
              <w:wordWrap/>
              <w:overflowPunct/>
              <w:topLinePunct w:val="0"/>
              <w:autoSpaceDE/>
              <w:autoSpaceDN/>
              <w:bidi w:val="0"/>
              <w:snapToGrid w:val="0"/>
              <w:ind w:left="0" w:right="0"/>
              <w:jc w:val="center"/>
              <w:textAlignment w:val="bottom"/>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4</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numPr>
                <w:ilvl w:val="0"/>
                <w:numId w:val="0"/>
              </w:numPr>
              <w:kinsoku/>
              <w:wordWrap/>
              <w:overflowPunct/>
              <w:topLinePunct w:val="0"/>
              <w:autoSpaceDE/>
              <w:autoSpaceDN/>
              <w:bidi w:val="0"/>
              <w:adjustRightInd/>
              <w:snapToGrid w:val="0"/>
              <w:ind w:left="0" w:leftChars="0" w:right="0" w:firstLine="0" w:firstLineChars="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2</w:t>
            </w:r>
          </w:p>
        </w:tc>
        <w:tc>
          <w:tcPr>
            <w:tcW w:w="2325" w:type="dxa"/>
            <w:tcMar>
              <w:left w:w="0" w:type="dxa"/>
              <w:right w:w="0" w:type="dxa"/>
            </w:tcMar>
            <w:vAlign w:val="center"/>
          </w:tcPr>
          <w:p>
            <w:pPr>
              <w:keepNext w:val="0"/>
              <w:keepLines w:val="0"/>
              <w:pageBreakBefore w:val="0"/>
              <w:widowControl/>
              <w:suppressLineNumbers w:val="0"/>
              <w:kinsoku/>
              <w:wordWrap/>
              <w:overflowPunct/>
              <w:topLinePunct w:val="0"/>
              <w:autoSpaceDE/>
              <w:autoSpaceDN/>
              <w:bidi w:val="0"/>
              <w:snapToGrid w:val="0"/>
              <w:ind w:left="0" w:right="0"/>
              <w:jc w:val="center"/>
              <w:textAlignment w:val="bottom"/>
              <w:rPr>
                <w:rFonts w:hint="default" w:ascii="Times New Roman" w:hAnsi="Times New Roman" w:cs="Times New Roman"/>
                <w:color w:val="auto"/>
                <w:kern w:val="0"/>
                <w:sz w:val="21"/>
                <w:szCs w:val="21"/>
                <w:highlight w:val="none"/>
                <w:lang w:eastAsia="zh-CN"/>
              </w:rPr>
            </w:pPr>
            <w:r>
              <w:rPr>
                <w:rFonts w:hint="default" w:ascii="Times New Roman" w:hAnsi="Times New Roman" w:eastAsia="宋体" w:cs="Times New Roman"/>
                <w:i w:val="0"/>
                <w:color w:val="auto"/>
                <w:kern w:val="0"/>
                <w:sz w:val="21"/>
                <w:szCs w:val="21"/>
                <w:highlight w:val="none"/>
                <w:u w:val="none"/>
                <w:lang w:val="en-US" w:eastAsia="zh-CN" w:bidi="ar"/>
              </w:rPr>
              <w:t>电解除油槽</w:t>
            </w:r>
          </w:p>
        </w:tc>
        <w:tc>
          <w:tcPr>
            <w:tcW w:w="3281" w:type="dxa"/>
            <w:vAlign w:val="center"/>
          </w:tcPr>
          <w:p>
            <w:pPr>
              <w:keepNext w:val="0"/>
              <w:keepLines w:val="0"/>
              <w:pageBreakBefore w:val="0"/>
              <w:widowControl/>
              <w:suppressLineNumbers w:val="0"/>
              <w:kinsoku/>
              <w:wordWrap/>
              <w:overflowPunct/>
              <w:topLinePunct w:val="0"/>
              <w:autoSpaceDE/>
              <w:autoSpaceDN/>
              <w:bidi w:val="0"/>
              <w:snapToGrid w:val="0"/>
              <w:ind w:left="0" w:right="0"/>
              <w:jc w:val="center"/>
              <w:textAlignment w:val="bottom"/>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4000 mm×950 mm×1450 mm</w:t>
            </w:r>
          </w:p>
        </w:tc>
        <w:tc>
          <w:tcPr>
            <w:tcW w:w="881" w:type="dxa"/>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lang w:eastAsia="zh-CN"/>
              </w:rPr>
              <w:t>个</w:t>
            </w:r>
          </w:p>
        </w:tc>
        <w:tc>
          <w:tcPr>
            <w:tcW w:w="1243" w:type="dxa"/>
            <w:tcMar>
              <w:left w:w="0" w:type="dxa"/>
              <w:right w:w="0" w:type="dxa"/>
            </w:tcMar>
            <w:vAlign w:val="center"/>
          </w:tcPr>
          <w:p>
            <w:pPr>
              <w:keepNext w:val="0"/>
              <w:keepLines w:val="0"/>
              <w:pageBreakBefore w:val="0"/>
              <w:widowControl/>
              <w:suppressLineNumbers w:val="0"/>
              <w:kinsoku/>
              <w:wordWrap/>
              <w:overflowPunct/>
              <w:topLinePunct w:val="0"/>
              <w:autoSpaceDE/>
              <w:autoSpaceDN/>
              <w:bidi w:val="0"/>
              <w:snapToGrid w:val="0"/>
              <w:ind w:left="0" w:right="0"/>
              <w:jc w:val="center"/>
              <w:textAlignment w:val="bottom"/>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2</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numPr>
                <w:ilvl w:val="0"/>
                <w:numId w:val="0"/>
              </w:numPr>
              <w:kinsoku/>
              <w:wordWrap/>
              <w:overflowPunct/>
              <w:topLinePunct w:val="0"/>
              <w:autoSpaceDE/>
              <w:autoSpaceDN/>
              <w:bidi w:val="0"/>
              <w:adjustRightInd/>
              <w:snapToGrid w:val="0"/>
              <w:ind w:left="0" w:leftChars="0" w:right="0" w:firstLine="0" w:firstLineChars="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3</w:t>
            </w:r>
          </w:p>
        </w:tc>
        <w:tc>
          <w:tcPr>
            <w:tcW w:w="2325" w:type="dxa"/>
            <w:tcMar>
              <w:left w:w="0" w:type="dxa"/>
              <w:right w:w="0" w:type="dxa"/>
            </w:tcMar>
            <w:vAlign w:val="center"/>
          </w:tcPr>
          <w:p>
            <w:pPr>
              <w:keepNext w:val="0"/>
              <w:keepLines w:val="0"/>
              <w:pageBreakBefore w:val="0"/>
              <w:widowControl/>
              <w:suppressLineNumbers w:val="0"/>
              <w:kinsoku/>
              <w:wordWrap/>
              <w:overflowPunct/>
              <w:topLinePunct w:val="0"/>
              <w:autoSpaceDE/>
              <w:autoSpaceDN/>
              <w:bidi w:val="0"/>
              <w:snapToGrid w:val="0"/>
              <w:ind w:left="0" w:right="0"/>
              <w:jc w:val="center"/>
              <w:textAlignment w:val="bottom"/>
              <w:rPr>
                <w:rFonts w:hint="default" w:ascii="Times New Roman" w:hAnsi="Times New Roman" w:cs="Times New Roman"/>
                <w:color w:val="auto"/>
                <w:kern w:val="0"/>
                <w:sz w:val="21"/>
                <w:szCs w:val="21"/>
                <w:highlight w:val="none"/>
                <w:lang w:eastAsia="zh-CN"/>
              </w:rPr>
            </w:pPr>
            <w:r>
              <w:rPr>
                <w:rFonts w:hint="default" w:ascii="Times New Roman" w:hAnsi="Times New Roman" w:eastAsia="宋体" w:cs="Times New Roman"/>
                <w:i w:val="0"/>
                <w:color w:val="auto"/>
                <w:kern w:val="0"/>
                <w:sz w:val="21"/>
                <w:szCs w:val="21"/>
                <w:highlight w:val="none"/>
                <w:u w:val="none"/>
                <w:lang w:val="en-US" w:eastAsia="zh-CN" w:bidi="ar"/>
              </w:rPr>
              <w:t>水洗槽</w:t>
            </w:r>
          </w:p>
        </w:tc>
        <w:tc>
          <w:tcPr>
            <w:tcW w:w="3281" w:type="dxa"/>
            <w:vAlign w:val="center"/>
          </w:tcPr>
          <w:p>
            <w:pPr>
              <w:keepNext w:val="0"/>
              <w:keepLines w:val="0"/>
              <w:pageBreakBefore w:val="0"/>
              <w:widowControl/>
              <w:suppressLineNumbers w:val="0"/>
              <w:kinsoku/>
              <w:wordWrap/>
              <w:overflowPunct/>
              <w:topLinePunct w:val="0"/>
              <w:autoSpaceDE/>
              <w:autoSpaceDN/>
              <w:bidi w:val="0"/>
              <w:snapToGrid w:val="0"/>
              <w:ind w:left="0" w:right="0"/>
              <w:jc w:val="center"/>
              <w:textAlignment w:val="bottom"/>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4000 mm×950 mm×1450 mm</w:t>
            </w:r>
          </w:p>
        </w:tc>
        <w:tc>
          <w:tcPr>
            <w:tcW w:w="881" w:type="dxa"/>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lang w:eastAsia="zh-CN"/>
              </w:rPr>
              <w:t>个</w:t>
            </w:r>
          </w:p>
        </w:tc>
        <w:tc>
          <w:tcPr>
            <w:tcW w:w="1243" w:type="dxa"/>
            <w:tcMar>
              <w:left w:w="0" w:type="dxa"/>
              <w:right w:w="0" w:type="dxa"/>
            </w:tcMar>
            <w:vAlign w:val="center"/>
          </w:tcPr>
          <w:p>
            <w:pPr>
              <w:keepNext w:val="0"/>
              <w:keepLines w:val="0"/>
              <w:pageBreakBefore w:val="0"/>
              <w:widowControl/>
              <w:suppressLineNumbers w:val="0"/>
              <w:kinsoku/>
              <w:wordWrap/>
              <w:overflowPunct/>
              <w:topLinePunct w:val="0"/>
              <w:autoSpaceDE/>
              <w:autoSpaceDN/>
              <w:bidi w:val="0"/>
              <w:snapToGrid w:val="0"/>
              <w:ind w:left="0" w:right="0"/>
              <w:jc w:val="center"/>
              <w:textAlignment w:val="bottom"/>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17</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numPr>
                <w:ilvl w:val="0"/>
                <w:numId w:val="0"/>
              </w:numPr>
              <w:kinsoku/>
              <w:wordWrap/>
              <w:overflowPunct/>
              <w:topLinePunct w:val="0"/>
              <w:autoSpaceDE/>
              <w:autoSpaceDN/>
              <w:bidi w:val="0"/>
              <w:adjustRightInd/>
              <w:snapToGrid w:val="0"/>
              <w:ind w:left="0" w:leftChars="0" w:right="0" w:firstLine="0" w:firstLineChars="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4</w:t>
            </w:r>
          </w:p>
        </w:tc>
        <w:tc>
          <w:tcPr>
            <w:tcW w:w="2325" w:type="dxa"/>
            <w:tcMar>
              <w:left w:w="0" w:type="dxa"/>
              <w:right w:w="0" w:type="dxa"/>
            </w:tcMar>
            <w:vAlign w:val="center"/>
          </w:tcPr>
          <w:p>
            <w:pPr>
              <w:keepNext w:val="0"/>
              <w:keepLines w:val="0"/>
              <w:pageBreakBefore w:val="0"/>
              <w:widowControl/>
              <w:suppressLineNumbers w:val="0"/>
              <w:kinsoku/>
              <w:wordWrap/>
              <w:overflowPunct/>
              <w:topLinePunct w:val="0"/>
              <w:autoSpaceDE/>
              <w:autoSpaceDN/>
              <w:bidi w:val="0"/>
              <w:snapToGrid w:val="0"/>
              <w:ind w:left="0" w:right="0"/>
              <w:jc w:val="center"/>
              <w:textAlignment w:val="bottom"/>
              <w:rPr>
                <w:rFonts w:hint="default" w:ascii="Times New Roman" w:hAnsi="Times New Roman" w:cs="Times New Roman"/>
                <w:color w:val="auto"/>
                <w:kern w:val="0"/>
                <w:sz w:val="21"/>
                <w:szCs w:val="21"/>
                <w:highlight w:val="none"/>
                <w:lang w:eastAsia="zh-CN"/>
              </w:rPr>
            </w:pPr>
            <w:r>
              <w:rPr>
                <w:rFonts w:hint="default" w:ascii="Times New Roman" w:hAnsi="Times New Roman" w:eastAsia="宋体" w:cs="Times New Roman"/>
                <w:i w:val="0"/>
                <w:color w:val="auto"/>
                <w:kern w:val="0"/>
                <w:sz w:val="21"/>
                <w:szCs w:val="21"/>
                <w:highlight w:val="none"/>
                <w:u w:val="none"/>
                <w:lang w:val="en-US" w:eastAsia="zh-CN" w:bidi="ar"/>
              </w:rPr>
              <w:t>酸洗槽</w:t>
            </w:r>
          </w:p>
        </w:tc>
        <w:tc>
          <w:tcPr>
            <w:tcW w:w="3281" w:type="dxa"/>
            <w:vAlign w:val="center"/>
          </w:tcPr>
          <w:p>
            <w:pPr>
              <w:keepNext w:val="0"/>
              <w:keepLines w:val="0"/>
              <w:pageBreakBefore w:val="0"/>
              <w:widowControl/>
              <w:suppressLineNumbers w:val="0"/>
              <w:kinsoku/>
              <w:wordWrap/>
              <w:overflowPunct/>
              <w:topLinePunct w:val="0"/>
              <w:autoSpaceDE/>
              <w:autoSpaceDN/>
              <w:bidi w:val="0"/>
              <w:snapToGrid w:val="0"/>
              <w:ind w:left="0" w:right="0"/>
              <w:jc w:val="center"/>
              <w:textAlignment w:val="bottom"/>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4000 mm×950 mm×1450 mm</w:t>
            </w:r>
          </w:p>
        </w:tc>
        <w:tc>
          <w:tcPr>
            <w:tcW w:w="881" w:type="dxa"/>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lang w:eastAsia="zh-CN"/>
              </w:rPr>
              <w:t>个</w:t>
            </w:r>
          </w:p>
        </w:tc>
        <w:tc>
          <w:tcPr>
            <w:tcW w:w="1243" w:type="dxa"/>
            <w:tcMar>
              <w:left w:w="0" w:type="dxa"/>
              <w:right w:w="0" w:type="dxa"/>
            </w:tcMar>
            <w:vAlign w:val="center"/>
          </w:tcPr>
          <w:p>
            <w:pPr>
              <w:keepNext w:val="0"/>
              <w:keepLines w:val="0"/>
              <w:pageBreakBefore w:val="0"/>
              <w:widowControl/>
              <w:suppressLineNumbers w:val="0"/>
              <w:kinsoku/>
              <w:wordWrap/>
              <w:overflowPunct/>
              <w:topLinePunct w:val="0"/>
              <w:autoSpaceDE/>
              <w:autoSpaceDN/>
              <w:bidi w:val="0"/>
              <w:snapToGrid w:val="0"/>
              <w:ind w:left="0" w:right="0"/>
              <w:jc w:val="center"/>
              <w:textAlignment w:val="bottom"/>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4</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numPr>
                <w:ilvl w:val="0"/>
                <w:numId w:val="0"/>
              </w:numPr>
              <w:kinsoku/>
              <w:wordWrap/>
              <w:overflowPunct/>
              <w:topLinePunct w:val="0"/>
              <w:autoSpaceDE/>
              <w:autoSpaceDN/>
              <w:bidi w:val="0"/>
              <w:adjustRightInd/>
              <w:snapToGrid w:val="0"/>
              <w:ind w:left="0" w:leftChars="0" w:right="0" w:firstLine="0" w:firstLineChars="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5</w:t>
            </w:r>
          </w:p>
        </w:tc>
        <w:tc>
          <w:tcPr>
            <w:tcW w:w="2325" w:type="dxa"/>
            <w:tcMar>
              <w:left w:w="0" w:type="dxa"/>
              <w:right w:w="0" w:type="dxa"/>
            </w:tcMar>
            <w:vAlign w:val="center"/>
          </w:tcPr>
          <w:p>
            <w:pPr>
              <w:keepNext w:val="0"/>
              <w:keepLines w:val="0"/>
              <w:pageBreakBefore w:val="0"/>
              <w:widowControl/>
              <w:suppressLineNumbers w:val="0"/>
              <w:kinsoku/>
              <w:wordWrap/>
              <w:overflowPunct/>
              <w:topLinePunct w:val="0"/>
              <w:autoSpaceDE/>
              <w:autoSpaceDN/>
              <w:bidi w:val="0"/>
              <w:snapToGrid w:val="0"/>
              <w:ind w:left="0" w:right="0"/>
              <w:jc w:val="center"/>
              <w:textAlignment w:val="bottom"/>
              <w:rPr>
                <w:rFonts w:hint="default" w:ascii="Times New Roman" w:hAnsi="Times New Roman" w:cs="Times New Roman"/>
                <w:color w:val="auto"/>
                <w:kern w:val="0"/>
                <w:sz w:val="21"/>
                <w:szCs w:val="21"/>
                <w:highlight w:val="none"/>
                <w:lang w:eastAsia="zh-CN"/>
              </w:rPr>
            </w:pPr>
            <w:r>
              <w:rPr>
                <w:rFonts w:hint="default" w:ascii="Times New Roman" w:hAnsi="Times New Roman" w:eastAsia="宋体" w:cs="Times New Roman"/>
                <w:i w:val="0"/>
                <w:color w:val="auto"/>
                <w:kern w:val="0"/>
                <w:sz w:val="21"/>
                <w:szCs w:val="21"/>
                <w:highlight w:val="none"/>
                <w:u w:val="none"/>
                <w:lang w:val="en-US" w:eastAsia="zh-CN" w:bidi="ar"/>
              </w:rPr>
              <w:t>酸性电解槽</w:t>
            </w:r>
          </w:p>
        </w:tc>
        <w:tc>
          <w:tcPr>
            <w:tcW w:w="3281" w:type="dxa"/>
            <w:vAlign w:val="center"/>
          </w:tcPr>
          <w:p>
            <w:pPr>
              <w:keepNext w:val="0"/>
              <w:keepLines w:val="0"/>
              <w:pageBreakBefore w:val="0"/>
              <w:widowControl/>
              <w:suppressLineNumbers w:val="0"/>
              <w:kinsoku/>
              <w:wordWrap/>
              <w:overflowPunct/>
              <w:topLinePunct w:val="0"/>
              <w:autoSpaceDE/>
              <w:autoSpaceDN/>
              <w:bidi w:val="0"/>
              <w:snapToGrid w:val="0"/>
              <w:ind w:left="0" w:right="0"/>
              <w:jc w:val="center"/>
              <w:textAlignment w:val="bottom"/>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4000 mm×950 mm×1450 mm</w:t>
            </w:r>
          </w:p>
        </w:tc>
        <w:tc>
          <w:tcPr>
            <w:tcW w:w="881" w:type="dxa"/>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lang w:eastAsia="zh-CN"/>
              </w:rPr>
              <w:t>个</w:t>
            </w:r>
          </w:p>
        </w:tc>
        <w:tc>
          <w:tcPr>
            <w:tcW w:w="1243" w:type="dxa"/>
            <w:tcMar>
              <w:left w:w="0" w:type="dxa"/>
              <w:right w:w="0" w:type="dxa"/>
            </w:tcMar>
            <w:vAlign w:val="center"/>
          </w:tcPr>
          <w:p>
            <w:pPr>
              <w:keepNext w:val="0"/>
              <w:keepLines w:val="0"/>
              <w:pageBreakBefore w:val="0"/>
              <w:widowControl/>
              <w:suppressLineNumbers w:val="0"/>
              <w:kinsoku/>
              <w:wordWrap/>
              <w:overflowPunct/>
              <w:topLinePunct w:val="0"/>
              <w:autoSpaceDE/>
              <w:autoSpaceDN/>
              <w:bidi w:val="0"/>
              <w:snapToGrid w:val="0"/>
              <w:ind w:left="0" w:right="0"/>
              <w:jc w:val="center"/>
              <w:textAlignment w:val="bottom"/>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1</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numPr>
                <w:ilvl w:val="0"/>
                <w:numId w:val="0"/>
              </w:numPr>
              <w:kinsoku/>
              <w:wordWrap/>
              <w:overflowPunct/>
              <w:topLinePunct w:val="0"/>
              <w:autoSpaceDE/>
              <w:autoSpaceDN/>
              <w:bidi w:val="0"/>
              <w:adjustRightInd/>
              <w:snapToGrid w:val="0"/>
              <w:ind w:left="0" w:leftChars="0" w:right="0" w:firstLine="0" w:firstLineChars="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6</w:t>
            </w:r>
          </w:p>
        </w:tc>
        <w:tc>
          <w:tcPr>
            <w:tcW w:w="2325" w:type="dxa"/>
            <w:tcMar>
              <w:left w:w="0" w:type="dxa"/>
              <w:right w:w="0" w:type="dxa"/>
            </w:tcMar>
            <w:vAlign w:val="center"/>
          </w:tcPr>
          <w:p>
            <w:pPr>
              <w:keepNext w:val="0"/>
              <w:keepLines w:val="0"/>
              <w:pageBreakBefore w:val="0"/>
              <w:widowControl/>
              <w:suppressLineNumbers w:val="0"/>
              <w:kinsoku/>
              <w:wordWrap/>
              <w:overflowPunct/>
              <w:topLinePunct w:val="0"/>
              <w:autoSpaceDE/>
              <w:autoSpaceDN/>
              <w:bidi w:val="0"/>
              <w:snapToGrid w:val="0"/>
              <w:ind w:left="0" w:right="0"/>
              <w:jc w:val="center"/>
              <w:textAlignment w:val="bottom"/>
              <w:rPr>
                <w:rFonts w:hint="default" w:ascii="Times New Roman" w:hAnsi="Times New Roman" w:cs="Times New Roman"/>
                <w:color w:val="auto"/>
                <w:kern w:val="0"/>
                <w:sz w:val="21"/>
                <w:szCs w:val="21"/>
                <w:highlight w:val="none"/>
                <w:lang w:eastAsia="zh-CN"/>
              </w:rPr>
            </w:pPr>
            <w:r>
              <w:rPr>
                <w:rFonts w:hint="default" w:ascii="Times New Roman" w:hAnsi="Times New Roman" w:eastAsia="宋体" w:cs="Times New Roman"/>
                <w:i w:val="0"/>
                <w:color w:val="auto"/>
                <w:kern w:val="0"/>
                <w:sz w:val="21"/>
                <w:szCs w:val="21"/>
                <w:highlight w:val="none"/>
                <w:u w:val="none"/>
                <w:lang w:val="en-US" w:eastAsia="zh-CN" w:bidi="ar"/>
              </w:rPr>
              <w:t>盐酸</w:t>
            </w:r>
          </w:p>
        </w:tc>
        <w:tc>
          <w:tcPr>
            <w:tcW w:w="3281" w:type="dxa"/>
            <w:vAlign w:val="center"/>
          </w:tcPr>
          <w:p>
            <w:pPr>
              <w:keepNext w:val="0"/>
              <w:keepLines w:val="0"/>
              <w:pageBreakBefore w:val="0"/>
              <w:widowControl/>
              <w:suppressLineNumbers w:val="0"/>
              <w:kinsoku/>
              <w:wordWrap/>
              <w:overflowPunct/>
              <w:topLinePunct w:val="0"/>
              <w:autoSpaceDE/>
              <w:autoSpaceDN/>
              <w:bidi w:val="0"/>
              <w:snapToGrid w:val="0"/>
              <w:ind w:left="0" w:right="0"/>
              <w:jc w:val="center"/>
              <w:textAlignment w:val="bottom"/>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4000 mm×950 mm×1450 mm</w:t>
            </w:r>
          </w:p>
        </w:tc>
        <w:tc>
          <w:tcPr>
            <w:tcW w:w="881" w:type="dxa"/>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lang w:eastAsia="zh-CN"/>
              </w:rPr>
              <w:t>个</w:t>
            </w:r>
          </w:p>
        </w:tc>
        <w:tc>
          <w:tcPr>
            <w:tcW w:w="1243" w:type="dxa"/>
            <w:tcMar>
              <w:left w:w="0" w:type="dxa"/>
              <w:right w:w="0" w:type="dxa"/>
            </w:tcMar>
            <w:vAlign w:val="center"/>
          </w:tcPr>
          <w:p>
            <w:pPr>
              <w:keepNext w:val="0"/>
              <w:keepLines w:val="0"/>
              <w:pageBreakBefore w:val="0"/>
              <w:widowControl/>
              <w:suppressLineNumbers w:val="0"/>
              <w:kinsoku/>
              <w:wordWrap/>
              <w:overflowPunct/>
              <w:topLinePunct w:val="0"/>
              <w:autoSpaceDE/>
              <w:autoSpaceDN/>
              <w:bidi w:val="0"/>
              <w:snapToGrid w:val="0"/>
              <w:ind w:left="0" w:right="0"/>
              <w:jc w:val="center"/>
              <w:textAlignment w:val="bottom"/>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1</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numPr>
                <w:ilvl w:val="0"/>
                <w:numId w:val="0"/>
              </w:numPr>
              <w:kinsoku/>
              <w:wordWrap/>
              <w:overflowPunct/>
              <w:topLinePunct w:val="0"/>
              <w:autoSpaceDE/>
              <w:autoSpaceDN/>
              <w:bidi w:val="0"/>
              <w:adjustRightInd/>
              <w:snapToGrid w:val="0"/>
              <w:ind w:left="0" w:leftChars="0" w:right="0" w:firstLine="0" w:firstLineChars="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7</w:t>
            </w:r>
          </w:p>
        </w:tc>
        <w:tc>
          <w:tcPr>
            <w:tcW w:w="2325" w:type="dxa"/>
            <w:tcMar>
              <w:left w:w="0" w:type="dxa"/>
              <w:right w:w="0" w:type="dxa"/>
            </w:tcMar>
            <w:vAlign w:val="center"/>
          </w:tcPr>
          <w:p>
            <w:pPr>
              <w:keepNext w:val="0"/>
              <w:keepLines w:val="0"/>
              <w:pageBreakBefore w:val="0"/>
              <w:widowControl/>
              <w:suppressLineNumbers w:val="0"/>
              <w:kinsoku/>
              <w:wordWrap/>
              <w:overflowPunct/>
              <w:topLinePunct w:val="0"/>
              <w:autoSpaceDE/>
              <w:autoSpaceDN/>
              <w:bidi w:val="0"/>
              <w:snapToGrid w:val="0"/>
              <w:ind w:left="0" w:right="0"/>
              <w:jc w:val="center"/>
              <w:textAlignment w:val="bottom"/>
              <w:rPr>
                <w:rFonts w:hint="default" w:ascii="Times New Roman" w:hAnsi="Times New Roman" w:cs="Times New Roman"/>
                <w:color w:val="auto"/>
                <w:kern w:val="0"/>
                <w:sz w:val="21"/>
                <w:szCs w:val="21"/>
                <w:highlight w:val="none"/>
                <w:lang w:eastAsia="zh-CN"/>
              </w:rPr>
            </w:pPr>
            <w:r>
              <w:rPr>
                <w:rFonts w:hint="default" w:ascii="Times New Roman" w:hAnsi="Times New Roman" w:eastAsia="宋体" w:cs="Times New Roman"/>
                <w:i w:val="0"/>
                <w:color w:val="auto"/>
                <w:kern w:val="0"/>
                <w:sz w:val="21"/>
                <w:szCs w:val="21"/>
                <w:highlight w:val="none"/>
                <w:u w:val="none"/>
                <w:lang w:val="en-US" w:eastAsia="zh-CN" w:bidi="ar"/>
              </w:rPr>
              <w:t>镀锌槽</w:t>
            </w:r>
          </w:p>
        </w:tc>
        <w:tc>
          <w:tcPr>
            <w:tcW w:w="3281" w:type="dxa"/>
            <w:vAlign w:val="center"/>
          </w:tcPr>
          <w:p>
            <w:pPr>
              <w:keepNext w:val="0"/>
              <w:keepLines w:val="0"/>
              <w:pageBreakBefore w:val="0"/>
              <w:widowControl/>
              <w:suppressLineNumbers w:val="0"/>
              <w:kinsoku/>
              <w:wordWrap/>
              <w:overflowPunct/>
              <w:topLinePunct w:val="0"/>
              <w:autoSpaceDE/>
              <w:autoSpaceDN/>
              <w:bidi w:val="0"/>
              <w:snapToGrid w:val="0"/>
              <w:ind w:left="0" w:right="0"/>
              <w:jc w:val="center"/>
              <w:textAlignment w:val="bottom"/>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4000 mm×1200 mm×1450 mm</w:t>
            </w:r>
          </w:p>
        </w:tc>
        <w:tc>
          <w:tcPr>
            <w:tcW w:w="881" w:type="dxa"/>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lang w:eastAsia="zh-CN"/>
              </w:rPr>
              <w:t>个</w:t>
            </w:r>
          </w:p>
        </w:tc>
        <w:tc>
          <w:tcPr>
            <w:tcW w:w="1243" w:type="dxa"/>
            <w:tcMar>
              <w:left w:w="0" w:type="dxa"/>
              <w:right w:w="0" w:type="dxa"/>
            </w:tcMar>
            <w:vAlign w:val="center"/>
          </w:tcPr>
          <w:p>
            <w:pPr>
              <w:keepNext w:val="0"/>
              <w:keepLines w:val="0"/>
              <w:pageBreakBefore w:val="0"/>
              <w:widowControl/>
              <w:suppressLineNumbers w:val="0"/>
              <w:kinsoku/>
              <w:wordWrap/>
              <w:overflowPunct/>
              <w:topLinePunct w:val="0"/>
              <w:autoSpaceDE/>
              <w:autoSpaceDN/>
              <w:bidi w:val="0"/>
              <w:snapToGrid w:val="0"/>
              <w:ind w:left="0" w:right="0"/>
              <w:jc w:val="center"/>
              <w:textAlignment w:val="bottom"/>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6</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numPr>
                <w:ilvl w:val="0"/>
                <w:numId w:val="0"/>
              </w:numPr>
              <w:kinsoku/>
              <w:wordWrap/>
              <w:overflowPunct/>
              <w:topLinePunct w:val="0"/>
              <w:autoSpaceDE/>
              <w:autoSpaceDN/>
              <w:bidi w:val="0"/>
              <w:adjustRightInd/>
              <w:snapToGrid w:val="0"/>
              <w:ind w:left="0" w:leftChars="0" w:right="0" w:firstLine="0" w:firstLineChars="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8</w:t>
            </w:r>
          </w:p>
        </w:tc>
        <w:tc>
          <w:tcPr>
            <w:tcW w:w="2325" w:type="dxa"/>
            <w:tcMar>
              <w:left w:w="0" w:type="dxa"/>
              <w:right w:w="0" w:type="dxa"/>
            </w:tcMar>
            <w:vAlign w:val="center"/>
          </w:tcPr>
          <w:p>
            <w:pPr>
              <w:keepNext w:val="0"/>
              <w:keepLines w:val="0"/>
              <w:pageBreakBefore w:val="0"/>
              <w:widowControl/>
              <w:suppressLineNumbers w:val="0"/>
              <w:kinsoku/>
              <w:wordWrap/>
              <w:overflowPunct/>
              <w:topLinePunct w:val="0"/>
              <w:autoSpaceDE/>
              <w:autoSpaceDN/>
              <w:bidi w:val="0"/>
              <w:snapToGrid w:val="0"/>
              <w:ind w:left="0" w:right="0"/>
              <w:jc w:val="center"/>
              <w:textAlignment w:val="bottom"/>
              <w:rPr>
                <w:rFonts w:hint="default" w:ascii="Times New Roman" w:hAnsi="Times New Roman" w:cs="Times New Roman"/>
                <w:color w:val="auto"/>
                <w:kern w:val="0"/>
                <w:sz w:val="21"/>
                <w:szCs w:val="21"/>
                <w:highlight w:val="none"/>
                <w:lang w:eastAsia="zh-CN"/>
              </w:rPr>
            </w:pPr>
            <w:r>
              <w:rPr>
                <w:rFonts w:hint="default" w:ascii="Times New Roman" w:hAnsi="Times New Roman" w:eastAsia="宋体" w:cs="Times New Roman"/>
                <w:i w:val="0"/>
                <w:color w:val="auto"/>
                <w:kern w:val="0"/>
                <w:sz w:val="21"/>
                <w:szCs w:val="21"/>
                <w:highlight w:val="none"/>
                <w:u w:val="none"/>
                <w:lang w:val="en-US" w:eastAsia="zh-CN" w:bidi="ar"/>
              </w:rPr>
              <w:t>出光槽</w:t>
            </w:r>
          </w:p>
        </w:tc>
        <w:tc>
          <w:tcPr>
            <w:tcW w:w="3281" w:type="dxa"/>
            <w:vAlign w:val="center"/>
          </w:tcPr>
          <w:p>
            <w:pPr>
              <w:keepNext w:val="0"/>
              <w:keepLines w:val="0"/>
              <w:pageBreakBefore w:val="0"/>
              <w:widowControl/>
              <w:suppressLineNumbers w:val="0"/>
              <w:kinsoku/>
              <w:wordWrap/>
              <w:overflowPunct/>
              <w:topLinePunct w:val="0"/>
              <w:autoSpaceDE/>
              <w:autoSpaceDN/>
              <w:bidi w:val="0"/>
              <w:snapToGrid w:val="0"/>
              <w:ind w:left="0" w:right="0"/>
              <w:jc w:val="center"/>
              <w:textAlignment w:val="bottom"/>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4000 mm×950 mm×1450 mm</w:t>
            </w:r>
          </w:p>
        </w:tc>
        <w:tc>
          <w:tcPr>
            <w:tcW w:w="881" w:type="dxa"/>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lang w:eastAsia="zh-CN"/>
              </w:rPr>
              <w:t>个</w:t>
            </w:r>
          </w:p>
        </w:tc>
        <w:tc>
          <w:tcPr>
            <w:tcW w:w="1243" w:type="dxa"/>
            <w:tcMar>
              <w:left w:w="0" w:type="dxa"/>
              <w:right w:w="0" w:type="dxa"/>
            </w:tcMar>
            <w:vAlign w:val="center"/>
          </w:tcPr>
          <w:p>
            <w:pPr>
              <w:keepNext w:val="0"/>
              <w:keepLines w:val="0"/>
              <w:pageBreakBefore w:val="0"/>
              <w:widowControl/>
              <w:suppressLineNumbers w:val="0"/>
              <w:kinsoku/>
              <w:wordWrap/>
              <w:overflowPunct/>
              <w:topLinePunct w:val="0"/>
              <w:autoSpaceDE/>
              <w:autoSpaceDN/>
              <w:bidi w:val="0"/>
              <w:snapToGrid w:val="0"/>
              <w:ind w:left="0" w:right="0"/>
              <w:jc w:val="center"/>
              <w:textAlignment w:val="bottom"/>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1</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numPr>
                <w:ilvl w:val="0"/>
                <w:numId w:val="0"/>
              </w:numPr>
              <w:kinsoku/>
              <w:wordWrap/>
              <w:overflowPunct/>
              <w:topLinePunct w:val="0"/>
              <w:autoSpaceDE/>
              <w:autoSpaceDN/>
              <w:bidi w:val="0"/>
              <w:adjustRightInd/>
              <w:snapToGrid w:val="0"/>
              <w:ind w:left="0" w:leftChars="0" w:right="0" w:firstLine="0" w:firstLineChars="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9</w:t>
            </w:r>
          </w:p>
        </w:tc>
        <w:tc>
          <w:tcPr>
            <w:tcW w:w="2325" w:type="dxa"/>
            <w:tcMar>
              <w:left w:w="0" w:type="dxa"/>
              <w:right w:w="0" w:type="dxa"/>
            </w:tcMar>
            <w:vAlign w:val="center"/>
          </w:tcPr>
          <w:p>
            <w:pPr>
              <w:keepNext w:val="0"/>
              <w:keepLines w:val="0"/>
              <w:pageBreakBefore w:val="0"/>
              <w:widowControl/>
              <w:suppressLineNumbers w:val="0"/>
              <w:kinsoku/>
              <w:wordWrap/>
              <w:overflowPunct/>
              <w:topLinePunct w:val="0"/>
              <w:autoSpaceDE/>
              <w:autoSpaceDN/>
              <w:bidi w:val="0"/>
              <w:snapToGrid w:val="0"/>
              <w:ind w:left="0" w:right="0"/>
              <w:jc w:val="center"/>
              <w:textAlignment w:val="bottom"/>
              <w:rPr>
                <w:rFonts w:hint="default" w:ascii="Times New Roman" w:hAnsi="Times New Roman" w:cs="Times New Roman"/>
                <w:color w:val="auto"/>
                <w:kern w:val="0"/>
                <w:sz w:val="21"/>
                <w:szCs w:val="21"/>
                <w:highlight w:val="none"/>
                <w:lang w:eastAsia="zh-CN"/>
              </w:rPr>
            </w:pPr>
            <w:r>
              <w:rPr>
                <w:rFonts w:hint="default" w:ascii="Times New Roman" w:hAnsi="Times New Roman" w:eastAsia="宋体" w:cs="Times New Roman"/>
                <w:i w:val="0"/>
                <w:color w:val="auto"/>
                <w:kern w:val="0"/>
                <w:sz w:val="21"/>
                <w:szCs w:val="21"/>
                <w:highlight w:val="none"/>
                <w:u w:val="none"/>
                <w:lang w:val="en-US" w:eastAsia="zh-CN" w:bidi="ar"/>
              </w:rPr>
              <w:t>蓝白色钝化槽</w:t>
            </w:r>
          </w:p>
        </w:tc>
        <w:tc>
          <w:tcPr>
            <w:tcW w:w="3281" w:type="dxa"/>
            <w:vAlign w:val="center"/>
          </w:tcPr>
          <w:p>
            <w:pPr>
              <w:keepNext w:val="0"/>
              <w:keepLines w:val="0"/>
              <w:pageBreakBefore w:val="0"/>
              <w:widowControl/>
              <w:suppressLineNumbers w:val="0"/>
              <w:kinsoku/>
              <w:wordWrap/>
              <w:overflowPunct/>
              <w:topLinePunct w:val="0"/>
              <w:autoSpaceDE/>
              <w:autoSpaceDN/>
              <w:bidi w:val="0"/>
              <w:snapToGrid w:val="0"/>
              <w:ind w:left="0" w:right="0"/>
              <w:jc w:val="center"/>
              <w:textAlignment w:val="bottom"/>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4000 mm×950 mm×1450 mm</w:t>
            </w:r>
          </w:p>
        </w:tc>
        <w:tc>
          <w:tcPr>
            <w:tcW w:w="881" w:type="dxa"/>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lang w:eastAsia="zh-CN"/>
              </w:rPr>
              <w:t>个</w:t>
            </w:r>
          </w:p>
        </w:tc>
        <w:tc>
          <w:tcPr>
            <w:tcW w:w="1243" w:type="dxa"/>
            <w:tcMar>
              <w:left w:w="0" w:type="dxa"/>
              <w:right w:w="0" w:type="dxa"/>
            </w:tcMar>
            <w:vAlign w:val="center"/>
          </w:tcPr>
          <w:p>
            <w:pPr>
              <w:keepNext w:val="0"/>
              <w:keepLines w:val="0"/>
              <w:pageBreakBefore w:val="0"/>
              <w:widowControl/>
              <w:suppressLineNumbers w:val="0"/>
              <w:kinsoku/>
              <w:wordWrap/>
              <w:overflowPunct/>
              <w:topLinePunct w:val="0"/>
              <w:autoSpaceDE/>
              <w:autoSpaceDN/>
              <w:bidi w:val="0"/>
              <w:snapToGrid w:val="0"/>
              <w:ind w:left="0" w:right="0"/>
              <w:jc w:val="center"/>
              <w:textAlignment w:val="bottom"/>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1</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numPr>
                <w:ilvl w:val="0"/>
                <w:numId w:val="0"/>
              </w:numPr>
              <w:kinsoku/>
              <w:wordWrap/>
              <w:overflowPunct/>
              <w:topLinePunct w:val="0"/>
              <w:autoSpaceDE/>
              <w:autoSpaceDN/>
              <w:bidi w:val="0"/>
              <w:adjustRightInd/>
              <w:snapToGrid w:val="0"/>
              <w:ind w:left="0" w:leftChars="0" w:right="0" w:firstLine="0" w:firstLineChars="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10</w:t>
            </w:r>
          </w:p>
        </w:tc>
        <w:tc>
          <w:tcPr>
            <w:tcW w:w="2325" w:type="dxa"/>
            <w:tcMar>
              <w:left w:w="0" w:type="dxa"/>
              <w:right w:w="0" w:type="dxa"/>
            </w:tcMar>
            <w:vAlign w:val="center"/>
          </w:tcPr>
          <w:p>
            <w:pPr>
              <w:keepNext w:val="0"/>
              <w:keepLines w:val="0"/>
              <w:pageBreakBefore w:val="0"/>
              <w:widowControl/>
              <w:suppressLineNumbers w:val="0"/>
              <w:kinsoku/>
              <w:wordWrap/>
              <w:overflowPunct/>
              <w:topLinePunct w:val="0"/>
              <w:autoSpaceDE/>
              <w:autoSpaceDN/>
              <w:bidi w:val="0"/>
              <w:snapToGrid w:val="0"/>
              <w:ind w:left="0" w:right="0"/>
              <w:jc w:val="center"/>
              <w:textAlignment w:val="bottom"/>
              <w:rPr>
                <w:rFonts w:hint="default" w:ascii="Times New Roman" w:hAnsi="Times New Roman" w:cs="Times New Roman"/>
                <w:color w:val="auto"/>
                <w:kern w:val="0"/>
                <w:sz w:val="21"/>
                <w:szCs w:val="21"/>
                <w:highlight w:val="none"/>
                <w:lang w:eastAsia="zh-CN"/>
              </w:rPr>
            </w:pPr>
            <w:r>
              <w:rPr>
                <w:rFonts w:hint="default" w:ascii="Times New Roman" w:hAnsi="Times New Roman" w:eastAsia="宋体" w:cs="Times New Roman"/>
                <w:i w:val="0"/>
                <w:color w:val="auto"/>
                <w:kern w:val="0"/>
                <w:sz w:val="21"/>
                <w:szCs w:val="21"/>
                <w:highlight w:val="none"/>
                <w:u w:val="none"/>
                <w:lang w:val="en-US" w:eastAsia="zh-CN" w:bidi="ar"/>
              </w:rPr>
              <w:t>彩色钝化槽</w:t>
            </w:r>
          </w:p>
        </w:tc>
        <w:tc>
          <w:tcPr>
            <w:tcW w:w="3281" w:type="dxa"/>
            <w:vAlign w:val="center"/>
          </w:tcPr>
          <w:p>
            <w:pPr>
              <w:keepNext w:val="0"/>
              <w:keepLines w:val="0"/>
              <w:pageBreakBefore w:val="0"/>
              <w:widowControl/>
              <w:suppressLineNumbers w:val="0"/>
              <w:kinsoku/>
              <w:wordWrap/>
              <w:overflowPunct/>
              <w:topLinePunct w:val="0"/>
              <w:autoSpaceDE/>
              <w:autoSpaceDN/>
              <w:bidi w:val="0"/>
              <w:snapToGrid w:val="0"/>
              <w:ind w:left="0" w:right="0"/>
              <w:jc w:val="center"/>
              <w:textAlignment w:val="bottom"/>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4000 mm×950 mm×1450 mm</w:t>
            </w:r>
          </w:p>
        </w:tc>
        <w:tc>
          <w:tcPr>
            <w:tcW w:w="881" w:type="dxa"/>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lang w:eastAsia="zh-CN"/>
              </w:rPr>
              <w:t>个</w:t>
            </w:r>
          </w:p>
        </w:tc>
        <w:tc>
          <w:tcPr>
            <w:tcW w:w="1243" w:type="dxa"/>
            <w:tcMar>
              <w:left w:w="0" w:type="dxa"/>
              <w:right w:w="0" w:type="dxa"/>
            </w:tcMar>
            <w:vAlign w:val="center"/>
          </w:tcPr>
          <w:p>
            <w:pPr>
              <w:keepNext w:val="0"/>
              <w:keepLines w:val="0"/>
              <w:pageBreakBefore w:val="0"/>
              <w:widowControl/>
              <w:suppressLineNumbers w:val="0"/>
              <w:kinsoku/>
              <w:wordWrap/>
              <w:overflowPunct/>
              <w:topLinePunct w:val="0"/>
              <w:autoSpaceDE/>
              <w:autoSpaceDN/>
              <w:bidi w:val="0"/>
              <w:snapToGrid w:val="0"/>
              <w:ind w:left="0" w:right="0"/>
              <w:jc w:val="center"/>
              <w:textAlignment w:val="bottom"/>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1</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numPr>
                <w:ilvl w:val="0"/>
                <w:numId w:val="0"/>
              </w:numPr>
              <w:kinsoku/>
              <w:wordWrap/>
              <w:overflowPunct/>
              <w:topLinePunct w:val="0"/>
              <w:autoSpaceDE/>
              <w:autoSpaceDN/>
              <w:bidi w:val="0"/>
              <w:adjustRightInd/>
              <w:snapToGrid w:val="0"/>
              <w:ind w:left="0" w:leftChars="0" w:right="0" w:firstLine="0" w:firstLineChars="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11</w:t>
            </w:r>
          </w:p>
        </w:tc>
        <w:tc>
          <w:tcPr>
            <w:tcW w:w="2325" w:type="dxa"/>
            <w:tcMar>
              <w:left w:w="0" w:type="dxa"/>
              <w:right w:w="0" w:type="dxa"/>
            </w:tcMar>
            <w:vAlign w:val="center"/>
          </w:tcPr>
          <w:p>
            <w:pPr>
              <w:keepNext w:val="0"/>
              <w:keepLines w:val="0"/>
              <w:pageBreakBefore w:val="0"/>
              <w:widowControl/>
              <w:suppressLineNumbers w:val="0"/>
              <w:kinsoku/>
              <w:wordWrap/>
              <w:overflowPunct/>
              <w:topLinePunct w:val="0"/>
              <w:autoSpaceDE/>
              <w:autoSpaceDN/>
              <w:bidi w:val="0"/>
              <w:snapToGrid w:val="0"/>
              <w:ind w:left="0" w:right="0"/>
              <w:jc w:val="center"/>
              <w:textAlignment w:val="bottom"/>
              <w:rPr>
                <w:rFonts w:hint="default" w:ascii="Times New Roman" w:hAnsi="Times New Roman" w:cs="Times New Roman"/>
                <w:color w:val="auto"/>
                <w:kern w:val="0"/>
                <w:sz w:val="21"/>
                <w:szCs w:val="21"/>
                <w:highlight w:val="none"/>
                <w:lang w:eastAsia="zh-CN"/>
              </w:rPr>
            </w:pPr>
            <w:r>
              <w:rPr>
                <w:rFonts w:hint="default" w:ascii="Times New Roman" w:hAnsi="Times New Roman" w:eastAsia="宋体" w:cs="Times New Roman"/>
                <w:i w:val="0"/>
                <w:color w:val="auto"/>
                <w:kern w:val="0"/>
                <w:sz w:val="21"/>
                <w:szCs w:val="21"/>
                <w:highlight w:val="none"/>
                <w:u w:val="none"/>
                <w:lang w:val="en-US" w:eastAsia="zh-CN" w:bidi="ar"/>
              </w:rPr>
              <w:t>封闭槽</w:t>
            </w:r>
          </w:p>
        </w:tc>
        <w:tc>
          <w:tcPr>
            <w:tcW w:w="3281" w:type="dxa"/>
            <w:vAlign w:val="center"/>
          </w:tcPr>
          <w:p>
            <w:pPr>
              <w:keepNext w:val="0"/>
              <w:keepLines w:val="0"/>
              <w:pageBreakBefore w:val="0"/>
              <w:widowControl/>
              <w:suppressLineNumbers w:val="0"/>
              <w:kinsoku/>
              <w:wordWrap/>
              <w:overflowPunct/>
              <w:topLinePunct w:val="0"/>
              <w:autoSpaceDE/>
              <w:autoSpaceDN/>
              <w:bidi w:val="0"/>
              <w:snapToGrid w:val="0"/>
              <w:ind w:left="0" w:right="0"/>
              <w:jc w:val="center"/>
              <w:textAlignment w:val="bottom"/>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4000 mm×950 mm×1450 mm</w:t>
            </w:r>
          </w:p>
        </w:tc>
        <w:tc>
          <w:tcPr>
            <w:tcW w:w="881" w:type="dxa"/>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lang w:eastAsia="zh-CN"/>
              </w:rPr>
              <w:t>个</w:t>
            </w:r>
          </w:p>
        </w:tc>
        <w:tc>
          <w:tcPr>
            <w:tcW w:w="1243" w:type="dxa"/>
            <w:tcMar>
              <w:left w:w="0" w:type="dxa"/>
              <w:right w:w="0" w:type="dxa"/>
            </w:tcMar>
            <w:vAlign w:val="center"/>
          </w:tcPr>
          <w:p>
            <w:pPr>
              <w:keepNext w:val="0"/>
              <w:keepLines w:val="0"/>
              <w:pageBreakBefore w:val="0"/>
              <w:widowControl/>
              <w:suppressLineNumbers w:val="0"/>
              <w:kinsoku/>
              <w:wordWrap/>
              <w:overflowPunct/>
              <w:topLinePunct w:val="0"/>
              <w:autoSpaceDE/>
              <w:autoSpaceDN/>
              <w:bidi w:val="0"/>
              <w:snapToGrid w:val="0"/>
              <w:ind w:left="0" w:right="0"/>
              <w:jc w:val="center"/>
              <w:textAlignment w:val="bottom"/>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1</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numPr>
                <w:ilvl w:val="0"/>
                <w:numId w:val="0"/>
              </w:numPr>
              <w:kinsoku/>
              <w:wordWrap/>
              <w:overflowPunct/>
              <w:topLinePunct w:val="0"/>
              <w:autoSpaceDE/>
              <w:autoSpaceDN/>
              <w:bidi w:val="0"/>
              <w:adjustRightInd/>
              <w:snapToGrid w:val="0"/>
              <w:ind w:left="0" w:leftChars="0" w:right="0" w:firstLine="0" w:firstLineChars="0"/>
              <w:jc w:val="center"/>
              <w:textAlignment w:val="auto"/>
              <w:outlineLvl w:val="9"/>
              <w:rPr>
                <w:rFonts w:hint="default" w:ascii="Times New Roman" w:hAnsi="Times New Roman" w:cs="Times New Roman"/>
                <w:color w:val="auto"/>
                <w:kern w:val="0"/>
                <w:sz w:val="21"/>
                <w:szCs w:val="21"/>
                <w:highlight w:val="none"/>
                <w:lang w:val="en-US"/>
              </w:rPr>
            </w:pPr>
            <w:r>
              <w:rPr>
                <w:rFonts w:hint="default" w:ascii="Times New Roman" w:hAnsi="Times New Roman" w:cs="Times New Roman"/>
                <w:color w:val="auto"/>
                <w:kern w:val="0"/>
                <w:sz w:val="21"/>
                <w:szCs w:val="21"/>
                <w:highlight w:val="none"/>
                <w:lang w:val="en-US" w:eastAsia="zh-CN"/>
              </w:rPr>
              <w:t>12</w:t>
            </w:r>
          </w:p>
        </w:tc>
        <w:tc>
          <w:tcPr>
            <w:tcW w:w="2325" w:type="dxa"/>
            <w:tcMar>
              <w:left w:w="0" w:type="dxa"/>
              <w:right w:w="0" w:type="dxa"/>
            </w:tcMar>
            <w:vAlign w:val="center"/>
          </w:tcPr>
          <w:p>
            <w:pPr>
              <w:keepNext w:val="0"/>
              <w:keepLines w:val="0"/>
              <w:pageBreakBefore w:val="0"/>
              <w:widowControl/>
              <w:suppressLineNumbers w:val="0"/>
              <w:kinsoku/>
              <w:wordWrap/>
              <w:overflowPunct/>
              <w:topLinePunct w:val="0"/>
              <w:autoSpaceDE/>
              <w:autoSpaceDN/>
              <w:bidi w:val="0"/>
              <w:snapToGrid w:val="0"/>
              <w:ind w:left="0" w:right="0"/>
              <w:jc w:val="center"/>
              <w:textAlignment w:val="bottom"/>
              <w:rPr>
                <w:rFonts w:hint="default" w:ascii="Times New Roman" w:hAnsi="Times New Roman" w:cs="Times New Roman"/>
                <w:color w:val="auto"/>
                <w:kern w:val="0"/>
                <w:sz w:val="21"/>
                <w:szCs w:val="21"/>
                <w:highlight w:val="none"/>
                <w:lang w:eastAsia="zh-CN"/>
              </w:rPr>
            </w:pPr>
            <w:r>
              <w:rPr>
                <w:rFonts w:hint="default" w:ascii="Times New Roman" w:hAnsi="Times New Roman" w:eastAsia="宋体" w:cs="Times New Roman"/>
                <w:i w:val="0"/>
                <w:color w:val="auto"/>
                <w:kern w:val="0"/>
                <w:sz w:val="21"/>
                <w:szCs w:val="21"/>
                <w:highlight w:val="none"/>
                <w:u w:val="none"/>
                <w:lang w:val="en-US" w:eastAsia="zh-CN" w:bidi="ar"/>
              </w:rPr>
              <w:t>烘干箱</w:t>
            </w:r>
          </w:p>
        </w:tc>
        <w:tc>
          <w:tcPr>
            <w:tcW w:w="3281" w:type="dxa"/>
            <w:vAlign w:val="center"/>
          </w:tcPr>
          <w:p>
            <w:pPr>
              <w:keepNext w:val="0"/>
              <w:keepLines w:val="0"/>
              <w:pageBreakBefore w:val="0"/>
              <w:widowControl/>
              <w:suppressLineNumbers w:val="0"/>
              <w:kinsoku/>
              <w:wordWrap/>
              <w:overflowPunct/>
              <w:topLinePunct w:val="0"/>
              <w:autoSpaceDE/>
              <w:autoSpaceDN/>
              <w:bidi w:val="0"/>
              <w:snapToGrid w:val="0"/>
              <w:ind w:left="0" w:right="0"/>
              <w:jc w:val="center"/>
              <w:textAlignment w:val="bottom"/>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4000 mm×950 mm×1450 mm</w:t>
            </w:r>
          </w:p>
        </w:tc>
        <w:tc>
          <w:tcPr>
            <w:tcW w:w="881" w:type="dxa"/>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lang w:eastAsia="zh-CN"/>
              </w:rPr>
              <w:t>个</w:t>
            </w:r>
          </w:p>
        </w:tc>
        <w:tc>
          <w:tcPr>
            <w:tcW w:w="1243" w:type="dxa"/>
            <w:tcMar>
              <w:left w:w="0" w:type="dxa"/>
              <w:right w:w="0" w:type="dxa"/>
            </w:tcMar>
            <w:vAlign w:val="center"/>
          </w:tcPr>
          <w:p>
            <w:pPr>
              <w:keepNext w:val="0"/>
              <w:keepLines w:val="0"/>
              <w:pageBreakBefore w:val="0"/>
              <w:widowControl/>
              <w:suppressLineNumbers w:val="0"/>
              <w:kinsoku/>
              <w:wordWrap/>
              <w:overflowPunct/>
              <w:topLinePunct w:val="0"/>
              <w:autoSpaceDE/>
              <w:autoSpaceDN/>
              <w:bidi w:val="0"/>
              <w:snapToGrid w:val="0"/>
              <w:ind w:left="0" w:right="0"/>
              <w:jc w:val="center"/>
              <w:textAlignment w:val="bottom"/>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3</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8412" w:type="dxa"/>
            <w:gridSpan w:val="5"/>
            <w:tcMar>
              <w:left w:w="0" w:type="dxa"/>
              <w:right w:w="0" w:type="dxa"/>
            </w:tcMar>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滚镀生产线</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numPr>
                <w:ilvl w:val="0"/>
                <w:numId w:val="0"/>
              </w:numPr>
              <w:kinsoku/>
              <w:wordWrap/>
              <w:overflowPunct/>
              <w:topLinePunct w:val="0"/>
              <w:autoSpaceDE/>
              <w:autoSpaceDN/>
              <w:bidi w:val="0"/>
              <w:adjustRightInd/>
              <w:snapToGrid w:val="0"/>
              <w:ind w:left="0" w:leftChars="0" w:right="0" w:firstLine="0" w:firstLineChars="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1</w:t>
            </w:r>
          </w:p>
        </w:tc>
        <w:tc>
          <w:tcPr>
            <w:tcW w:w="2325" w:type="dxa"/>
            <w:tcMar>
              <w:left w:w="0" w:type="dxa"/>
              <w:right w:w="0" w:type="dxa"/>
            </w:tcMar>
            <w:vAlign w:val="center"/>
          </w:tcPr>
          <w:p>
            <w:pPr>
              <w:keepNext w:val="0"/>
              <w:keepLines w:val="0"/>
              <w:pageBreakBefore w:val="0"/>
              <w:widowControl/>
              <w:suppressLineNumbers w:val="0"/>
              <w:kinsoku/>
              <w:wordWrap/>
              <w:overflowPunct/>
              <w:topLinePunct w:val="0"/>
              <w:autoSpaceDE/>
              <w:autoSpaceDN/>
              <w:bidi w:val="0"/>
              <w:snapToGrid w:val="0"/>
              <w:ind w:left="0" w:right="0"/>
              <w:jc w:val="center"/>
              <w:textAlignment w:val="bottom"/>
              <w:rPr>
                <w:rFonts w:hint="default" w:ascii="Times New Roman" w:hAnsi="Times New Roman" w:cs="Times New Roman"/>
                <w:color w:val="auto"/>
                <w:kern w:val="0"/>
                <w:sz w:val="21"/>
                <w:szCs w:val="21"/>
                <w:highlight w:val="none"/>
                <w:lang w:eastAsia="zh-CN"/>
              </w:rPr>
            </w:pPr>
            <w:r>
              <w:rPr>
                <w:rFonts w:hint="default" w:ascii="Times New Roman" w:hAnsi="Times New Roman" w:eastAsia="宋体" w:cs="Times New Roman"/>
                <w:i w:val="0"/>
                <w:color w:val="auto"/>
                <w:kern w:val="0"/>
                <w:sz w:val="21"/>
                <w:szCs w:val="21"/>
                <w:highlight w:val="none"/>
                <w:u w:val="none"/>
                <w:lang w:val="en-US" w:eastAsia="zh-CN" w:bidi="ar"/>
              </w:rPr>
              <w:t>化学除油槽</w:t>
            </w:r>
          </w:p>
        </w:tc>
        <w:tc>
          <w:tcPr>
            <w:tcW w:w="3281" w:type="dxa"/>
            <w:vAlign w:val="center"/>
          </w:tcPr>
          <w:p>
            <w:pPr>
              <w:keepNext w:val="0"/>
              <w:keepLines w:val="0"/>
              <w:pageBreakBefore w:val="0"/>
              <w:widowControl/>
              <w:suppressLineNumbers w:val="0"/>
              <w:kinsoku/>
              <w:wordWrap/>
              <w:overflowPunct/>
              <w:topLinePunct w:val="0"/>
              <w:autoSpaceDE/>
              <w:autoSpaceDN/>
              <w:bidi w:val="0"/>
              <w:snapToGrid w:val="0"/>
              <w:ind w:left="0" w:right="0"/>
              <w:jc w:val="center"/>
              <w:textAlignment w:val="bottom"/>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2100mm×1200mm×1000 mm</w:t>
            </w:r>
          </w:p>
        </w:tc>
        <w:tc>
          <w:tcPr>
            <w:tcW w:w="881" w:type="dxa"/>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lang w:eastAsia="zh-CN"/>
              </w:rPr>
              <w:t>个</w:t>
            </w:r>
          </w:p>
        </w:tc>
        <w:tc>
          <w:tcPr>
            <w:tcW w:w="1243" w:type="dxa"/>
            <w:tcMar>
              <w:left w:w="0" w:type="dxa"/>
              <w:right w:w="0" w:type="dxa"/>
            </w:tcMar>
            <w:vAlign w:val="center"/>
          </w:tcPr>
          <w:p>
            <w:pPr>
              <w:keepNext w:val="0"/>
              <w:keepLines w:val="0"/>
              <w:pageBreakBefore w:val="0"/>
              <w:widowControl/>
              <w:suppressLineNumbers w:val="0"/>
              <w:kinsoku/>
              <w:wordWrap/>
              <w:overflowPunct/>
              <w:topLinePunct w:val="0"/>
              <w:autoSpaceDE/>
              <w:autoSpaceDN/>
              <w:bidi w:val="0"/>
              <w:snapToGrid w:val="0"/>
              <w:ind w:left="0" w:right="0"/>
              <w:jc w:val="center"/>
              <w:textAlignment w:val="bottom"/>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1</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numPr>
                <w:ilvl w:val="0"/>
                <w:numId w:val="0"/>
              </w:numPr>
              <w:kinsoku/>
              <w:wordWrap/>
              <w:overflowPunct/>
              <w:topLinePunct w:val="0"/>
              <w:autoSpaceDE/>
              <w:autoSpaceDN/>
              <w:bidi w:val="0"/>
              <w:adjustRightInd/>
              <w:snapToGrid w:val="0"/>
              <w:ind w:left="0" w:leftChars="0" w:right="0" w:firstLine="0" w:firstLineChars="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2</w:t>
            </w:r>
          </w:p>
        </w:tc>
        <w:tc>
          <w:tcPr>
            <w:tcW w:w="2325" w:type="dxa"/>
            <w:tcMar>
              <w:left w:w="0" w:type="dxa"/>
              <w:right w:w="0" w:type="dxa"/>
            </w:tcMar>
            <w:vAlign w:val="center"/>
          </w:tcPr>
          <w:p>
            <w:pPr>
              <w:keepNext w:val="0"/>
              <w:keepLines w:val="0"/>
              <w:pageBreakBefore w:val="0"/>
              <w:widowControl/>
              <w:suppressLineNumbers w:val="0"/>
              <w:kinsoku/>
              <w:wordWrap/>
              <w:overflowPunct/>
              <w:topLinePunct w:val="0"/>
              <w:autoSpaceDE/>
              <w:autoSpaceDN/>
              <w:bidi w:val="0"/>
              <w:snapToGrid w:val="0"/>
              <w:ind w:left="0" w:right="0"/>
              <w:jc w:val="center"/>
              <w:textAlignment w:val="bottom"/>
              <w:rPr>
                <w:rFonts w:hint="default" w:ascii="Times New Roman" w:hAnsi="Times New Roman" w:cs="Times New Roman"/>
                <w:color w:val="auto"/>
                <w:kern w:val="0"/>
                <w:sz w:val="21"/>
                <w:szCs w:val="21"/>
                <w:highlight w:val="none"/>
                <w:lang w:eastAsia="zh-CN"/>
              </w:rPr>
            </w:pPr>
            <w:r>
              <w:rPr>
                <w:rFonts w:hint="default" w:ascii="Times New Roman" w:hAnsi="Times New Roman" w:eastAsia="宋体" w:cs="Times New Roman"/>
                <w:i w:val="0"/>
                <w:color w:val="auto"/>
                <w:kern w:val="0"/>
                <w:sz w:val="21"/>
                <w:szCs w:val="21"/>
                <w:highlight w:val="none"/>
                <w:u w:val="none"/>
                <w:lang w:val="en-US" w:eastAsia="zh-CN" w:bidi="ar"/>
              </w:rPr>
              <w:t>水洗槽</w:t>
            </w:r>
          </w:p>
        </w:tc>
        <w:tc>
          <w:tcPr>
            <w:tcW w:w="3281" w:type="dxa"/>
            <w:vAlign w:val="center"/>
          </w:tcPr>
          <w:p>
            <w:pPr>
              <w:keepNext w:val="0"/>
              <w:keepLines w:val="0"/>
              <w:pageBreakBefore w:val="0"/>
              <w:widowControl/>
              <w:suppressLineNumbers w:val="0"/>
              <w:kinsoku/>
              <w:wordWrap/>
              <w:overflowPunct/>
              <w:topLinePunct w:val="0"/>
              <w:autoSpaceDE/>
              <w:autoSpaceDN/>
              <w:bidi w:val="0"/>
              <w:snapToGrid w:val="0"/>
              <w:ind w:left="0" w:right="0"/>
              <w:jc w:val="center"/>
              <w:textAlignment w:val="bottom"/>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1200 mm×650 mm×1000 mm</w:t>
            </w:r>
          </w:p>
        </w:tc>
        <w:tc>
          <w:tcPr>
            <w:tcW w:w="881" w:type="dxa"/>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lang w:eastAsia="zh-CN"/>
              </w:rPr>
              <w:t>个</w:t>
            </w:r>
          </w:p>
        </w:tc>
        <w:tc>
          <w:tcPr>
            <w:tcW w:w="1243" w:type="dxa"/>
            <w:tcMar>
              <w:left w:w="0" w:type="dxa"/>
              <w:right w:w="0" w:type="dxa"/>
            </w:tcMar>
            <w:vAlign w:val="center"/>
          </w:tcPr>
          <w:p>
            <w:pPr>
              <w:keepNext w:val="0"/>
              <w:keepLines w:val="0"/>
              <w:pageBreakBefore w:val="0"/>
              <w:widowControl/>
              <w:suppressLineNumbers w:val="0"/>
              <w:kinsoku/>
              <w:wordWrap/>
              <w:overflowPunct/>
              <w:topLinePunct w:val="0"/>
              <w:autoSpaceDE/>
              <w:autoSpaceDN/>
              <w:bidi w:val="0"/>
              <w:snapToGrid w:val="0"/>
              <w:ind w:left="0" w:right="0"/>
              <w:jc w:val="center"/>
              <w:textAlignment w:val="bottom"/>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9</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numPr>
                <w:ilvl w:val="0"/>
                <w:numId w:val="0"/>
              </w:numPr>
              <w:kinsoku/>
              <w:wordWrap/>
              <w:overflowPunct/>
              <w:topLinePunct w:val="0"/>
              <w:autoSpaceDE/>
              <w:autoSpaceDN/>
              <w:bidi w:val="0"/>
              <w:adjustRightInd/>
              <w:snapToGrid w:val="0"/>
              <w:ind w:left="0" w:leftChars="0" w:right="0" w:firstLine="0" w:firstLineChars="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3</w:t>
            </w:r>
          </w:p>
        </w:tc>
        <w:tc>
          <w:tcPr>
            <w:tcW w:w="2325" w:type="dxa"/>
            <w:tcMar>
              <w:left w:w="0" w:type="dxa"/>
              <w:right w:w="0" w:type="dxa"/>
            </w:tcMar>
            <w:vAlign w:val="center"/>
          </w:tcPr>
          <w:p>
            <w:pPr>
              <w:keepNext w:val="0"/>
              <w:keepLines w:val="0"/>
              <w:pageBreakBefore w:val="0"/>
              <w:widowControl/>
              <w:suppressLineNumbers w:val="0"/>
              <w:kinsoku/>
              <w:wordWrap/>
              <w:overflowPunct/>
              <w:topLinePunct w:val="0"/>
              <w:autoSpaceDE/>
              <w:autoSpaceDN/>
              <w:bidi w:val="0"/>
              <w:snapToGrid w:val="0"/>
              <w:ind w:left="0" w:right="0"/>
              <w:jc w:val="center"/>
              <w:textAlignment w:val="bottom"/>
              <w:rPr>
                <w:rFonts w:hint="default" w:ascii="Times New Roman" w:hAnsi="Times New Roman" w:cs="Times New Roman"/>
                <w:color w:val="auto"/>
                <w:kern w:val="0"/>
                <w:sz w:val="21"/>
                <w:szCs w:val="21"/>
                <w:highlight w:val="none"/>
                <w:lang w:eastAsia="zh-CN"/>
              </w:rPr>
            </w:pPr>
            <w:r>
              <w:rPr>
                <w:rFonts w:hint="default" w:ascii="Times New Roman" w:hAnsi="Times New Roman" w:eastAsia="宋体" w:cs="Times New Roman"/>
                <w:i w:val="0"/>
                <w:color w:val="auto"/>
                <w:kern w:val="0"/>
                <w:sz w:val="21"/>
                <w:szCs w:val="21"/>
                <w:highlight w:val="none"/>
                <w:u w:val="none"/>
                <w:lang w:val="en-US" w:eastAsia="zh-CN" w:bidi="ar"/>
              </w:rPr>
              <w:t>酸洗槽</w:t>
            </w:r>
          </w:p>
        </w:tc>
        <w:tc>
          <w:tcPr>
            <w:tcW w:w="3281" w:type="dxa"/>
            <w:vAlign w:val="center"/>
          </w:tcPr>
          <w:p>
            <w:pPr>
              <w:keepNext w:val="0"/>
              <w:keepLines w:val="0"/>
              <w:pageBreakBefore w:val="0"/>
              <w:widowControl/>
              <w:suppressLineNumbers w:val="0"/>
              <w:kinsoku/>
              <w:wordWrap/>
              <w:overflowPunct/>
              <w:topLinePunct w:val="0"/>
              <w:autoSpaceDE/>
              <w:autoSpaceDN/>
              <w:bidi w:val="0"/>
              <w:snapToGrid w:val="0"/>
              <w:ind w:left="0" w:right="0"/>
              <w:jc w:val="center"/>
              <w:textAlignment w:val="bottom"/>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1200 mm×650 mm×1000 mm</w:t>
            </w:r>
          </w:p>
        </w:tc>
        <w:tc>
          <w:tcPr>
            <w:tcW w:w="881" w:type="dxa"/>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lang w:eastAsia="zh-CN"/>
              </w:rPr>
              <w:t>个</w:t>
            </w:r>
          </w:p>
        </w:tc>
        <w:tc>
          <w:tcPr>
            <w:tcW w:w="1243" w:type="dxa"/>
            <w:tcMar>
              <w:left w:w="0" w:type="dxa"/>
              <w:right w:w="0" w:type="dxa"/>
            </w:tcMar>
            <w:vAlign w:val="center"/>
          </w:tcPr>
          <w:p>
            <w:pPr>
              <w:keepNext w:val="0"/>
              <w:keepLines w:val="0"/>
              <w:pageBreakBefore w:val="0"/>
              <w:widowControl/>
              <w:suppressLineNumbers w:val="0"/>
              <w:kinsoku/>
              <w:wordWrap/>
              <w:overflowPunct/>
              <w:topLinePunct w:val="0"/>
              <w:autoSpaceDE/>
              <w:autoSpaceDN/>
              <w:bidi w:val="0"/>
              <w:snapToGrid w:val="0"/>
              <w:ind w:left="0" w:right="0"/>
              <w:jc w:val="center"/>
              <w:textAlignment w:val="bottom"/>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1</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numPr>
                <w:ilvl w:val="0"/>
                <w:numId w:val="0"/>
              </w:numPr>
              <w:kinsoku/>
              <w:wordWrap/>
              <w:overflowPunct/>
              <w:topLinePunct w:val="0"/>
              <w:autoSpaceDE/>
              <w:autoSpaceDN/>
              <w:bidi w:val="0"/>
              <w:adjustRightInd/>
              <w:snapToGrid w:val="0"/>
              <w:ind w:left="0" w:leftChars="0" w:right="0" w:firstLine="0" w:firstLineChars="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4</w:t>
            </w:r>
          </w:p>
        </w:tc>
        <w:tc>
          <w:tcPr>
            <w:tcW w:w="2325" w:type="dxa"/>
            <w:tcMar>
              <w:left w:w="0" w:type="dxa"/>
              <w:right w:w="0" w:type="dxa"/>
            </w:tcMar>
            <w:vAlign w:val="center"/>
          </w:tcPr>
          <w:p>
            <w:pPr>
              <w:keepNext w:val="0"/>
              <w:keepLines w:val="0"/>
              <w:pageBreakBefore w:val="0"/>
              <w:widowControl/>
              <w:suppressLineNumbers w:val="0"/>
              <w:kinsoku/>
              <w:wordWrap/>
              <w:overflowPunct/>
              <w:topLinePunct w:val="0"/>
              <w:autoSpaceDE/>
              <w:autoSpaceDN/>
              <w:bidi w:val="0"/>
              <w:snapToGrid w:val="0"/>
              <w:ind w:left="0" w:right="0"/>
              <w:jc w:val="center"/>
              <w:textAlignment w:val="bottom"/>
              <w:rPr>
                <w:rFonts w:hint="default" w:ascii="Times New Roman" w:hAnsi="Times New Roman" w:cs="Times New Roman"/>
                <w:color w:val="auto"/>
                <w:kern w:val="0"/>
                <w:sz w:val="21"/>
                <w:szCs w:val="21"/>
                <w:highlight w:val="none"/>
                <w:lang w:eastAsia="zh-CN"/>
              </w:rPr>
            </w:pPr>
            <w:r>
              <w:rPr>
                <w:rFonts w:hint="default" w:ascii="Times New Roman" w:hAnsi="Times New Roman" w:eastAsia="宋体" w:cs="Times New Roman"/>
                <w:i w:val="0"/>
                <w:color w:val="auto"/>
                <w:kern w:val="0"/>
                <w:sz w:val="21"/>
                <w:szCs w:val="21"/>
                <w:highlight w:val="none"/>
                <w:u w:val="none"/>
                <w:lang w:val="en-US" w:eastAsia="zh-CN" w:bidi="ar"/>
              </w:rPr>
              <w:t>酸洗槽</w:t>
            </w:r>
          </w:p>
        </w:tc>
        <w:tc>
          <w:tcPr>
            <w:tcW w:w="3281" w:type="dxa"/>
            <w:vAlign w:val="center"/>
          </w:tcPr>
          <w:p>
            <w:pPr>
              <w:keepNext w:val="0"/>
              <w:keepLines w:val="0"/>
              <w:pageBreakBefore w:val="0"/>
              <w:widowControl/>
              <w:suppressLineNumbers w:val="0"/>
              <w:kinsoku/>
              <w:wordWrap/>
              <w:overflowPunct/>
              <w:topLinePunct w:val="0"/>
              <w:autoSpaceDE/>
              <w:autoSpaceDN/>
              <w:bidi w:val="0"/>
              <w:snapToGrid w:val="0"/>
              <w:ind w:left="0" w:right="0"/>
              <w:jc w:val="center"/>
              <w:textAlignment w:val="bottom"/>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1200 mm×1300 mm×1000 mm</w:t>
            </w:r>
          </w:p>
        </w:tc>
        <w:tc>
          <w:tcPr>
            <w:tcW w:w="881" w:type="dxa"/>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lang w:eastAsia="zh-CN"/>
              </w:rPr>
              <w:t>个</w:t>
            </w:r>
          </w:p>
        </w:tc>
        <w:tc>
          <w:tcPr>
            <w:tcW w:w="1243" w:type="dxa"/>
            <w:tcMar>
              <w:left w:w="0" w:type="dxa"/>
              <w:right w:w="0" w:type="dxa"/>
            </w:tcMar>
            <w:vAlign w:val="center"/>
          </w:tcPr>
          <w:p>
            <w:pPr>
              <w:keepNext w:val="0"/>
              <w:keepLines w:val="0"/>
              <w:pageBreakBefore w:val="0"/>
              <w:widowControl/>
              <w:suppressLineNumbers w:val="0"/>
              <w:kinsoku/>
              <w:wordWrap/>
              <w:overflowPunct/>
              <w:topLinePunct w:val="0"/>
              <w:autoSpaceDE/>
              <w:autoSpaceDN/>
              <w:bidi w:val="0"/>
              <w:snapToGrid w:val="0"/>
              <w:ind w:left="0" w:right="0"/>
              <w:jc w:val="center"/>
              <w:textAlignment w:val="bottom"/>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1</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numPr>
                <w:ilvl w:val="0"/>
                <w:numId w:val="0"/>
              </w:numPr>
              <w:kinsoku/>
              <w:wordWrap/>
              <w:overflowPunct/>
              <w:topLinePunct w:val="0"/>
              <w:autoSpaceDE/>
              <w:autoSpaceDN/>
              <w:bidi w:val="0"/>
              <w:adjustRightInd/>
              <w:snapToGrid w:val="0"/>
              <w:ind w:left="0" w:leftChars="0" w:right="0" w:firstLine="0" w:firstLineChars="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5</w:t>
            </w:r>
          </w:p>
        </w:tc>
        <w:tc>
          <w:tcPr>
            <w:tcW w:w="2325" w:type="dxa"/>
            <w:tcMar>
              <w:left w:w="0" w:type="dxa"/>
              <w:right w:w="0" w:type="dxa"/>
            </w:tcMar>
            <w:vAlign w:val="center"/>
          </w:tcPr>
          <w:p>
            <w:pPr>
              <w:keepNext w:val="0"/>
              <w:keepLines w:val="0"/>
              <w:pageBreakBefore w:val="0"/>
              <w:widowControl/>
              <w:suppressLineNumbers w:val="0"/>
              <w:kinsoku/>
              <w:wordWrap/>
              <w:overflowPunct/>
              <w:topLinePunct w:val="0"/>
              <w:autoSpaceDE/>
              <w:autoSpaceDN/>
              <w:bidi w:val="0"/>
              <w:snapToGrid w:val="0"/>
              <w:ind w:left="0" w:right="0"/>
              <w:jc w:val="center"/>
              <w:textAlignment w:val="bottom"/>
              <w:rPr>
                <w:rFonts w:hint="default" w:ascii="Times New Roman" w:hAnsi="Times New Roman" w:cs="Times New Roman"/>
                <w:color w:val="auto"/>
                <w:kern w:val="0"/>
                <w:sz w:val="21"/>
                <w:szCs w:val="21"/>
                <w:highlight w:val="none"/>
                <w:lang w:eastAsia="zh-CN"/>
              </w:rPr>
            </w:pPr>
            <w:r>
              <w:rPr>
                <w:rFonts w:hint="default" w:ascii="Times New Roman" w:hAnsi="Times New Roman" w:eastAsia="宋体" w:cs="Times New Roman"/>
                <w:i w:val="0"/>
                <w:color w:val="auto"/>
                <w:kern w:val="0"/>
                <w:sz w:val="21"/>
                <w:szCs w:val="21"/>
                <w:highlight w:val="none"/>
                <w:u w:val="none"/>
                <w:lang w:val="en-US" w:eastAsia="zh-CN" w:bidi="ar"/>
              </w:rPr>
              <w:t>电解除油槽</w:t>
            </w:r>
          </w:p>
        </w:tc>
        <w:tc>
          <w:tcPr>
            <w:tcW w:w="3281" w:type="dxa"/>
            <w:vAlign w:val="center"/>
          </w:tcPr>
          <w:p>
            <w:pPr>
              <w:keepNext w:val="0"/>
              <w:keepLines w:val="0"/>
              <w:pageBreakBefore w:val="0"/>
              <w:widowControl/>
              <w:suppressLineNumbers w:val="0"/>
              <w:kinsoku/>
              <w:wordWrap/>
              <w:overflowPunct/>
              <w:topLinePunct w:val="0"/>
              <w:autoSpaceDE/>
              <w:autoSpaceDN/>
              <w:bidi w:val="0"/>
              <w:snapToGrid w:val="0"/>
              <w:ind w:left="0" w:right="0"/>
              <w:jc w:val="center"/>
              <w:textAlignment w:val="bottom"/>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1500mm×1200 mm×1000 mm</w:t>
            </w:r>
          </w:p>
        </w:tc>
        <w:tc>
          <w:tcPr>
            <w:tcW w:w="881" w:type="dxa"/>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lang w:eastAsia="zh-CN"/>
              </w:rPr>
              <w:t>个</w:t>
            </w:r>
          </w:p>
        </w:tc>
        <w:tc>
          <w:tcPr>
            <w:tcW w:w="1243" w:type="dxa"/>
            <w:tcMar>
              <w:left w:w="0" w:type="dxa"/>
              <w:right w:w="0" w:type="dxa"/>
            </w:tcMar>
            <w:vAlign w:val="center"/>
          </w:tcPr>
          <w:p>
            <w:pPr>
              <w:keepNext w:val="0"/>
              <w:keepLines w:val="0"/>
              <w:pageBreakBefore w:val="0"/>
              <w:widowControl/>
              <w:suppressLineNumbers w:val="0"/>
              <w:kinsoku/>
              <w:wordWrap/>
              <w:overflowPunct/>
              <w:topLinePunct w:val="0"/>
              <w:autoSpaceDE/>
              <w:autoSpaceDN/>
              <w:bidi w:val="0"/>
              <w:snapToGrid w:val="0"/>
              <w:ind w:left="0" w:right="0"/>
              <w:jc w:val="center"/>
              <w:textAlignment w:val="bottom"/>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1</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numPr>
                <w:ilvl w:val="0"/>
                <w:numId w:val="0"/>
              </w:numPr>
              <w:kinsoku/>
              <w:wordWrap/>
              <w:overflowPunct/>
              <w:topLinePunct w:val="0"/>
              <w:autoSpaceDE/>
              <w:autoSpaceDN/>
              <w:bidi w:val="0"/>
              <w:adjustRightInd/>
              <w:snapToGrid w:val="0"/>
              <w:ind w:left="0" w:leftChars="0" w:right="0" w:firstLine="0" w:firstLineChars="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6</w:t>
            </w:r>
          </w:p>
        </w:tc>
        <w:tc>
          <w:tcPr>
            <w:tcW w:w="2325" w:type="dxa"/>
            <w:tcMar>
              <w:left w:w="0" w:type="dxa"/>
              <w:right w:w="0" w:type="dxa"/>
            </w:tcMar>
            <w:vAlign w:val="center"/>
          </w:tcPr>
          <w:p>
            <w:pPr>
              <w:keepNext w:val="0"/>
              <w:keepLines w:val="0"/>
              <w:pageBreakBefore w:val="0"/>
              <w:widowControl/>
              <w:suppressLineNumbers w:val="0"/>
              <w:kinsoku/>
              <w:wordWrap/>
              <w:overflowPunct/>
              <w:topLinePunct w:val="0"/>
              <w:autoSpaceDE/>
              <w:autoSpaceDN/>
              <w:bidi w:val="0"/>
              <w:snapToGrid w:val="0"/>
              <w:ind w:left="0" w:right="0"/>
              <w:jc w:val="center"/>
              <w:textAlignment w:val="bottom"/>
              <w:rPr>
                <w:rFonts w:hint="default" w:ascii="Times New Roman" w:hAnsi="Times New Roman" w:cs="Times New Roman"/>
                <w:color w:val="auto"/>
                <w:kern w:val="0"/>
                <w:sz w:val="21"/>
                <w:szCs w:val="21"/>
                <w:highlight w:val="none"/>
                <w:lang w:eastAsia="zh-CN"/>
              </w:rPr>
            </w:pPr>
            <w:r>
              <w:rPr>
                <w:rFonts w:hint="default" w:ascii="Times New Roman" w:hAnsi="Times New Roman" w:eastAsia="宋体" w:cs="Times New Roman"/>
                <w:i w:val="0"/>
                <w:color w:val="auto"/>
                <w:kern w:val="0"/>
                <w:sz w:val="21"/>
                <w:szCs w:val="21"/>
                <w:highlight w:val="none"/>
                <w:u w:val="none"/>
                <w:lang w:val="en-US" w:eastAsia="zh-CN" w:bidi="ar"/>
              </w:rPr>
              <w:t>镀锌槽(</w:t>
            </w:r>
            <w:r>
              <w:rPr>
                <w:rStyle w:val="130"/>
                <w:rFonts w:hint="default" w:ascii="Times New Roman" w:hAnsi="Times New Roman" w:cs="Times New Roman"/>
                <w:color w:val="auto"/>
                <w:sz w:val="21"/>
                <w:szCs w:val="21"/>
                <w:highlight w:val="none"/>
                <w:lang w:val="en-US" w:eastAsia="zh-CN" w:bidi="ar"/>
              </w:rPr>
              <w:t>三工位</w:t>
            </w:r>
            <w:r>
              <w:rPr>
                <w:rFonts w:hint="default" w:ascii="Times New Roman" w:hAnsi="Times New Roman" w:eastAsia="宋体" w:cs="Times New Roman"/>
                <w:i w:val="0"/>
                <w:color w:val="auto"/>
                <w:kern w:val="0"/>
                <w:sz w:val="21"/>
                <w:szCs w:val="21"/>
                <w:highlight w:val="none"/>
                <w:u w:val="none"/>
                <w:lang w:val="en-US" w:eastAsia="zh-CN" w:bidi="ar"/>
              </w:rPr>
              <w:t>)</w:t>
            </w:r>
          </w:p>
        </w:tc>
        <w:tc>
          <w:tcPr>
            <w:tcW w:w="3281" w:type="dxa"/>
            <w:vAlign w:val="center"/>
          </w:tcPr>
          <w:p>
            <w:pPr>
              <w:keepNext w:val="0"/>
              <w:keepLines w:val="0"/>
              <w:pageBreakBefore w:val="0"/>
              <w:widowControl/>
              <w:suppressLineNumbers w:val="0"/>
              <w:kinsoku/>
              <w:wordWrap/>
              <w:overflowPunct/>
              <w:topLinePunct w:val="0"/>
              <w:autoSpaceDE/>
              <w:autoSpaceDN/>
              <w:bidi w:val="0"/>
              <w:snapToGrid w:val="0"/>
              <w:ind w:left="0" w:right="0"/>
              <w:jc w:val="center"/>
              <w:textAlignment w:val="bottom"/>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3600 mm×800 mm×1000 mm</w:t>
            </w:r>
          </w:p>
        </w:tc>
        <w:tc>
          <w:tcPr>
            <w:tcW w:w="881" w:type="dxa"/>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lang w:eastAsia="zh-CN"/>
              </w:rPr>
              <w:t>个</w:t>
            </w:r>
          </w:p>
        </w:tc>
        <w:tc>
          <w:tcPr>
            <w:tcW w:w="1243" w:type="dxa"/>
            <w:tcMar>
              <w:left w:w="0" w:type="dxa"/>
              <w:right w:w="0" w:type="dxa"/>
            </w:tcMar>
            <w:vAlign w:val="center"/>
          </w:tcPr>
          <w:p>
            <w:pPr>
              <w:keepNext w:val="0"/>
              <w:keepLines w:val="0"/>
              <w:pageBreakBefore w:val="0"/>
              <w:widowControl/>
              <w:suppressLineNumbers w:val="0"/>
              <w:kinsoku/>
              <w:wordWrap/>
              <w:overflowPunct/>
              <w:topLinePunct w:val="0"/>
              <w:autoSpaceDE/>
              <w:autoSpaceDN/>
              <w:bidi w:val="0"/>
              <w:snapToGrid w:val="0"/>
              <w:ind w:left="0" w:right="0"/>
              <w:jc w:val="center"/>
              <w:textAlignment w:val="bottom"/>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2</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numPr>
                <w:ilvl w:val="0"/>
                <w:numId w:val="0"/>
              </w:numPr>
              <w:kinsoku/>
              <w:wordWrap/>
              <w:overflowPunct/>
              <w:topLinePunct w:val="0"/>
              <w:autoSpaceDE/>
              <w:autoSpaceDN/>
              <w:bidi w:val="0"/>
              <w:adjustRightInd/>
              <w:snapToGrid w:val="0"/>
              <w:ind w:left="0" w:leftChars="0" w:right="0" w:firstLine="0" w:firstLineChars="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7</w:t>
            </w:r>
          </w:p>
        </w:tc>
        <w:tc>
          <w:tcPr>
            <w:tcW w:w="2325" w:type="dxa"/>
            <w:tcMar>
              <w:left w:w="0" w:type="dxa"/>
              <w:right w:w="0" w:type="dxa"/>
            </w:tcMar>
            <w:vAlign w:val="center"/>
          </w:tcPr>
          <w:p>
            <w:pPr>
              <w:keepNext w:val="0"/>
              <w:keepLines w:val="0"/>
              <w:pageBreakBefore w:val="0"/>
              <w:widowControl/>
              <w:suppressLineNumbers w:val="0"/>
              <w:kinsoku/>
              <w:wordWrap/>
              <w:overflowPunct/>
              <w:topLinePunct w:val="0"/>
              <w:autoSpaceDE/>
              <w:autoSpaceDN/>
              <w:bidi w:val="0"/>
              <w:snapToGrid w:val="0"/>
              <w:ind w:left="0" w:right="0"/>
              <w:jc w:val="center"/>
              <w:textAlignment w:val="bottom"/>
              <w:rPr>
                <w:rFonts w:hint="default" w:ascii="Times New Roman" w:hAnsi="Times New Roman" w:cs="Times New Roman"/>
                <w:color w:val="auto"/>
                <w:kern w:val="0"/>
                <w:sz w:val="21"/>
                <w:szCs w:val="21"/>
                <w:highlight w:val="none"/>
                <w:lang w:eastAsia="zh-CN"/>
              </w:rPr>
            </w:pPr>
            <w:r>
              <w:rPr>
                <w:rFonts w:hint="default" w:ascii="Times New Roman" w:hAnsi="Times New Roman" w:eastAsia="宋体" w:cs="Times New Roman"/>
                <w:i w:val="0"/>
                <w:color w:val="auto"/>
                <w:kern w:val="0"/>
                <w:sz w:val="21"/>
                <w:szCs w:val="21"/>
                <w:highlight w:val="none"/>
                <w:u w:val="none"/>
                <w:lang w:val="en-US" w:eastAsia="zh-CN" w:bidi="ar"/>
              </w:rPr>
              <w:t>移动水槽</w:t>
            </w:r>
          </w:p>
        </w:tc>
        <w:tc>
          <w:tcPr>
            <w:tcW w:w="3281" w:type="dxa"/>
            <w:vAlign w:val="center"/>
          </w:tcPr>
          <w:p>
            <w:pPr>
              <w:keepNext w:val="0"/>
              <w:keepLines w:val="0"/>
              <w:pageBreakBefore w:val="0"/>
              <w:widowControl/>
              <w:suppressLineNumbers w:val="0"/>
              <w:kinsoku/>
              <w:wordWrap/>
              <w:overflowPunct/>
              <w:topLinePunct w:val="0"/>
              <w:autoSpaceDE/>
              <w:autoSpaceDN/>
              <w:bidi w:val="0"/>
              <w:snapToGrid w:val="0"/>
              <w:ind w:left="0" w:right="0"/>
              <w:jc w:val="center"/>
              <w:textAlignment w:val="bottom"/>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4500 mm×650 mm×1000 mm</w:t>
            </w:r>
          </w:p>
        </w:tc>
        <w:tc>
          <w:tcPr>
            <w:tcW w:w="881" w:type="dxa"/>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lang w:eastAsia="zh-CN"/>
              </w:rPr>
              <w:t>个</w:t>
            </w:r>
          </w:p>
        </w:tc>
        <w:tc>
          <w:tcPr>
            <w:tcW w:w="1243" w:type="dxa"/>
            <w:tcMar>
              <w:left w:w="0" w:type="dxa"/>
              <w:right w:w="0" w:type="dxa"/>
            </w:tcMar>
            <w:vAlign w:val="center"/>
          </w:tcPr>
          <w:p>
            <w:pPr>
              <w:keepNext w:val="0"/>
              <w:keepLines w:val="0"/>
              <w:pageBreakBefore w:val="0"/>
              <w:widowControl/>
              <w:suppressLineNumbers w:val="0"/>
              <w:kinsoku/>
              <w:wordWrap/>
              <w:overflowPunct/>
              <w:topLinePunct w:val="0"/>
              <w:autoSpaceDE/>
              <w:autoSpaceDN/>
              <w:bidi w:val="0"/>
              <w:snapToGrid w:val="0"/>
              <w:ind w:left="0" w:right="0"/>
              <w:jc w:val="center"/>
              <w:textAlignment w:val="bottom"/>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1</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numPr>
                <w:ilvl w:val="0"/>
                <w:numId w:val="0"/>
              </w:numPr>
              <w:kinsoku/>
              <w:wordWrap/>
              <w:overflowPunct/>
              <w:topLinePunct w:val="0"/>
              <w:autoSpaceDE/>
              <w:autoSpaceDN/>
              <w:bidi w:val="0"/>
              <w:adjustRightInd/>
              <w:snapToGrid w:val="0"/>
              <w:ind w:left="0" w:leftChars="0" w:right="0" w:firstLine="0" w:firstLineChars="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8</w:t>
            </w:r>
          </w:p>
        </w:tc>
        <w:tc>
          <w:tcPr>
            <w:tcW w:w="2325" w:type="dxa"/>
            <w:tcMar>
              <w:left w:w="0" w:type="dxa"/>
              <w:right w:w="0" w:type="dxa"/>
            </w:tcMar>
            <w:vAlign w:val="center"/>
          </w:tcPr>
          <w:p>
            <w:pPr>
              <w:keepNext w:val="0"/>
              <w:keepLines w:val="0"/>
              <w:pageBreakBefore w:val="0"/>
              <w:widowControl/>
              <w:suppressLineNumbers w:val="0"/>
              <w:kinsoku/>
              <w:wordWrap/>
              <w:overflowPunct/>
              <w:topLinePunct w:val="0"/>
              <w:autoSpaceDE/>
              <w:autoSpaceDN/>
              <w:bidi w:val="0"/>
              <w:snapToGrid w:val="0"/>
              <w:ind w:left="0" w:right="0"/>
              <w:jc w:val="center"/>
              <w:textAlignment w:val="bottom"/>
              <w:rPr>
                <w:rFonts w:hint="default" w:ascii="Times New Roman" w:hAnsi="Times New Roman" w:cs="Times New Roman"/>
                <w:color w:val="auto"/>
                <w:kern w:val="0"/>
                <w:sz w:val="21"/>
                <w:szCs w:val="21"/>
                <w:highlight w:val="none"/>
                <w:lang w:eastAsia="zh-CN"/>
              </w:rPr>
            </w:pPr>
            <w:r>
              <w:rPr>
                <w:rFonts w:hint="default" w:ascii="Times New Roman" w:hAnsi="Times New Roman" w:eastAsia="宋体" w:cs="Times New Roman"/>
                <w:i w:val="0"/>
                <w:color w:val="auto"/>
                <w:kern w:val="0"/>
                <w:sz w:val="21"/>
                <w:szCs w:val="21"/>
                <w:highlight w:val="none"/>
                <w:u w:val="none"/>
                <w:lang w:val="en-US" w:eastAsia="zh-CN" w:bidi="ar"/>
              </w:rPr>
              <w:t>镀锌槽</w:t>
            </w:r>
            <w:r>
              <w:rPr>
                <w:rFonts w:hint="eastAsia" w:cs="Times New Roman"/>
                <w:i w:val="0"/>
                <w:color w:val="auto"/>
                <w:kern w:val="0"/>
                <w:sz w:val="21"/>
                <w:szCs w:val="21"/>
                <w:highlight w:val="none"/>
                <w:u w:val="none"/>
                <w:lang w:val="en-US" w:eastAsia="zh-CN" w:bidi="ar"/>
              </w:rPr>
              <w:t>(</w:t>
            </w:r>
            <w:r>
              <w:rPr>
                <w:rFonts w:hint="default" w:ascii="Times New Roman" w:hAnsi="Times New Roman" w:eastAsia="宋体" w:cs="Times New Roman"/>
                <w:i w:val="0"/>
                <w:color w:val="auto"/>
                <w:kern w:val="0"/>
                <w:sz w:val="21"/>
                <w:szCs w:val="21"/>
                <w:highlight w:val="none"/>
                <w:u w:val="none"/>
                <w:lang w:val="en-US" w:eastAsia="zh-CN" w:bidi="ar"/>
              </w:rPr>
              <w:t>五工位</w:t>
            </w:r>
            <w:r>
              <w:rPr>
                <w:rFonts w:hint="eastAsia" w:cs="Times New Roman"/>
                <w:i w:val="0"/>
                <w:color w:val="auto"/>
                <w:kern w:val="0"/>
                <w:sz w:val="21"/>
                <w:szCs w:val="21"/>
                <w:highlight w:val="none"/>
                <w:u w:val="none"/>
                <w:lang w:val="en-US" w:eastAsia="zh-CN" w:bidi="ar"/>
              </w:rPr>
              <w:t>)</w:t>
            </w:r>
          </w:p>
        </w:tc>
        <w:tc>
          <w:tcPr>
            <w:tcW w:w="3281" w:type="dxa"/>
            <w:vAlign w:val="center"/>
          </w:tcPr>
          <w:p>
            <w:pPr>
              <w:keepNext w:val="0"/>
              <w:keepLines w:val="0"/>
              <w:pageBreakBefore w:val="0"/>
              <w:widowControl/>
              <w:suppressLineNumbers w:val="0"/>
              <w:kinsoku/>
              <w:wordWrap/>
              <w:overflowPunct/>
              <w:topLinePunct w:val="0"/>
              <w:autoSpaceDE/>
              <w:autoSpaceDN/>
              <w:bidi w:val="0"/>
              <w:snapToGrid w:val="0"/>
              <w:ind w:left="0" w:right="0"/>
              <w:jc w:val="center"/>
              <w:textAlignment w:val="bottom"/>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4000*1200*1000</w:t>
            </w:r>
          </w:p>
        </w:tc>
        <w:tc>
          <w:tcPr>
            <w:tcW w:w="881" w:type="dxa"/>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lang w:eastAsia="zh-CN"/>
              </w:rPr>
              <w:t>个</w:t>
            </w:r>
          </w:p>
        </w:tc>
        <w:tc>
          <w:tcPr>
            <w:tcW w:w="1243" w:type="dxa"/>
            <w:tcMar>
              <w:left w:w="0" w:type="dxa"/>
              <w:right w:w="0" w:type="dxa"/>
            </w:tcMar>
            <w:vAlign w:val="center"/>
          </w:tcPr>
          <w:p>
            <w:pPr>
              <w:keepNext w:val="0"/>
              <w:keepLines w:val="0"/>
              <w:pageBreakBefore w:val="0"/>
              <w:widowControl/>
              <w:suppressLineNumbers w:val="0"/>
              <w:kinsoku/>
              <w:wordWrap/>
              <w:overflowPunct/>
              <w:topLinePunct w:val="0"/>
              <w:autoSpaceDE/>
              <w:autoSpaceDN/>
              <w:bidi w:val="0"/>
              <w:snapToGrid w:val="0"/>
              <w:ind w:left="0" w:right="0"/>
              <w:jc w:val="center"/>
              <w:textAlignment w:val="bottom"/>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1</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numPr>
                <w:ilvl w:val="0"/>
                <w:numId w:val="0"/>
              </w:numPr>
              <w:kinsoku/>
              <w:wordWrap/>
              <w:overflowPunct/>
              <w:topLinePunct w:val="0"/>
              <w:autoSpaceDE/>
              <w:autoSpaceDN/>
              <w:bidi w:val="0"/>
              <w:adjustRightInd/>
              <w:snapToGrid w:val="0"/>
              <w:ind w:left="0" w:leftChars="0" w:right="0" w:firstLine="0" w:firstLineChars="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9</w:t>
            </w:r>
          </w:p>
        </w:tc>
        <w:tc>
          <w:tcPr>
            <w:tcW w:w="2325" w:type="dxa"/>
            <w:tcMar>
              <w:left w:w="0" w:type="dxa"/>
              <w:right w:w="0" w:type="dxa"/>
            </w:tcMar>
            <w:vAlign w:val="center"/>
          </w:tcPr>
          <w:p>
            <w:pPr>
              <w:keepNext w:val="0"/>
              <w:keepLines w:val="0"/>
              <w:pageBreakBefore w:val="0"/>
              <w:widowControl/>
              <w:suppressLineNumbers w:val="0"/>
              <w:kinsoku/>
              <w:wordWrap/>
              <w:overflowPunct/>
              <w:topLinePunct w:val="0"/>
              <w:autoSpaceDE/>
              <w:autoSpaceDN/>
              <w:bidi w:val="0"/>
              <w:snapToGrid w:val="0"/>
              <w:ind w:left="0" w:right="0"/>
              <w:jc w:val="center"/>
              <w:textAlignment w:val="bottom"/>
              <w:rPr>
                <w:rFonts w:hint="default" w:ascii="Times New Roman" w:hAnsi="Times New Roman" w:cs="Times New Roman"/>
                <w:color w:val="auto"/>
                <w:kern w:val="0"/>
                <w:sz w:val="21"/>
                <w:szCs w:val="21"/>
                <w:highlight w:val="none"/>
                <w:lang w:eastAsia="zh-CN"/>
              </w:rPr>
            </w:pPr>
            <w:r>
              <w:rPr>
                <w:rFonts w:hint="default" w:ascii="Times New Roman" w:hAnsi="Times New Roman" w:eastAsia="宋体" w:cs="Times New Roman"/>
                <w:i w:val="0"/>
                <w:color w:val="auto"/>
                <w:kern w:val="0"/>
                <w:sz w:val="21"/>
                <w:szCs w:val="21"/>
                <w:highlight w:val="none"/>
                <w:u w:val="none"/>
                <w:lang w:val="en-US" w:eastAsia="zh-CN" w:bidi="ar"/>
              </w:rPr>
              <w:t>出光槽</w:t>
            </w:r>
          </w:p>
        </w:tc>
        <w:tc>
          <w:tcPr>
            <w:tcW w:w="3281" w:type="dxa"/>
            <w:vAlign w:val="center"/>
          </w:tcPr>
          <w:p>
            <w:pPr>
              <w:keepNext w:val="0"/>
              <w:keepLines w:val="0"/>
              <w:pageBreakBefore w:val="0"/>
              <w:widowControl/>
              <w:suppressLineNumbers w:val="0"/>
              <w:kinsoku/>
              <w:wordWrap/>
              <w:overflowPunct/>
              <w:topLinePunct w:val="0"/>
              <w:autoSpaceDE/>
              <w:autoSpaceDN/>
              <w:bidi w:val="0"/>
              <w:snapToGrid w:val="0"/>
              <w:ind w:left="0" w:right="0"/>
              <w:jc w:val="center"/>
              <w:textAlignment w:val="bottom"/>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1200 mm×650 mm×1000 mm</w:t>
            </w:r>
          </w:p>
        </w:tc>
        <w:tc>
          <w:tcPr>
            <w:tcW w:w="881" w:type="dxa"/>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lang w:eastAsia="zh-CN"/>
              </w:rPr>
              <w:t>个</w:t>
            </w:r>
          </w:p>
        </w:tc>
        <w:tc>
          <w:tcPr>
            <w:tcW w:w="1243" w:type="dxa"/>
            <w:tcMar>
              <w:left w:w="0" w:type="dxa"/>
              <w:right w:w="0" w:type="dxa"/>
            </w:tcMar>
            <w:vAlign w:val="center"/>
          </w:tcPr>
          <w:p>
            <w:pPr>
              <w:keepNext w:val="0"/>
              <w:keepLines w:val="0"/>
              <w:pageBreakBefore w:val="0"/>
              <w:widowControl/>
              <w:suppressLineNumbers w:val="0"/>
              <w:kinsoku/>
              <w:wordWrap/>
              <w:overflowPunct/>
              <w:topLinePunct w:val="0"/>
              <w:autoSpaceDE/>
              <w:autoSpaceDN/>
              <w:bidi w:val="0"/>
              <w:snapToGrid w:val="0"/>
              <w:ind w:left="0" w:right="0"/>
              <w:jc w:val="center"/>
              <w:textAlignment w:val="bottom"/>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1</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numPr>
                <w:ilvl w:val="0"/>
                <w:numId w:val="0"/>
              </w:numPr>
              <w:kinsoku/>
              <w:wordWrap/>
              <w:overflowPunct/>
              <w:topLinePunct w:val="0"/>
              <w:autoSpaceDE/>
              <w:autoSpaceDN/>
              <w:bidi w:val="0"/>
              <w:adjustRightInd/>
              <w:snapToGrid w:val="0"/>
              <w:ind w:left="0" w:leftChars="0" w:right="0" w:firstLine="0" w:firstLineChars="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10</w:t>
            </w:r>
          </w:p>
        </w:tc>
        <w:tc>
          <w:tcPr>
            <w:tcW w:w="2325" w:type="dxa"/>
            <w:tcMar>
              <w:left w:w="0" w:type="dxa"/>
              <w:right w:w="0" w:type="dxa"/>
            </w:tcMar>
            <w:vAlign w:val="center"/>
          </w:tcPr>
          <w:p>
            <w:pPr>
              <w:keepNext w:val="0"/>
              <w:keepLines w:val="0"/>
              <w:pageBreakBefore w:val="0"/>
              <w:widowControl/>
              <w:suppressLineNumbers w:val="0"/>
              <w:kinsoku/>
              <w:wordWrap/>
              <w:overflowPunct/>
              <w:topLinePunct w:val="0"/>
              <w:autoSpaceDE/>
              <w:autoSpaceDN/>
              <w:bidi w:val="0"/>
              <w:snapToGrid w:val="0"/>
              <w:ind w:left="0" w:right="0"/>
              <w:jc w:val="center"/>
              <w:textAlignment w:val="bottom"/>
              <w:rPr>
                <w:rFonts w:hint="default" w:ascii="Times New Roman" w:hAnsi="Times New Roman" w:cs="Times New Roman"/>
                <w:color w:val="auto"/>
                <w:kern w:val="0"/>
                <w:sz w:val="21"/>
                <w:szCs w:val="21"/>
                <w:highlight w:val="none"/>
                <w:lang w:eastAsia="zh-CN"/>
              </w:rPr>
            </w:pPr>
            <w:r>
              <w:rPr>
                <w:rFonts w:hint="default" w:ascii="Times New Roman" w:hAnsi="Times New Roman" w:eastAsia="宋体" w:cs="Times New Roman"/>
                <w:i w:val="0"/>
                <w:color w:val="auto"/>
                <w:kern w:val="0"/>
                <w:sz w:val="21"/>
                <w:szCs w:val="21"/>
                <w:highlight w:val="none"/>
                <w:u w:val="none"/>
                <w:lang w:val="en-US" w:eastAsia="zh-CN" w:bidi="ar"/>
              </w:rPr>
              <w:t>蓝白色钝化槽</w:t>
            </w:r>
          </w:p>
        </w:tc>
        <w:tc>
          <w:tcPr>
            <w:tcW w:w="3281" w:type="dxa"/>
            <w:vAlign w:val="center"/>
          </w:tcPr>
          <w:p>
            <w:pPr>
              <w:keepNext w:val="0"/>
              <w:keepLines w:val="0"/>
              <w:pageBreakBefore w:val="0"/>
              <w:widowControl/>
              <w:suppressLineNumbers w:val="0"/>
              <w:kinsoku/>
              <w:wordWrap/>
              <w:overflowPunct/>
              <w:topLinePunct w:val="0"/>
              <w:autoSpaceDE/>
              <w:autoSpaceDN/>
              <w:bidi w:val="0"/>
              <w:snapToGrid w:val="0"/>
              <w:ind w:left="0" w:right="0"/>
              <w:jc w:val="center"/>
              <w:textAlignment w:val="bottom"/>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1200 mm×650 mm×1000 mm</w:t>
            </w:r>
          </w:p>
        </w:tc>
        <w:tc>
          <w:tcPr>
            <w:tcW w:w="881" w:type="dxa"/>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lang w:eastAsia="zh-CN"/>
              </w:rPr>
              <w:t>个</w:t>
            </w:r>
          </w:p>
        </w:tc>
        <w:tc>
          <w:tcPr>
            <w:tcW w:w="1243" w:type="dxa"/>
            <w:tcMar>
              <w:left w:w="0" w:type="dxa"/>
              <w:right w:w="0" w:type="dxa"/>
            </w:tcMar>
            <w:vAlign w:val="center"/>
          </w:tcPr>
          <w:p>
            <w:pPr>
              <w:keepNext w:val="0"/>
              <w:keepLines w:val="0"/>
              <w:pageBreakBefore w:val="0"/>
              <w:widowControl/>
              <w:suppressLineNumbers w:val="0"/>
              <w:kinsoku/>
              <w:wordWrap/>
              <w:overflowPunct/>
              <w:topLinePunct w:val="0"/>
              <w:autoSpaceDE/>
              <w:autoSpaceDN/>
              <w:bidi w:val="0"/>
              <w:snapToGrid w:val="0"/>
              <w:ind w:left="0" w:right="0"/>
              <w:jc w:val="center"/>
              <w:textAlignment w:val="bottom"/>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1</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numPr>
                <w:ilvl w:val="0"/>
                <w:numId w:val="0"/>
              </w:numPr>
              <w:kinsoku/>
              <w:wordWrap/>
              <w:overflowPunct/>
              <w:topLinePunct w:val="0"/>
              <w:autoSpaceDE/>
              <w:autoSpaceDN/>
              <w:bidi w:val="0"/>
              <w:adjustRightInd/>
              <w:snapToGrid w:val="0"/>
              <w:ind w:left="0" w:leftChars="0" w:right="0" w:firstLine="0" w:firstLineChars="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11</w:t>
            </w:r>
          </w:p>
        </w:tc>
        <w:tc>
          <w:tcPr>
            <w:tcW w:w="2325" w:type="dxa"/>
            <w:tcMar>
              <w:left w:w="0" w:type="dxa"/>
              <w:right w:w="0" w:type="dxa"/>
            </w:tcMar>
            <w:vAlign w:val="center"/>
          </w:tcPr>
          <w:p>
            <w:pPr>
              <w:keepNext w:val="0"/>
              <w:keepLines w:val="0"/>
              <w:pageBreakBefore w:val="0"/>
              <w:widowControl/>
              <w:suppressLineNumbers w:val="0"/>
              <w:kinsoku/>
              <w:wordWrap/>
              <w:overflowPunct/>
              <w:topLinePunct w:val="0"/>
              <w:autoSpaceDE/>
              <w:autoSpaceDN/>
              <w:bidi w:val="0"/>
              <w:snapToGrid w:val="0"/>
              <w:ind w:left="0" w:right="0"/>
              <w:jc w:val="center"/>
              <w:textAlignment w:val="bottom"/>
              <w:rPr>
                <w:rFonts w:hint="default" w:ascii="Times New Roman" w:hAnsi="Times New Roman" w:cs="Times New Roman"/>
                <w:color w:val="auto"/>
                <w:kern w:val="0"/>
                <w:sz w:val="21"/>
                <w:szCs w:val="21"/>
                <w:highlight w:val="none"/>
                <w:lang w:eastAsia="zh-CN"/>
              </w:rPr>
            </w:pPr>
            <w:r>
              <w:rPr>
                <w:rFonts w:hint="default" w:ascii="Times New Roman" w:hAnsi="Times New Roman" w:eastAsia="宋体" w:cs="Times New Roman"/>
                <w:i w:val="0"/>
                <w:color w:val="auto"/>
                <w:kern w:val="0"/>
                <w:sz w:val="21"/>
                <w:szCs w:val="21"/>
                <w:highlight w:val="none"/>
                <w:u w:val="none"/>
                <w:lang w:val="en-US" w:eastAsia="zh-CN" w:bidi="ar"/>
              </w:rPr>
              <w:t>彩色钝化槽</w:t>
            </w:r>
          </w:p>
        </w:tc>
        <w:tc>
          <w:tcPr>
            <w:tcW w:w="3281" w:type="dxa"/>
            <w:vAlign w:val="center"/>
          </w:tcPr>
          <w:p>
            <w:pPr>
              <w:keepNext w:val="0"/>
              <w:keepLines w:val="0"/>
              <w:pageBreakBefore w:val="0"/>
              <w:widowControl/>
              <w:suppressLineNumbers w:val="0"/>
              <w:kinsoku/>
              <w:wordWrap/>
              <w:overflowPunct/>
              <w:topLinePunct w:val="0"/>
              <w:autoSpaceDE/>
              <w:autoSpaceDN/>
              <w:bidi w:val="0"/>
              <w:snapToGrid w:val="0"/>
              <w:ind w:left="0" w:right="0"/>
              <w:jc w:val="center"/>
              <w:textAlignment w:val="bottom"/>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1200 mm×650 mm×1000 mm</w:t>
            </w:r>
          </w:p>
        </w:tc>
        <w:tc>
          <w:tcPr>
            <w:tcW w:w="881" w:type="dxa"/>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lang w:eastAsia="zh-CN"/>
              </w:rPr>
              <w:t>个</w:t>
            </w:r>
          </w:p>
        </w:tc>
        <w:tc>
          <w:tcPr>
            <w:tcW w:w="1243" w:type="dxa"/>
            <w:tcMar>
              <w:left w:w="0" w:type="dxa"/>
              <w:right w:w="0" w:type="dxa"/>
            </w:tcMar>
            <w:vAlign w:val="center"/>
          </w:tcPr>
          <w:p>
            <w:pPr>
              <w:keepNext w:val="0"/>
              <w:keepLines w:val="0"/>
              <w:pageBreakBefore w:val="0"/>
              <w:widowControl/>
              <w:suppressLineNumbers w:val="0"/>
              <w:kinsoku/>
              <w:wordWrap/>
              <w:overflowPunct/>
              <w:topLinePunct w:val="0"/>
              <w:autoSpaceDE/>
              <w:autoSpaceDN/>
              <w:bidi w:val="0"/>
              <w:snapToGrid w:val="0"/>
              <w:ind w:left="0" w:right="0"/>
              <w:jc w:val="center"/>
              <w:textAlignment w:val="bottom"/>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1</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numPr>
                <w:ilvl w:val="0"/>
                <w:numId w:val="0"/>
              </w:numPr>
              <w:kinsoku/>
              <w:wordWrap/>
              <w:overflowPunct/>
              <w:topLinePunct w:val="0"/>
              <w:autoSpaceDE/>
              <w:autoSpaceDN/>
              <w:bidi w:val="0"/>
              <w:adjustRightInd/>
              <w:snapToGrid w:val="0"/>
              <w:ind w:left="0" w:leftChars="0" w:right="0" w:firstLine="0" w:firstLineChars="0"/>
              <w:jc w:val="center"/>
              <w:textAlignment w:val="auto"/>
              <w:outlineLvl w:val="9"/>
              <w:rPr>
                <w:rFonts w:hint="default" w:ascii="Times New Roman" w:hAnsi="Times New Roman" w:cs="Times New Roman"/>
                <w:color w:val="auto"/>
                <w:kern w:val="0"/>
                <w:sz w:val="21"/>
                <w:szCs w:val="21"/>
                <w:highlight w:val="none"/>
                <w:lang w:val="en-US"/>
              </w:rPr>
            </w:pPr>
            <w:r>
              <w:rPr>
                <w:rFonts w:hint="default" w:ascii="Times New Roman" w:hAnsi="Times New Roman" w:cs="Times New Roman"/>
                <w:color w:val="auto"/>
                <w:kern w:val="0"/>
                <w:sz w:val="21"/>
                <w:szCs w:val="21"/>
                <w:highlight w:val="none"/>
                <w:lang w:val="en-US" w:eastAsia="zh-CN"/>
              </w:rPr>
              <w:t>12</w:t>
            </w:r>
          </w:p>
        </w:tc>
        <w:tc>
          <w:tcPr>
            <w:tcW w:w="2325" w:type="dxa"/>
            <w:tcMar>
              <w:left w:w="0" w:type="dxa"/>
              <w:right w:w="0" w:type="dxa"/>
            </w:tcMar>
            <w:vAlign w:val="center"/>
          </w:tcPr>
          <w:p>
            <w:pPr>
              <w:keepNext w:val="0"/>
              <w:keepLines w:val="0"/>
              <w:pageBreakBefore w:val="0"/>
              <w:widowControl/>
              <w:suppressLineNumbers w:val="0"/>
              <w:kinsoku/>
              <w:wordWrap/>
              <w:overflowPunct/>
              <w:topLinePunct w:val="0"/>
              <w:autoSpaceDE/>
              <w:autoSpaceDN/>
              <w:bidi w:val="0"/>
              <w:snapToGrid w:val="0"/>
              <w:ind w:left="0" w:right="0"/>
              <w:jc w:val="center"/>
              <w:textAlignment w:val="bottom"/>
              <w:rPr>
                <w:rFonts w:hint="default" w:ascii="Times New Roman" w:hAnsi="Times New Roman" w:cs="Times New Roman"/>
                <w:color w:val="auto"/>
                <w:kern w:val="0"/>
                <w:sz w:val="21"/>
                <w:szCs w:val="21"/>
                <w:highlight w:val="none"/>
                <w:lang w:eastAsia="zh-CN"/>
              </w:rPr>
            </w:pPr>
            <w:r>
              <w:rPr>
                <w:rFonts w:hint="default" w:ascii="Times New Roman" w:hAnsi="Times New Roman" w:eastAsia="宋体" w:cs="Times New Roman"/>
                <w:i w:val="0"/>
                <w:color w:val="auto"/>
                <w:kern w:val="0"/>
                <w:sz w:val="21"/>
                <w:szCs w:val="21"/>
                <w:highlight w:val="none"/>
                <w:u w:val="none"/>
                <w:lang w:val="en-US" w:eastAsia="zh-CN" w:bidi="ar"/>
              </w:rPr>
              <w:t>热水槽</w:t>
            </w:r>
          </w:p>
        </w:tc>
        <w:tc>
          <w:tcPr>
            <w:tcW w:w="3281" w:type="dxa"/>
            <w:vAlign w:val="center"/>
          </w:tcPr>
          <w:p>
            <w:pPr>
              <w:keepNext w:val="0"/>
              <w:keepLines w:val="0"/>
              <w:pageBreakBefore w:val="0"/>
              <w:widowControl/>
              <w:suppressLineNumbers w:val="0"/>
              <w:kinsoku/>
              <w:wordWrap/>
              <w:overflowPunct/>
              <w:topLinePunct w:val="0"/>
              <w:autoSpaceDE/>
              <w:autoSpaceDN/>
              <w:bidi w:val="0"/>
              <w:snapToGrid w:val="0"/>
              <w:ind w:left="0" w:right="0"/>
              <w:jc w:val="center"/>
              <w:textAlignment w:val="bottom"/>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1200 mm×650 mm×1000 mm</w:t>
            </w:r>
          </w:p>
        </w:tc>
        <w:tc>
          <w:tcPr>
            <w:tcW w:w="881" w:type="dxa"/>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lang w:eastAsia="zh-CN"/>
              </w:rPr>
              <w:t>个</w:t>
            </w:r>
          </w:p>
        </w:tc>
        <w:tc>
          <w:tcPr>
            <w:tcW w:w="1243" w:type="dxa"/>
            <w:tcMar>
              <w:left w:w="0" w:type="dxa"/>
              <w:right w:w="0" w:type="dxa"/>
            </w:tcMar>
            <w:vAlign w:val="center"/>
          </w:tcPr>
          <w:p>
            <w:pPr>
              <w:keepNext w:val="0"/>
              <w:keepLines w:val="0"/>
              <w:pageBreakBefore w:val="0"/>
              <w:widowControl/>
              <w:suppressLineNumbers w:val="0"/>
              <w:kinsoku/>
              <w:wordWrap/>
              <w:overflowPunct/>
              <w:topLinePunct w:val="0"/>
              <w:autoSpaceDE/>
              <w:autoSpaceDN/>
              <w:bidi w:val="0"/>
              <w:snapToGrid w:val="0"/>
              <w:ind w:left="0" w:right="0"/>
              <w:jc w:val="center"/>
              <w:textAlignment w:val="bottom"/>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1</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numPr>
                <w:ilvl w:val="0"/>
                <w:numId w:val="0"/>
              </w:numPr>
              <w:kinsoku/>
              <w:wordWrap/>
              <w:overflowPunct/>
              <w:topLinePunct w:val="0"/>
              <w:autoSpaceDE/>
              <w:autoSpaceDN/>
              <w:bidi w:val="0"/>
              <w:adjustRightInd/>
              <w:snapToGrid w:val="0"/>
              <w:ind w:left="0" w:leftChars="0" w:right="0" w:firstLine="0" w:firstLineChars="0"/>
              <w:jc w:val="center"/>
              <w:textAlignment w:val="auto"/>
              <w:outlineLvl w:val="9"/>
              <w:rPr>
                <w:rFonts w:hint="default" w:ascii="Times New Roman" w:hAnsi="Times New Roman" w:cs="Times New Roman"/>
                <w:color w:val="auto"/>
                <w:kern w:val="0"/>
                <w:sz w:val="21"/>
                <w:szCs w:val="21"/>
                <w:highlight w:val="none"/>
                <w:lang w:val="en-US"/>
              </w:rPr>
            </w:pPr>
            <w:r>
              <w:rPr>
                <w:rFonts w:hint="default" w:ascii="Times New Roman" w:hAnsi="Times New Roman" w:cs="Times New Roman"/>
                <w:color w:val="auto"/>
                <w:kern w:val="0"/>
                <w:sz w:val="21"/>
                <w:szCs w:val="21"/>
                <w:highlight w:val="none"/>
                <w:lang w:val="en-US" w:eastAsia="zh-CN"/>
              </w:rPr>
              <w:t>13</w:t>
            </w:r>
          </w:p>
        </w:tc>
        <w:tc>
          <w:tcPr>
            <w:tcW w:w="2325" w:type="dxa"/>
            <w:tcMar>
              <w:left w:w="0" w:type="dxa"/>
              <w:right w:w="0" w:type="dxa"/>
            </w:tcMar>
            <w:vAlign w:val="center"/>
          </w:tcPr>
          <w:p>
            <w:pPr>
              <w:keepNext w:val="0"/>
              <w:keepLines w:val="0"/>
              <w:pageBreakBefore w:val="0"/>
              <w:widowControl/>
              <w:suppressLineNumbers w:val="0"/>
              <w:kinsoku/>
              <w:wordWrap/>
              <w:overflowPunct/>
              <w:topLinePunct w:val="0"/>
              <w:autoSpaceDE/>
              <w:autoSpaceDN/>
              <w:bidi w:val="0"/>
              <w:snapToGrid w:val="0"/>
              <w:ind w:left="0" w:right="0"/>
              <w:jc w:val="center"/>
              <w:textAlignment w:val="bottom"/>
              <w:rPr>
                <w:rFonts w:hint="default" w:ascii="Times New Roman" w:hAnsi="Times New Roman" w:cs="Times New Roman"/>
                <w:color w:val="auto"/>
                <w:kern w:val="0"/>
                <w:sz w:val="21"/>
                <w:szCs w:val="21"/>
                <w:highlight w:val="none"/>
                <w:lang w:eastAsia="zh-CN"/>
              </w:rPr>
            </w:pPr>
            <w:r>
              <w:rPr>
                <w:rFonts w:hint="default" w:ascii="Times New Roman" w:hAnsi="Times New Roman" w:eastAsia="宋体" w:cs="Times New Roman"/>
                <w:i w:val="0"/>
                <w:color w:val="auto"/>
                <w:kern w:val="0"/>
                <w:sz w:val="21"/>
                <w:szCs w:val="21"/>
                <w:highlight w:val="none"/>
                <w:u w:val="none"/>
                <w:lang w:val="en-US" w:eastAsia="zh-CN" w:bidi="ar"/>
              </w:rPr>
              <w:t>封闭槽</w:t>
            </w:r>
          </w:p>
        </w:tc>
        <w:tc>
          <w:tcPr>
            <w:tcW w:w="3281" w:type="dxa"/>
            <w:vAlign w:val="center"/>
          </w:tcPr>
          <w:p>
            <w:pPr>
              <w:keepNext w:val="0"/>
              <w:keepLines w:val="0"/>
              <w:pageBreakBefore w:val="0"/>
              <w:widowControl/>
              <w:suppressLineNumbers w:val="0"/>
              <w:kinsoku/>
              <w:wordWrap/>
              <w:overflowPunct/>
              <w:topLinePunct w:val="0"/>
              <w:autoSpaceDE/>
              <w:autoSpaceDN/>
              <w:bidi w:val="0"/>
              <w:snapToGrid w:val="0"/>
              <w:ind w:left="0" w:right="0"/>
              <w:jc w:val="center"/>
              <w:textAlignment w:val="bottom"/>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1200 mm×650 mm×1000 mm</w:t>
            </w:r>
          </w:p>
        </w:tc>
        <w:tc>
          <w:tcPr>
            <w:tcW w:w="881" w:type="dxa"/>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lang w:eastAsia="zh-CN"/>
              </w:rPr>
              <w:t>个</w:t>
            </w:r>
          </w:p>
        </w:tc>
        <w:tc>
          <w:tcPr>
            <w:tcW w:w="1243" w:type="dxa"/>
            <w:tcMar>
              <w:left w:w="0" w:type="dxa"/>
              <w:right w:w="0" w:type="dxa"/>
            </w:tcMar>
            <w:vAlign w:val="center"/>
          </w:tcPr>
          <w:p>
            <w:pPr>
              <w:keepNext w:val="0"/>
              <w:keepLines w:val="0"/>
              <w:pageBreakBefore w:val="0"/>
              <w:widowControl/>
              <w:suppressLineNumbers w:val="0"/>
              <w:kinsoku/>
              <w:wordWrap/>
              <w:overflowPunct/>
              <w:topLinePunct w:val="0"/>
              <w:autoSpaceDE/>
              <w:autoSpaceDN/>
              <w:bidi w:val="0"/>
              <w:snapToGrid w:val="0"/>
              <w:ind w:left="0" w:right="0"/>
              <w:jc w:val="center"/>
              <w:textAlignment w:val="bottom"/>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1</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numPr>
                <w:ilvl w:val="0"/>
                <w:numId w:val="0"/>
              </w:numPr>
              <w:kinsoku/>
              <w:wordWrap/>
              <w:overflowPunct/>
              <w:topLinePunct w:val="0"/>
              <w:autoSpaceDE/>
              <w:autoSpaceDN/>
              <w:bidi w:val="0"/>
              <w:adjustRightInd/>
              <w:snapToGrid w:val="0"/>
              <w:ind w:left="0" w:leftChars="0" w:right="0" w:firstLine="0" w:firstLineChars="0"/>
              <w:jc w:val="center"/>
              <w:textAlignment w:val="auto"/>
              <w:outlineLvl w:val="9"/>
              <w:rPr>
                <w:rFonts w:hint="default" w:ascii="Times New Roman" w:hAnsi="Times New Roman" w:cs="Times New Roman"/>
                <w:color w:val="auto"/>
                <w:kern w:val="0"/>
                <w:sz w:val="21"/>
                <w:szCs w:val="21"/>
                <w:highlight w:val="none"/>
                <w:lang w:val="en-US"/>
              </w:rPr>
            </w:pPr>
            <w:r>
              <w:rPr>
                <w:rFonts w:hint="default" w:ascii="Times New Roman" w:hAnsi="Times New Roman" w:cs="Times New Roman"/>
                <w:color w:val="auto"/>
                <w:kern w:val="0"/>
                <w:sz w:val="21"/>
                <w:szCs w:val="21"/>
                <w:highlight w:val="none"/>
                <w:lang w:val="en-US" w:eastAsia="zh-CN"/>
              </w:rPr>
              <w:t>14</w:t>
            </w:r>
          </w:p>
        </w:tc>
        <w:tc>
          <w:tcPr>
            <w:tcW w:w="2325" w:type="dxa"/>
            <w:tcMar>
              <w:left w:w="0" w:type="dxa"/>
              <w:right w:w="0" w:type="dxa"/>
            </w:tcMar>
            <w:vAlign w:val="center"/>
          </w:tcPr>
          <w:p>
            <w:pPr>
              <w:keepNext w:val="0"/>
              <w:keepLines w:val="0"/>
              <w:pageBreakBefore w:val="0"/>
              <w:widowControl/>
              <w:suppressLineNumbers w:val="0"/>
              <w:kinsoku/>
              <w:wordWrap/>
              <w:overflowPunct/>
              <w:topLinePunct w:val="0"/>
              <w:autoSpaceDE/>
              <w:autoSpaceDN/>
              <w:bidi w:val="0"/>
              <w:snapToGrid w:val="0"/>
              <w:ind w:left="0" w:right="0"/>
              <w:jc w:val="center"/>
              <w:textAlignment w:val="bottom"/>
              <w:rPr>
                <w:rFonts w:hint="default" w:ascii="Times New Roman" w:hAnsi="Times New Roman" w:cs="Times New Roman"/>
                <w:color w:val="auto"/>
                <w:kern w:val="0"/>
                <w:sz w:val="21"/>
                <w:szCs w:val="21"/>
                <w:highlight w:val="none"/>
                <w:lang w:eastAsia="zh-CN"/>
              </w:rPr>
            </w:pPr>
            <w:r>
              <w:rPr>
                <w:rFonts w:hint="default" w:ascii="Times New Roman" w:hAnsi="Times New Roman" w:eastAsia="宋体" w:cs="Times New Roman"/>
                <w:i w:val="0"/>
                <w:color w:val="auto"/>
                <w:kern w:val="0"/>
                <w:sz w:val="21"/>
                <w:szCs w:val="21"/>
                <w:highlight w:val="none"/>
                <w:u w:val="none"/>
                <w:lang w:val="en-US" w:eastAsia="zh-CN" w:bidi="ar"/>
              </w:rPr>
              <w:t>甩干机</w:t>
            </w:r>
          </w:p>
        </w:tc>
        <w:tc>
          <w:tcPr>
            <w:tcW w:w="3281" w:type="dxa"/>
            <w:vAlign w:val="center"/>
          </w:tcPr>
          <w:p>
            <w:pPr>
              <w:keepNext w:val="0"/>
              <w:keepLines w:val="0"/>
              <w:pageBreakBefore w:val="0"/>
              <w:widowControl/>
              <w:suppressLineNumbers w:val="0"/>
              <w:kinsoku/>
              <w:wordWrap/>
              <w:overflowPunct/>
              <w:topLinePunct w:val="0"/>
              <w:autoSpaceDE/>
              <w:autoSpaceDN/>
              <w:bidi w:val="0"/>
              <w:snapToGrid w:val="0"/>
              <w:ind w:left="0" w:right="0"/>
              <w:jc w:val="center"/>
              <w:textAlignment w:val="bottom"/>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5.5KW</w:t>
            </w:r>
          </w:p>
        </w:tc>
        <w:tc>
          <w:tcPr>
            <w:tcW w:w="881" w:type="dxa"/>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lang w:eastAsia="zh-CN"/>
              </w:rPr>
              <w:t>个</w:t>
            </w:r>
          </w:p>
        </w:tc>
        <w:tc>
          <w:tcPr>
            <w:tcW w:w="1243" w:type="dxa"/>
            <w:tcMar>
              <w:left w:w="0" w:type="dxa"/>
              <w:right w:w="0" w:type="dxa"/>
            </w:tcMar>
            <w:vAlign w:val="center"/>
          </w:tcPr>
          <w:p>
            <w:pPr>
              <w:keepNext w:val="0"/>
              <w:keepLines w:val="0"/>
              <w:pageBreakBefore w:val="0"/>
              <w:widowControl/>
              <w:suppressLineNumbers w:val="0"/>
              <w:kinsoku/>
              <w:wordWrap/>
              <w:overflowPunct/>
              <w:topLinePunct w:val="0"/>
              <w:autoSpaceDE/>
              <w:autoSpaceDN/>
              <w:bidi w:val="0"/>
              <w:snapToGrid w:val="0"/>
              <w:ind w:left="0" w:right="0"/>
              <w:jc w:val="center"/>
              <w:textAlignment w:val="bottom"/>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1</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numPr>
                <w:ilvl w:val="0"/>
                <w:numId w:val="0"/>
              </w:numPr>
              <w:kinsoku/>
              <w:wordWrap/>
              <w:overflowPunct/>
              <w:topLinePunct w:val="0"/>
              <w:autoSpaceDE/>
              <w:autoSpaceDN/>
              <w:bidi w:val="0"/>
              <w:adjustRightInd/>
              <w:snapToGrid w:val="0"/>
              <w:ind w:left="0" w:leftChars="0" w:right="0" w:firstLine="0" w:firstLineChars="0"/>
              <w:jc w:val="center"/>
              <w:textAlignment w:val="auto"/>
              <w:outlineLvl w:val="9"/>
              <w:rPr>
                <w:rFonts w:hint="default" w:ascii="Times New Roman" w:hAnsi="Times New Roman" w:cs="Times New Roman"/>
                <w:color w:val="auto"/>
                <w:kern w:val="0"/>
                <w:sz w:val="21"/>
                <w:szCs w:val="21"/>
                <w:highlight w:val="none"/>
                <w:lang w:val="en-US"/>
              </w:rPr>
            </w:pPr>
            <w:r>
              <w:rPr>
                <w:rFonts w:hint="default" w:ascii="Times New Roman" w:hAnsi="Times New Roman" w:cs="Times New Roman"/>
                <w:color w:val="auto"/>
                <w:kern w:val="0"/>
                <w:sz w:val="21"/>
                <w:szCs w:val="21"/>
                <w:highlight w:val="none"/>
                <w:lang w:val="en-US" w:eastAsia="zh-CN"/>
              </w:rPr>
              <w:t>15</w:t>
            </w:r>
          </w:p>
        </w:tc>
        <w:tc>
          <w:tcPr>
            <w:tcW w:w="2325" w:type="dxa"/>
            <w:tcMar>
              <w:left w:w="0" w:type="dxa"/>
              <w:right w:w="0" w:type="dxa"/>
            </w:tcMar>
            <w:vAlign w:val="center"/>
          </w:tcPr>
          <w:p>
            <w:pPr>
              <w:keepNext w:val="0"/>
              <w:keepLines w:val="0"/>
              <w:pageBreakBefore w:val="0"/>
              <w:widowControl/>
              <w:suppressLineNumbers w:val="0"/>
              <w:kinsoku/>
              <w:wordWrap/>
              <w:overflowPunct/>
              <w:topLinePunct w:val="0"/>
              <w:autoSpaceDE/>
              <w:autoSpaceDN/>
              <w:bidi w:val="0"/>
              <w:snapToGrid w:val="0"/>
              <w:ind w:left="0" w:right="0"/>
              <w:jc w:val="center"/>
              <w:textAlignment w:val="bottom"/>
              <w:rPr>
                <w:rFonts w:hint="default" w:ascii="Times New Roman" w:hAnsi="Times New Roman" w:cs="Times New Roman"/>
                <w:color w:val="auto"/>
                <w:kern w:val="0"/>
                <w:sz w:val="21"/>
                <w:szCs w:val="21"/>
                <w:highlight w:val="none"/>
                <w:lang w:eastAsia="zh-CN"/>
              </w:rPr>
            </w:pPr>
            <w:r>
              <w:rPr>
                <w:rFonts w:hint="default" w:ascii="Times New Roman" w:hAnsi="Times New Roman" w:eastAsia="宋体" w:cs="Times New Roman"/>
                <w:i w:val="0"/>
                <w:color w:val="auto"/>
                <w:kern w:val="0"/>
                <w:sz w:val="21"/>
                <w:szCs w:val="21"/>
                <w:highlight w:val="none"/>
                <w:u w:val="none"/>
                <w:lang w:val="en-US" w:eastAsia="zh-CN" w:bidi="ar"/>
              </w:rPr>
              <w:t>化学除油槽</w:t>
            </w:r>
          </w:p>
        </w:tc>
        <w:tc>
          <w:tcPr>
            <w:tcW w:w="3281" w:type="dxa"/>
            <w:vAlign w:val="center"/>
          </w:tcPr>
          <w:p>
            <w:pPr>
              <w:keepNext w:val="0"/>
              <w:keepLines w:val="0"/>
              <w:pageBreakBefore w:val="0"/>
              <w:widowControl/>
              <w:suppressLineNumbers w:val="0"/>
              <w:kinsoku/>
              <w:wordWrap/>
              <w:overflowPunct/>
              <w:topLinePunct w:val="0"/>
              <w:autoSpaceDE/>
              <w:autoSpaceDN/>
              <w:bidi w:val="0"/>
              <w:snapToGrid w:val="0"/>
              <w:ind w:left="0" w:right="0"/>
              <w:jc w:val="center"/>
              <w:textAlignment w:val="bottom"/>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2100mm×1200mm×1000 mm</w:t>
            </w:r>
          </w:p>
        </w:tc>
        <w:tc>
          <w:tcPr>
            <w:tcW w:w="881" w:type="dxa"/>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lang w:eastAsia="zh-CN"/>
              </w:rPr>
              <w:t>个</w:t>
            </w:r>
          </w:p>
        </w:tc>
        <w:tc>
          <w:tcPr>
            <w:tcW w:w="1243" w:type="dxa"/>
            <w:tcMar>
              <w:left w:w="0" w:type="dxa"/>
              <w:right w:w="0" w:type="dxa"/>
            </w:tcMar>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8412" w:type="dxa"/>
            <w:gridSpan w:val="5"/>
            <w:tcMar>
              <w:left w:w="0" w:type="dxa"/>
              <w:right w:w="0" w:type="dxa"/>
            </w:tcMar>
            <w:vAlign w:val="center"/>
          </w:tcPr>
          <w:p>
            <w:pPr>
              <w:keepNext w:val="0"/>
              <w:keepLines w:val="0"/>
              <w:pageBreakBefore w:val="0"/>
              <w:widowControl/>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b/>
                <w:color w:val="auto"/>
                <w:sz w:val="21"/>
                <w:szCs w:val="21"/>
                <w:highlight w:val="none"/>
                <w:lang w:eastAsia="zh-CN"/>
              </w:rPr>
              <w:t>动力、辅助及其他设备</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numPr>
                <w:ilvl w:val="0"/>
                <w:numId w:val="0"/>
              </w:numPr>
              <w:kinsoku/>
              <w:wordWrap/>
              <w:overflowPunct/>
              <w:topLinePunct w:val="0"/>
              <w:autoSpaceDE/>
              <w:autoSpaceDN/>
              <w:bidi w:val="0"/>
              <w:adjustRightInd/>
              <w:snapToGrid w:val="0"/>
              <w:ind w:left="0" w:leftChars="0" w:right="0" w:firstLine="0" w:firstLineChars="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1</w:t>
            </w:r>
          </w:p>
        </w:tc>
        <w:tc>
          <w:tcPr>
            <w:tcW w:w="2325"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kern w:val="0"/>
                <w:sz w:val="21"/>
                <w:szCs w:val="21"/>
                <w:highlight w:val="none"/>
                <w:lang w:eastAsia="zh-CN"/>
              </w:rPr>
            </w:pPr>
            <w:r>
              <w:rPr>
                <w:rFonts w:hint="default" w:ascii="Times New Roman" w:hAnsi="Times New Roman" w:cs="Times New Roman"/>
                <w:color w:val="auto"/>
                <w:sz w:val="21"/>
                <w:szCs w:val="21"/>
                <w:highlight w:val="none"/>
              </w:rPr>
              <w:t>整流器</w:t>
            </w:r>
          </w:p>
        </w:tc>
        <w:tc>
          <w:tcPr>
            <w:tcW w:w="3281" w:type="dxa"/>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 w:val="21"/>
                <w:szCs w:val="21"/>
                <w:highlight w:val="none"/>
                <w:lang w:val="en-US" w:eastAsia="zh-CN"/>
              </w:rPr>
              <w:t>2000A</w:t>
            </w:r>
          </w:p>
        </w:tc>
        <w:tc>
          <w:tcPr>
            <w:tcW w:w="881" w:type="dxa"/>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kern w:val="0"/>
                <w:sz w:val="21"/>
                <w:szCs w:val="21"/>
                <w:highlight w:val="none"/>
                <w:lang w:eastAsia="zh-CN"/>
              </w:rPr>
            </w:pPr>
            <w:r>
              <w:rPr>
                <w:rFonts w:hint="default" w:ascii="Times New Roman" w:hAnsi="Times New Roman" w:cs="Times New Roman"/>
                <w:color w:val="auto"/>
                <w:sz w:val="21"/>
                <w:szCs w:val="21"/>
                <w:highlight w:val="none"/>
                <w:lang w:eastAsia="zh-CN"/>
              </w:rPr>
              <w:t>台</w:t>
            </w:r>
          </w:p>
        </w:tc>
        <w:tc>
          <w:tcPr>
            <w:tcW w:w="1243"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sz w:val="21"/>
                <w:szCs w:val="21"/>
                <w:highlight w:val="none"/>
                <w:lang w:val="en-US" w:eastAsia="zh-CN"/>
              </w:rPr>
              <w:t>10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numPr>
                <w:ilvl w:val="0"/>
                <w:numId w:val="0"/>
              </w:numPr>
              <w:kinsoku/>
              <w:wordWrap/>
              <w:overflowPunct/>
              <w:topLinePunct w:val="0"/>
              <w:autoSpaceDE/>
              <w:autoSpaceDN/>
              <w:bidi w:val="0"/>
              <w:adjustRightInd/>
              <w:snapToGrid w:val="0"/>
              <w:ind w:left="0" w:leftChars="0" w:right="0" w:firstLine="0" w:firstLineChars="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2</w:t>
            </w:r>
          </w:p>
        </w:tc>
        <w:tc>
          <w:tcPr>
            <w:tcW w:w="2325"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kern w:val="0"/>
                <w:sz w:val="21"/>
                <w:szCs w:val="21"/>
                <w:highlight w:val="none"/>
                <w:lang w:eastAsia="zh-CN"/>
              </w:rPr>
            </w:pPr>
            <w:r>
              <w:rPr>
                <w:rFonts w:hint="default" w:ascii="Times New Roman" w:hAnsi="Times New Roman" w:cs="Times New Roman"/>
                <w:color w:val="auto"/>
                <w:sz w:val="21"/>
                <w:szCs w:val="21"/>
                <w:highlight w:val="none"/>
              </w:rPr>
              <w:t>燃气锅炉</w:t>
            </w:r>
          </w:p>
        </w:tc>
        <w:tc>
          <w:tcPr>
            <w:tcW w:w="3281" w:type="dxa"/>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 w:val="21"/>
                <w:szCs w:val="21"/>
                <w:highlight w:val="none"/>
                <w:lang w:val="en-US" w:eastAsia="zh-CN"/>
              </w:rPr>
              <w:t>0.5T蒸汽锅炉</w:t>
            </w:r>
          </w:p>
        </w:tc>
        <w:tc>
          <w:tcPr>
            <w:tcW w:w="881" w:type="dxa"/>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kern w:val="0"/>
                <w:sz w:val="21"/>
                <w:szCs w:val="21"/>
                <w:highlight w:val="none"/>
                <w:lang w:eastAsia="zh-CN"/>
              </w:rPr>
            </w:pPr>
            <w:r>
              <w:rPr>
                <w:rFonts w:hint="default" w:ascii="Times New Roman" w:hAnsi="Times New Roman" w:cs="Times New Roman"/>
                <w:color w:val="auto"/>
                <w:sz w:val="21"/>
                <w:szCs w:val="21"/>
                <w:highlight w:val="none"/>
                <w:lang w:eastAsia="zh-CN"/>
              </w:rPr>
              <w:t>台</w:t>
            </w:r>
          </w:p>
        </w:tc>
        <w:tc>
          <w:tcPr>
            <w:tcW w:w="1243"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numPr>
                <w:ilvl w:val="0"/>
                <w:numId w:val="0"/>
              </w:numPr>
              <w:kinsoku/>
              <w:wordWrap/>
              <w:overflowPunct/>
              <w:topLinePunct w:val="0"/>
              <w:autoSpaceDE/>
              <w:autoSpaceDN/>
              <w:bidi w:val="0"/>
              <w:adjustRightInd/>
              <w:snapToGrid w:val="0"/>
              <w:ind w:left="0" w:leftChars="0" w:right="0" w:firstLine="0" w:firstLineChars="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3</w:t>
            </w:r>
          </w:p>
        </w:tc>
        <w:tc>
          <w:tcPr>
            <w:tcW w:w="2325"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kern w:val="0"/>
                <w:sz w:val="21"/>
                <w:szCs w:val="21"/>
                <w:highlight w:val="none"/>
                <w:lang w:eastAsia="zh-CN"/>
              </w:rPr>
            </w:pPr>
            <w:r>
              <w:rPr>
                <w:rFonts w:hint="default" w:ascii="Times New Roman" w:hAnsi="Times New Roman" w:cs="Times New Roman"/>
                <w:color w:val="auto"/>
                <w:sz w:val="21"/>
                <w:szCs w:val="21"/>
                <w:highlight w:val="none"/>
                <w:lang w:eastAsia="zh-CN"/>
              </w:rPr>
              <w:t>电热</w:t>
            </w:r>
            <w:r>
              <w:rPr>
                <w:rFonts w:hint="default" w:ascii="Times New Roman" w:hAnsi="Times New Roman" w:cs="Times New Roman"/>
                <w:color w:val="auto"/>
                <w:sz w:val="21"/>
                <w:szCs w:val="21"/>
                <w:highlight w:val="none"/>
              </w:rPr>
              <w:t>烘道</w:t>
            </w:r>
          </w:p>
        </w:tc>
        <w:tc>
          <w:tcPr>
            <w:tcW w:w="3281" w:type="dxa"/>
            <w:vAlign w:val="center"/>
          </w:tcPr>
          <w:p>
            <w:pPr>
              <w:keepNext w:val="0"/>
              <w:keepLines w:val="0"/>
              <w:pageBreakBefore w:val="0"/>
              <w:kinsoku/>
              <w:wordWrap/>
              <w:overflowPunct/>
              <w:topLinePunct w:val="0"/>
              <w:autoSpaceDE/>
              <w:autoSpaceDN/>
              <w:bidi w:val="0"/>
              <w:snapToGrid w:val="0"/>
              <w:ind w:left="0" w:right="0"/>
              <w:jc w:val="center"/>
              <w:rPr>
                <w:rFonts w:hint="eastAsia" w:ascii="Times New Roman" w:hAnsi="Times New Roman" w:eastAsia="宋体" w:cs="Times New Roman"/>
                <w:color w:val="auto"/>
                <w:kern w:val="0"/>
                <w:sz w:val="21"/>
                <w:szCs w:val="21"/>
                <w:highlight w:val="none"/>
                <w:lang w:eastAsia="zh-CN"/>
              </w:rPr>
            </w:pPr>
            <w:r>
              <w:rPr>
                <w:rFonts w:hint="eastAsia" w:cs="Times New Roman"/>
                <w:color w:val="auto"/>
                <w:kern w:val="0"/>
                <w:sz w:val="21"/>
                <w:szCs w:val="21"/>
                <w:highlight w:val="none"/>
                <w:lang w:eastAsia="zh-CN"/>
              </w:rPr>
              <w:t>—</w:t>
            </w:r>
          </w:p>
        </w:tc>
        <w:tc>
          <w:tcPr>
            <w:tcW w:w="881" w:type="dxa"/>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kern w:val="0"/>
                <w:sz w:val="21"/>
                <w:szCs w:val="21"/>
                <w:highlight w:val="none"/>
                <w:lang w:eastAsia="zh-CN"/>
              </w:rPr>
            </w:pPr>
            <w:r>
              <w:rPr>
                <w:rFonts w:hint="default" w:ascii="Times New Roman" w:hAnsi="Times New Roman" w:cs="Times New Roman"/>
                <w:color w:val="auto"/>
                <w:sz w:val="21"/>
                <w:szCs w:val="21"/>
                <w:highlight w:val="none"/>
                <w:lang w:eastAsia="zh-CN"/>
              </w:rPr>
              <w:t>套</w:t>
            </w:r>
          </w:p>
        </w:tc>
        <w:tc>
          <w:tcPr>
            <w:tcW w:w="1243"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numPr>
                <w:ilvl w:val="0"/>
                <w:numId w:val="0"/>
              </w:numPr>
              <w:kinsoku/>
              <w:wordWrap/>
              <w:overflowPunct/>
              <w:topLinePunct w:val="0"/>
              <w:autoSpaceDE/>
              <w:autoSpaceDN/>
              <w:bidi w:val="0"/>
              <w:adjustRightInd/>
              <w:snapToGrid w:val="0"/>
              <w:ind w:left="0" w:leftChars="0" w:right="0" w:firstLine="0" w:firstLineChars="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4</w:t>
            </w:r>
          </w:p>
        </w:tc>
        <w:tc>
          <w:tcPr>
            <w:tcW w:w="2325"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kern w:val="0"/>
                <w:sz w:val="21"/>
                <w:szCs w:val="21"/>
                <w:highlight w:val="none"/>
                <w:lang w:eastAsia="zh-CN"/>
              </w:rPr>
            </w:pPr>
            <w:r>
              <w:rPr>
                <w:rFonts w:hint="default" w:ascii="Times New Roman" w:hAnsi="Times New Roman" w:cs="Times New Roman"/>
                <w:color w:val="auto"/>
                <w:sz w:val="21"/>
                <w:szCs w:val="21"/>
                <w:highlight w:val="none"/>
              </w:rPr>
              <w:t>酸雾引风机</w:t>
            </w:r>
          </w:p>
        </w:tc>
        <w:tc>
          <w:tcPr>
            <w:tcW w:w="3281" w:type="dxa"/>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 w:val="21"/>
                <w:szCs w:val="21"/>
                <w:highlight w:val="none"/>
                <w:lang w:val="en-US" w:eastAsia="zh-CN"/>
              </w:rPr>
              <w:t>15000M3/H</w:t>
            </w:r>
          </w:p>
        </w:tc>
        <w:tc>
          <w:tcPr>
            <w:tcW w:w="881" w:type="dxa"/>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kern w:val="0"/>
                <w:sz w:val="21"/>
                <w:szCs w:val="21"/>
                <w:highlight w:val="none"/>
                <w:lang w:eastAsia="zh-CN"/>
              </w:rPr>
            </w:pPr>
            <w:r>
              <w:rPr>
                <w:rFonts w:hint="default" w:ascii="Times New Roman" w:hAnsi="Times New Roman" w:cs="Times New Roman"/>
                <w:color w:val="auto"/>
                <w:sz w:val="21"/>
                <w:szCs w:val="21"/>
                <w:highlight w:val="none"/>
                <w:lang w:eastAsia="zh-CN"/>
              </w:rPr>
              <w:t>台</w:t>
            </w:r>
          </w:p>
        </w:tc>
        <w:tc>
          <w:tcPr>
            <w:tcW w:w="1243"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numPr>
                <w:ilvl w:val="0"/>
                <w:numId w:val="0"/>
              </w:numPr>
              <w:kinsoku/>
              <w:wordWrap/>
              <w:overflowPunct/>
              <w:topLinePunct w:val="0"/>
              <w:autoSpaceDE/>
              <w:autoSpaceDN/>
              <w:bidi w:val="0"/>
              <w:adjustRightInd/>
              <w:snapToGrid w:val="0"/>
              <w:ind w:left="0" w:leftChars="0" w:right="0" w:firstLine="0" w:firstLineChars="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5</w:t>
            </w:r>
          </w:p>
        </w:tc>
        <w:tc>
          <w:tcPr>
            <w:tcW w:w="2325"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kern w:val="0"/>
                <w:sz w:val="21"/>
                <w:szCs w:val="21"/>
                <w:highlight w:val="none"/>
                <w:lang w:eastAsia="zh-CN"/>
              </w:rPr>
            </w:pPr>
            <w:r>
              <w:rPr>
                <w:rFonts w:hint="default" w:ascii="Times New Roman" w:hAnsi="Times New Roman" w:cs="Times New Roman"/>
                <w:color w:val="auto"/>
                <w:sz w:val="21"/>
                <w:szCs w:val="21"/>
                <w:highlight w:val="none"/>
              </w:rPr>
              <w:t>酸雾净化塔</w:t>
            </w:r>
          </w:p>
        </w:tc>
        <w:tc>
          <w:tcPr>
            <w:tcW w:w="3281" w:type="dxa"/>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 w:val="21"/>
                <w:szCs w:val="21"/>
                <w:highlight w:val="none"/>
                <w:lang w:val="en-US" w:eastAsia="zh-CN"/>
              </w:rPr>
              <w:t>1600X4200二级喷淋</w:t>
            </w:r>
          </w:p>
        </w:tc>
        <w:tc>
          <w:tcPr>
            <w:tcW w:w="881" w:type="dxa"/>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kern w:val="0"/>
                <w:sz w:val="21"/>
                <w:szCs w:val="21"/>
                <w:highlight w:val="none"/>
                <w:lang w:eastAsia="zh-CN"/>
              </w:rPr>
            </w:pPr>
            <w:r>
              <w:rPr>
                <w:rFonts w:hint="default" w:ascii="Times New Roman" w:hAnsi="Times New Roman" w:cs="Times New Roman"/>
                <w:color w:val="auto"/>
                <w:sz w:val="21"/>
                <w:szCs w:val="21"/>
                <w:highlight w:val="none"/>
                <w:lang w:eastAsia="zh-CN"/>
              </w:rPr>
              <w:t>套</w:t>
            </w:r>
          </w:p>
        </w:tc>
        <w:tc>
          <w:tcPr>
            <w:tcW w:w="1243"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numPr>
                <w:ilvl w:val="0"/>
                <w:numId w:val="0"/>
              </w:numPr>
              <w:kinsoku/>
              <w:wordWrap/>
              <w:overflowPunct/>
              <w:topLinePunct w:val="0"/>
              <w:autoSpaceDE/>
              <w:autoSpaceDN/>
              <w:bidi w:val="0"/>
              <w:adjustRightInd/>
              <w:snapToGrid w:val="0"/>
              <w:ind w:left="0" w:leftChars="0" w:right="0" w:firstLine="0" w:firstLineChars="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6</w:t>
            </w:r>
          </w:p>
        </w:tc>
        <w:tc>
          <w:tcPr>
            <w:tcW w:w="2325"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kern w:val="0"/>
                <w:sz w:val="21"/>
                <w:szCs w:val="21"/>
                <w:highlight w:val="none"/>
                <w:lang w:eastAsia="zh-CN"/>
              </w:rPr>
            </w:pPr>
            <w:r>
              <w:rPr>
                <w:rFonts w:hint="default" w:ascii="Times New Roman" w:hAnsi="Times New Roman" w:cs="Times New Roman"/>
                <w:color w:val="auto"/>
                <w:sz w:val="21"/>
                <w:szCs w:val="21"/>
                <w:highlight w:val="none"/>
              </w:rPr>
              <w:t>吊葫芦</w:t>
            </w:r>
          </w:p>
        </w:tc>
        <w:tc>
          <w:tcPr>
            <w:tcW w:w="3281" w:type="dxa"/>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 w:val="21"/>
                <w:szCs w:val="21"/>
                <w:highlight w:val="none"/>
                <w:lang w:val="en-US" w:eastAsia="zh-CN"/>
              </w:rPr>
              <w:t>2.2KW电机，吊起重量约1吨</w:t>
            </w:r>
          </w:p>
        </w:tc>
        <w:tc>
          <w:tcPr>
            <w:tcW w:w="881" w:type="dxa"/>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kern w:val="0"/>
                <w:sz w:val="21"/>
                <w:szCs w:val="21"/>
                <w:highlight w:val="none"/>
                <w:lang w:eastAsia="zh-CN"/>
              </w:rPr>
            </w:pPr>
            <w:r>
              <w:rPr>
                <w:rFonts w:hint="default" w:ascii="Times New Roman" w:hAnsi="Times New Roman" w:cs="Times New Roman"/>
                <w:color w:val="auto"/>
                <w:sz w:val="21"/>
                <w:szCs w:val="21"/>
                <w:highlight w:val="none"/>
                <w:lang w:eastAsia="zh-CN"/>
              </w:rPr>
              <w:t>套</w:t>
            </w:r>
          </w:p>
        </w:tc>
        <w:tc>
          <w:tcPr>
            <w:tcW w:w="1243"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numPr>
                <w:ilvl w:val="0"/>
                <w:numId w:val="0"/>
              </w:numPr>
              <w:kinsoku/>
              <w:wordWrap/>
              <w:overflowPunct/>
              <w:topLinePunct w:val="0"/>
              <w:autoSpaceDE/>
              <w:autoSpaceDN/>
              <w:bidi w:val="0"/>
              <w:adjustRightInd/>
              <w:snapToGrid w:val="0"/>
              <w:ind w:left="0" w:leftChars="0" w:right="0" w:firstLine="0" w:firstLineChars="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7</w:t>
            </w:r>
          </w:p>
        </w:tc>
        <w:tc>
          <w:tcPr>
            <w:tcW w:w="2325"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kern w:val="0"/>
                <w:sz w:val="21"/>
                <w:szCs w:val="21"/>
                <w:highlight w:val="none"/>
                <w:lang w:eastAsia="zh-CN"/>
              </w:rPr>
            </w:pPr>
            <w:r>
              <w:rPr>
                <w:rFonts w:hint="default" w:ascii="Times New Roman" w:hAnsi="Times New Roman" w:cs="Times New Roman"/>
                <w:color w:val="auto"/>
                <w:sz w:val="21"/>
                <w:szCs w:val="21"/>
                <w:highlight w:val="none"/>
                <w:lang w:eastAsia="zh-CN"/>
              </w:rPr>
              <w:t>螺杆机</w:t>
            </w:r>
          </w:p>
        </w:tc>
        <w:tc>
          <w:tcPr>
            <w:tcW w:w="3281" w:type="dxa"/>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 w:val="21"/>
                <w:szCs w:val="21"/>
                <w:highlight w:val="none"/>
                <w:lang w:val="en-US" w:eastAsia="zh-CN"/>
              </w:rPr>
              <w:t>15KW</w:t>
            </w:r>
          </w:p>
        </w:tc>
        <w:tc>
          <w:tcPr>
            <w:tcW w:w="881" w:type="dxa"/>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kern w:val="0"/>
                <w:sz w:val="21"/>
                <w:szCs w:val="21"/>
                <w:highlight w:val="none"/>
                <w:lang w:eastAsia="zh-CN"/>
              </w:rPr>
            </w:pPr>
            <w:r>
              <w:rPr>
                <w:rFonts w:hint="default" w:ascii="Times New Roman" w:hAnsi="Times New Roman" w:cs="Times New Roman"/>
                <w:color w:val="auto"/>
                <w:sz w:val="21"/>
                <w:szCs w:val="21"/>
                <w:highlight w:val="none"/>
                <w:lang w:eastAsia="zh-CN"/>
              </w:rPr>
              <w:t>台</w:t>
            </w:r>
          </w:p>
        </w:tc>
        <w:tc>
          <w:tcPr>
            <w:tcW w:w="1243"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numPr>
                <w:ilvl w:val="0"/>
                <w:numId w:val="0"/>
              </w:numPr>
              <w:kinsoku/>
              <w:wordWrap/>
              <w:overflowPunct/>
              <w:topLinePunct w:val="0"/>
              <w:autoSpaceDE/>
              <w:autoSpaceDN/>
              <w:bidi w:val="0"/>
              <w:adjustRightInd/>
              <w:snapToGrid w:val="0"/>
              <w:ind w:left="0" w:leftChars="0" w:right="0" w:firstLine="0" w:firstLineChars="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8</w:t>
            </w:r>
          </w:p>
        </w:tc>
        <w:tc>
          <w:tcPr>
            <w:tcW w:w="2325"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kern w:val="0"/>
                <w:sz w:val="21"/>
                <w:szCs w:val="21"/>
                <w:highlight w:val="none"/>
                <w:lang w:eastAsia="zh-CN"/>
              </w:rPr>
            </w:pPr>
            <w:r>
              <w:rPr>
                <w:rFonts w:hint="default" w:ascii="Times New Roman" w:hAnsi="Times New Roman" w:cs="Times New Roman"/>
                <w:color w:val="auto"/>
                <w:sz w:val="21"/>
                <w:szCs w:val="21"/>
                <w:highlight w:val="none"/>
                <w:lang w:eastAsia="zh-CN"/>
              </w:rPr>
              <w:t>冷冻机</w:t>
            </w:r>
          </w:p>
        </w:tc>
        <w:tc>
          <w:tcPr>
            <w:tcW w:w="3281" w:type="dxa"/>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 w:val="21"/>
                <w:szCs w:val="21"/>
                <w:highlight w:val="none"/>
                <w:lang w:val="en-US" w:eastAsia="zh-CN"/>
              </w:rPr>
              <w:t>13KW</w:t>
            </w:r>
          </w:p>
        </w:tc>
        <w:tc>
          <w:tcPr>
            <w:tcW w:w="881" w:type="dxa"/>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kern w:val="0"/>
                <w:sz w:val="21"/>
                <w:szCs w:val="21"/>
                <w:highlight w:val="none"/>
                <w:lang w:eastAsia="zh-CN"/>
              </w:rPr>
            </w:pPr>
            <w:r>
              <w:rPr>
                <w:rFonts w:hint="default" w:ascii="Times New Roman" w:hAnsi="Times New Roman" w:cs="Times New Roman"/>
                <w:color w:val="auto"/>
                <w:sz w:val="21"/>
                <w:szCs w:val="21"/>
                <w:highlight w:val="none"/>
                <w:lang w:eastAsia="zh-CN"/>
              </w:rPr>
              <w:t>套</w:t>
            </w:r>
          </w:p>
        </w:tc>
        <w:tc>
          <w:tcPr>
            <w:tcW w:w="1243"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numPr>
                <w:ilvl w:val="0"/>
                <w:numId w:val="0"/>
              </w:numPr>
              <w:kinsoku/>
              <w:wordWrap/>
              <w:overflowPunct/>
              <w:topLinePunct w:val="0"/>
              <w:autoSpaceDE/>
              <w:autoSpaceDN/>
              <w:bidi w:val="0"/>
              <w:adjustRightInd/>
              <w:snapToGrid w:val="0"/>
              <w:ind w:left="0" w:leftChars="0" w:right="0" w:firstLine="0" w:firstLineChars="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9</w:t>
            </w:r>
          </w:p>
        </w:tc>
        <w:tc>
          <w:tcPr>
            <w:tcW w:w="2325"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kern w:val="0"/>
                <w:sz w:val="21"/>
                <w:szCs w:val="21"/>
                <w:highlight w:val="none"/>
                <w:lang w:eastAsia="zh-CN"/>
              </w:rPr>
            </w:pPr>
            <w:r>
              <w:rPr>
                <w:rFonts w:hint="default" w:ascii="Times New Roman" w:hAnsi="Times New Roman" w:cs="Times New Roman"/>
                <w:color w:val="auto"/>
                <w:sz w:val="21"/>
                <w:szCs w:val="21"/>
                <w:highlight w:val="none"/>
                <w:lang w:eastAsia="zh-CN"/>
              </w:rPr>
              <w:t>过滤机</w:t>
            </w:r>
          </w:p>
        </w:tc>
        <w:tc>
          <w:tcPr>
            <w:tcW w:w="3281" w:type="dxa"/>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 w:val="21"/>
                <w:szCs w:val="21"/>
                <w:highlight w:val="none"/>
                <w:lang w:val="en-US" w:eastAsia="zh-CN"/>
              </w:rPr>
              <w:t>30吨/时</w:t>
            </w:r>
          </w:p>
        </w:tc>
        <w:tc>
          <w:tcPr>
            <w:tcW w:w="881" w:type="dxa"/>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kern w:val="0"/>
                <w:sz w:val="21"/>
                <w:szCs w:val="21"/>
                <w:highlight w:val="none"/>
                <w:lang w:eastAsia="zh-CN"/>
              </w:rPr>
            </w:pPr>
            <w:r>
              <w:rPr>
                <w:rFonts w:hint="default" w:ascii="Times New Roman" w:hAnsi="Times New Roman" w:cs="Times New Roman"/>
                <w:color w:val="auto"/>
                <w:sz w:val="21"/>
                <w:szCs w:val="21"/>
                <w:highlight w:val="none"/>
                <w:lang w:eastAsia="zh-CN"/>
              </w:rPr>
              <w:t>台</w:t>
            </w:r>
          </w:p>
        </w:tc>
        <w:tc>
          <w:tcPr>
            <w:tcW w:w="1243"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numPr>
                <w:ilvl w:val="0"/>
                <w:numId w:val="0"/>
              </w:numPr>
              <w:kinsoku/>
              <w:wordWrap/>
              <w:overflowPunct/>
              <w:topLinePunct w:val="0"/>
              <w:autoSpaceDE/>
              <w:autoSpaceDN/>
              <w:bidi w:val="0"/>
              <w:adjustRightInd/>
              <w:snapToGrid w:val="0"/>
              <w:ind w:left="0" w:leftChars="0" w:right="0" w:firstLine="0" w:firstLineChars="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10</w:t>
            </w:r>
          </w:p>
        </w:tc>
        <w:tc>
          <w:tcPr>
            <w:tcW w:w="2325"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kern w:val="0"/>
                <w:sz w:val="21"/>
                <w:szCs w:val="21"/>
                <w:highlight w:val="none"/>
                <w:lang w:eastAsia="zh-CN"/>
              </w:rPr>
            </w:pPr>
            <w:r>
              <w:rPr>
                <w:rFonts w:hint="default" w:ascii="Times New Roman" w:hAnsi="Times New Roman" w:cs="Times New Roman"/>
                <w:color w:val="auto"/>
                <w:sz w:val="21"/>
                <w:szCs w:val="21"/>
                <w:highlight w:val="none"/>
                <w:lang w:eastAsia="zh-CN"/>
              </w:rPr>
              <w:t>行车</w:t>
            </w:r>
          </w:p>
        </w:tc>
        <w:tc>
          <w:tcPr>
            <w:tcW w:w="3281" w:type="dxa"/>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kern w:val="0"/>
                <w:sz w:val="21"/>
                <w:szCs w:val="21"/>
                <w:highlight w:val="none"/>
              </w:rPr>
            </w:pPr>
            <w:r>
              <w:rPr>
                <w:rFonts w:hint="eastAsia" w:cs="Times New Roman"/>
                <w:color w:val="auto"/>
                <w:kern w:val="0"/>
                <w:sz w:val="21"/>
                <w:szCs w:val="21"/>
                <w:highlight w:val="none"/>
                <w:lang w:eastAsia="zh-CN"/>
              </w:rPr>
              <w:t>—</w:t>
            </w:r>
          </w:p>
        </w:tc>
        <w:tc>
          <w:tcPr>
            <w:tcW w:w="881" w:type="dxa"/>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kern w:val="0"/>
                <w:sz w:val="21"/>
                <w:szCs w:val="21"/>
                <w:highlight w:val="none"/>
                <w:lang w:eastAsia="zh-CN"/>
              </w:rPr>
            </w:pPr>
            <w:r>
              <w:rPr>
                <w:rFonts w:hint="default" w:ascii="Times New Roman" w:hAnsi="Times New Roman" w:cs="Times New Roman"/>
                <w:color w:val="auto"/>
                <w:sz w:val="21"/>
                <w:szCs w:val="21"/>
                <w:highlight w:val="none"/>
                <w:lang w:eastAsia="zh-CN"/>
              </w:rPr>
              <w:t>台</w:t>
            </w:r>
          </w:p>
        </w:tc>
        <w:tc>
          <w:tcPr>
            <w:tcW w:w="1243"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sz w:val="21"/>
                <w:szCs w:val="21"/>
                <w:highlight w:val="none"/>
                <w:lang w:val="en-US" w:eastAsia="zh-CN"/>
              </w:rPr>
              <w:t>8</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restart"/>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5#车间</w:t>
            </w:r>
          </w:p>
        </w:tc>
        <w:tc>
          <w:tcPr>
            <w:tcW w:w="682" w:type="dxa"/>
            <w:tcMar>
              <w:left w:w="0" w:type="dxa"/>
              <w:right w:w="0" w:type="dxa"/>
            </w:tcMar>
            <w:vAlign w:val="center"/>
          </w:tcPr>
          <w:p>
            <w:pPr>
              <w:keepNext w:val="0"/>
              <w:keepLines w:val="0"/>
              <w:pageBreakBefore w:val="0"/>
              <w:numPr>
                <w:ilvl w:val="0"/>
                <w:numId w:val="0"/>
              </w:numPr>
              <w:kinsoku/>
              <w:wordWrap/>
              <w:overflowPunct/>
              <w:topLinePunct w:val="0"/>
              <w:autoSpaceDE/>
              <w:autoSpaceDN/>
              <w:bidi w:val="0"/>
              <w:adjustRightInd/>
              <w:snapToGrid w:val="0"/>
              <w:ind w:left="0" w:leftChars="0" w:right="0" w:firstLine="0" w:firstLineChars="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1</w:t>
            </w:r>
          </w:p>
        </w:tc>
        <w:tc>
          <w:tcPr>
            <w:tcW w:w="2325"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除油桶</w:t>
            </w:r>
          </w:p>
        </w:tc>
        <w:tc>
          <w:tcPr>
            <w:tcW w:w="3281" w:type="dxa"/>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600mm*600mm</w:t>
            </w:r>
          </w:p>
        </w:tc>
        <w:tc>
          <w:tcPr>
            <w:tcW w:w="881" w:type="dxa"/>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个</w:t>
            </w:r>
          </w:p>
        </w:tc>
        <w:tc>
          <w:tcPr>
            <w:tcW w:w="1243"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1</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numPr>
                <w:ilvl w:val="0"/>
                <w:numId w:val="0"/>
              </w:numPr>
              <w:kinsoku/>
              <w:wordWrap/>
              <w:overflowPunct/>
              <w:topLinePunct w:val="0"/>
              <w:autoSpaceDE/>
              <w:autoSpaceDN/>
              <w:bidi w:val="0"/>
              <w:adjustRightInd/>
              <w:snapToGrid w:val="0"/>
              <w:ind w:left="0" w:leftChars="0" w:right="0" w:firstLine="0" w:firstLineChars="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2</w:t>
            </w:r>
          </w:p>
        </w:tc>
        <w:tc>
          <w:tcPr>
            <w:tcW w:w="2325"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敏化桶</w:t>
            </w:r>
          </w:p>
        </w:tc>
        <w:tc>
          <w:tcPr>
            <w:tcW w:w="3281" w:type="dxa"/>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600mm*600mm</w:t>
            </w:r>
          </w:p>
        </w:tc>
        <w:tc>
          <w:tcPr>
            <w:tcW w:w="881" w:type="dxa"/>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个</w:t>
            </w:r>
          </w:p>
        </w:tc>
        <w:tc>
          <w:tcPr>
            <w:tcW w:w="1243"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1</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numPr>
                <w:ilvl w:val="0"/>
                <w:numId w:val="0"/>
              </w:numPr>
              <w:kinsoku/>
              <w:wordWrap/>
              <w:overflowPunct/>
              <w:topLinePunct w:val="0"/>
              <w:autoSpaceDE/>
              <w:autoSpaceDN/>
              <w:bidi w:val="0"/>
              <w:adjustRightInd/>
              <w:snapToGrid w:val="0"/>
              <w:ind w:left="0" w:leftChars="0" w:right="0" w:firstLine="0" w:firstLineChars="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3</w:t>
            </w:r>
          </w:p>
        </w:tc>
        <w:tc>
          <w:tcPr>
            <w:tcW w:w="2325"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氯化桶</w:t>
            </w:r>
          </w:p>
        </w:tc>
        <w:tc>
          <w:tcPr>
            <w:tcW w:w="3281" w:type="dxa"/>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600mm*600mm</w:t>
            </w:r>
          </w:p>
        </w:tc>
        <w:tc>
          <w:tcPr>
            <w:tcW w:w="881" w:type="dxa"/>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个</w:t>
            </w:r>
          </w:p>
        </w:tc>
        <w:tc>
          <w:tcPr>
            <w:tcW w:w="1243"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2</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numPr>
                <w:ilvl w:val="0"/>
                <w:numId w:val="0"/>
              </w:numPr>
              <w:kinsoku/>
              <w:wordWrap/>
              <w:overflowPunct/>
              <w:topLinePunct w:val="0"/>
              <w:autoSpaceDE/>
              <w:autoSpaceDN/>
              <w:bidi w:val="0"/>
              <w:adjustRightInd/>
              <w:snapToGrid w:val="0"/>
              <w:ind w:left="0" w:leftChars="0" w:right="0" w:firstLine="0" w:firstLineChars="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4</w:t>
            </w:r>
          </w:p>
        </w:tc>
        <w:tc>
          <w:tcPr>
            <w:tcW w:w="2325"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镀银桶</w:t>
            </w:r>
          </w:p>
        </w:tc>
        <w:tc>
          <w:tcPr>
            <w:tcW w:w="3281" w:type="dxa"/>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760mm*600mm</w:t>
            </w:r>
          </w:p>
        </w:tc>
        <w:tc>
          <w:tcPr>
            <w:tcW w:w="881" w:type="dxa"/>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个</w:t>
            </w:r>
          </w:p>
        </w:tc>
        <w:tc>
          <w:tcPr>
            <w:tcW w:w="1243"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1</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numPr>
                <w:ilvl w:val="0"/>
                <w:numId w:val="0"/>
              </w:numPr>
              <w:kinsoku/>
              <w:wordWrap/>
              <w:overflowPunct/>
              <w:topLinePunct w:val="0"/>
              <w:autoSpaceDE/>
              <w:autoSpaceDN/>
              <w:bidi w:val="0"/>
              <w:adjustRightInd/>
              <w:snapToGrid w:val="0"/>
              <w:ind w:left="0" w:leftChars="0" w:right="0" w:firstLine="0" w:firstLineChars="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5</w:t>
            </w:r>
          </w:p>
        </w:tc>
        <w:tc>
          <w:tcPr>
            <w:tcW w:w="2325"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粗化槽</w:t>
            </w:r>
          </w:p>
        </w:tc>
        <w:tc>
          <w:tcPr>
            <w:tcW w:w="3281" w:type="dxa"/>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820mm*620mm*600mm</w:t>
            </w:r>
          </w:p>
        </w:tc>
        <w:tc>
          <w:tcPr>
            <w:tcW w:w="881" w:type="dxa"/>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个</w:t>
            </w:r>
          </w:p>
        </w:tc>
        <w:tc>
          <w:tcPr>
            <w:tcW w:w="1243"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1</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numPr>
                <w:ilvl w:val="0"/>
                <w:numId w:val="0"/>
              </w:numPr>
              <w:kinsoku/>
              <w:wordWrap/>
              <w:overflowPunct/>
              <w:topLinePunct w:val="0"/>
              <w:autoSpaceDE/>
              <w:autoSpaceDN/>
              <w:bidi w:val="0"/>
              <w:adjustRightInd/>
              <w:snapToGrid w:val="0"/>
              <w:ind w:left="0" w:leftChars="0" w:right="0" w:firstLine="0" w:firstLineChars="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6</w:t>
            </w:r>
          </w:p>
        </w:tc>
        <w:tc>
          <w:tcPr>
            <w:tcW w:w="2325"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粗化水洗槽</w:t>
            </w:r>
          </w:p>
        </w:tc>
        <w:tc>
          <w:tcPr>
            <w:tcW w:w="3281" w:type="dxa"/>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800mm*620mm*600mm</w:t>
            </w:r>
          </w:p>
        </w:tc>
        <w:tc>
          <w:tcPr>
            <w:tcW w:w="881" w:type="dxa"/>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个</w:t>
            </w:r>
          </w:p>
        </w:tc>
        <w:tc>
          <w:tcPr>
            <w:tcW w:w="1243"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4</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numPr>
                <w:ilvl w:val="0"/>
                <w:numId w:val="0"/>
              </w:numPr>
              <w:kinsoku/>
              <w:wordWrap/>
              <w:overflowPunct/>
              <w:topLinePunct w:val="0"/>
              <w:autoSpaceDE/>
              <w:autoSpaceDN/>
              <w:bidi w:val="0"/>
              <w:adjustRightInd/>
              <w:snapToGrid w:val="0"/>
              <w:ind w:left="0" w:leftChars="0" w:right="0" w:firstLine="0" w:firstLineChars="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7</w:t>
            </w:r>
          </w:p>
        </w:tc>
        <w:tc>
          <w:tcPr>
            <w:tcW w:w="2325"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水洗槽</w:t>
            </w:r>
          </w:p>
        </w:tc>
        <w:tc>
          <w:tcPr>
            <w:tcW w:w="3281" w:type="dxa"/>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600mm*600mm*600mm</w:t>
            </w:r>
          </w:p>
        </w:tc>
        <w:tc>
          <w:tcPr>
            <w:tcW w:w="881" w:type="dxa"/>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个</w:t>
            </w:r>
          </w:p>
        </w:tc>
        <w:tc>
          <w:tcPr>
            <w:tcW w:w="1243"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6</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numPr>
                <w:ilvl w:val="0"/>
                <w:numId w:val="0"/>
              </w:numPr>
              <w:kinsoku/>
              <w:wordWrap/>
              <w:overflowPunct/>
              <w:topLinePunct w:val="0"/>
              <w:autoSpaceDE/>
              <w:autoSpaceDN/>
              <w:bidi w:val="0"/>
              <w:adjustRightInd/>
              <w:snapToGrid w:val="0"/>
              <w:ind w:left="0" w:leftChars="0" w:right="0" w:firstLine="0" w:firstLineChars="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8</w:t>
            </w:r>
          </w:p>
        </w:tc>
        <w:tc>
          <w:tcPr>
            <w:tcW w:w="2325"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电镀槽</w:t>
            </w:r>
          </w:p>
        </w:tc>
        <w:tc>
          <w:tcPr>
            <w:tcW w:w="3281" w:type="dxa"/>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1200mm*800mm*1000mm</w:t>
            </w:r>
          </w:p>
        </w:tc>
        <w:tc>
          <w:tcPr>
            <w:tcW w:w="881" w:type="dxa"/>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个</w:t>
            </w:r>
          </w:p>
        </w:tc>
        <w:tc>
          <w:tcPr>
            <w:tcW w:w="1243"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1</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numPr>
                <w:ilvl w:val="0"/>
                <w:numId w:val="0"/>
              </w:numPr>
              <w:kinsoku/>
              <w:wordWrap/>
              <w:overflowPunct/>
              <w:topLinePunct w:val="0"/>
              <w:autoSpaceDE/>
              <w:autoSpaceDN/>
              <w:bidi w:val="0"/>
              <w:adjustRightInd/>
              <w:snapToGrid w:val="0"/>
              <w:ind w:left="0" w:leftChars="0" w:right="0" w:firstLine="0" w:firstLineChars="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9</w:t>
            </w:r>
          </w:p>
        </w:tc>
        <w:tc>
          <w:tcPr>
            <w:tcW w:w="2325"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电镀水洗槽</w:t>
            </w:r>
          </w:p>
        </w:tc>
        <w:tc>
          <w:tcPr>
            <w:tcW w:w="3281" w:type="dxa"/>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1000mm*800mm*600mm</w:t>
            </w:r>
          </w:p>
        </w:tc>
        <w:tc>
          <w:tcPr>
            <w:tcW w:w="881" w:type="dxa"/>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个</w:t>
            </w:r>
          </w:p>
        </w:tc>
        <w:tc>
          <w:tcPr>
            <w:tcW w:w="1243"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2</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numPr>
                <w:ilvl w:val="0"/>
                <w:numId w:val="0"/>
              </w:numPr>
              <w:kinsoku/>
              <w:wordWrap/>
              <w:overflowPunct/>
              <w:topLinePunct w:val="0"/>
              <w:autoSpaceDE/>
              <w:autoSpaceDN/>
              <w:bidi w:val="0"/>
              <w:adjustRightInd/>
              <w:snapToGrid w:val="0"/>
              <w:ind w:left="0" w:leftChars="0" w:right="0" w:firstLine="0" w:firstLineChars="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10</w:t>
            </w:r>
          </w:p>
        </w:tc>
        <w:tc>
          <w:tcPr>
            <w:tcW w:w="2325"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超声波清洗机</w:t>
            </w:r>
          </w:p>
        </w:tc>
        <w:tc>
          <w:tcPr>
            <w:tcW w:w="3281" w:type="dxa"/>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960W</w:t>
            </w:r>
          </w:p>
        </w:tc>
        <w:tc>
          <w:tcPr>
            <w:tcW w:w="881" w:type="dxa"/>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台</w:t>
            </w:r>
          </w:p>
        </w:tc>
        <w:tc>
          <w:tcPr>
            <w:tcW w:w="1243"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1</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numPr>
                <w:ilvl w:val="0"/>
                <w:numId w:val="0"/>
              </w:numPr>
              <w:kinsoku/>
              <w:wordWrap/>
              <w:overflowPunct/>
              <w:topLinePunct w:val="0"/>
              <w:autoSpaceDE/>
              <w:autoSpaceDN/>
              <w:bidi w:val="0"/>
              <w:adjustRightInd/>
              <w:snapToGrid w:val="0"/>
              <w:ind w:left="0" w:leftChars="0" w:right="0" w:firstLine="0" w:firstLineChars="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11</w:t>
            </w:r>
          </w:p>
        </w:tc>
        <w:tc>
          <w:tcPr>
            <w:tcW w:w="2325"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整流器</w:t>
            </w:r>
          </w:p>
        </w:tc>
        <w:tc>
          <w:tcPr>
            <w:tcW w:w="3281" w:type="dxa"/>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500A</w:t>
            </w:r>
          </w:p>
        </w:tc>
        <w:tc>
          <w:tcPr>
            <w:tcW w:w="881" w:type="dxa"/>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个</w:t>
            </w:r>
          </w:p>
        </w:tc>
        <w:tc>
          <w:tcPr>
            <w:tcW w:w="1243"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1</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numPr>
                <w:ilvl w:val="0"/>
                <w:numId w:val="0"/>
              </w:numPr>
              <w:kinsoku/>
              <w:wordWrap/>
              <w:overflowPunct/>
              <w:topLinePunct w:val="0"/>
              <w:autoSpaceDE/>
              <w:autoSpaceDN/>
              <w:bidi w:val="0"/>
              <w:adjustRightInd/>
              <w:snapToGrid w:val="0"/>
              <w:ind w:left="0" w:leftChars="0" w:right="0" w:firstLine="0" w:firstLineChars="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12</w:t>
            </w:r>
          </w:p>
        </w:tc>
        <w:tc>
          <w:tcPr>
            <w:tcW w:w="2325"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甩干机</w:t>
            </w:r>
          </w:p>
        </w:tc>
        <w:tc>
          <w:tcPr>
            <w:tcW w:w="3281" w:type="dxa"/>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100W</w:t>
            </w:r>
          </w:p>
        </w:tc>
        <w:tc>
          <w:tcPr>
            <w:tcW w:w="881" w:type="dxa"/>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台</w:t>
            </w:r>
          </w:p>
        </w:tc>
        <w:tc>
          <w:tcPr>
            <w:tcW w:w="1243"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1</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numPr>
                <w:ilvl w:val="0"/>
                <w:numId w:val="0"/>
              </w:numPr>
              <w:kinsoku/>
              <w:wordWrap/>
              <w:overflowPunct/>
              <w:topLinePunct w:val="0"/>
              <w:autoSpaceDE/>
              <w:autoSpaceDN/>
              <w:bidi w:val="0"/>
              <w:adjustRightInd/>
              <w:snapToGrid w:val="0"/>
              <w:ind w:left="0" w:leftChars="0" w:right="0" w:firstLine="0" w:firstLineChars="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13</w:t>
            </w:r>
          </w:p>
        </w:tc>
        <w:tc>
          <w:tcPr>
            <w:tcW w:w="2325"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排风系统玻璃钢风机</w:t>
            </w:r>
          </w:p>
        </w:tc>
        <w:tc>
          <w:tcPr>
            <w:tcW w:w="3281" w:type="dxa"/>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7.5kW,10000m³/h</w:t>
            </w:r>
          </w:p>
        </w:tc>
        <w:tc>
          <w:tcPr>
            <w:tcW w:w="881" w:type="dxa"/>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台</w:t>
            </w:r>
          </w:p>
        </w:tc>
        <w:tc>
          <w:tcPr>
            <w:tcW w:w="1243"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1</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numPr>
                <w:ilvl w:val="0"/>
                <w:numId w:val="0"/>
              </w:numPr>
              <w:kinsoku/>
              <w:wordWrap/>
              <w:overflowPunct/>
              <w:topLinePunct w:val="0"/>
              <w:autoSpaceDE/>
              <w:autoSpaceDN/>
              <w:bidi w:val="0"/>
              <w:adjustRightInd/>
              <w:snapToGrid w:val="0"/>
              <w:ind w:left="0" w:leftChars="0" w:right="0" w:firstLine="0" w:firstLineChars="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14</w:t>
            </w:r>
          </w:p>
        </w:tc>
        <w:tc>
          <w:tcPr>
            <w:tcW w:w="2325"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酸雾净化塔</w:t>
            </w:r>
          </w:p>
        </w:tc>
        <w:tc>
          <w:tcPr>
            <w:tcW w:w="3281" w:type="dxa"/>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2000×2000×2600二级喷淋</w:t>
            </w:r>
          </w:p>
        </w:tc>
        <w:tc>
          <w:tcPr>
            <w:tcW w:w="881" w:type="dxa"/>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套</w:t>
            </w:r>
          </w:p>
        </w:tc>
        <w:tc>
          <w:tcPr>
            <w:tcW w:w="1243"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1</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numPr>
                <w:ilvl w:val="0"/>
                <w:numId w:val="0"/>
              </w:numPr>
              <w:kinsoku/>
              <w:wordWrap/>
              <w:overflowPunct/>
              <w:topLinePunct w:val="0"/>
              <w:autoSpaceDE/>
              <w:autoSpaceDN/>
              <w:bidi w:val="0"/>
              <w:adjustRightInd/>
              <w:snapToGrid w:val="0"/>
              <w:ind w:left="0" w:leftChars="0" w:right="0" w:firstLine="0" w:firstLineChars="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15</w:t>
            </w:r>
          </w:p>
        </w:tc>
        <w:tc>
          <w:tcPr>
            <w:tcW w:w="2325"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吊葫芦</w:t>
            </w:r>
          </w:p>
        </w:tc>
        <w:tc>
          <w:tcPr>
            <w:tcW w:w="3281" w:type="dxa"/>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1000W电机，吊起重量0.4吨</w:t>
            </w:r>
          </w:p>
        </w:tc>
        <w:tc>
          <w:tcPr>
            <w:tcW w:w="881" w:type="dxa"/>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台</w:t>
            </w:r>
          </w:p>
        </w:tc>
        <w:tc>
          <w:tcPr>
            <w:tcW w:w="1243"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4</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numPr>
                <w:ilvl w:val="0"/>
                <w:numId w:val="0"/>
              </w:numPr>
              <w:kinsoku/>
              <w:wordWrap/>
              <w:overflowPunct/>
              <w:topLinePunct w:val="0"/>
              <w:autoSpaceDE/>
              <w:autoSpaceDN/>
              <w:bidi w:val="0"/>
              <w:adjustRightInd/>
              <w:snapToGrid w:val="0"/>
              <w:ind w:left="0" w:leftChars="0" w:right="0" w:firstLine="0" w:firstLineChars="0"/>
              <w:jc w:val="center"/>
              <w:textAlignment w:val="auto"/>
              <w:outlineLvl w:val="9"/>
              <w:rPr>
                <w:rFonts w:hint="default" w:ascii="Times New Roman" w:hAnsi="Times New Roman" w:cs="Times New Roman"/>
                <w:color w:val="auto"/>
                <w:kern w:val="0"/>
                <w:sz w:val="21"/>
                <w:szCs w:val="21"/>
                <w:highlight w:val="none"/>
                <w:lang w:val="en-US"/>
              </w:rPr>
            </w:pPr>
            <w:r>
              <w:rPr>
                <w:rFonts w:hint="default" w:ascii="Times New Roman" w:hAnsi="Times New Roman" w:cs="Times New Roman"/>
                <w:color w:val="auto"/>
                <w:kern w:val="0"/>
                <w:sz w:val="21"/>
                <w:szCs w:val="21"/>
                <w:highlight w:val="none"/>
                <w:lang w:val="en-US" w:eastAsia="zh-CN"/>
              </w:rPr>
              <w:t>16</w:t>
            </w:r>
          </w:p>
        </w:tc>
        <w:tc>
          <w:tcPr>
            <w:tcW w:w="2325"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电跑车</w:t>
            </w:r>
          </w:p>
        </w:tc>
        <w:tc>
          <w:tcPr>
            <w:tcW w:w="3281" w:type="dxa"/>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500W电机</w:t>
            </w:r>
          </w:p>
        </w:tc>
        <w:tc>
          <w:tcPr>
            <w:tcW w:w="881" w:type="dxa"/>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台</w:t>
            </w:r>
          </w:p>
        </w:tc>
        <w:tc>
          <w:tcPr>
            <w:tcW w:w="1243"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4</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restart"/>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6#车间</w:t>
            </w:r>
          </w:p>
        </w:tc>
        <w:tc>
          <w:tcPr>
            <w:tcW w:w="682" w:type="dxa"/>
            <w:tcMar>
              <w:left w:w="0" w:type="dxa"/>
              <w:right w:w="0" w:type="dxa"/>
            </w:tcMar>
            <w:vAlign w:val="center"/>
          </w:tcPr>
          <w:p>
            <w:pPr>
              <w:keepNext w:val="0"/>
              <w:keepLines w:val="0"/>
              <w:pageBreakBefore w:val="0"/>
              <w:numPr>
                <w:ilvl w:val="0"/>
                <w:numId w:val="0"/>
              </w:numPr>
              <w:kinsoku/>
              <w:wordWrap/>
              <w:overflowPunct/>
              <w:topLinePunct w:val="0"/>
              <w:autoSpaceDE/>
              <w:autoSpaceDN/>
              <w:bidi w:val="0"/>
              <w:adjustRightInd/>
              <w:snapToGrid w:val="0"/>
              <w:ind w:left="0" w:leftChars="0" w:right="0" w:firstLine="0" w:firstLineChars="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1</w:t>
            </w:r>
          </w:p>
        </w:tc>
        <w:tc>
          <w:tcPr>
            <w:tcW w:w="2325" w:type="dxa"/>
            <w:tcMar>
              <w:left w:w="0" w:type="dxa"/>
              <w:right w:w="0" w:type="dxa"/>
            </w:tcMar>
            <w:vAlign w:val="center"/>
          </w:tcPr>
          <w:p>
            <w:pPr>
              <w:pStyle w:val="129"/>
              <w:keepNext w:val="0"/>
              <w:keepLines w:val="0"/>
              <w:pageBreakBefore w:val="0"/>
              <w:kinsoku/>
              <w:wordWrap/>
              <w:overflowPunct/>
              <w:topLinePunct w:val="0"/>
              <w:autoSpaceDE/>
              <w:autoSpaceDN/>
              <w:bidi w:val="0"/>
              <w:snapToGrid w:val="0"/>
              <w:spacing w:before="62"/>
              <w:ind w:left="0" w:leftChars="0" w:right="0" w:right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rPr>
              <w:t>化学除油槽</w:t>
            </w:r>
          </w:p>
        </w:tc>
        <w:tc>
          <w:tcPr>
            <w:tcW w:w="3281" w:type="dxa"/>
            <w:vAlign w:val="center"/>
          </w:tcPr>
          <w:p>
            <w:pPr>
              <w:keepNext w:val="0"/>
              <w:keepLines w:val="0"/>
              <w:pageBreakBefore w:val="0"/>
              <w:widowControl w:val="0"/>
              <w:kinsoku/>
              <w:wordWrap/>
              <w:overflowPunct/>
              <w:topLinePunct w:val="0"/>
              <w:autoSpaceDE/>
              <w:autoSpaceDN/>
              <w:bidi w:val="0"/>
              <w:adjustRightInd/>
              <w:snapToGrid w:val="0"/>
              <w:ind w:left="0" w:right="0"/>
              <w:jc w:val="center"/>
              <w:textAlignment w:val="auto"/>
              <w:outlineLvl w:val="9"/>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1200mm*900mm*1200mm</w:t>
            </w:r>
          </w:p>
        </w:tc>
        <w:tc>
          <w:tcPr>
            <w:tcW w:w="881" w:type="dxa"/>
            <w:vAlign w:val="center"/>
          </w:tcPr>
          <w:p>
            <w:pPr>
              <w:pStyle w:val="129"/>
              <w:keepNext w:val="0"/>
              <w:keepLines w:val="0"/>
              <w:pageBreakBefore w:val="0"/>
              <w:widowControl w:val="0"/>
              <w:kinsoku/>
              <w:wordWrap/>
              <w:overflowPunct/>
              <w:topLinePunct w:val="0"/>
              <w:autoSpaceDE/>
              <w:autoSpaceDN/>
              <w:bidi w:val="0"/>
              <w:adjustRightInd w:val="0"/>
              <w:snapToGrid w:val="0"/>
              <w:spacing w:before="62"/>
              <w:ind w:left="0" w:leftChars="0" w:right="0"/>
              <w:jc w:val="center"/>
              <w:textAlignment w:val="auto"/>
              <w:outlineLvl w:val="9"/>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w w:val="99"/>
                <w:sz w:val="21"/>
                <w:szCs w:val="21"/>
                <w:highlight w:val="none"/>
              </w:rPr>
              <w:t>个</w:t>
            </w:r>
          </w:p>
        </w:tc>
        <w:tc>
          <w:tcPr>
            <w:tcW w:w="1243" w:type="dxa"/>
            <w:tcMar>
              <w:left w:w="0" w:type="dxa"/>
              <w:right w:w="0" w:type="dxa"/>
            </w:tcMar>
            <w:vAlign w:val="center"/>
          </w:tcPr>
          <w:p>
            <w:pPr>
              <w:pStyle w:val="129"/>
              <w:keepNext w:val="0"/>
              <w:keepLines w:val="0"/>
              <w:pageBreakBefore w:val="0"/>
              <w:widowControl w:val="0"/>
              <w:kinsoku/>
              <w:wordWrap/>
              <w:overflowPunct/>
              <w:topLinePunct w:val="0"/>
              <w:autoSpaceDE/>
              <w:autoSpaceDN/>
              <w:bidi w:val="0"/>
              <w:adjustRightInd w:val="0"/>
              <w:snapToGrid w:val="0"/>
              <w:spacing w:before="57"/>
              <w:ind w:left="0" w:right="0" w:rightChars="0"/>
              <w:jc w:val="center"/>
              <w:textAlignment w:val="auto"/>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numPr>
                <w:ilvl w:val="0"/>
                <w:numId w:val="0"/>
              </w:numPr>
              <w:kinsoku/>
              <w:wordWrap/>
              <w:overflowPunct/>
              <w:topLinePunct w:val="0"/>
              <w:autoSpaceDE/>
              <w:autoSpaceDN/>
              <w:bidi w:val="0"/>
              <w:adjustRightInd/>
              <w:snapToGrid w:val="0"/>
              <w:ind w:left="0" w:leftChars="0" w:right="0" w:firstLine="0" w:firstLineChars="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2</w:t>
            </w:r>
          </w:p>
        </w:tc>
        <w:tc>
          <w:tcPr>
            <w:tcW w:w="2325" w:type="dxa"/>
            <w:tcMar>
              <w:left w:w="0" w:type="dxa"/>
              <w:right w:w="0" w:type="dxa"/>
            </w:tcMar>
            <w:vAlign w:val="center"/>
          </w:tcPr>
          <w:p>
            <w:pPr>
              <w:pStyle w:val="129"/>
              <w:keepNext w:val="0"/>
              <w:keepLines w:val="0"/>
              <w:pageBreakBefore w:val="0"/>
              <w:kinsoku/>
              <w:wordWrap/>
              <w:overflowPunct/>
              <w:topLinePunct w:val="0"/>
              <w:autoSpaceDE/>
              <w:autoSpaceDN/>
              <w:bidi w:val="0"/>
              <w:snapToGrid w:val="0"/>
              <w:spacing w:before="63"/>
              <w:ind w:left="0" w:leftChars="0" w:right="0" w:right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rPr>
              <w:t>水洗槽</w:t>
            </w:r>
          </w:p>
        </w:tc>
        <w:tc>
          <w:tcPr>
            <w:tcW w:w="3281" w:type="dxa"/>
            <w:vAlign w:val="center"/>
          </w:tcPr>
          <w:p>
            <w:pPr>
              <w:keepNext w:val="0"/>
              <w:keepLines w:val="0"/>
              <w:pageBreakBefore w:val="0"/>
              <w:widowControl w:val="0"/>
              <w:kinsoku/>
              <w:wordWrap/>
              <w:overflowPunct/>
              <w:topLinePunct w:val="0"/>
              <w:autoSpaceDE/>
              <w:autoSpaceDN/>
              <w:bidi w:val="0"/>
              <w:adjustRightInd/>
              <w:snapToGrid w:val="0"/>
              <w:ind w:left="0" w:right="0"/>
              <w:jc w:val="center"/>
              <w:textAlignment w:val="auto"/>
              <w:outlineLvl w:val="9"/>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1200mm*900mm*1200mm</w:t>
            </w:r>
          </w:p>
        </w:tc>
        <w:tc>
          <w:tcPr>
            <w:tcW w:w="881" w:type="dxa"/>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个</w:t>
            </w:r>
          </w:p>
        </w:tc>
        <w:tc>
          <w:tcPr>
            <w:tcW w:w="1243"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numPr>
                <w:ilvl w:val="0"/>
                <w:numId w:val="0"/>
              </w:numPr>
              <w:kinsoku/>
              <w:wordWrap/>
              <w:overflowPunct/>
              <w:topLinePunct w:val="0"/>
              <w:autoSpaceDE/>
              <w:autoSpaceDN/>
              <w:bidi w:val="0"/>
              <w:adjustRightInd/>
              <w:snapToGrid w:val="0"/>
              <w:ind w:left="0" w:leftChars="0" w:right="0" w:firstLine="0" w:firstLineChars="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3</w:t>
            </w:r>
          </w:p>
        </w:tc>
        <w:tc>
          <w:tcPr>
            <w:tcW w:w="2325" w:type="dxa"/>
            <w:tcMar>
              <w:left w:w="0" w:type="dxa"/>
              <w:right w:w="0" w:type="dxa"/>
            </w:tcMar>
            <w:vAlign w:val="center"/>
          </w:tcPr>
          <w:p>
            <w:pPr>
              <w:pStyle w:val="129"/>
              <w:keepNext w:val="0"/>
              <w:keepLines w:val="0"/>
              <w:pageBreakBefore w:val="0"/>
              <w:kinsoku/>
              <w:wordWrap/>
              <w:overflowPunct/>
              <w:topLinePunct w:val="0"/>
              <w:autoSpaceDE/>
              <w:autoSpaceDN/>
              <w:bidi w:val="0"/>
              <w:snapToGrid w:val="0"/>
              <w:spacing w:before="64"/>
              <w:ind w:left="0" w:leftChars="0" w:right="0" w:rightChars="0"/>
              <w:jc w:val="center"/>
              <w:rPr>
                <w:rFonts w:hint="default" w:ascii="Times New Roman" w:hAnsi="Times New Roman" w:cs="Times New Roman"/>
                <w:color w:val="auto"/>
                <w:kern w:val="0"/>
                <w:sz w:val="21"/>
                <w:szCs w:val="21"/>
                <w:highlight w:val="none"/>
                <w:lang w:eastAsia="zh-CN"/>
              </w:rPr>
            </w:pPr>
            <w:r>
              <w:rPr>
                <w:rFonts w:hint="default" w:ascii="Times New Roman" w:hAnsi="Times New Roman" w:cs="Times New Roman"/>
                <w:color w:val="auto"/>
                <w:sz w:val="21"/>
                <w:szCs w:val="21"/>
                <w:highlight w:val="none"/>
              </w:rPr>
              <w:t>酸洗槽</w:t>
            </w:r>
          </w:p>
        </w:tc>
        <w:tc>
          <w:tcPr>
            <w:tcW w:w="3281" w:type="dxa"/>
            <w:vAlign w:val="center"/>
          </w:tcPr>
          <w:p>
            <w:pPr>
              <w:keepNext w:val="0"/>
              <w:keepLines w:val="0"/>
              <w:pageBreakBefore w:val="0"/>
              <w:widowControl w:val="0"/>
              <w:kinsoku/>
              <w:wordWrap/>
              <w:overflowPunct/>
              <w:topLinePunct w:val="0"/>
              <w:autoSpaceDE/>
              <w:autoSpaceDN/>
              <w:bidi w:val="0"/>
              <w:adjustRightInd/>
              <w:snapToGrid w:val="0"/>
              <w:ind w:left="0" w:right="0"/>
              <w:jc w:val="center"/>
              <w:textAlignment w:val="auto"/>
              <w:outlineLvl w:val="9"/>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1200mm*900mm*1200mm</w:t>
            </w:r>
          </w:p>
        </w:tc>
        <w:tc>
          <w:tcPr>
            <w:tcW w:w="881" w:type="dxa"/>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个</w:t>
            </w:r>
          </w:p>
        </w:tc>
        <w:tc>
          <w:tcPr>
            <w:tcW w:w="1243"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numPr>
                <w:ilvl w:val="0"/>
                <w:numId w:val="0"/>
              </w:numPr>
              <w:kinsoku/>
              <w:wordWrap/>
              <w:overflowPunct/>
              <w:topLinePunct w:val="0"/>
              <w:autoSpaceDE/>
              <w:autoSpaceDN/>
              <w:bidi w:val="0"/>
              <w:adjustRightInd/>
              <w:snapToGrid w:val="0"/>
              <w:ind w:left="0" w:leftChars="0" w:right="0" w:firstLine="0" w:firstLineChars="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4</w:t>
            </w:r>
          </w:p>
        </w:tc>
        <w:tc>
          <w:tcPr>
            <w:tcW w:w="2325" w:type="dxa"/>
            <w:tcMar>
              <w:left w:w="0" w:type="dxa"/>
              <w:right w:w="0" w:type="dxa"/>
            </w:tcMar>
            <w:vAlign w:val="center"/>
          </w:tcPr>
          <w:p>
            <w:pPr>
              <w:pStyle w:val="129"/>
              <w:keepNext w:val="0"/>
              <w:keepLines w:val="0"/>
              <w:pageBreakBefore w:val="0"/>
              <w:kinsoku/>
              <w:wordWrap/>
              <w:overflowPunct/>
              <w:topLinePunct w:val="0"/>
              <w:autoSpaceDE/>
              <w:autoSpaceDN/>
              <w:bidi w:val="0"/>
              <w:snapToGrid w:val="0"/>
              <w:spacing w:before="62"/>
              <w:ind w:left="0" w:leftChars="0" w:right="0" w:rightChars="0"/>
              <w:jc w:val="center"/>
              <w:rPr>
                <w:rFonts w:hint="default" w:ascii="Times New Roman" w:hAnsi="Times New Roman" w:cs="Times New Roman"/>
                <w:color w:val="auto"/>
                <w:kern w:val="0"/>
                <w:sz w:val="21"/>
                <w:szCs w:val="21"/>
                <w:highlight w:val="none"/>
                <w:lang w:eastAsia="zh-CN"/>
              </w:rPr>
            </w:pPr>
            <w:r>
              <w:rPr>
                <w:rFonts w:hint="default" w:ascii="Times New Roman" w:hAnsi="Times New Roman" w:cs="Times New Roman"/>
                <w:color w:val="auto"/>
                <w:sz w:val="21"/>
                <w:szCs w:val="21"/>
                <w:highlight w:val="none"/>
              </w:rPr>
              <w:t>酸洗槽</w:t>
            </w:r>
          </w:p>
        </w:tc>
        <w:tc>
          <w:tcPr>
            <w:tcW w:w="3281" w:type="dxa"/>
            <w:vAlign w:val="center"/>
          </w:tcPr>
          <w:p>
            <w:pPr>
              <w:keepNext w:val="0"/>
              <w:keepLines w:val="0"/>
              <w:pageBreakBefore w:val="0"/>
              <w:widowControl w:val="0"/>
              <w:kinsoku/>
              <w:wordWrap/>
              <w:overflowPunct/>
              <w:topLinePunct w:val="0"/>
              <w:autoSpaceDE/>
              <w:autoSpaceDN/>
              <w:bidi w:val="0"/>
              <w:adjustRightInd/>
              <w:snapToGrid w:val="0"/>
              <w:ind w:left="0" w:right="0"/>
              <w:jc w:val="center"/>
              <w:textAlignment w:val="auto"/>
              <w:outlineLvl w:val="9"/>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1200mm*900mm*1200mm</w:t>
            </w:r>
          </w:p>
        </w:tc>
        <w:tc>
          <w:tcPr>
            <w:tcW w:w="881" w:type="dxa"/>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个</w:t>
            </w:r>
          </w:p>
        </w:tc>
        <w:tc>
          <w:tcPr>
            <w:tcW w:w="1243"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1</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numPr>
                <w:ilvl w:val="0"/>
                <w:numId w:val="0"/>
              </w:numPr>
              <w:kinsoku/>
              <w:wordWrap/>
              <w:overflowPunct/>
              <w:topLinePunct w:val="0"/>
              <w:autoSpaceDE/>
              <w:autoSpaceDN/>
              <w:bidi w:val="0"/>
              <w:adjustRightInd/>
              <w:snapToGrid w:val="0"/>
              <w:ind w:left="0" w:leftChars="0" w:right="0" w:firstLine="0" w:firstLineChars="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5</w:t>
            </w:r>
          </w:p>
        </w:tc>
        <w:tc>
          <w:tcPr>
            <w:tcW w:w="2325" w:type="dxa"/>
            <w:tcMar>
              <w:left w:w="0" w:type="dxa"/>
              <w:right w:w="0" w:type="dxa"/>
            </w:tcMar>
            <w:vAlign w:val="center"/>
          </w:tcPr>
          <w:p>
            <w:pPr>
              <w:pStyle w:val="129"/>
              <w:keepNext w:val="0"/>
              <w:keepLines w:val="0"/>
              <w:pageBreakBefore w:val="0"/>
              <w:kinsoku/>
              <w:wordWrap/>
              <w:overflowPunct/>
              <w:topLinePunct w:val="0"/>
              <w:autoSpaceDE/>
              <w:autoSpaceDN/>
              <w:bidi w:val="0"/>
              <w:snapToGrid w:val="0"/>
              <w:spacing w:before="63"/>
              <w:ind w:left="0" w:leftChars="0" w:right="0" w:rightChars="0"/>
              <w:jc w:val="center"/>
              <w:rPr>
                <w:rFonts w:hint="default" w:ascii="Times New Roman" w:hAnsi="Times New Roman" w:cs="Times New Roman"/>
                <w:color w:val="auto"/>
                <w:kern w:val="0"/>
                <w:sz w:val="21"/>
                <w:szCs w:val="21"/>
                <w:highlight w:val="none"/>
                <w:lang w:eastAsia="zh-CN"/>
              </w:rPr>
            </w:pPr>
            <w:r>
              <w:rPr>
                <w:rFonts w:hint="default" w:ascii="Times New Roman" w:hAnsi="Times New Roman" w:cs="Times New Roman"/>
                <w:color w:val="auto"/>
                <w:sz w:val="21"/>
                <w:szCs w:val="21"/>
                <w:highlight w:val="none"/>
              </w:rPr>
              <w:t>电解除油槽</w:t>
            </w:r>
          </w:p>
        </w:tc>
        <w:tc>
          <w:tcPr>
            <w:tcW w:w="3281" w:type="dxa"/>
            <w:vAlign w:val="center"/>
          </w:tcPr>
          <w:p>
            <w:pPr>
              <w:keepNext w:val="0"/>
              <w:keepLines w:val="0"/>
              <w:pageBreakBefore w:val="0"/>
              <w:widowControl w:val="0"/>
              <w:kinsoku/>
              <w:wordWrap/>
              <w:overflowPunct/>
              <w:topLinePunct w:val="0"/>
              <w:autoSpaceDE/>
              <w:autoSpaceDN/>
              <w:bidi w:val="0"/>
              <w:adjustRightInd/>
              <w:snapToGrid w:val="0"/>
              <w:ind w:left="0" w:right="0"/>
              <w:jc w:val="center"/>
              <w:textAlignment w:val="auto"/>
              <w:outlineLvl w:val="9"/>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1200mm*900mm*1200mm</w:t>
            </w:r>
          </w:p>
        </w:tc>
        <w:tc>
          <w:tcPr>
            <w:tcW w:w="881" w:type="dxa"/>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个</w:t>
            </w:r>
          </w:p>
        </w:tc>
        <w:tc>
          <w:tcPr>
            <w:tcW w:w="1243"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1</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numPr>
                <w:ilvl w:val="0"/>
                <w:numId w:val="0"/>
              </w:numPr>
              <w:kinsoku/>
              <w:wordWrap/>
              <w:overflowPunct/>
              <w:topLinePunct w:val="0"/>
              <w:autoSpaceDE/>
              <w:autoSpaceDN/>
              <w:bidi w:val="0"/>
              <w:adjustRightInd/>
              <w:snapToGrid w:val="0"/>
              <w:ind w:left="0" w:leftChars="0" w:right="0" w:firstLine="0" w:firstLineChars="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6</w:t>
            </w:r>
          </w:p>
        </w:tc>
        <w:tc>
          <w:tcPr>
            <w:tcW w:w="2325" w:type="dxa"/>
            <w:tcMar>
              <w:left w:w="0" w:type="dxa"/>
              <w:right w:w="0" w:type="dxa"/>
            </w:tcMar>
            <w:vAlign w:val="center"/>
          </w:tcPr>
          <w:p>
            <w:pPr>
              <w:pStyle w:val="129"/>
              <w:keepNext w:val="0"/>
              <w:keepLines w:val="0"/>
              <w:pageBreakBefore w:val="0"/>
              <w:kinsoku/>
              <w:wordWrap/>
              <w:overflowPunct/>
              <w:topLinePunct w:val="0"/>
              <w:autoSpaceDE/>
              <w:autoSpaceDN/>
              <w:bidi w:val="0"/>
              <w:snapToGrid w:val="0"/>
              <w:spacing w:before="62"/>
              <w:ind w:left="0" w:leftChars="0" w:right="0" w:rightChars="0"/>
              <w:jc w:val="center"/>
              <w:rPr>
                <w:rFonts w:hint="default" w:ascii="Times New Roman" w:hAnsi="Times New Roman" w:cs="Times New Roman"/>
                <w:color w:val="auto"/>
                <w:kern w:val="0"/>
                <w:sz w:val="21"/>
                <w:szCs w:val="21"/>
                <w:highlight w:val="none"/>
                <w:lang w:eastAsia="zh-CN"/>
              </w:rPr>
            </w:pPr>
            <w:r>
              <w:rPr>
                <w:rFonts w:hint="default" w:ascii="Times New Roman" w:hAnsi="Times New Roman" w:cs="Times New Roman"/>
                <w:color w:val="auto"/>
                <w:sz w:val="21"/>
                <w:szCs w:val="21"/>
                <w:highlight w:val="none"/>
              </w:rPr>
              <w:t>水洗槽</w:t>
            </w:r>
          </w:p>
        </w:tc>
        <w:tc>
          <w:tcPr>
            <w:tcW w:w="3281" w:type="dxa"/>
            <w:vAlign w:val="center"/>
          </w:tcPr>
          <w:p>
            <w:pPr>
              <w:keepNext w:val="0"/>
              <w:keepLines w:val="0"/>
              <w:pageBreakBefore w:val="0"/>
              <w:widowControl w:val="0"/>
              <w:kinsoku/>
              <w:wordWrap/>
              <w:overflowPunct/>
              <w:topLinePunct w:val="0"/>
              <w:autoSpaceDE/>
              <w:autoSpaceDN/>
              <w:bidi w:val="0"/>
              <w:adjustRightInd/>
              <w:snapToGrid w:val="0"/>
              <w:ind w:left="0" w:right="0"/>
              <w:jc w:val="center"/>
              <w:textAlignment w:val="auto"/>
              <w:outlineLvl w:val="9"/>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1200mm*900mm*1200mm</w:t>
            </w:r>
          </w:p>
        </w:tc>
        <w:tc>
          <w:tcPr>
            <w:tcW w:w="881" w:type="dxa"/>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个</w:t>
            </w:r>
          </w:p>
        </w:tc>
        <w:tc>
          <w:tcPr>
            <w:tcW w:w="1243"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3</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numPr>
                <w:ilvl w:val="0"/>
                <w:numId w:val="0"/>
              </w:numPr>
              <w:kinsoku/>
              <w:wordWrap/>
              <w:overflowPunct/>
              <w:topLinePunct w:val="0"/>
              <w:autoSpaceDE/>
              <w:autoSpaceDN/>
              <w:bidi w:val="0"/>
              <w:adjustRightInd/>
              <w:snapToGrid w:val="0"/>
              <w:ind w:left="0" w:leftChars="0" w:right="0" w:firstLine="0" w:firstLineChars="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7</w:t>
            </w:r>
          </w:p>
        </w:tc>
        <w:tc>
          <w:tcPr>
            <w:tcW w:w="2325" w:type="dxa"/>
            <w:tcMar>
              <w:left w:w="0" w:type="dxa"/>
              <w:right w:w="0" w:type="dxa"/>
            </w:tcMar>
            <w:vAlign w:val="center"/>
          </w:tcPr>
          <w:p>
            <w:pPr>
              <w:pStyle w:val="129"/>
              <w:keepNext w:val="0"/>
              <w:keepLines w:val="0"/>
              <w:pageBreakBefore w:val="0"/>
              <w:kinsoku/>
              <w:wordWrap/>
              <w:overflowPunct/>
              <w:topLinePunct w:val="0"/>
              <w:autoSpaceDE/>
              <w:autoSpaceDN/>
              <w:bidi w:val="0"/>
              <w:snapToGrid w:val="0"/>
              <w:spacing w:before="53"/>
              <w:ind w:left="0" w:leftChars="0" w:right="0" w:rightChars="0"/>
              <w:jc w:val="center"/>
              <w:rPr>
                <w:rFonts w:hint="default" w:ascii="Times New Roman" w:hAnsi="Times New Roman" w:cs="Times New Roman"/>
                <w:color w:val="auto"/>
                <w:kern w:val="0"/>
                <w:sz w:val="21"/>
                <w:szCs w:val="21"/>
                <w:highlight w:val="none"/>
                <w:lang w:eastAsia="zh-CN"/>
              </w:rPr>
            </w:pPr>
            <w:r>
              <w:rPr>
                <w:rFonts w:hint="default" w:ascii="Times New Roman" w:hAnsi="Times New Roman" w:cs="Times New Roman"/>
                <w:color w:val="auto"/>
                <w:sz w:val="21"/>
                <w:szCs w:val="21"/>
                <w:highlight w:val="none"/>
              </w:rPr>
              <w:t>镀锌槽</w:t>
            </w:r>
            <w:r>
              <w:rPr>
                <w:rFonts w:hint="default" w:ascii="Times New Roman" w:hAnsi="Times New Roman" w:eastAsia="Segoe UI"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12</w:t>
            </w:r>
            <w:r>
              <w:rPr>
                <w:rFonts w:hint="default" w:ascii="Times New Roman" w:hAnsi="Times New Roman" w:cs="Times New Roman"/>
                <w:color w:val="auto"/>
                <w:sz w:val="21"/>
                <w:szCs w:val="21"/>
                <w:highlight w:val="none"/>
              </w:rPr>
              <w:t>工位</w:t>
            </w:r>
            <w:r>
              <w:rPr>
                <w:rFonts w:hint="default" w:ascii="Times New Roman" w:hAnsi="Times New Roman" w:eastAsia="Segoe UI" w:cs="Times New Roman"/>
                <w:color w:val="auto"/>
                <w:sz w:val="21"/>
                <w:szCs w:val="21"/>
                <w:highlight w:val="none"/>
              </w:rPr>
              <w:t>)</w:t>
            </w:r>
          </w:p>
        </w:tc>
        <w:tc>
          <w:tcPr>
            <w:tcW w:w="3281" w:type="dxa"/>
            <w:vAlign w:val="center"/>
          </w:tcPr>
          <w:p>
            <w:pPr>
              <w:keepNext w:val="0"/>
              <w:keepLines w:val="0"/>
              <w:pageBreakBefore w:val="0"/>
              <w:widowControl w:val="0"/>
              <w:kinsoku/>
              <w:wordWrap/>
              <w:overflowPunct/>
              <w:topLinePunct w:val="0"/>
              <w:autoSpaceDE/>
              <w:autoSpaceDN/>
              <w:bidi w:val="0"/>
              <w:adjustRightInd/>
              <w:snapToGrid w:val="0"/>
              <w:ind w:left="0" w:right="0"/>
              <w:jc w:val="center"/>
              <w:textAlignment w:val="auto"/>
              <w:outlineLvl w:val="9"/>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1200mm*900mm*1200mm</w:t>
            </w:r>
          </w:p>
        </w:tc>
        <w:tc>
          <w:tcPr>
            <w:tcW w:w="881" w:type="dxa"/>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个</w:t>
            </w:r>
          </w:p>
        </w:tc>
        <w:tc>
          <w:tcPr>
            <w:tcW w:w="1243"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12</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numPr>
                <w:ilvl w:val="0"/>
                <w:numId w:val="0"/>
              </w:numPr>
              <w:kinsoku/>
              <w:wordWrap/>
              <w:overflowPunct/>
              <w:topLinePunct w:val="0"/>
              <w:autoSpaceDE/>
              <w:autoSpaceDN/>
              <w:bidi w:val="0"/>
              <w:adjustRightInd/>
              <w:snapToGrid w:val="0"/>
              <w:ind w:left="0" w:leftChars="0" w:right="0" w:firstLine="0" w:firstLineChars="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8</w:t>
            </w:r>
          </w:p>
        </w:tc>
        <w:tc>
          <w:tcPr>
            <w:tcW w:w="2325" w:type="dxa"/>
            <w:tcMar>
              <w:left w:w="0" w:type="dxa"/>
              <w:right w:w="0" w:type="dxa"/>
            </w:tcMar>
            <w:vAlign w:val="center"/>
          </w:tcPr>
          <w:p>
            <w:pPr>
              <w:pStyle w:val="129"/>
              <w:keepNext w:val="0"/>
              <w:keepLines w:val="0"/>
              <w:pageBreakBefore w:val="0"/>
              <w:kinsoku/>
              <w:wordWrap/>
              <w:overflowPunct/>
              <w:topLinePunct w:val="0"/>
              <w:autoSpaceDE/>
              <w:autoSpaceDN/>
              <w:bidi w:val="0"/>
              <w:snapToGrid w:val="0"/>
              <w:spacing w:before="64"/>
              <w:ind w:left="0" w:leftChars="0" w:right="0" w:rightChars="0"/>
              <w:jc w:val="center"/>
              <w:rPr>
                <w:rFonts w:hint="default" w:ascii="Times New Roman" w:hAnsi="Times New Roman" w:cs="Times New Roman"/>
                <w:color w:val="auto"/>
                <w:kern w:val="0"/>
                <w:sz w:val="21"/>
                <w:szCs w:val="21"/>
                <w:highlight w:val="none"/>
                <w:lang w:eastAsia="zh-CN"/>
              </w:rPr>
            </w:pPr>
            <w:r>
              <w:rPr>
                <w:rFonts w:hint="default" w:ascii="Times New Roman" w:hAnsi="Times New Roman" w:cs="Times New Roman"/>
                <w:color w:val="auto"/>
                <w:sz w:val="21"/>
                <w:szCs w:val="21"/>
                <w:highlight w:val="none"/>
                <w:lang w:eastAsia="zh-CN"/>
              </w:rPr>
              <w:t>水洗</w:t>
            </w:r>
          </w:p>
        </w:tc>
        <w:tc>
          <w:tcPr>
            <w:tcW w:w="3281" w:type="dxa"/>
            <w:vAlign w:val="center"/>
          </w:tcPr>
          <w:p>
            <w:pPr>
              <w:keepNext w:val="0"/>
              <w:keepLines w:val="0"/>
              <w:pageBreakBefore w:val="0"/>
              <w:widowControl w:val="0"/>
              <w:kinsoku/>
              <w:wordWrap/>
              <w:overflowPunct/>
              <w:topLinePunct w:val="0"/>
              <w:autoSpaceDE/>
              <w:autoSpaceDN/>
              <w:bidi w:val="0"/>
              <w:adjustRightInd/>
              <w:snapToGrid w:val="0"/>
              <w:ind w:left="0" w:right="0"/>
              <w:jc w:val="center"/>
              <w:textAlignment w:val="auto"/>
              <w:outlineLvl w:val="9"/>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1200mm*900mm*1200mm</w:t>
            </w:r>
          </w:p>
        </w:tc>
        <w:tc>
          <w:tcPr>
            <w:tcW w:w="881" w:type="dxa"/>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个</w:t>
            </w:r>
          </w:p>
        </w:tc>
        <w:tc>
          <w:tcPr>
            <w:tcW w:w="1243"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numPr>
                <w:ilvl w:val="0"/>
                <w:numId w:val="0"/>
              </w:numPr>
              <w:kinsoku/>
              <w:wordWrap/>
              <w:overflowPunct/>
              <w:topLinePunct w:val="0"/>
              <w:autoSpaceDE/>
              <w:autoSpaceDN/>
              <w:bidi w:val="0"/>
              <w:adjustRightInd/>
              <w:snapToGrid w:val="0"/>
              <w:ind w:left="0" w:leftChars="0" w:right="0" w:firstLine="0" w:firstLineChars="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9</w:t>
            </w:r>
          </w:p>
        </w:tc>
        <w:tc>
          <w:tcPr>
            <w:tcW w:w="2325" w:type="dxa"/>
            <w:tcMar>
              <w:left w:w="0" w:type="dxa"/>
              <w:right w:w="0" w:type="dxa"/>
            </w:tcMar>
            <w:vAlign w:val="center"/>
          </w:tcPr>
          <w:p>
            <w:pPr>
              <w:pStyle w:val="129"/>
              <w:keepNext w:val="0"/>
              <w:keepLines w:val="0"/>
              <w:pageBreakBefore w:val="0"/>
              <w:kinsoku/>
              <w:wordWrap/>
              <w:overflowPunct/>
              <w:topLinePunct w:val="0"/>
              <w:autoSpaceDE/>
              <w:autoSpaceDN/>
              <w:bidi w:val="0"/>
              <w:snapToGrid w:val="0"/>
              <w:spacing w:before="64"/>
              <w:ind w:left="0" w:leftChars="0" w:right="0" w:rightChars="0"/>
              <w:jc w:val="center"/>
              <w:rPr>
                <w:rFonts w:hint="default" w:ascii="Times New Roman" w:hAnsi="Times New Roman" w:cs="Times New Roman"/>
                <w:color w:val="auto"/>
                <w:kern w:val="0"/>
                <w:sz w:val="21"/>
                <w:szCs w:val="21"/>
                <w:highlight w:val="none"/>
                <w:lang w:eastAsia="zh-CN"/>
              </w:rPr>
            </w:pPr>
            <w:r>
              <w:rPr>
                <w:rFonts w:hint="default" w:ascii="Times New Roman" w:hAnsi="Times New Roman" w:cs="Times New Roman"/>
                <w:color w:val="auto"/>
                <w:sz w:val="21"/>
                <w:szCs w:val="21"/>
                <w:highlight w:val="none"/>
              </w:rPr>
              <w:t>移动水槽</w:t>
            </w:r>
          </w:p>
        </w:tc>
        <w:tc>
          <w:tcPr>
            <w:tcW w:w="3281" w:type="dxa"/>
            <w:vAlign w:val="center"/>
          </w:tcPr>
          <w:p>
            <w:pPr>
              <w:keepNext w:val="0"/>
              <w:keepLines w:val="0"/>
              <w:pageBreakBefore w:val="0"/>
              <w:widowControl w:val="0"/>
              <w:kinsoku/>
              <w:wordWrap/>
              <w:overflowPunct/>
              <w:topLinePunct w:val="0"/>
              <w:autoSpaceDE/>
              <w:autoSpaceDN/>
              <w:bidi w:val="0"/>
              <w:adjustRightInd/>
              <w:snapToGrid w:val="0"/>
              <w:ind w:left="0" w:right="0"/>
              <w:jc w:val="center"/>
              <w:textAlignment w:val="auto"/>
              <w:outlineLvl w:val="9"/>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1200mm*900mm*1200mm</w:t>
            </w:r>
          </w:p>
        </w:tc>
        <w:tc>
          <w:tcPr>
            <w:tcW w:w="881" w:type="dxa"/>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个</w:t>
            </w:r>
          </w:p>
        </w:tc>
        <w:tc>
          <w:tcPr>
            <w:tcW w:w="1243"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1</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numPr>
                <w:ilvl w:val="0"/>
                <w:numId w:val="0"/>
              </w:numPr>
              <w:kinsoku/>
              <w:wordWrap/>
              <w:overflowPunct/>
              <w:topLinePunct w:val="0"/>
              <w:autoSpaceDE/>
              <w:autoSpaceDN/>
              <w:bidi w:val="0"/>
              <w:adjustRightInd/>
              <w:snapToGrid w:val="0"/>
              <w:ind w:left="0" w:leftChars="0" w:right="0" w:firstLine="0" w:firstLineChars="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10</w:t>
            </w:r>
          </w:p>
        </w:tc>
        <w:tc>
          <w:tcPr>
            <w:tcW w:w="2325" w:type="dxa"/>
            <w:tcMar>
              <w:left w:w="0" w:type="dxa"/>
              <w:right w:w="0" w:type="dxa"/>
            </w:tcMar>
            <w:vAlign w:val="center"/>
          </w:tcPr>
          <w:p>
            <w:pPr>
              <w:pStyle w:val="129"/>
              <w:keepNext w:val="0"/>
              <w:keepLines w:val="0"/>
              <w:pageBreakBefore w:val="0"/>
              <w:kinsoku/>
              <w:wordWrap/>
              <w:overflowPunct/>
              <w:topLinePunct w:val="0"/>
              <w:autoSpaceDE/>
              <w:autoSpaceDN/>
              <w:bidi w:val="0"/>
              <w:snapToGrid w:val="0"/>
              <w:spacing w:before="62"/>
              <w:ind w:left="0" w:leftChars="0" w:right="0" w:rightChars="0"/>
              <w:jc w:val="center"/>
              <w:rPr>
                <w:rFonts w:hint="default" w:ascii="Times New Roman" w:hAnsi="Times New Roman" w:cs="Times New Roman"/>
                <w:color w:val="auto"/>
                <w:kern w:val="0"/>
                <w:sz w:val="21"/>
                <w:szCs w:val="21"/>
                <w:highlight w:val="none"/>
                <w:lang w:eastAsia="zh-CN"/>
              </w:rPr>
            </w:pPr>
            <w:r>
              <w:rPr>
                <w:rFonts w:hint="default" w:ascii="Times New Roman" w:hAnsi="Times New Roman" w:cs="Times New Roman"/>
                <w:color w:val="auto"/>
                <w:sz w:val="21"/>
                <w:szCs w:val="21"/>
                <w:highlight w:val="none"/>
              </w:rPr>
              <w:t>出光槽</w:t>
            </w:r>
          </w:p>
        </w:tc>
        <w:tc>
          <w:tcPr>
            <w:tcW w:w="3281" w:type="dxa"/>
            <w:vAlign w:val="center"/>
          </w:tcPr>
          <w:p>
            <w:pPr>
              <w:keepNext w:val="0"/>
              <w:keepLines w:val="0"/>
              <w:pageBreakBefore w:val="0"/>
              <w:widowControl w:val="0"/>
              <w:kinsoku/>
              <w:wordWrap/>
              <w:overflowPunct/>
              <w:topLinePunct w:val="0"/>
              <w:autoSpaceDE/>
              <w:autoSpaceDN/>
              <w:bidi w:val="0"/>
              <w:adjustRightInd/>
              <w:snapToGrid w:val="0"/>
              <w:ind w:left="0" w:right="0"/>
              <w:jc w:val="center"/>
              <w:textAlignment w:val="auto"/>
              <w:outlineLvl w:val="9"/>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1200mm*900mm*1200mm</w:t>
            </w:r>
          </w:p>
        </w:tc>
        <w:tc>
          <w:tcPr>
            <w:tcW w:w="881" w:type="dxa"/>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个</w:t>
            </w:r>
          </w:p>
        </w:tc>
        <w:tc>
          <w:tcPr>
            <w:tcW w:w="1243"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1</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numPr>
                <w:ilvl w:val="0"/>
                <w:numId w:val="0"/>
              </w:numPr>
              <w:kinsoku/>
              <w:wordWrap/>
              <w:overflowPunct/>
              <w:topLinePunct w:val="0"/>
              <w:autoSpaceDE/>
              <w:autoSpaceDN/>
              <w:bidi w:val="0"/>
              <w:adjustRightInd/>
              <w:snapToGrid w:val="0"/>
              <w:ind w:left="0" w:leftChars="0" w:right="0" w:firstLine="0" w:firstLineChars="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11</w:t>
            </w:r>
          </w:p>
        </w:tc>
        <w:tc>
          <w:tcPr>
            <w:tcW w:w="2325" w:type="dxa"/>
            <w:tcMar>
              <w:left w:w="0" w:type="dxa"/>
              <w:right w:w="0" w:type="dxa"/>
            </w:tcMar>
            <w:vAlign w:val="center"/>
          </w:tcPr>
          <w:p>
            <w:pPr>
              <w:pStyle w:val="129"/>
              <w:keepNext w:val="0"/>
              <w:keepLines w:val="0"/>
              <w:pageBreakBefore w:val="0"/>
              <w:kinsoku/>
              <w:wordWrap/>
              <w:overflowPunct/>
              <w:topLinePunct w:val="0"/>
              <w:autoSpaceDE/>
              <w:autoSpaceDN/>
              <w:bidi w:val="0"/>
              <w:snapToGrid w:val="0"/>
              <w:spacing w:before="63"/>
              <w:ind w:left="0" w:leftChars="0" w:right="0" w:rightChars="0"/>
              <w:jc w:val="center"/>
              <w:rPr>
                <w:rFonts w:hint="default" w:ascii="Times New Roman" w:hAnsi="Times New Roman" w:cs="Times New Roman"/>
                <w:color w:val="auto"/>
                <w:kern w:val="0"/>
                <w:sz w:val="21"/>
                <w:szCs w:val="21"/>
                <w:highlight w:val="none"/>
                <w:lang w:eastAsia="zh-CN"/>
              </w:rPr>
            </w:pPr>
            <w:r>
              <w:rPr>
                <w:rFonts w:hint="default" w:ascii="Times New Roman" w:hAnsi="Times New Roman" w:cs="Times New Roman"/>
                <w:color w:val="auto"/>
                <w:sz w:val="21"/>
                <w:szCs w:val="21"/>
                <w:highlight w:val="none"/>
              </w:rPr>
              <w:t>水洗槽</w:t>
            </w:r>
          </w:p>
        </w:tc>
        <w:tc>
          <w:tcPr>
            <w:tcW w:w="3281" w:type="dxa"/>
            <w:vAlign w:val="center"/>
          </w:tcPr>
          <w:p>
            <w:pPr>
              <w:keepNext w:val="0"/>
              <w:keepLines w:val="0"/>
              <w:pageBreakBefore w:val="0"/>
              <w:widowControl w:val="0"/>
              <w:kinsoku/>
              <w:wordWrap/>
              <w:overflowPunct/>
              <w:topLinePunct w:val="0"/>
              <w:autoSpaceDE/>
              <w:autoSpaceDN/>
              <w:bidi w:val="0"/>
              <w:adjustRightInd/>
              <w:snapToGrid w:val="0"/>
              <w:ind w:left="0" w:right="0"/>
              <w:jc w:val="center"/>
              <w:textAlignment w:val="auto"/>
              <w:outlineLvl w:val="9"/>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1200mm*900mm*1200mm</w:t>
            </w:r>
          </w:p>
        </w:tc>
        <w:tc>
          <w:tcPr>
            <w:tcW w:w="881" w:type="dxa"/>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个</w:t>
            </w:r>
          </w:p>
        </w:tc>
        <w:tc>
          <w:tcPr>
            <w:tcW w:w="1243"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1</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numPr>
                <w:ilvl w:val="0"/>
                <w:numId w:val="0"/>
              </w:numPr>
              <w:kinsoku/>
              <w:wordWrap/>
              <w:overflowPunct/>
              <w:topLinePunct w:val="0"/>
              <w:autoSpaceDE/>
              <w:autoSpaceDN/>
              <w:bidi w:val="0"/>
              <w:adjustRightInd/>
              <w:snapToGrid w:val="0"/>
              <w:ind w:left="0" w:leftChars="0" w:right="0" w:firstLine="0" w:firstLineChars="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12</w:t>
            </w:r>
          </w:p>
        </w:tc>
        <w:tc>
          <w:tcPr>
            <w:tcW w:w="2325" w:type="dxa"/>
            <w:tcMar>
              <w:left w:w="0" w:type="dxa"/>
              <w:right w:w="0" w:type="dxa"/>
            </w:tcMar>
            <w:vAlign w:val="center"/>
          </w:tcPr>
          <w:p>
            <w:pPr>
              <w:pStyle w:val="129"/>
              <w:keepNext w:val="0"/>
              <w:keepLines w:val="0"/>
              <w:pageBreakBefore w:val="0"/>
              <w:kinsoku/>
              <w:wordWrap/>
              <w:overflowPunct/>
              <w:topLinePunct w:val="0"/>
              <w:autoSpaceDE/>
              <w:autoSpaceDN/>
              <w:bidi w:val="0"/>
              <w:snapToGrid w:val="0"/>
              <w:spacing w:before="62"/>
              <w:ind w:left="0" w:leftChars="0" w:right="0" w:rightChars="0"/>
              <w:jc w:val="center"/>
              <w:rPr>
                <w:rFonts w:hint="default" w:ascii="Times New Roman" w:hAnsi="Times New Roman" w:cs="Times New Roman"/>
                <w:color w:val="auto"/>
                <w:kern w:val="0"/>
                <w:sz w:val="21"/>
                <w:szCs w:val="21"/>
                <w:highlight w:val="none"/>
                <w:lang w:eastAsia="zh-CN"/>
              </w:rPr>
            </w:pPr>
            <w:r>
              <w:rPr>
                <w:rFonts w:hint="default" w:ascii="Times New Roman" w:hAnsi="Times New Roman" w:cs="Times New Roman"/>
                <w:color w:val="auto"/>
                <w:sz w:val="21"/>
                <w:szCs w:val="21"/>
                <w:highlight w:val="none"/>
              </w:rPr>
              <w:t>蓝白色钝化槽</w:t>
            </w:r>
          </w:p>
        </w:tc>
        <w:tc>
          <w:tcPr>
            <w:tcW w:w="3281" w:type="dxa"/>
            <w:vAlign w:val="center"/>
          </w:tcPr>
          <w:p>
            <w:pPr>
              <w:keepNext w:val="0"/>
              <w:keepLines w:val="0"/>
              <w:pageBreakBefore w:val="0"/>
              <w:widowControl w:val="0"/>
              <w:kinsoku/>
              <w:wordWrap/>
              <w:overflowPunct/>
              <w:topLinePunct w:val="0"/>
              <w:autoSpaceDE/>
              <w:autoSpaceDN/>
              <w:bidi w:val="0"/>
              <w:adjustRightInd/>
              <w:snapToGrid w:val="0"/>
              <w:ind w:left="0" w:right="0"/>
              <w:jc w:val="center"/>
              <w:textAlignment w:val="auto"/>
              <w:outlineLvl w:val="9"/>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1200mm*900mm*1200mm</w:t>
            </w:r>
          </w:p>
        </w:tc>
        <w:tc>
          <w:tcPr>
            <w:tcW w:w="881" w:type="dxa"/>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个</w:t>
            </w:r>
          </w:p>
        </w:tc>
        <w:tc>
          <w:tcPr>
            <w:tcW w:w="1243"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numPr>
                <w:ilvl w:val="0"/>
                <w:numId w:val="0"/>
              </w:numPr>
              <w:kinsoku/>
              <w:wordWrap/>
              <w:overflowPunct/>
              <w:topLinePunct w:val="0"/>
              <w:autoSpaceDE/>
              <w:autoSpaceDN/>
              <w:bidi w:val="0"/>
              <w:adjustRightInd/>
              <w:snapToGrid w:val="0"/>
              <w:ind w:left="0" w:leftChars="0" w:right="0" w:firstLine="0" w:firstLineChars="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13</w:t>
            </w:r>
          </w:p>
        </w:tc>
        <w:tc>
          <w:tcPr>
            <w:tcW w:w="2325" w:type="dxa"/>
            <w:tcMar>
              <w:left w:w="0" w:type="dxa"/>
              <w:right w:w="0" w:type="dxa"/>
            </w:tcMar>
            <w:vAlign w:val="center"/>
          </w:tcPr>
          <w:p>
            <w:pPr>
              <w:pStyle w:val="129"/>
              <w:keepNext w:val="0"/>
              <w:keepLines w:val="0"/>
              <w:pageBreakBefore w:val="0"/>
              <w:kinsoku/>
              <w:wordWrap/>
              <w:overflowPunct/>
              <w:topLinePunct w:val="0"/>
              <w:autoSpaceDE/>
              <w:autoSpaceDN/>
              <w:bidi w:val="0"/>
              <w:snapToGrid w:val="0"/>
              <w:spacing w:before="63"/>
              <w:ind w:left="0" w:leftChars="0" w:right="0" w:rightChars="0"/>
              <w:jc w:val="center"/>
              <w:rPr>
                <w:rFonts w:hint="default" w:ascii="Times New Roman" w:hAnsi="Times New Roman" w:cs="Times New Roman"/>
                <w:color w:val="auto"/>
                <w:kern w:val="0"/>
                <w:sz w:val="21"/>
                <w:szCs w:val="21"/>
                <w:highlight w:val="none"/>
                <w:lang w:eastAsia="zh-CN"/>
              </w:rPr>
            </w:pPr>
            <w:r>
              <w:rPr>
                <w:rFonts w:hint="default" w:ascii="Times New Roman" w:hAnsi="Times New Roman" w:cs="Times New Roman"/>
                <w:color w:val="auto"/>
                <w:sz w:val="21"/>
                <w:szCs w:val="21"/>
                <w:highlight w:val="none"/>
              </w:rPr>
              <w:t>彩色钝化槽</w:t>
            </w:r>
          </w:p>
        </w:tc>
        <w:tc>
          <w:tcPr>
            <w:tcW w:w="3281" w:type="dxa"/>
            <w:vAlign w:val="center"/>
          </w:tcPr>
          <w:p>
            <w:pPr>
              <w:keepNext w:val="0"/>
              <w:keepLines w:val="0"/>
              <w:pageBreakBefore w:val="0"/>
              <w:widowControl w:val="0"/>
              <w:kinsoku/>
              <w:wordWrap/>
              <w:overflowPunct/>
              <w:topLinePunct w:val="0"/>
              <w:autoSpaceDE/>
              <w:autoSpaceDN/>
              <w:bidi w:val="0"/>
              <w:adjustRightInd/>
              <w:snapToGrid w:val="0"/>
              <w:ind w:left="0" w:right="0"/>
              <w:jc w:val="center"/>
              <w:textAlignment w:val="auto"/>
              <w:outlineLvl w:val="9"/>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1200mm*900mm*1200mm</w:t>
            </w:r>
          </w:p>
        </w:tc>
        <w:tc>
          <w:tcPr>
            <w:tcW w:w="881" w:type="dxa"/>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个</w:t>
            </w:r>
          </w:p>
        </w:tc>
        <w:tc>
          <w:tcPr>
            <w:tcW w:w="1243"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numPr>
                <w:ilvl w:val="0"/>
                <w:numId w:val="0"/>
              </w:numPr>
              <w:kinsoku/>
              <w:wordWrap/>
              <w:overflowPunct/>
              <w:topLinePunct w:val="0"/>
              <w:autoSpaceDE/>
              <w:autoSpaceDN/>
              <w:bidi w:val="0"/>
              <w:adjustRightInd/>
              <w:snapToGrid w:val="0"/>
              <w:ind w:left="0" w:leftChars="0" w:right="0" w:firstLine="0" w:firstLineChars="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14</w:t>
            </w:r>
          </w:p>
        </w:tc>
        <w:tc>
          <w:tcPr>
            <w:tcW w:w="2325" w:type="dxa"/>
            <w:tcMar>
              <w:left w:w="0" w:type="dxa"/>
              <w:right w:w="0" w:type="dxa"/>
            </w:tcMar>
            <w:vAlign w:val="center"/>
          </w:tcPr>
          <w:p>
            <w:pPr>
              <w:pStyle w:val="129"/>
              <w:keepNext w:val="0"/>
              <w:keepLines w:val="0"/>
              <w:pageBreakBefore w:val="0"/>
              <w:kinsoku/>
              <w:wordWrap/>
              <w:overflowPunct/>
              <w:topLinePunct w:val="0"/>
              <w:autoSpaceDE/>
              <w:autoSpaceDN/>
              <w:bidi w:val="0"/>
              <w:snapToGrid w:val="0"/>
              <w:spacing w:before="64"/>
              <w:ind w:left="0" w:leftChars="0" w:right="0" w:rightChars="0"/>
              <w:jc w:val="center"/>
              <w:rPr>
                <w:rFonts w:hint="default" w:ascii="Times New Roman" w:hAnsi="Times New Roman" w:cs="Times New Roman"/>
                <w:color w:val="auto"/>
                <w:kern w:val="0"/>
                <w:sz w:val="21"/>
                <w:szCs w:val="21"/>
                <w:highlight w:val="none"/>
                <w:lang w:eastAsia="zh-CN"/>
              </w:rPr>
            </w:pPr>
            <w:r>
              <w:rPr>
                <w:rFonts w:hint="default" w:ascii="Times New Roman" w:hAnsi="Times New Roman" w:cs="Times New Roman"/>
                <w:color w:val="auto"/>
                <w:sz w:val="21"/>
                <w:szCs w:val="21"/>
                <w:highlight w:val="none"/>
              </w:rPr>
              <w:t>水洗槽</w:t>
            </w:r>
          </w:p>
        </w:tc>
        <w:tc>
          <w:tcPr>
            <w:tcW w:w="3281" w:type="dxa"/>
            <w:vAlign w:val="center"/>
          </w:tcPr>
          <w:p>
            <w:pPr>
              <w:keepNext w:val="0"/>
              <w:keepLines w:val="0"/>
              <w:pageBreakBefore w:val="0"/>
              <w:widowControl w:val="0"/>
              <w:kinsoku/>
              <w:wordWrap/>
              <w:overflowPunct/>
              <w:topLinePunct w:val="0"/>
              <w:autoSpaceDE/>
              <w:autoSpaceDN/>
              <w:bidi w:val="0"/>
              <w:adjustRightInd/>
              <w:snapToGrid w:val="0"/>
              <w:ind w:left="0" w:right="0"/>
              <w:jc w:val="center"/>
              <w:textAlignment w:val="auto"/>
              <w:outlineLvl w:val="9"/>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1200mm*900mm*1200mm</w:t>
            </w:r>
          </w:p>
        </w:tc>
        <w:tc>
          <w:tcPr>
            <w:tcW w:w="881" w:type="dxa"/>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个</w:t>
            </w:r>
          </w:p>
        </w:tc>
        <w:tc>
          <w:tcPr>
            <w:tcW w:w="1243"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numPr>
                <w:ilvl w:val="0"/>
                <w:numId w:val="0"/>
              </w:numPr>
              <w:kinsoku/>
              <w:wordWrap/>
              <w:overflowPunct/>
              <w:topLinePunct w:val="0"/>
              <w:autoSpaceDE/>
              <w:autoSpaceDN/>
              <w:bidi w:val="0"/>
              <w:adjustRightInd/>
              <w:snapToGrid w:val="0"/>
              <w:ind w:left="0" w:leftChars="0" w:right="0" w:firstLine="0" w:firstLineChars="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15</w:t>
            </w:r>
          </w:p>
        </w:tc>
        <w:tc>
          <w:tcPr>
            <w:tcW w:w="2325" w:type="dxa"/>
            <w:tcMar>
              <w:left w:w="0" w:type="dxa"/>
              <w:right w:w="0" w:type="dxa"/>
            </w:tcMar>
            <w:vAlign w:val="center"/>
          </w:tcPr>
          <w:p>
            <w:pPr>
              <w:pStyle w:val="129"/>
              <w:keepNext w:val="0"/>
              <w:keepLines w:val="0"/>
              <w:pageBreakBefore w:val="0"/>
              <w:kinsoku/>
              <w:wordWrap/>
              <w:overflowPunct/>
              <w:topLinePunct w:val="0"/>
              <w:autoSpaceDE/>
              <w:autoSpaceDN/>
              <w:bidi w:val="0"/>
              <w:snapToGrid w:val="0"/>
              <w:spacing w:before="63"/>
              <w:ind w:left="0" w:leftChars="0" w:right="0" w:rightChars="0"/>
              <w:jc w:val="center"/>
              <w:rPr>
                <w:rFonts w:hint="default" w:ascii="Times New Roman" w:hAnsi="Times New Roman" w:cs="Times New Roman"/>
                <w:color w:val="auto"/>
                <w:kern w:val="0"/>
                <w:sz w:val="21"/>
                <w:szCs w:val="21"/>
                <w:highlight w:val="none"/>
                <w:lang w:eastAsia="zh-CN"/>
              </w:rPr>
            </w:pPr>
            <w:r>
              <w:rPr>
                <w:rFonts w:hint="default" w:ascii="Times New Roman" w:hAnsi="Times New Roman" w:cs="Times New Roman"/>
                <w:color w:val="auto"/>
                <w:sz w:val="21"/>
                <w:szCs w:val="21"/>
                <w:highlight w:val="none"/>
              </w:rPr>
              <w:t>热水槽</w:t>
            </w:r>
          </w:p>
        </w:tc>
        <w:tc>
          <w:tcPr>
            <w:tcW w:w="3281" w:type="dxa"/>
            <w:vAlign w:val="center"/>
          </w:tcPr>
          <w:p>
            <w:pPr>
              <w:keepNext w:val="0"/>
              <w:keepLines w:val="0"/>
              <w:pageBreakBefore w:val="0"/>
              <w:widowControl w:val="0"/>
              <w:kinsoku/>
              <w:wordWrap/>
              <w:overflowPunct/>
              <w:topLinePunct w:val="0"/>
              <w:autoSpaceDE/>
              <w:autoSpaceDN/>
              <w:bidi w:val="0"/>
              <w:adjustRightInd/>
              <w:snapToGrid w:val="0"/>
              <w:ind w:left="0" w:right="0"/>
              <w:jc w:val="center"/>
              <w:textAlignment w:val="auto"/>
              <w:outlineLvl w:val="9"/>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1200mm*900mm*1200mm</w:t>
            </w:r>
          </w:p>
        </w:tc>
        <w:tc>
          <w:tcPr>
            <w:tcW w:w="881" w:type="dxa"/>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个</w:t>
            </w:r>
          </w:p>
        </w:tc>
        <w:tc>
          <w:tcPr>
            <w:tcW w:w="1243"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1</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numPr>
                <w:ilvl w:val="0"/>
                <w:numId w:val="0"/>
              </w:numPr>
              <w:kinsoku/>
              <w:wordWrap/>
              <w:overflowPunct/>
              <w:topLinePunct w:val="0"/>
              <w:autoSpaceDE/>
              <w:autoSpaceDN/>
              <w:bidi w:val="0"/>
              <w:adjustRightInd/>
              <w:snapToGrid w:val="0"/>
              <w:ind w:left="0" w:leftChars="0" w:right="0" w:firstLine="0" w:firstLineChars="0"/>
              <w:jc w:val="center"/>
              <w:textAlignment w:val="auto"/>
              <w:outlineLvl w:val="9"/>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16</w:t>
            </w:r>
          </w:p>
        </w:tc>
        <w:tc>
          <w:tcPr>
            <w:tcW w:w="2325" w:type="dxa"/>
            <w:tcMar>
              <w:left w:w="0" w:type="dxa"/>
              <w:right w:w="0" w:type="dxa"/>
            </w:tcMar>
            <w:vAlign w:val="center"/>
          </w:tcPr>
          <w:p>
            <w:pPr>
              <w:pStyle w:val="129"/>
              <w:keepNext w:val="0"/>
              <w:keepLines w:val="0"/>
              <w:pageBreakBefore w:val="0"/>
              <w:kinsoku/>
              <w:wordWrap/>
              <w:overflowPunct/>
              <w:topLinePunct w:val="0"/>
              <w:autoSpaceDE/>
              <w:autoSpaceDN/>
              <w:bidi w:val="0"/>
              <w:snapToGrid w:val="0"/>
              <w:spacing w:before="64"/>
              <w:ind w:left="0" w:leftChars="0" w:right="0" w:rightChars="0"/>
              <w:jc w:val="center"/>
              <w:rPr>
                <w:rFonts w:hint="default" w:ascii="Times New Roman" w:hAnsi="Times New Roman" w:cs="Times New Roman"/>
                <w:color w:val="auto"/>
                <w:kern w:val="0"/>
                <w:sz w:val="21"/>
                <w:szCs w:val="21"/>
                <w:highlight w:val="none"/>
                <w:lang w:eastAsia="zh-CN"/>
              </w:rPr>
            </w:pPr>
            <w:r>
              <w:rPr>
                <w:rFonts w:hint="default" w:ascii="Times New Roman" w:hAnsi="Times New Roman" w:cs="Times New Roman"/>
                <w:color w:val="auto"/>
                <w:sz w:val="21"/>
                <w:szCs w:val="21"/>
                <w:highlight w:val="none"/>
              </w:rPr>
              <w:t>封闭槽</w:t>
            </w:r>
          </w:p>
        </w:tc>
        <w:tc>
          <w:tcPr>
            <w:tcW w:w="3281" w:type="dxa"/>
            <w:vAlign w:val="center"/>
          </w:tcPr>
          <w:p>
            <w:pPr>
              <w:keepNext w:val="0"/>
              <w:keepLines w:val="0"/>
              <w:pageBreakBefore w:val="0"/>
              <w:widowControl w:val="0"/>
              <w:kinsoku/>
              <w:wordWrap/>
              <w:overflowPunct/>
              <w:topLinePunct w:val="0"/>
              <w:autoSpaceDE/>
              <w:autoSpaceDN/>
              <w:bidi w:val="0"/>
              <w:adjustRightInd/>
              <w:snapToGrid w:val="0"/>
              <w:ind w:left="0" w:right="0"/>
              <w:jc w:val="center"/>
              <w:textAlignment w:val="auto"/>
              <w:outlineLvl w:val="9"/>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1200mm*900mm*1200mm</w:t>
            </w:r>
          </w:p>
        </w:tc>
        <w:tc>
          <w:tcPr>
            <w:tcW w:w="881" w:type="dxa"/>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个</w:t>
            </w:r>
          </w:p>
        </w:tc>
        <w:tc>
          <w:tcPr>
            <w:tcW w:w="1243"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1</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numPr>
                <w:ilvl w:val="0"/>
                <w:numId w:val="0"/>
              </w:numPr>
              <w:kinsoku/>
              <w:wordWrap/>
              <w:overflowPunct/>
              <w:topLinePunct w:val="0"/>
              <w:autoSpaceDE/>
              <w:autoSpaceDN/>
              <w:bidi w:val="0"/>
              <w:adjustRightInd/>
              <w:snapToGrid w:val="0"/>
              <w:ind w:left="0" w:leftChars="0" w:right="0" w:firstLine="0" w:firstLineChars="0"/>
              <w:jc w:val="center"/>
              <w:textAlignment w:val="auto"/>
              <w:outlineLvl w:val="9"/>
              <w:rPr>
                <w:rFonts w:hint="default" w:ascii="Times New Roman" w:hAnsi="Times New Roman" w:cs="Times New Roman"/>
                <w:color w:val="auto"/>
                <w:kern w:val="0"/>
                <w:sz w:val="21"/>
                <w:szCs w:val="21"/>
                <w:highlight w:val="none"/>
                <w:lang w:val="en-US"/>
              </w:rPr>
            </w:pPr>
            <w:r>
              <w:rPr>
                <w:rFonts w:hint="default" w:ascii="Times New Roman" w:hAnsi="Times New Roman" w:cs="Times New Roman"/>
                <w:color w:val="auto"/>
                <w:kern w:val="0"/>
                <w:sz w:val="21"/>
                <w:szCs w:val="21"/>
                <w:highlight w:val="none"/>
                <w:lang w:val="en-US" w:eastAsia="zh-CN"/>
              </w:rPr>
              <w:t>1</w:t>
            </w:r>
            <w:r>
              <w:rPr>
                <w:rFonts w:hint="eastAsia" w:cs="Times New Roman"/>
                <w:color w:val="auto"/>
                <w:kern w:val="0"/>
                <w:sz w:val="21"/>
                <w:szCs w:val="21"/>
                <w:highlight w:val="none"/>
                <w:lang w:val="en-US" w:eastAsia="zh-CN"/>
              </w:rPr>
              <w:t>7</w:t>
            </w:r>
          </w:p>
        </w:tc>
        <w:tc>
          <w:tcPr>
            <w:tcW w:w="2325"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酸雾净化塔</w:t>
            </w:r>
          </w:p>
        </w:tc>
        <w:tc>
          <w:tcPr>
            <w:tcW w:w="3281" w:type="dxa"/>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喷淋</w:t>
            </w:r>
          </w:p>
        </w:tc>
        <w:tc>
          <w:tcPr>
            <w:tcW w:w="881" w:type="dxa"/>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套</w:t>
            </w:r>
          </w:p>
        </w:tc>
        <w:tc>
          <w:tcPr>
            <w:tcW w:w="1243"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1</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numPr>
                <w:ilvl w:val="0"/>
                <w:numId w:val="0"/>
              </w:numPr>
              <w:kinsoku/>
              <w:wordWrap/>
              <w:overflowPunct/>
              <w:topLinePunct w:val="0"/>
              <w:autoSpaceDE/>
              <w:autoSpaceDN/>
              <w:bidi w:val="0"/>
              <w:adjustRightInd/>
              <w:snapToGrid w:val="0"/>
              <w:ind w:left="0" w:leftChars="0" w:right="0" w:firstLine="0" w:firstLineChars="0"/>
              <w:jc w:val="center"/>
              <w:textAlignment w:val="auto"/>
              <w:outlineLvl w:val="9"/>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18</w:t>
            </w:r>
          </w:p>
        </w:tc>
        <w:tc>
          <w:tcPr>
            <w:tcW w:w="2325" w:type="dxa"/>
            <w:tcMar>
              <w:left w:w="0" w:type="dxa"/>
              <w:right w:w="0" w:type="dxa"/>
            </w:tcMar>
            <w:vAlign w:val="center"/>
          </w:tcPr>
          <w:p>
            <w:pPr>
              <w:pStyle w:val="129"/>
              <w:keepNext w:val="0"/>
              <w:keepLines w:val="0"/>
              <w:pageBreakBefore w:val="0"/>
              <w:kinsoku/>
              <w:wordWrap/>
              <w:overflowPunct/>
              <w:topLinePunct w:val="0"/>
              <w:autoSpaceDE/>
              <w:autoSpaceDN/>
              <w:bidi w:val="0"/>
              <w:snapToGrid w:val="0"/>
              <w:spacing w:before="63"/>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整流器</w:t>
            </w:r>
          </w:p>
        </w:tc>
        <w:tc>
          <w:tcPr>
            <w:tcW w:w="3281" w:type="dxa"/>
            <w:vAlign w:val="center"/>
          </w:tcPr>
          <w:p>
            <w:pPr>
              <w:pStyle w:val="129"/>
              <w:keepNext w:val="0"/>
              <w:keepLines w:val="0"/>
              <w:pageBreakBefore w:val="0"/>
              <w:kinsoku/>
              <w:wordWrap/>
              <w:overflowPunct/>
              <w:topLinePunct w:val="0"/>
              <w:autoSpaceDE/>
              <w:autoSpaceDN/>
              <w:bidi w:val="0"/>
              <w:snapToGrid w:val="0"/>
              <w:spacing w:before="58"/>
              <w:ind w:left="0" w:leftChars="0" w:right="0" w:right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rPr>
              <w:t>1500</w:t>
            </w:r>
            <w:r>
              <w:rPr>
                <w:rFonts w:hint="default" w:ascii="Times New Roman" w:hAnsi="Times New Roman" w:cs="Times New Roman"/>
                <w:color w:val="auto"/>
                <w:sz w:val="21"/>
                <w:szCs w:val="21"/>
                <w:highlight w:val="none"/>
              </w:rPr>
              <w:t>A</w:t>
            </w:r>
          </w:p>
        </w:tc>
        <w:tc>
          <w:tcPr>
            <w:tcW w:w="881" w:type="dxa"/>
            <w:vAlign w:val="center"/>
          </w:tcPr>
          <w:p>
            <w:pPr>
              <w:pStyle w:val="129"/>
              <w:keepNext w:val="0"/>
              <w:keepLines w:val="0"/>
              <w:pageBreakBefore w:val="0"/>
              <w:kinsoku/>
              <w:wordWrap/>
              <w:overflowPunct/>
              <w:topLinePunct w:val="0"/>
              <w:autoSpaceDE/>
              <w:autoSpaceDN/>
              <w:bidi w:val="0"/>
              <w:snapToGrid w:val="0"/>
              <w:spacing w:before="63"/>
              <w:ind w:left="0" w:leftChars="0" w:right="0" w:right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w w:val="99"/>
                <w:sz w:val="21"/>
                <w:szCs w:val="21"/>
                <w:highlight w:val="none"/>
              </w:rPr>
              <w:t>个</w:t>
            </w:r>
          </w:p>
        </w:tc>
        <w:tc>
          <w:tcPr>
            <w:tcW w:w="1243" w:type="dxa"/>
            <w:tcMar>
              <w:left w:w="0" w:type="dxa"/>
              <w:right w:w="0" w:type="dxa"/>
            </w:tcMar>
            <w:vAlign w:val="center"/>
          </w:tcPr>
          <w:p>
            <w:pPr>
              <w:pStyle w:val="129"/>
              <w:keepNext w:val="0"/>
              <w:keepLines w:val="0"/>
              <w:pageBreakBefore w:val="0"/>
              <w:kinsoku/>
              <w:wordWrap/>
              <w:overflowPunct/>
              <w:topLinePunct w:val="0"/>
              <w:autoSpaceDE/>
              <w:autoSpaceDN/>
              <w:bidi w:val="0"/>
              <w:snapToGrid w:val="0"/>
              <w:spacing w:before="58"/>
              <w:ind w:left="0" w:leftChars="0" w:right="0" w:right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w w:val="99"/>
                <w:sz w:val="21"/>
                <w:szCs w:val="21"/>
                <w:highlight w:val="none"/>
                <w:lang w:val="en-US" w:eastAsia="zh-CN"/>
              </w:rPr>
              <w:t>5</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3" w:hRule="atLeast"/>
          <w:jc w:val="center"/>
        </w:trPr>
        <w:tc>
          <w:tcPr>
            <w:tcW w:w="786" w:type="dxa"/>
            <w:vMerge w:val="continue"/>
            <w:tcMar>
              <w:left w:w="0" w:type="dxa"/>
              <w:right w:w="0" w:type="dxa"/>
            </w:tcMar>
            <w:vAlign w:val="center"/>
          </w:tcPr>
          <w:p>
            <w:pPr>
              <w:keepNext w:val="0"/>
              <w:keepLines w:val="0"/>
              <w:pageBreakBefore w:val="0"/>
              <w:tabs>
                <w:tab w:val="left" w:pos="441"/>
              </w:tabs>
              <w:kinsoku/>
              <w:wordWrap/>
              <w:overflowPunct/>
              <w:topLinePunct w:val="0"/>
              <w:autoSpaceDE/>
              <w:autoSpaceDN/>
              <w:bidi w:val="0"/>
              <w:adjustRightInd/>
              <w:snapToGrid w:val="0"/>
              <w:ind w:left="0" w:right="0" w:firstLine="0"/>
              <w:jc w:val="center"/>
              <w:textAlignment w:val="auto"/>
              <w:outlineLvl w:val="9"/>
              <w:rPr>
                <w:rFonts w:hint="default" w:ascii="Times New Roman" w:hAnsi="Times New Roman" w:cs="Times New Roman"/>
                <w:color w:val="auto"/>
                <w:kern w:val="0"/>
                <w:sz w:val="21"/>
                <w:szCs w:val="21"/>
                <w:highlight w:val="none"/>
              </w:rPr>
            </w:pPr>
          </w:p>
        </w:tc>
        <w:tc>
          <w:tcPr>
            <w:tcW w:w="682" w:type="dxa"/>
            <w:tcMar>
              <w:left w:w="0" w:type="dxa"/>
              <w:right w:w="0" w:type="dxa"/>
            </w:tcMar>
            <w:vAlign w:val="center"/>
          </w:tcPr>
          <w:p>
            <w:pPr>
              <w:keepNext w:val="0"/>
              <w:keepLines w:val="0"/>
              <w:pageBreakBefore w:val="0"/>
              <w:numPr>
                <w:ilvl w:val="0"/>
                <w:numId w:val="0"/>
              </w:numPr>
              <w:kinsoku/>
              <w:wordWrap/>
              <w:overflowPunct/>
              <w:topLinePunct w:val="0"/>
              <w:autoSpaceDE/>
              <w:autoSpaceDN/>
              <w:bidi w:val="0"/>
              <w:adjustRightInd/>
              <w:snapToGrid w:val="0"/>
              <w:ind w:left="0" w:leftChars="0" w:right="0" w:firstLine="0" w:firstLineChars="0"/>
              <w:jc w:val="center"/>
              <w:textAlignment w:val="auto"/>
              <w:outlineLvl w:val="9"/>
              <w:rPr>
                <w:rFonts w:hint="default" w:ascii="Times New Roman" w:hAnsi="Times New Roman" w:cs="Times New Roman"/>
                <w:color w:val="auto"/>
                <w:kern w:val="0"/>
                <w:sz w:val="21"/>
                <w:szCs w:val="21"/>
                <w:highlight w:val="none"/>
                <w:lang w:val="en-US"/>
              </w:rPr>
            </w:pPr>
            <w:r>
              <w:rPr>
                <w:rFonts w:hint="eastAsia" w:cs="Times New Roman"/>
                <w:color w:val="auto"/>
                <w:kern w:val="0"/>
                <w:sz w:val="21"/>
                <w:szCs w:val="21"/>
                <w:highlight w:val="none"/>
                <w:lang w:val="en-US" w:eastAsia="zh-CN"/>
              </w:rPr>
              <w:t>19</w:t>
            </w:r>
          </w:p>
        </w:tc>
        <w:tc>
          <w:tcPr>
            <w:tcW w:w="2325" w:type="dxa"/>
            <w:tcMar>
              <w:left w:w="0" w:type="dxa"/>
              <w:right w:w="0" w:type="dxa"/>
            </w:tcMar>
            <w:vAlign w:val="center"/>
          </w:tcPr>
          <w:p>
            <w:pPr>
              <w:pStyle w:val="129"/>
              <w:keepNext w:val="0"/>
              <w:keepLines w:val="0"/>
              <w:pageBreakBefore w:val="0"/>
              <w:kinsoku/>
              <w:wordWrap/>
              <w:overflowPunct/>
              <w:topLinePunct w:val="0"/>
              <w:autoSpaceDE/>
              <w:autoSpaceDN/>
              <w:bidi w:val="0"/>
              <w:snapToGrid w:val="0"/>
              <w:spacing w:before="62"/>
              <w:ind w:left="0" w:leftChars="0" w:right="0" w:rightChars="0"/>
              <w:jc w:val="center"/>
              <w:rPr>
                <w:rFonts w:hint="default" w:ascii="Times New Roman" w:hAnsi="Times New Roman" w:cs="Times New Roman"/>
                <w:color w:val="auto"/>
                <w:kern w:val="0"/>
                <w:sz w:val="21"/>
                <w:szCs w:val="21"/>
                <w:highlight w:val="none"/>
                <w:lang w:eastAsia="zh-CN"/>
              </w:rPr>
            </w:pPr>
            <w:r>
              <w:rPr>
                <w:rFonts w:hint="default" w:ascii="Times New Roman" w:hAnsi="Times New Roman" w:cs="Times New Roman"/>
                <w:color w:val="auto"/>
                <w:sz w:val="21"/>
                <w:szCs w:val="21"/>
                <w:highlight w:val="none"/>
              </w:rPr>
              <w:t>甩干机</w:t>
            </w:r>
          </w:p>
        </w:tc>
        <w:tc>
          <w:tcPr>
            <w:tcW w:w="3281" w:type="dxa"/>
            <w:vAlign w:val="center"/>
          </w:tcPr>
          <w:p>
            <w:pPr>
              <w:keepNext w:val="0"/>
              <w:keepLines w:val="0"/>
              <w:pageBreakBefore w:val="0"/>
              <w:widowControl w:val="0"/>
              <w:kinsoku/>
              <w:wordWrap/>
              <w:overflowPunct/>
              <w:topLinePunct w:val="0"/>
              <w:autoSpaceDE/>
              <w:autoSpaceDN/>
              <w:bidi w:val="0"/>
              <w:adjustRightInd/>
              <w:snapToGrid w:val="0"/>
              <w:ind w:left="0" w:right="0"/>
              <w:jc w:val="center"/>
              <w:textAlignment w:val="auto"/>
              <w:outlineLvl w:val="9"/>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5.5KW</w:t>
            </w:r>
          </w:p>
        </w:tc>
        <w:tc>
          <w:tcPr>
            <w:tcW w:w="881" w:type="dxa"/>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台</w:t>
            </w:r>
          </w:p>
        </w:tc>
        <w:tc>
          <w:tcPr>
            <w:tcW w:w="1243" w:type="dxa"/>
            <w:tcMar>
              <w:left w:w="0" w:type="dxa"/>
              <w:right w:w="0" w:type="dxa"/>
            </w:tcMar>
            <w:vAlign w:val="center"/>
          </w:tcPr>
          <w:p>
            <w:pPr>
              <w:keepNext w:val="0"/>
              <w:keepLines w:val="0"/>
              <w:pageBreakBefore w:val="0"/>
              <w:kinsoku/>
              <w:wordWrap/>
              <w:overflowPunct/>
              <w:topLinePunct w:val="0"/>
              <w:autoSpaceDE/>
              <w:autoSpaceDN/>
              <w:bidi w:val="0"/>
              <w:snapToGrid w:val="0"/>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1</w:t>
            </w:r>
          </w:p>
        </w:tc>
      </w:tr>
    </w:tbl>
    <w:p>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2"/>
        <w:rPr>
          <w:rFonts w:hint="eastAsia" w:ascii="黑体" w:hAnsi="黑体" w:eastAsia="黑体" w:cs="Times New Roman"/>
          <w:color w:val="auto"/>
          <w:sz w:val="24"/>
          <w:highlight w:val="none"/>
        </w:rPr>
      </w:pPr>
      <w:r>
        <w:rPr>
          <w:rFonts w:hint="eastAsia" w:ascii="黑体" w:hAnsi="黑体" w:eastAsia="黑体" w:cs="Times New Roman"/>
          <w:color w:val="auto"/>
          <w:sz w:val="24"/>
          <w:highlight w:val="none"/>
        </w:rPr>
        <w:t>2.2.5项目公用工程</w:t>
      </w:r>
    </w:p>
    <w:p>
      <w:pPr>
        <w:pStyle w:val="104"/>
        <w:ind w:firstLine="472"/>
        <w:rPr>
          <w:color w:val="auto"/>
          <w:highlight w:val="none"/>
        </w:rPr>
      </w:pPr>
      <w:r>
        <w:rPr>
          <w:rFonts w:hint="eastAsia"/>
          <w:color w:val="auto"/>
          <w:highlight w:val="none"/>
        </w:rPr>
        <w:t>(1)给水</w:t>
      </w:r>
    </w:p>
    <w:p>
      <w:pPr>
        <w:pStyle w:val="104"/>
        <w:ind w:firstLine="472"/>
        <w:rPr>
          <w:color w:val="auto"/>
          <w:highlight w:val="none"/>
        </w:rPr>
      </w:pPr>
      <w:r>
        <w:rPr>
          <w:rFonts w:hint="eastAsia"/>
          <w:color w:val="auto"/>
          <w:highlight w:val="none"/>
        </w:rPr>
        <w:t>根据项目实际运行经验，项目用水主要为生产用水、生活用水。给水由</w:t>
      </w:r>
      <w:r>
        <w:rPr>
          <w:rFonts w:hint="eastAsia"/>
          <w:color w:val="auto"/>
          <w:highlight w:val="none"/>
          <w:lang w:val="en-US" w:eastAsia="zh-CN"/>
        </w:rPr>
        <w:t>西海岸新</w:t>
      </w:r>
      <w:r>
        <w:rPr>
          <w:rFonts w:hint="eastAsia"/>
          <w:color w:val="auto"/>
          <w:highlight w:val="none"/>
        </w:rPr>
        <w:t>区供水管网直接供给。</w:t>
      </w:r>
    </w:p>
    <w:p>
      <w:pPr>
        <w:pStyle w:val="104"/>
        <w:ind w:firstLine="480"/>
        <w:rPr>
          <w:color w:val="auto"/>
          <w:highlight w:val="none"/>
        </w:rPr>
      </w:pPr>
      <w:r>
        <w:rPr>
          <w:color w:val="auto"/>
          <w:highlight w:val="none"/>
        </w:rPr>
        <w:fldChar w:fldCharType="begin"/>
      </w:r>
      <w:r>
        <w:rPr>
          <w:color w:val="auto"/>
          <w:highlight w:val="none"/>
        </w:rPr>
        <w:instrText xml:space="preserve"> </w:instrText>
      </w:r>
      <w:r>
        <w:rPr>
          <w:rFonts w:hint="eastAsia"/>
          <w:color w:val="auto"/>
          <w:highlight w:val="none"/>
        </w:rPr>
        <w:instrText xml:space="preserve">= 1 \* GB3</w:instrText>
      </w:r>
      <w:r>
        <w:rPr>
          <w:color w:val="auto"/>
          <w:highlight w:val="none"/>
        </w:rPr>
        <w:instrText xml:space="preserve"> </w:instrText>
      </w:r>
      <w:r>
        <w:rPr>
          <w:color w:val="auto"/>
          <w:highlight w:val="none"/>
        </w:rPr>
        <w:fldChar w:fldCharType="separate"/>
      </w:r>
      <w:r>
        <w:rPr>
          <w:rFonts w:hint="eastAsia"/>
          <w:color w:val="auto"/>
          <w:highlight w:val="none"/>
        </w:rPr>
        <w:t>①</w:t>
      </w:r>
      <w:r>
        <w:rPr>
          <w:color w:val="auto"/>
          <w:highlight w:val="none"/>
        </w:rPr>
        <w:fldChar w:fldCharType="end"/>
      </w:r>
      <w:r>
        <w:rPr>
          <w:rFonts w:hint="eastAsia"/>
          <w:color w:val="auto"/>
          <w:highlight w:val="none"/>
        </w:rPr>
        <w:t>生产用水：根据企业实际运行经验，</w:t>
      </w:r>
      <w:r>
        <w:rPr>
          <w:bCs/>
          <w:color w:val="auto"/>
          <w:sz w:val="24"/>
          <w:highlight w:val="none"/>
        </w:rPr>
        <w:t>生产用水采用自来水和纯水，</w:t>
      </w:r>
      <w:r>
        <w:rPr>
          <w:rFonts w:hint="eastAsia"/>
          <w:bCs/>
          <w:color w:val="auto"/>
          <w:sz w:val="24"/>
          <w:highlight w:val="none"/>
        </w:rPr>
        <w:t>自来水</w:t>
      </w:r>
      <w:r>
        <w:rPr>
          <w:rFonts w:hint="eastAsia"/>
          <w:bCs/>
          <w:color w:val="auto"/>
          <w:sz w:val="24"/>
          <w:highlight w:val="none"/>
          <w:lang w:eastAsia="zh-CN"/>
        </w:rPr>
        <w:t>、</w:t>
      </w:r>
      <w:r>
        <w:rPr>
          <w:rFonts w:hint="eastAsia"/>
          <w:bCs/>
          <w:color w:val="auto"/>
          <w:sz w:val="24"/>
          <w:highlight w:val="none"/>
        </w:rPr>
        <w:t>纯水</w:t>
      </w:r>
      <w:r>
        <w:rPr>
          <w:rFonts w:hint="eastAsia"/>
          <w:bCs/>
          <w:color w:val="auto"/>
          <w:sz w:val="24"/>
          <w:highlight w:val="none"/>
          <w:lang w:val="en-US" w:eastAsia="zh-CN"/>
        </w:rPr>
        <w:t>均</w:t>
      </w:r>
      <w:r>
        <w:rPr>
          <w:bCs/>
          <w:color w:val="auto"/>
          <w:sz w:val="24"/>
          <w:highlight w:val="none"/>
        </w:rPr>
        <w:t>由</w:t>
      </w:r>
      <w:r>
        <w:rPr>
          <w:rFonts w:hint="eastAsia"/>
          <w:bCs/>
          <w:color w:val="auto"/>
          <w:sz w:val="24"/>
          <w:highlight w:val="none"/>
          <w:lang w:val="en-US" w:eastAsia="zh-CN"/>
        </w:rPr>
        <w:t>园区</w:t>
      </w:r>
      <w:r>
        <w:rPr>
          <w:bCs/>
          <w:color w:val="auto"/>
          <w:sz w:val="24"/>
          <w:highlight w:val="none"/>
        </w:rPr>
        <w:t>统一管道供给，生产用水用于槽液配制、水洗工序、废气处理补充用水</w:t>
      </w:r>
      <w:r>
        <w:rPr>
          <w:rFonts w:hint="eastAsia"/>
          <w:bCs/>
          <w:color w:val="auto"/>
          <w:sz w:val="24"/>
          <w:highlight w:val="none"/>
        </w:rPr>
        <w:t>、锅炉补充水</w:t>
      </w:r>
      <w:r>
        <w:rPr>
          <w:bCs/>
          <w:color w:val="auto"/>
          <w:sz w:val="24"/>
          <w:highlight w:val="none"/>
        </w:rPr>
        <w:t>等</w:t>
      </w:r>
      <w:r>
        <w:rPr>
          <w:rFonts w:hint="eastAsia"/>
          <w:bCs/>
          <w:color w:val="auto"/>
          <w:sz w:val="24"/>
          <w:highlight w:val="none"/>
        </w:rPr>
        <w:t>。项目</w:t>
      </w:r>
      <w:r>
        <w:rPr>
          <w:rFonts w:hint="eastAsia"/>
          <w:bCs/>
          <w:color w:val="auto"/>
          <w:sz w:val="24"/>
          <w:highlight w:val="none"/>
          <w:lang w:val="en-US" w:eastAsia="zh-CN"/>
        </w:rPr>
        <w:t>生产</w:t>
      </w:r>
      <w:r>
        <w:rPr>
          <w:rFonts w:hint="eastAsia"/>
          <w:color w:val="auto"/>
          <w:highlight w:val="none"/>
        </w:rPr>
        <w:t>总用水量为</w:t>
      </w:r>
      <w:r>
        <w:rPr>
          <w:rFonts w:hint="eastAsia"/>
          <w:color w:val="auto"/>
          <w:highlight w:val="none"/>
          <w:lang w:val="en-US" w:eastAsia="zh-CN"/>
        </w:rPr>
        <w:t>13060</w:t>
      </w:r>
      <w:r>
        <w:rPr>
          <w:rFonts w:hint="eastAsia" w:hAnsi="宋体"/>
          <w:color w:val="auto"/>
          <w:highlight w:val="none"/>
        </w:rPr>
        <w:t>m</w:t>
      </w:r>
      <w:r>
        <w:rPr>
          <w:rFonts w:hint="eastAsia" w:hAnsi="宋体"/>
          <w:color w:val="auto"/>
          <w:highlight w:val="none"/>
          <w:vertAlign w:val="superscript"/>
        </w:rPr>
        <w:t>3</w:t>
      </w:r>
      <w:r>
        <w:rPr>
          <w:rFonts w:hint="eastAsia"/>
          <w:color w:val="auto"/>
          <w:highlight w:val="none"/>
        </w:rPr>
        <w:t>/a(</w:t>
      </w:r>
      <w:r>
        <w:rPr>
          <w:rFonts w:hint="eastAsia"/>
          <w:color w:val="auto"/>
          <w:highlight w:val="none"/>
          <w:lang w:val="en-US" w:eastAsia="zh-CN"/>
        </w:rPr>
        <w:t>43.5</w:t>
      </w:r>
      <w:r>
        <w:rPr>
          <w:rFonts w:hint="eastAsia" w:hAnsi="宋体"/>
          <w:color w:val="auto"/>
          <w:highlight w:val="none"/>
        </w:rPr>
        <w:t>m</w:t>
      </w:r>
      <w:r>
        <w:rPr>
          <w:rFonts w:hint="eastAsia" w:hAnsi="宋体"/>
          <w:color w:val="auto"/>
          <w:highlight w:val="none"/>
          <w:vertAlign w:val="superscript"/>
        </w:rPr>
        <w:t>3</w:t>
      </w:r>
      <w:r>
        <w:rPr>
          <w:rFonts w:hint="eastAsia"/>
          <w:color w:val="auto"/>
          <w:highlight w:val="none"/>
        </w:rPr>
        <w:t>/d)。</w:t>
      </w:r>
    </w:p>
    <w:p>
      <w:pPr>
        <w:pStyle w:val="104"/>
        <w:ind w:firstLine="480"/>
        <w:rPr>
          <w:color w:val="auto"/>
          <w:highlight w:val="none"/>
        </w:rPr>
      </w:pPr>
      <w:r>
        <w:rPr>
          <w:color w:val="auto"/>
          <w:highlight w:val="none"/>
        </w:rPr>
        <w:fldChar w:fldCharType="begin"/>
      </w:r>
      <w:r>
        <w:rPr>
          <w:color w:val="auto"/>
          <w:highlight w:val="none"/>
        </w:rPr>
        <w:instrText xml:space="preserve"> </w:instrText>
      </w:r>
      <w:r>
        <w:rPr>
          <w:rFonts w:hint="eastAsia"/>
          <w:color w:val="auto"/>
          <w:highlight w:val="none"/>
        </w:rPr>
        <w:instrText xml:space="preserve">= 2 \* GB3</w:instrText>
      </w:r>
      <w:r>
        <w:rPr>
          <w:color w:val="auto"/>
          <w:highlight w:val="none"/>
        </w:rPr>
        <w:instrText xml:space="preserve"> </w:instrText>
      </w:r>
      <w:r>
        <w:rPr>
          <w:color w:val="auto"/>
          <w:highlight w:val="none"/>
        </w:rPr>
        <w:fldChar w:fldCharType="separate"/>
      </w:r>
      <w:r>
        <w:rPr>
          <w:rFonts w:hint="eastAsia"/>
          <w:color w:val="auto"/>
          <w:highlight w:val="none"/>
        </w:rPr>
        <w:t>②</w:t>
      </w:r>
      <w:r>
        <w:rPr>
          <w:color w:val="auto"/>
          <w:highlight w:val="none"/>
        </w:rPr>
        <w:fldChar w:fldCharType="end"/>
      </w:r>
      <w:r>
        <w:rPr>
          <w:rFonts w:hint="eastAsia"/>
          <w:color w:val="auto"/>
          <w:highlight w:val="none"/>
        </w:rPr>
        <w:t>生活用水：项目劳动定员</w:t>
      </w:r>
      <w:r>
        <w:rPr>
          <w:rFonts w:hint="eastAsia"/>
          <w:color w:val="auto"/>
          <w:highlight w:val="none"/>
          <w:lang w:val="en-US" w:eastAsia="zh-CN"/>
        </w:rPr>
        <w:t>5</w:t>
      </w:r>
      <w:r>
        <w:rPr>
          <w:rFonts w:hint="eastAsia"/>
          <w:color w:val="auto"/>
          <w:highlight w:val="none"/>
        </w:rPr>
        <w:t>0人，无住宿人员，用水标准按非住宿人员50L/人•d，则生活用水量为</w:t>
      </w:r>
      <w:r>
        <w:rPr>
          <w:rFonts w:hint="eastAsia"/>
          <w:color w:val="auto"/>
          <w:highlight w:val="none"/>
          <w:lang w:val="en-US" w:eastAsia="zh-CN"/>
        </w:rPr>
        <w:t>75</w:t>
      </w:r>
      <w:r>
        <w:rPr>
          <w:rFonts w:hint="eastAsia"/>
          <w:color w:val="auto"/>
          <w:highlight w:val="none"/>
        </w:rPr>
        <w:t>0</w:t>
      </w:r>
      <w:r>
        <w:rPr>
          <w:rFonts w:hint="eastAsia" w:hAnsi="宋体"/>
          <w:color w:val="auto"/>
          <w:highlight w:val="none"/>
        </w:rPr>
        <w:t>m</w:t>
      </w:r>
      <w:r>
        <w:rPr>
          <w:rFonts w:hint="eastAsia" w:hAnsi="宋体"/>
          <w:color w:val="auto"/>
          <w:highlight w:val="none"/>
          <w:vertAlign w:val="superscript"/>
        </w:rPr>
        <w:t>3</w:t>
      </w:r>
      <w:r>
        <w:rPr>
          <w:rFonts w:hint="eastAsia"/>
          <w:color w:val="auto"/>
          <w:highlight w:val="none"/>
        </w:rPr>
        <w:t>/a(</w:t>
      </w:r>
      <w:r>
        <w:rPr>
          <w:rFonts w:hint="eastAsia"/>
          <w:color w:val="auto"/>
          <w:highlight w:val="none"/>
          <w:lang w:val="en-US" w:eastAsia="zh-CN"/>
        </w:rPr>
        <w:t>2</w:t>
      </w:r>
      <w:r>
        <w:rPr>
          <w:rFonts w:hint="eastAsia"/>
          <w:color w:val="auto"/>
          <w:highlight w:val="none"/>
        </w:rPr>
        <w:t>.5</w:t>
      </w:r>
      <w:r>
        <w:rPr>
          <w:rFonts w:hint="eastAsia" w:hAnsi="宋体"/>
          <w:color w:val="auto"/>
          <w:highlight w:val="none"/>
        </w:rPr>
        <w:t>m</w:t>
      </w:r>
      <w:r>
        <w:rPr>
          <w:rFonts w:hint="eastAsia" w:hAnsi="宋体"/>
          <w:color w:val="auto"/>
          <w:highlight w:val="none"/>
          <w:vertAlign w:val="superscript"/>
        </w:rPr>
        <w:t>3</w:t>
      </w:r>
      <w:r>
        <w:rPr>
          <w:rFonts w:hint="eastAsia"/>
          <w:color w:val="auto"/>
          <w:highlight w:val="none"/>
        </w:rPr>
        <w:t xml:space="preserve">/d)。 </w:t>
      </w:r>
    </w:p>
    <w:p>
      <w:pPr>
        <w:pStyle w:val="104"/>
        <w:ind w:firstLine="472"/>
        <w:rPr>
          <w:color w:val="auto"/>
          <w:highlight w:val="none"/>
        </w:rPr>
      </w:pPr>
      <w:r>
        <w:rPr>
          <w:rFonts w:hint="eastAsia"/>
          <w:color w:val="auto"/>
          <w:highlight w:val="none"/>
        </w:rPr>
        <w:t>综上所述，项目</w:t>
      </w:r>
      <w:r>
        <w:rPr>
          <w:rFonts w:hint="eastAsia"/>
          <w:color w:val="auto"/>
          <w:highlight w:val="none"/>
          <w:lang w:val="en-US" w:eastAsia="zh-CN"/>
        </w:rPr>
        <w:t>新鲜</w:t>
      </w:r>
      <w:r>
        <w:rPr>
          <w:rFonts w:hint="eastAsia"/>
          <w:color w:val="auto"/>
          <w:highlight w:val="none"/>
        </w:rPr>
        <w:t>用水消耗量为</w:t>
      </w:r>
      <w:r>
        <w:rPr>
          <w:rFonts w:hint="eastAsia"/>
          <w:color w:val="auto"/>
          <w:highlight w:val="none"/>
          <w:lang w:val="en-US" w:eastAsia="zh-CN"/>
        </w:rPr>
        <w:t>13810</w:t>
      </w:r>
      <w:r>
        <w:rPr>
          <w:rFonts w:hint="eastAsia" w:hAnsi="宋体"/>
          <w:color w:val="auto"/>
          <w:highlight w:val="none"/>
        </w:rPr>
        <w:t>m</w:t>
      </w:r>
      <w:r>
        <w:rPr>
          <w:rFonts w:hint="eastAsia" w:hAnsi="宋体"/>
          <w:color w:val="auto"/>
          <w:highlight w:val="none"/>
          <w:vertAlign w:val="superscript"/>
        </w:rPr>
        <w:t>3</w:t>
      </w:r>
      <w:r>
        <w:rPr>
          <w:rFonts w:hint="eastAsia"/>
          <w:color w:val="auto"/>
          <w:highlight w:val="none"/>
        </w:rPr>
        <w:t>/a。</w:t>
      </w:r>
    </w:p>
    <w:p>
      <w:pPr>
        <w:adjustRightInd w:val="0"/>
        <w:snapToGrid w:val="0"/>
        <w:spacing w:line="360" w:lineRule="auto"/>
        <w:ind w:firstLine="480" w:firstLineChars="200"/>
        <w:rPr>
          <w:rFonts w:hAnsi="宋体"/>
          <w:color w:val="auto"/>
          <w:sz w:val="24"/>
          <w:highlight w:val="none"/>
        </w:rPr>
      </w:pPr>
      <w:r>
        <w:rPr>
          <w:rFonts w:hint="eastAsia" w:hAnsi="宋体"/>
          <w:color w:val="auto"/>
          <w:sz w:val="24"/>
          <w:highlight w:val="none"/>
        </w:rPr>
        <w:t>(2)排水</w:t>
      </w:r>
    </w:p>
    <w:p>
      <w:pPr>
        <w:adjustRightInd w:val="0"/>
        <w:snapToGrid w:val="0"/>
        <w:spacing w:line="360" w:lineRule="auto"/>
        <w:ind w:firstLine="480" w:firstLineChars="200"/>
        <w:rPr>
          <w:rFonts w:hAnsi="宋体"/>
          <w:color w:val="auto"/>
          <w:sz w:val="24"/>
          <w:highlight w:val="none"/>
        </w:rPr>
      </w:pPr>
      <w:r>
        <w:rPr>
          <w:rFonts w:hint="eastAsia" w:hAnsi="宋体"/>
          <w:color w:val="auto"/>
          <w:sz w:val="24"/>
          <w:highlight w:val="none"/>
        </w:rPr>
        <w:t>厂区废水实行雨污分流、清污分流，分质收集，分类处理。</w:t>
      </w:r>
    </w:p>
    <w:p>
      <w:pPr>
        <w:adjustRightInd w:val="0"/>
        <w:snapToGrid w:val="0"/>
        <w:spacing w:line="360" w:lineRule="auto"/>
        <w:ind w:firstLine="480" w:firstLineChars="200"/>
        <w:rPr>
          <w:rFonts w:hint="eastAsia" w:hAnsi="宋体"/>
          <w:color w:val="auto"/>
          <w:sz w:val="24"/>
          <w:highlight w:val="none"/>
        </w:rPr>
      </w:pPr>
      <w:r>
        <w:rPr>
          <w:rFonts w:hint="eastAsia" w:hAnsi="宋体"/>
          <w:color w:val="auto"/>
          <w:sz w:val="24"/>
          <w:highlight w:val="none"/>
        </w:rPr>
        <w:t>根据企业实际生产过程统计，该项目废水产生量为</w:t>
      </w:r>
      <w:r>
        <w:rPr>
          <w:rFonts w:hint="eastAsia" w:hAnsi="宋体"/>
          <w:color w:val="auto"/>
          <w:sz w:val="24"/>
          <w:highlight w:val="none"/>
          <w:lang w:val="en-US" w:eastAsia="zh-CN"/>
        </w:rPr>
        <w:t>12043.5</w:t>
      </w:r>
      <w:r>
        <w:rPr>
          <w:rFonts w:hAnsi="宋体"/>
          <w:color w:val="auto"/>
          <w:sz w:val="24"/>
          <w:highlight w:val="none"/>
        </w:rPr>
        <w:t>m</w:t>
      </w:r>
      <w:r>
        <w:rPr>
          <w:rFonts w:hAnsi="宋体"/>
          <w:color w:val="auto"/>
          <w:sz w:val="24"/>
          <w:highlight w:val="none"/>
          <w:vertAlign w:val="superscript"/>
        </w:rPr>
        <w:t>3</w:t>
      </w:r>
      <w:r>
        <w:rPr>
          <w:rFonts w:hint="eastAsia" w:hAnsi="宋体"/>
          <w:color w:val="auto"/>
          <w:sz w:val="24"/>
          <w:highlight w:val="none"/>
        </w:rPr>
        <w:t>/a(</w:t>
      </w:r>
      <w:r>
        <w:rPr>
          <w:rFonts w:hint="eastAsia" w:hAnsi="宋体"/>
          <w:color w:val="auto"/>
          <w:sz w:val="24"/>
          <w:highlight w:val="none"/>
          <w:lang w:val="en-US" w:eastAsia="zh-CN"/>
        </w:rPr>
        <w:t>40</w:t>
      </w:r>
      <w:r>
        <w:rPr>
          <w:rFonts w:hint="eastAsia" w:hAnsi="宋体"/>
          <w:color w:val="auto"/>
          <w:sz w:val="24"/>
          <w:highlight w:val="none"/>
        </w:rPr>
        <w:t>m</w:t>
      </w:r>
      <w:r>
        <w:rPr>
          <w:rFonts w:hint="eastAsia" w:hAnsi="宋体"/>
          <w:color w:val="auto"/>
          <w:sz w:val="24"/>
          <w:highlight w:val="none"/>
          <w:vertAlign w:val="superscript"/>
        </w:rPr>
        <w:t>3</w:t>
      </w:r>
      <w:r>
        <w:rPr>
          <w:rFonts w:hint="eastAsia" w:hAnsi="宋体"/>
          <w:color w:val="auto"/>
          <w:sz w:val="24"/>
          <w:highlight w:val="none"/>
        </w:rPr>
        <w:t>/d)，其中生产工序废水</w:t>
      </w:r>
      <w:r>
        <w:rPr>
          <w:rFonts w:hint="eastAsia" w:hAnsi="宋体"/>
          <w:color w:val="auto"/>
          <w:sz w:val="24"/>
          <w:highlight w:val="none"/>
          <w:lang w:val="en-US" w:eastAsia="zh-CN"/>
        </w:rPr>
        <w:t>11406</w:t>
      </w:r>
      <w:r>
        <w:rPr>
          <w:rFonts w:hint="eastAsia" w:hAnsi="宋体"/>
          <w:color w:val="auto"/>
          <w:sz w:val="24"/>
          <w:highlight w:val="none"/>
        </w:rPr>
        <w:t>m</w:t>
      </w:r>
      <w:r>
        <w:rPr>
          <w:rFonts w:hint="eastAsia" w:hAnsi="宋体"/>
          <w:color w:val="auto"/>
          <w:sz w:val="24"/>
          <w:highlight w:val="none"/>
          <w:vertAlign w:val="superscript"/>
        </w:rPr>
        <w:t>3</w:t>
      </w:r>
      <w:r>
        <w:rPr>
          <w:rFonts w:hint="eastAsia" w:hAnsi="宋体"/>
          <w:color w:val="auto"/>
          <w:sz w:val="24"/>
          <w:highlight w:val="none"/>
        </w:rPr>
        <w:t>/a(</w:t>
      </w:r>
      <w:r>
        <w:rPr>
          <w:rFonts w:hint="eastAsia" w:hAnsi="宋体"/>
          <w:color w:val="auto"/>
          <w:sz w:val="24"/>
          <w:highlight w:val="none"/>
          <w:lang w:val="en-US" w:eastAsia="zh-CN"/>
        </w:rPr>
        <w:t>38</w:t>
      </w:r>
      <w:r>
        <w:rPr>
          <w:rFonts w:hint="eastAsia" w:hAnsi="宋体"/>
          <w:color w:val="auto"/>
          <w:sz w:val="24"/>
          <w:highlight w:val="none"/>
        </w:rPr>
        <w:t>m</w:t>
      </w:r>
      <w:r>
        <w:rPr>
          <w:rFonts w:hint="eastAsia" w:hAnsi="宋体"/>
          <w:color w:val="auto"/>
          <w:sz w:val="24"/>
          <w:highlight w:val="none"/>
          <w:vertAlign w:val="superscript"/>
        </w:rPr>
        <w:t>3</w:t>
      </w:r>
      <w:r>
        <w:rPr>
          <w:rFonts w:hint="eastAsia" w:hAnsi="宋体"/>
          <w:color w:val="auto"/>
          <w:sz w:val="24"/>
          <w:highlight w:val="none"/>
        </w:rPr>
        <w:t>/d)，项目生活污水产生量</w:t>
      </w:r>
      <w:r>
        <w:rPr>
          <w:rFonts w:hint="eastAsia" w:hAnsi="宋体"/>
          <w:color w:val="auto"/>
          <w:sz w:val="24"/>
          <w:highlight w:val="none"/>
          <w:lang w:val="en-US" w:eastAsia="zh-CN"/>
        </w:rPr>
        <w:t>637.5</w:t>
      </w:r>
      <w:r>
        <w:rPr>
          <w:rFonts w:hint="eastAsia" w:hAnsi="宋体"/>
          <w:color w:val="auto"/>
          <w:sz w:val="24"/>
          <w:highlight w:val="none"/>
        </w:rPr>
        <w:t>m</w:t>
      </w:r>
      <w:r>
        <w:rPr>
          <w:rFonts w:hint="eastAsia" w:hAnsi="宋体"/>
          <w:color w:val="auto"/>
          <w:sz w:val="24"/>
          <w:highlight w:val="none"/>
          <w:vertAlign w:val="superscript"/>
        </w:rPr>
        <w:t>3</w:t>
      </w:r>
      <w:r>
        <w:rPr>
          <w:rFonts w:hint="eastAsia" w:hAnsi="宋体"/>
          <w:color w:val="auto"/>
          <w:sz w:val="24"/>
          <w:highlight w:val="none"/>
        </w:rPr>
        <w:t>/a(</w:t>
      </w:r>
      <w:r>
        <w:rPr>
          <w:rFonts w:hint="eastAsia" w:hAnsi="宋体"/>
          <w:color w:val="auto"/>
          <w:sz w:val="24"/>
          <w:highlight w:val="none"/>
          <w:lang w:val="en-US" w:eastAsia="zh-CN"/>
        </w:rPr>
        <w:t>2.125</w:t>
      </w:r>
      <w:r>
        <w:rPr>
          <w:rFonts w:hint="eastAsia" w:hAnsi="宋体"/>
          <w:color w:val="auto"/>
          <w:sz w:val="24"/>
          <w:highlight w:val="none"/>
        </w:rPr>
        <w:t>m</w:t>
      </w:r>
      <w:r>
        <w:rPr>
          <w:rFonts w:hint="eastAsia" w:hAnsi="宋体"/>
          <w:color w:val="auto"/>
          <w:sz w:val="24"/>
          <w:highlight w:val="none"/>
          <w:vertAlign w:val="superscript"/>
        </w:rPr>
        <w:t>3</w:t>
      </w:r>
      <w:r>
        <w:rPr>
          <w:rFonts w:hint="eastAsia" w:hAnsi="宋体"/>
          <w:color w:val="auto"/>
          <w:sz w:val="24"/>
          <w:highlight w:val="none"/>
        </w:rPr>
        <w:t>/d)。该项目产生的生产废水经各自管道收集进入电镀</w:t>
      </w:r>
      <w:r>
        <w:rPr>
          <w:rFonts w:hint="eastAsia" w:hAnsi="宋体"/>
          <w:color w:val="auto"/>
          <w:sz w:val="24"/>
          <w:highlight w:val="none"/>
          <w:lang w:eastAsia="zh-CN"/>
        </w:rPr>
        <w:t>园区</w:t>
      </w:r>
      <w:r>
        <w:rPr>
          <w:rFonts w:hint="eastAsia" w:hAnsi="宋体"/>
          <w:color w:val="auto"/>
          <w:sz w:val="24"/>
          <w:highlight w:val="none"/>
        </w:rPr>
        <w:t>污水站，生产废水经处理达到相关标准后，与生活废水一起排入市政污水管网排入</w:t>
      </w:r>
      <w:r>
        <w:rPr>
          <w:rFonts w:hint="eastAsia" w:hAnsi="宋体"/>
          <w:color w:val="auto"/>
          <w:sz w:val="24"/>
          <w:highlight w:val="none"/>
          <w:lang w:eastAsia="zh-CN"/>
        </w:rPr>
        <w:t>镰湾河水质净化厂</w:t>
      </w:r>
      <w:r>
        <w:rPr>
          <w:rFonts w:hint="eastAsia" w:hAnsi="宋体"/>
          <w:color w:val="auto"/>
          <w:sz w:val="24"/>
          <w:highlight w:val="none"/>
        </w:rPr>
        <w:t>。</w:t>
      </w:r>
    </w:p>
    <w:p>
      <w:pPr>
        <w:adjustRightInd w:val="0"/>
        <w:snapToGrid w:val="0"/>
        <w:spacing w:line="360" w:lineRule="auto"/>
        <w:ind w:firstLine="480"/>
        <w:rPr>
          <w:color w:val="auto"/>
          <w:sz w:val="24"/>
          <w:highlight w:val="none"/>
        </w:rPr>
      </w:pPr>
      <w:r>
        <w:rPr>
          <w:color w:val="auto"/>
          <w:sz w:val="24"/>
          <w:highlight w:val="none"/>
        </w:rPr>
        <w:t>(</w:t>
      </w:r>
      <w:r>
        <w:rPr>
          <w:rFonts w:hint="eastAsia"/>
          <w:color w:val="auto"/>
          <w:sz w:val="24"/>
          <w:highlight w:val="none"/>
        </w:rPr>
        <w:t>3</w:t>
      </w:r>
      <w:r>
        <w:rPr>
          <w:color w:val="auto"/>
          <w:sz w:val="24"/>
          <w:highlight w:val="none"/>
        </w:rPr>
        <w:t>)</w:t>
      </w:r>
      <w:r>
        <w:rPr>
          <w:rFonts w:hint="eastAsia"/>
          <w:color w:val="auto"/>
          <w:sz w:val="24"/>
          <w:highlight w:val="none"/>
        </w:rPr>
        <w:t>供电</w:t>
      </w:r>
    </w:p>
    <w:p>
      <w:pPr>
        <w:adjustRightInd w:val="0"/>
        <w:snapToGrid w:val="0"/>
        <w:spacing w:line="360" w:lineRule="auto"/>
        <w:ind w:firstLine="480"/>
        <w:rPr>
          <w:color w:val="auto"/>
          <w:sz w:val="24"/>
          <w:highlight w:val="none"/>
        </w:rPr>
      </w:pPr>
      <w:r>
        <w:rPr>
          <w:rFonts w:hint="eastAsia"/>
          <w:color w:val="auto"/>
          <w:sz w:val="24"/>
          <w:highlight w:val="none"/>
        </w:rPr>
        <w:t>项目由电镀</w:t>
      </w:r>
      <w:r>
        <w:rPr>
          <w:rFonts w:hint="eastAsia"/>
          <w:color w:val="auto"/>
          <w:sz w:val="24"/>
          <w:highlight w:val="none"/>
          <w:lang w:val="en-US" w:eastAsia="zh-CN"/>
        </w:rPr>
        <w:t>园区</w:t>
      </w:r>
      <w:r>
        <w:rPr>
          <w:rFonts w:hint="eastAsia"/>
          <w:color w:val="auto"/>
          <w:sz w:val="24"/>
          <w:highlight w:val="none"/>
        </w:rPr>
        <w:t>配电室提供，</w:t>
      </w:r>
      <w:r>
        <w:rPr>
          <w:color w:val="auto"/>
          <w:sz w:val="24"/>
          <w:highlight w:val="none"/>
        </w:rPr>
        <w:t>年用电量</w:t>
      </w:r>
      <w:r>
        <w:rPr>
          <w:rFonts w:hint="eastAsia"/>
          <w:color w:val="auto"/>
          <w:sz w:val="24"/>
          <w:highlight w:val="none"/>
        </w:rPr>
        <w:t>约</w:t>
      </w:r>
      <w:r>
        <w:rPr>
          <w:color w:val="auto"/>
          <w:sz w:val="24"/>
          <w:highlight w:val="none"/>
        </w:rPr>
        <w:t>为</w:t>
      </w:r>
      <w:r>
        <w:rPr>
          <w:rFonts w:hint="eastAsia"/>
          <w:color w:val="auto"/>
          <w:sz w:val="24"/>
          <w:highlight w:val="none"/>
          <w:lang w:val="en-US" w:eastAsia="zh-CN"/>
        </w:rPr>
        <w:t>120</w:t>
      </w:r>
      <w:r>
        <w:rPr>
          <w:color w:val="auto"/>
          <w:sz w:val="24"/>
          <w:highlight w:val="none"/>
        </w:rPr>
        <w:t>万kwh，</w:t>
      </w:r>
      <w:r>
        <w:rPr>
          <w:rFonts w:hint="eastAsia"/>
          <w:color w:val="auto"/>
          <w:sz w:val="24"/>
          <w:highlight w:val="none"/>
        </w:rPr>
        <w:t>主要用于设备动力及热水洗热源。</w:t>
      </w:r>
    </w:p>
    <w:p>
      <w:pPr>
        <w:adjustRightInd w:val="0"/>
        <w:snapToGrid w:val="0"/>
        <w:spacing w:line="360" w:lineRule="auto"/>
        <w:ind w:firstLine="480"/>
        <w:rPr>
          <w:color w:val="auto"/>
          <w:sz w:val="24"/>
          <w:highlight w:val="none"/>
        </w:rPr>
      </w:pPr>
      <w:r>
        <w:rPr>
          <w:rFonts w:hint="eastAsia"/>
          <w:color w:val="auto"/>
          <w:sz w:val="24"/>
          <w:highlight w:val="none"/>
        </w:rPr>
        <w:t>(4)供热</w:t>
      </w:r>
    </w:p>
    <w:p>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项目生产用热采用电加热</w:t>
      </w:r>
      <w:r>
        <w:rPr>
          <w:rFonts w:hint="eastAsia"/>
          <w:color w:val="auto"/>
          <w:sz w:val="24"/>
          <w:highlight w:val="none"/>
          <w:lang w:val="en-US" w:eastAsia="zh-CN"/>
        </w:rPr>
        <w:t>和天然气加热</w:t>
      </w:r>
      <w:r>
        <w:rPr>
          <w:rFonts w:hint="eastAsia"/>
          <w:color w:val="auto"/>
          <w:sz w:val="24"/>
          <w:highlight w:val="none"/>
        </w:rPr>
        <w:t>。</w:t>
      </w:r>
    </w:p>
    <w:p>
      <w:pPr>
        <w:numPr>
          <w:ilvl w:val="0"/>
          <w:numId w:val="13"/>
        </w:numPr>
        <w:adjustRightInd w:val="0"/>
        <w:snapToGrid w:val="0"/>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供气</w:t>
      </w:r>
    </w:p>
    <w:p>
      <w:pPr>
        <w:numPr>
          <w:ilvl w:val="0"/>
          <w:numId w:val="0"/>
        </w:numPr>
        <w:adjustRightInd w:val="0"/>
        <w:snapToGrid w:val="0"/>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该项目4#车间采用天然气为燃料，由青岛新奥燃气有限公司供气管网提供。</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2"/>
        <w:rPr>
          <w:rFonts w:hint="eastAsia" w:ascii="黑体" w:hAnsi="黑体" w:eastAsia="黑体"/>
          <w:color w:val="auto"/>
          <w:sz w:val="24"/>
          <w:highlight w:val="none"/>
          <w:lang w:val="en-US" w:eastAsia="zh-CN"/>
        </w:rPr>
      </w:pPr>
      <w:bookmarkStart w:id="64" w:name="_Toc530655596"/>
      <w:bookmarkStart w:id="65" w:name="_Toc373941421"/>
      <w:bookmarkStart w:id="66" w:name="_Toc478041134"/>
      <w:bookmarkStart w:id="67" w:name="_Toc501553109"/>
      <w:bookmarkStart w:id="68" w:name="_Toc392591807"/>
      <w:r>
        <w:rPr>
          <w:rFonts w:ascii="黑体" w:hAnsi="黑体" w:eastAsia="黑体"/>
          <w:color w:val="auto"/>
          <w:sz w:val="24"/>
          <w:highlight w:val="none"/>
        </w:rPr>
        <w:t>2.</w:t>
      </w:r>
      <w:r>
        <w:rPr>
          <w:rFonts w:hint="eastAsia" w:ascii="黑体" w:hAnsi="黑体" w:eastAsia="黑体"/>
          <w:color w:val="auto"/>
          <w:sz w:val="24"/>
          <w:highlight w:val="none"/>
        </w:rPr>
        <w:t>2.6</w:t>
      </w:r>
      <w:r>
        <w:rPr>
          <w:rFonts w:hint="eastAsia" w:ascii="黑体" w:hAnsi="黑体" w:eastAsia="黑体" w:cs="Times New Roman"/>
          <w:color w:val="auto"/>
          <w:sz w:val="24"/>
          <w:highlight w:val="none"/>
        </w:rPr>
        <w:t>项目</w:t>
      </w:r>
      <w:r>
        <w:rPr>
          <w:rFonts w:ascii="黑体" w:hAnsi="黑体" w:eastAsia="黑体"/>
          <w:color w:val="auto"/>
          <w:sz w:val="24"/>
          <w:highlight w:val="none"/>
        </w:rPr>
        <w:t>依托</w:t>
      </w:r>
      <w:bookmarkEnd w:id="64"/>
      <w:bookmarkEnd w:id="65"/>
      <w:bookmarkEnd w:id="66"/>
      <w:bookmarkEnd w:id="67"/>
      <w:bookmarkEnd w:id="68"/>
      <w:r>
        <w:rPr>
          <w:rFonts w:hint="eastAsia" w:ascii="黑体" w:hAnsi="黑体" w:eastAsia="黑体"/>
          <w:color w:val="auto"/>
          <w:sz w:val="24"/>
          <w:highlight w:val="none"/>
          <w:lang w:eastAsia="zh-CN"/>
        </w:rPr>
        <w:t>电镀园及可行性</w:t>
      </w:r>
    </w:p>
    <w:p>
      <w:pPr>
        <w:adjustRightInd w:val="0"/>
        <w:snapToGrid w:val="0"/>
        <w:spacing w:line="360" w:lineRule="auto"/>
        <w:ind w:firstLine="480" w:firstLineChars="200"/>
        <w:rPr>
          <w:color w:val="auto"/>
          <w:sz w:val="24"/>
          <w:highlight w:val="none"/>
        </w:rPr>
      </w:pPr>
      <w:r>
        <w:rPr>
          <w:rFonts w:hint="eastAsia"/>
          <w:color w:val="auto"/>
          <w:sz w:val="24"/>
          <w:highlight w:val="none"/>
        </w:rPr>
        <w:t>1、</w:t>
      </w:r>
      <w:r>
        <w:rPr>
          <w:rFonts w:hint="eastAsia"/>
          <w:color w:val="auto"/>
          <w:sz w:val="24"/>
          <w:highlight w:val="none"/>
          <w:lang w:val="en-US" w:eastAsia="zh-CN"/>
        </w:rPr>
        <w:t>园区</w:t>
      </w:r>
      <w:r>
        <w:rPr>
          <w:color w:val="auto"/>
          <w:sz w:val="24"/>
          <w:highlight w:val="none"/>
        </w:rPr>
        <w:t>简介</w:t>
      </w:r>
    </w:p>
    <w:p>
      <w:pPr>
        <w:pStyle w:val="19"/>
        <w:adjustRightInd w:val="0"/>
        <w:snapToGrid w:val="0"/>
        <w:spacing w:line="360" w:lineRule="auto"/>
        <w:ind w:firstLine="480" w:firstLineChars="200"/>
        <w:rPr>
          <w:rStyle w:val="51"/>
          <w:rFonts w:hint="eastAsia" w:ascii="Times New Roman" w:hAnsi="Times New Roman" w:cs="Times New Roman"/>
          <w:color w:val="auto"/>
          <w:sz w:val="24"/>
          <w:szCs w:val="24"/>
          <w:highlight w:val="none"/>
        </w:rPr>
      </w:pPr>
      <w:r>
        <w:rPr>
          <w:rStyle w:val="51"/>
          <w:rFonts w:hint="eastAsia" w:ascii="Times New Roman" w:hAnsi="Times New Roman" w:cs="Times New Roman"/>
          <w:color w:val="auto"/>
          <w:sz w:val="24"/>
          <w:szCs w:val="24"/>
          <w:highlight w:val="none"/>
          <w:lang w:val="en-US" w:eastAsia="zh-CN"/>
        </w:rPr>
        <w:t>(1)</w:t>
      </w:r>
      <w:r>
        <w:rPr>
          <w:rStyle w:val="51"/>
          <w:rFonts w:hint="eastAsia" w:ascii="Times New Roman" w:hAnsi="Times New Roman" w:cs="Times New Roman"/>
          <w:color w:val="auto"/>
          <w:sz w:val="24"/>
          <w:szCs w:val="24"/>
          <w:highlight w:val="none"/>
        </w:rPr>
        <w:t>周边环境</w:t>
      </w:r>
    </w:p>
    <w:p>
      <w:pPr>
        <w:pStyle w:val="19"/>
        <w:adjustRightInd w:val="0"/>
        <w:snapToGrid w:val="0"/>
        <w:spacing w:line="360" w:lineRule="auto"/>
        <w:ind w:firstLine="480" w:firstLineChars="200"/>
        <w:rPr>
          <w:rFonts w:ascii="Times New Roman" w:hAnsi="Times New Roman" w:cs="Times New Roman"/>
          <w:color w:val="auto"/>
          <w:szCs w:val="24"/>
          <w:highlight w:val="none"/>
        </w:rPr>
      </w:pPr>
      <w:r>
        <w:rPr>
          <w:rStyle w:val="51"/>
          <w:rFonts w:hint="eastAsia" w:ascii="Times New Roman" w:hAnsi="Times New Roman" w:cs="Times New Roman"/>
          <w:color w:val="auto"/>
          <w:sz w:val="24"/>
          <w:szCs w:val="24"/>
          <w:highlight w:val="none"/>
        </w:rPr>
        <w:t>该项目位于青岛经济技术开发区电镀工业园内，该电镀工业园位于</w:t>
      </w:r>
      <w:r>
        <w:rPr>
          <w:rStyle w:val="51"/>
          <w:rFonts w:hint="eastAsia" w:ascii="Times New Roman" w:hAnsi="Times New Roman" w:cs="Times New Roman"/>
          <w:color w:val="auto"/>
          <w:sz w:val="24"/>
          <w:szCs w:val="24"/>
          <w:highlight w:val="none"/>
          <w:lang w:eastAsia="zh-CN"/>
        </w:rPr>
        <w:t>青岛西海岸新区</w:t>
      </w:r>
      <w:r>
        <w:rPr>
          <w:rStyle w:val="51"/>
          <w:rFonts w:hint="eastAsia" w:ascii="Times New Roman" w:hAnsi="Times New Roman" w:cs="Times New Roman"/>
          <w:color w:val="auto"/>
          <w:sz w:val="24"/>
          <w:szCs w:val="24"/>
          <w:highlight w:val="none"/>
        </w:rPr>
        <w:t>黄河东路139号，工业园园区东侧为瑞源广场和益群漆业，南侧为黄河东路，隔路为通关大厦；西侧为兴华建设集团和远洋大亚集装箱堆放地；北侧为远洋大亚集装箱堆放地</w:t>
      </w:r>
      <w:r>
        <w:rPr>
          <w:rFonts w:ascii="Times New Roman" w:hAnsi="Times New Roman" w:cs="Times New Roman"/>
          <w:color w:val="auto"/>
          <w:szCs w:val="24"/>
          <w:highlight w:val="none"/>
        </w:rPr>
        <w:t>。</w:t>
      </w:r>
    </w:p>
    <w:p>
      <w:pPr>
        <w:adjustRightInd w:val="0"/>
        <w:snapToGrid w:val="0"/>
        <w:spacing w:line="360" w:lineRule="auto"/>
        <w:ind w:firstLine="480" w:firstLineChars="200"/>
        <w:rPr>
          <w:rStyle w:val="51"/>
          <w:rFonts w:hint="eastAsia" w:ascii="Times New Roman" w:hAnsi="Times New Roman" w:cs="Times New Roman"/>
          <w:color w:val="auto"/>
          <w:sz w:val="24"/>
          <w:szCs w:val="24"/>
          <w:highlight w:val="none"/>
          <w:lang w:val="en-US" w:eastAsia="zh-CN"/>
        </w:rPr>
      </w:pPr>
      <w:r>
        <w:rPr>
          <w:rStyle w:val="51"/>
          <w:rFonts w:hint="eastAsia" w:ascii="Times New Roman" w:hAnsi="Times New Roman" w:cs="Times New Roman"/>
          <w:color w:val="auto"/>
          <w:sz w:val="24"/>
          <w:szCs w:val="24"/>
          <w:highlight w:val="none"/>
          <w:lang w:val="en-US" w:eastAsia="zh-CN"/>
        </w:rPr>
        <w:t>(</w:t>
      </w:r>
      <w:r>
        <w:rPr>
          <w:rStyle w:val="51"/>
          <w:rFonts w:hint="eastAsia" w:cs="Times New Roman"/>
          <w:color w:val="auto"/>
          <w:sz w:val="24"/>
          <w:szCs w:val="24"/>
          <w:highlight w:val="none"/>
          <w:lang w:val="en-US" w:eastAsia="zh-CN"/>
        </w:rPr>
        <w:t>2</w:t>
      </w:r>
      <w:r>
        <w:rPr>
          <w:rStyle w:val="51"/>
          <w:rFonts w:hint="eastAsia" w:ascii="Times New Roman" w:hAnsi="Times New Roman" w:cs="Times New Roman"/>
          <w:color w:val="auto"/>
          <w:sz w:val="24"/>
          <w:szCs w:val="24"/>
          <w:highlight w:val="none"/>
          <w:lang w:val="en-US" w:eastAsia="zh-CN"/>
        </w:rPr>
        <w:t>)一期工程建设情况</w:t>
      </w:r>
    </w:p>
    <w:p>
      <w:pPr>
        <w:adjustRightInd w:val="0"/>
        <w:snapToGrid w:val="0"/>
        <w:spacing w:line="360" w:lineRule="auto"/>
        <w:ind w:firstLine="480" w:firstLineChars="200"/>
        <w:rPr>
          <w:rStyle w:val="51"/>
          <w:rFonts w:hint="eastAsia" w:ascii="Times New Roman" w:hAnsi="Times New Roman" w:cs="Times New Roman"/>
          <w:color w:val="auto"/>
          <w:sz w:val="24"/>
          <w:szCs w:val="24"/>
          <w:highlight w:val="none"/>
          <w:lang w:val="en-US" w:eastAsia="zh-CN"/>
        </w:rPr>
      </w:pPr>
      <w:r>
        <w:rPr>
          <w:rStyle w:val="51"/>
          <w:rFonts w:hint="eastAsia" w:ascii="Times New Roman" w:hAnsi="Times New Roman" w:cs="Times New Roman"/>
          <w:color w:val="auto"/>
          <w:sz w:val="24"/>
          <w:szCs w:val="24"/>
          <w:highlight w:val="none"/>
          <w:lang w:val="en-US" w:eastAsia="zh-CN"/>
        </w:rPr>
        <w:t>该电镀工业园一期于2003年建成，总投资7000万元，园区总占地17443.3m</w:t>
      </w:r>
      <w:r>
        <w:rPr>
          <w:rStyle w:val="51"/>
          <w:rFonts w:hint="eastAsia" w:ascii="Times New Roman" w:hAnsi="Times New Roman" w:cs="Times New Roman"/>
          <w:color w:val="auto"/>
          <w:sz w:val="24"/>
          <w:szCs w:val="24"/>
          <w:highlight w:val="none"/>
          <w:vertAlign w:val="superscript"/>
          <w:lang w:val="en-US" w:eastAsia="zh-CN"/>
        </w:rPr>
        <w:t>2</w:t>
      </w:r>
      <w:r>
        <w:rPr>
          <w:rStyle w:val="51"/>
          <w:rFonts w:hint="eastAsia" w:ascii="Times New Roman" w:hAnsi="Times New Roman" w:cs="Times New Roman"/>
          <w:color w:val="auto"/>
          <w:sz w:val="24"/>
          <w:szCs w:val="24"/>
          <w:highlight w:val="none"/>
          <w:lang w:val="en-US" w:eastAsia="zh-CN"/>
        </w:rPr>
        <w:t>，园区现有建筑面积36900m</w:t>
      </w:r>
      <w:r>
        <w:rPr>
          <w:rStyle w:val="51"/>
          <w:rFonts w:hint="eastAsia" w:ascii="Times New Roman" w:hAnsi="Times New Roman" w:cs="Times New Roman"/>
          <w:color w:val="auto"/>
          <w:sz w:val="24"/>
          <w:szCs w:val="24"/>
          <w:highlight w:val="none"/>
          <w:vertAlign w:val="superscript"/>
          <w:lang w:val="en-US" w:eastAsia="zh-CN"/>
        </w:rPr>
        <w:t>2</w:t>
      </w:r>
      <w:r>
        <w:rPr>
          <w:rStyle w:val="51"/>
          <w:rFonts w:hint="eastAsia" w:ascii="Times New Roman" w:hAnsi="Times New Roman" w:cs="Times New Roman"/>
          <w:color w:val="auto"/>
          <w:sz w:val="24"/>
          <w:szCs w:val="24"/>
          <w:highlight w:val="none"/>
          <w:lang w:val="en-US" w:eastAsia="zh-CN"/>
        </w:rPr>
        <w:t>，主要建筑有3栋电镀生产楼(1#楼、2#楼和4#楼西侧建筑)、1座污水站、1座办公楼、1座循环经济楼(主要放置中水回用系统，目前兼做办公用)、1座危废暂存间。入驻企业主要从事金属件、塑料件的电镀加工，主要镀种有金、银、锌、铜、镍、铬、仿金等。</w:t>
      </w:r>
    </w:p>
    <w:p>
      <w:pPr>
        <w:adjustRightInd w:val="0"/>
        <w:snapToGrid w:val="0"/>
        <w:spacing w:line="360" w:lineRule="auto"/>
        <w:ind w:firstLine="480" w:firstLineChars="200"/>
        <w:rPr>
          <w:rStyle w:val="51"/>
          <w:rFonts w:hint="eastAsia" w:ascii="Times New Roman" w:hAnsi="Times New Roman" w:cs="Times New Roman"/>
          <w:color w:val="auto"/>
          <w:sz w:val="24"/>
          <w:szCs w:val="24"/>
          <w:highlight w:val="none"/>
          <w:lang w:val="en-US" w:eastAsia="zh-CN"/>
        </w:rPr>
      </w:pPr>
      <w:r>
        <w:rPr>
          <w:rStyle w:val="51"/>
          <w:rFonts w:hint="eastAsia" w:ascii="Times New Roman" w:hAnsi="Times New Roman" w:cs="Times New Roman"/>
          <w:color w:val="auto"/>
          <w:sz w:val="24"/>
          <w:szCs w:val="24"/>
          <w:highlight w:val="none"/>
          <w:lang w:val="en-US" w:eastAsia="zh-CN"/>
        </w:rPr>
        <w:t>根据《青岛经济技术开发区电镀工业园环境影响报告书》(2003年，中国海洋大学编)，一期电镀工业园产业定位以五金件、塑料件的镀铜、镍、铬、锌为主，少量的镀金、银、仿金等。一期规划电镀总面积为275.075×10</w:t>
      </w:r>
      <w:r>
        <w:rPr>
          <w:rStyle w:val="51"/>
          <w:rFonts w:hint="eastAsia" w:ascii="Times New Roman" w:hAnsi="Times New Roman" w:cs="Times New Roman"/>
          <w:color w:val="auto"/>
          <w:sz w:val="24"/>
          <w:szCs w:val="24"/>
          <w:highlight w:val="none"/>
          <w:vertAlign w:val="superscript"/>
          <w:lang w:val="en-US" w:eastAsia="zh-CN"/>
        </w:rPr>
        <w:t>6</w:t>
      </w:r>
      <w:r>
        <w:rPr>
          <w:rStyle w:val="51"/>
          <w:rFonts w:hint="eastAsia" w:ascii="Times New Roman" w:hAnsi="Times New Roman" w:cs="Times New Roman"/>
          <w:color w:val="auto"/>
          <w:sz w:val="24"/>
          <w:szCs w:val="24"/>
          <w:highlight w:val="none"/>
          <w:lang w:val="en-US" w:eastAsia="zh-CN"/>
        </w:rPr>
        <w:t>dm</w:t>
      </w:r>
      <w:r>
        <w:rPr>
          <w:rStyle w:val="51"/>
          <w:rFonts w:hint="eastAsia" w:ascii="Times New Roman" w:hAnsi="Times New Roman" w:cs="Times New Roman"/>
          <w:color w:val="auto"/>
          <w:sz w:val="24"/>
          <w:szCs w:val="24"/>
          <w:highlight w:val="none"/>
          <w:vertAlign w:val="superscript"/>
          <w:lang w:val="en-US" w:eastAsia="zh-CN"/>
        </w:rPr>
        <w:t>2</w:t>
      </w:r>
      <w:r>
        <w:rPr>
          <w:rStyle w:val="51"/>
          <w:rFonts w:hint="eastAsia" w:ascii="Times New Roman" w:hAnsi="Times New Roman" w:cs="Times New Roman"/>
          <w:color w:val="auto"/>
          <w:sz w:val="24"/>
          <w:szCs w:val="24"/>
          <w:highlight w:val="none"/>
          <w:lang w:val="en-US" w:eastAsia="zh-CN"/>
        </w:rPr>
        <w:t>(即275.075×10</w:t>
      </w:r>
      <w:r>
        <w:rPr>
          <w:rStyle w:val="51"/>
          <w:rFonts w:hint="eastAsia" w:ascii="Times New Roman" w:hAnsi="Times New Roman" w:cs="Times New Roman"/>
          <w:color w:val="auto"/>
          <w:sz w:val="24"/>
          <w:szCs w:val="24"/>
          <w:highlight w:val="none"/>
          <w:vertAlign w:val="superscript"/>
          <w:lang w:val="en-US" w:eastAsia="zh-CN"/>
        </w:rPr>
        <w:t>4</w:t>
      </w:r>
      <w:r>
        <w:rPr>
          <w:rStyle w:val="51"/>
          <w:rFonts w:hint="eastAsia" w:ascii="Times New Roman" w:hAnsi="Times New Roman" w:cs="Times New Roman"/>
          <w:color w:val="auto"/>
          <w:sz w:val="24"/>
          <w:szCs w:val="24"/>
          <w:highlight w:val="none"/>
          <w:lang w:val="en-US" w:eastAsia="zh-CN"/>
        </w:rPr>
        <w:t>m</w:t>
      </w:r>
      <w:r>
        <w:rPr>
          <w:rStyle w:val="51"/>
          <w:rFonts w:hint="eastAsia" w:ascii="Times New Roman" w:hAnsi="Times New Roman" w:cs="Times New Roman"/>
          <w:color w:val="auto"/>
          <w:sz w:val="24"/>
          <w:szCs w:val="24"/>
          <w:highlight w:val="none"/>
          <w:vertAlign w:val="superscript"/>
          <w:lang w:val="en-US" w:eastAsia="zh-CN"/>
        </w:rPr>
        <w:t>2</w:t>
      </w:r>
      <w:r>
        <w:rPr>
          <w:rStyle w:val="51"/>
          <w:rFonts w:hint="eastAsia" w:ascii="Times New Roman" w:hAnsi="Times New Roman" w:cs="Times New Roman"/>
          <w:color w:val="auto"/>
          <w:sz w:val="24"/>
          <w:szCs w:val="24"/>
          <w:highlight w:val="none"/>
          <w:lang w:val="en-US" w:eastAsia="zh-CN"/>
        </w:rPr>
        <w:t>)，其中镀锌占19.5%、镀铜/镍/铬占80%、镀金/银占0.5%。目前入驻企业主要从事金属件(铝及铝合金、锌及锌合金)、塑料件电镀加工，主要镀种有锌、铜、铬、镍、金、银等。18家企业实际电镀总面积共计147.44×10</w:t>
      </w:r>
      <w:r>
        <w:rPr>
          <w:rStyle w:val="51"/>
          <w:rFonts w:hint="eastAsia" w:ascii="Times New Roman" w:hAnsi="Times New Roman" w:cs="Times New Roman"/>
          <w:color w:val="auto"/>
          <w:sz w:val="24"/>
          <w:szCs w:val="24"/>
          <w:highlight w:val="none"/>
          <w:vertAlign w:val="superscript"/>
          <w:lang w:val="en-US" w:eastAsia="zh-CN"/>
        </w:rPr>
        <w:t>4</w:t>
      </w:r>
      <w:r>
        <w:rPr>
          <w:rStyle w:val="51"/>
          <w:rFonts w:hint="eastAsia" w:ascii="Times New Roman" w:hAnsi="Times New Roman" w:cs="Times New Roman"/>
          <w:color w:val="auto"/>
          <w:sz w:val="24"/>
          <w:szCs w:val="24"/>
          <w:highlight w:val="none"/>
          <w:lang w:val="en-US" w:eastAsia="zh-CN"/>
        </w:rPr>
        <w:t>m</w:t>
      </w:r>
      <w:r>
        <w:rPr>
          <w:rStyle w:val="51"/>
          <w:rFonts w:hint="eastAsia" w:ascii="Times New Roman" w:hAnsi="Times New Roman" w:cs="Times New Roman"/>
          <w:color w:val="auto"/>
          <w:sz w:val="24"/>
          <w:szCs w:val="24"/>
          <w:highlight w:val="none"/>
          <w:vertAlign w:val="superscript"/>
          <w:lang w:val="en-US" w:eastAsia="zh-CN"/>
        </w:rPr>
        <w:t>2</w:t>
      </w:r>
      <w:r>
        <w:rPr>
          <w:rStyle w:val="51"/>
          <w:rFonts w:hint="eastAsia" w:ascii="Times New Roman" w:hAnsi="Times New Roman" w:cs="Times New Roman"/>
          <w:color w:val="auto"/>
          <w:sz w:val="24"/>
          <w:szCs w:val="24"/>
          <w:highlight w:val="none"/>
          <w:lang w:val="en-US" w:eastAsia="zh-CN"/>
        </w:rPr>
        <w:t>(目前园区内2个车间作为企业仓库使用)。平均每年实现产值2亿元，实现利税3000余万元。</w:t>
      </w:r>
    </w:p>
    <w:p>
      <w:pPr>
        <w:adjustRightInd w:val="0"/>
        <w:snapToGrid w:val="0"/>
        <w:spacing w:line="360" w:lineRule="auto"/>
        <w:ind w:firstLine="480" w:firstLineChars="200"/>
        <w:rPr>
          <w:rStyle w:val="51"/>
          <w:rFonts w:hint="eastAsia" w:ascii="Times New Roman" w:hAnsi="Times New Roman" w:cs="Times New Roman"/>
          <w:color w:val="auto"/>
          <w:sz w:val="24"/>
          <w:szCs w:val="24"/>
          <w:highlight w:val="none"/>
          <w:lang w:val="en-US" w:eastAsia="zh-CN"/>
        </w:rPr>
      </w:pPr>
      <w:r>
        <w:rPr>
          <w:rStyle w:val="51"/>
          <w:rFonts w:hint="eastAsia" w:ascii="Times New Roman" w:hAnsi="Times New Roman" w:cs="Times New Roman"/>
          <w:color w:val="auto"/>
          <w:sz w:val="24"/>
          <w:szCs w:val="24"/>
          <w:highlight w:val="none"/>
          <w:lang w:val="en-US" w:eastAsia="zh-CN"/>
        </w:rPr>
        <w:t>(</w:t>
      </w:r>
      <w:r>
        <w:rPr>
          <w:rStyle w:val="51"/>
          <w:rFonts w:hint="eastAsia" w:cs="Times New Roman"/>
          <w:color w:val="auto"/>
          <w:sz w:val="24"/>
          <w:szCs w:val="24"/>
          <w:highlight w:val="none"/>
          <w:lang w:val="en-US" w:eastAsia="zh-CN"/>
        </w:rPr>
        <w:t>3</w:t>
      </w:r>
      <w:r>
        <w:rPr>
          <w:rStyle w:val="51"/>
          <w:rFonts w:hint="eastAsia" w:ascii="Times New Roman" w:hAnsi="Times New Roman" w:cs="Times New Roman"/>
          <w:color w:val="auto"/>
          <w:sz w:val="24"/>
          <w:szCs w:val="24"/>
          <w:highlight w:val="none"/>
          <w:lang w:val="en-US" w:eastAsia="zh-CN"/>
        </w:rPr>
        <w:t>)二期工程建设情况</w:t>
      </w:r>
    </w:p>
    <w:p>
      <w:pPr>
        <w:adjustRightInd w:val="0"/>
        <w:snapToGrid w:val="0"/>
        <w:spacing w:line="360" w:lineRule="auto"/>
        <w:ind w:firstLine="480" w:firstLineChars="200"/>
        <w:rPr>
          <w:rStyle w:val="51"/>
          <w:rFonts w:hint="default" w:ascii="Times New Roman" w:hAnsi="Times New Roman" w:cs="Times New Roman"/>
          <w:color w:val="auto"/>
          <w:sz w:val="24"/>
          <w:szCs w:val="24"/>
          <w:highlight w:val="none"/>
          <w:lang w:val="en-US" w:eastAsia="zh-CN"/>
        </w:rPr>
      </w:pPr>
      <w:r>
        <w:rPr>
          <w:rStyle w:val="51"/>
          <w:rFonts w:hint="default" w:ascii="Times New Roman" w:hAnsi="Times New Roman" w:cs="Times New Roman"/>
          <w:color w:val="auto"/>
          <w:sz w:val="24"/>
          <w:szCs w:val="24"/>
          <w:highlight w:val="none"/>
          <w:lang w:val="en-US" w:eastAsia="zh-CN"/>
        </w:rPr>
        <w:t>园区于2011年进行二期</w:t>
      </w:r>
      <w:r>
        <w:rPr>
          <w:rStyle w:val="51"/>
          <w:rFonts w:hint="eastAsia" w:cs="Times New Roman"/>
          <w:color w:val="auto"/>
          <w:sz w:val="24"/>
          <w:szCs w:val="24"/>
          <w:highlight w:val="none"/>
          <w:lang w:val="en-US" w:eastAsia="zh-CN"/>
        </w:rPr>
        <w:t>改</w:t>
      </w:r>
      <w:r>
        <w:rPr>
          <w:rStyle w:val="51"/>
          <w:rFonts w:hint="default" w:ascii="Times New Roman" w:hAnsi="Times New Roman" w:cs="Times New Roman"/>
          <w:color w:val="auto"/>
          <w:sz w:val="24"/>
          <w:szCs w:val="24"/>
          <w:highlight w:val="none"/>
          <w:lang w:val="en-US" w:eastAsia="zh-CN"/>
        </w:rPr>
        <w:t>扩建</w:t>
      </w:r>
      <w:r>
        <w:rPr>
          <w:rStyle w:val="51"/>
          <w:rFonts w:hint="default" w:ascii="Times New Roman" w:hAnsi="Times New Roman" w:cs="Times New Roman"/>
          <w:color w:val="auto"/>
          <w:sz w:val="24"/>
          <w:szCs w:val="24"/>
          <w:highlight w:val="none"/>
          <w:lang w:val="en-US" w:eastAsia="zh-CN"/>
        </w:rPr>
        <w:t>，二期项目总投资7000万元，拆拆除旧建筑面积约6577.17㎡，新增建筑面积44374㎡，主要是讲2#电镀厂房拆除，将4#由4层加高至6层，并新建一座6层的生产厂房，于4#楼相连，另将科研楼(四层)拆除后新建16层(其中1-14层为厂房，15-16层为办公用房)。园区二期主要引进半自动生产线或自动生产线、大型化、产品高端化的电镀企业，二期预计可接纳20余家。产业定位为以五金件、塑料件的镀铜、镍、铬、锌为主，少量的镀金、银、仿金等。挂具、不合格品的退镀已在园区实行集中退镀。</w:t>
      </w:r>
    </w:p>
    <w:p>
      <w:pPr>
        <w:adjustRightInd w:val="0"/>
        <w:snapToGrid w:val="0"/>
        <w:spacing w:line="360" w:lineRule="auto"/>
        <w:ind w:firstLine="480" w:firstLineChars="200"/>
        <w:rPr>
          <w:rStyle w:val="51"/>
          <w:rFonts w:hint="default" w:ascii="Times New Roman" w:hAnsi="Times New Roman" w:cs="Times New Roman"/>
          <w:color w:val="auto"/>
          <w:sz w:val="24"/>
          <w:szCs w:val="24"/>
          <w:highlight w:val="none"/>
          <w:lang w:val="en-US" w:eastAsia="zh-CN"/>
        </w:rPr>
      </w:pPr>
      <w:r>
        <w:rPr>
          <w:rStyle w:val="51"/>
          <w:rFonts w:hint="default" w:ascii="Times New Roman" w:hAnsi="Times New Roman" w:cs="Times New Roman"/>
          <w:color w:val="auto"/>
          <w:sz w:val="24"/>
          <w:szCs w:val="24"/>
          <w:highlight w:val="none"/>
          <w:lang w:val="en-US" w:eastAsia="zh-CN"/>
        </w:rPr>
        <w:t>二期工程已办理完环评手续，并取得批复，批复号青环审[2014]12号</w:t>
      </w:r>
      <w:r>
        <w:rPr>
          <w:rStyle w:val="51"/>
          <w:rFonts w:hint="eastAsia" w:cs="Times New Roman"/>
          <w:color w:val="auto"/>
          <w:sz w:val="24"/>
          <w:szCs w:val="24"/>
          <w:highlight w:val="none"/>
          <w:lang w:val="en-US" w:eastAsia="zh-CN"/>
        </w:rPr>
        <w:t>，二期在建设中，尚未进行验收</w:t>
      </w:r>
      <w:r>
        <w:rPr>
          <w:rStyle w:val="51"/>
          <w:rFonts w:hint="default" w:ascii="Times New Roman" w:hAnsi="Times New Roman" w:cs="Times New Roman"/>
          <w:color w:val="auto"/>
          <w:sz w:val="24"/>
          <w:szCs w:val="24"/>
          <w:highlight w:val="none"/>
          <w:lang w:val="en-US" w:eastAsia="zh-CN"/>
        </w:rPr>
        <w:t>。</w:t>
      </w:r>
    </w:p>
    <w:p>
      <w:pPr>
        <w:adjustRightInd w:val="0"/>
        <w:snapToGrid w:val="0"/>
        <w:spacing w:line="360" w:lineRule="auto"/>
        <w:ind w:firstLine="480" w:firstLineChars="200"/>
        <w:rPr>
          <w:rStyle w:val="51"/>
          <w:rFonts w:hint="default" w:ascii="Times New Roman" w:hAnsi="Times New Roman" w:cs="Times New Roman"/>
          <w:color w:val="auto"/>
          <w:sz w:val="24"/>
          <w:szCs w:val="24"/>
          <w:highlight w:val="none"/>
          <w:lang w:val="en-US" w:eastAsia="zh-CN"/>
        </w:rPr>
      </w:pPr>
      <w:r>
        <w:rPr>
          <w:rStyle w:val="51"/>
          <w:rFonts w:hint="default" w:ascii="Times New Roman" w:hAnsi="Times New Roman" w:cs="Times New Roman"/>
          <w:color w:val="auto"/>
          <w:sz w:val="24"/>
          <w:szCs w:val="24"/>
          <w:highlight w:val="none"/>
          <w:lang w:val="en-US" w:eastAsia="zh-CN"/>
        </w:rPr>
        <w:t>该项目4#楼-东3层车间、4#楼-东4层车间位于电镀工业园二期工程内，主要从事金属表面处理，符合电镀工业园的产业定位。</w:t>
      </w:r>
    </w:p>
    <w:p>
      <w:pPr>
        <w:adjustRightInd w:val="0"/>
        <w:snapToGrid w:val="0"/>
        <w:spacing w:line="360" w:lineRule="auto"/>
        <w:ind w:firstLine="480" w:firstLineChars="200"/>
        <w:rPr>
          <w:rStyle w:val="51"/>
          <w:rFonts w:hint="default" w:ascii="Times New Roman" w:hAnsi="Times New Roman" w:cs="Times New Roman"/>
          <w:color w:val="auto"/>
          <w:sz w:val="24"/>
          <w:szCs w:val="24"/>
          <w:highlight w:val="none"/>
          <w:lang w:val="en-US" w:eastAsia="zh-CN"/>
        </w:rPr>
      </w:pPr>
      <w:r>
        <w:rPr>
          <w:rStyle w:val="51"/>
          <w:rFonts w:hint="eastAsia" w:ascii="Times New Roman" w:hAnsi="Times New Roman" w:cs="Times New Roman"/>
          <w:color w:val="auto"/>
          <w:sz w:val="24"/>
          <w:szCs w:val="24"/>
          <w:highlight w:val="none"/>
          <w:lang w:val="en-US" w:eastAsia="zh-CN"/>
        </w:rPr>
        <w:t>(</w:t>
      </w:r>
      <w:r>
        <w:rPr>
          <w:rStyle w:val="51"/>
          <w:rFonts w:hint="eastAsia" w:cs="Times New Roman"/>
          <w:color w:val="auto"/>
          <w:sz w:val="24"/>
          <w:szCs w:val="24"/>
          <w:highlight w:val="none"/>
          <w:lang w:val="en-US" w:eastAsia="zh-CN"/>
        </w:rPr>
        <w:t>4</w:t>
      </w:r>
      <w:r>
        <w:rPr>
          <w:rStyle w:val="51"/>
          <w:rFonts w:hint="eastAsia" w:ascii="Times New Roman" w:hAnsi="Times New Roman" w:cs="Times New Roman"/>
          <w:color w:val="auto"/>
          <w:sz w:val="24"/>
          <w:szCs w:val="24"/>
          <w:highlight w:val="none"/>
          <w:lang w:val="en-US" w:eastAsia="zh-CN"/>
        </w:rPr>
        <w:t>)</w:t>
      </w:r>
      <w:r>
        <w:rPr>
          <w:rStyle w:val="51"/>
          <w:rFonts w:hint="default" w:ascii="Times New Roman" w:hAnsi="Times New Roman" w:cs="Times New Roman"/>
          <w:color w:val="auto"/>
          <w:sz w:val="24"/>
          <w:szCs w:val="24"/>
          <w:highlight w:val="none"/>
          <w:lang w:val="en-US" w:eastAsia="zh-CN"/>
        </w:rPr>
        <w:t>环境管理体系建设概况</w:t>
      </w:r>
    </w:p>
    <w:p>
      <w:pPr>
        <w:adjustRightInd w:val="0"/>
        <w:snapToGrid w:val="0"/>
        <w:spacing w:line="360" w:lineRule="auto"/>
        <w:ind w:firstLine="480" w:firstLineChars="200"/>
        <w:rPr>
          <w:rStyle w:val="51"/>
          <w:rFonts w:hint="eastAsia" w:ascii="Times New Roman" w:hAnsi="Times New Roman" w:cs="Times New Roman"/>
          <w:color w:val="auto"/>
          <w:sz w:val="24"/>
          <w:szCs w:val="24"/>
          <w:highlight w:val="none"/>
          <w:lang w:val="en-US" w:eastAsia="zh-CN"/>
        </w:rPr>
      </w:pPr>
      <w:r>
        <w:rPr>
          <w:rStyle w:val="51"/>
          <w:rFonts w:hint="eastAsia" w:ascii="Times New Roman" w:hAnsi="Times New Roman" w:cs="Times New Roman"/>
          <w:color w:val="auto"/>
          <w:sz w:val="24"/>
          <w:szCs w:val="24"/>
          <w:highlight w:val="none"/>
          <w:lang w:val="en-US" w:eastAsia="zh-CN"/>
        </w:rPr>
        <w:t>该电镀工业园由青岛金泰表面工程有限公司负责投资、建设、运营、管理，青岛金泰表面工程有限公司于2005年获得“青岛市清洁生产审核示范企业”称号；同年顺利通过了ISO14001环境管理体系认证、ISO9001质量管理体系认证；2006年获得“环境污染治理设施运营”资质证书；2009年通过了市发改委、市环保局“环境友好工业园”的验收；2006年10月被列为“青岛市第一批循环经济试点园区”。</w:t>
      </w:r>
    </w:p>
    <w:p>
      <w:pPr>
        <w:adjustRightInd w:val="0"/>
        <w:snapToGrid w:val="0"/>
        <w:spacing w:line="360" w:lineRule="auto"/>
        <w:ind w:firstLine="480" w:firstLineChars="200"/>
        <w:rPr>
          <w:rStyle w:val="51"/>
          <w:rFonts w:hint="eastAsia" w:ascii="Times New Roman" w:hAnsi="Times New Roman" w:cs="Times New Roman"/>
          <w:color w:val="auto"/>
          <w:sz w:val="24"/>
          <w:szCs w:val="24"/>
          <w:highlight w:val="none"/>
          <w:lang w:val="en-US" w:eastAsia="zh-CN"/>
        </w:rPr>
      </w:pPr>
      <w:r>
        <w:rPr>
          <w:rStyle w:val="51"/>
          <w:rFonts w:hint="eastAsia" w:ascii="Times New Roman" w:hAnsi="Times New Roman" w:cs="Times New Roman"/>
          <w:color w:val="auto"/>
          <w:sz w:val="24"/>
          <w:szCs w:val="24"/>
          <w:highlight w:val="none"/>
          <w:lang w:val="en-US" w:eastAsia="zh-CN"/>
        </w:rPr>
        <w:t>(</w:t>
      </w:r>
      <w:r>
        <w:rPr>
          <w:rStyle w:val="51"/>
          <w:rFonts w:hint="eastAsia" w:cs="Times New Roman"/>
          <w:color w:val="auto"/>
          <w:sz w:val="24"/>
          <w:szCs w:val="24"/>
          <w:highlight w:val="none"/>
          <w:lang w:val="en-US" w:eastAsia="zh-CN"/>
        </w:rPr>
        <w:t>5</w:t>
      </w:r>
      <w:r>
        <w:rPr>
          <w:rStyle w:val="51"/>
          <w:rFonts w:hint="eastAsia" w:ascii="Times New Roman" w:hAnsi="Times New Roman" w:cs="Times New Roman"/>
          <w:color w:val="auto"/>
          <w:sz w:val="24"/>
          <w:szCs w:val="24"/>
          <w:highlight w:val="none"/>
          <w:lang w:val="en-US" w:eastAsia="zh-CN"/>
        </w:rPr>
        <w:t>)环境管理部门设置</w:t>
      </w:r>
    </w:p>
    <w:p>
      <w:pPr>
        <w:adjustRightInd w:val="0"/>
        <w:snapToGrid w:val="0"/>
        <w:spacing w:line="360" w:lineRule="auto"/>
        <w:ind w:firstLine="480" w:firstLineChars="200"/>
        <w:rPr>
          <w:rStyle w:val="51"/>
          <w:rFonts w:hint="eastAsia" w:ascii="Times New Roman" w:hAnsi="Times New Roman" w:cs="Times New Roman"/>
          <w:color w:val="auto"/>
          <w:sz w:val="24"/>
          <w:szCs w:val="24"/>
          <w:highlight w:val="none"/>
          <w:lang w:val="en-US" w:eastAsia="zh-CN"/>
        </w:rPr>
      </w:pPr>
      <w:r>
        <w:rPr>
          <w:rStyle w:val="51"/>
          <w:rFonts w:hint="eastAsia" w:ascii="Times New Roman" w:hAnsi="Times New Roman" w:cs="Times New Roman"/>
          <w:color w:val="auto"/>
          <w:sz w:val="24"/>
          <w:szCs w:val="24"/>
          <w:highlight w:val="none"/>
          <w:lang w:val="en-US" w:eastAsia="zh-CN"/>
        </w:rPr>
        <w:t>电镀工业园成立“办公室”，负责对园区各企业的宏观管理和污水站的日常监督，处理公共事务，审核入驻企业条件并为入驻企业提供服务和实施监督。“办公室”下设“污水站”主要负责对污水处理设施运行、管理、维护、水质监测及各企业污水排放日常监管，确保园区污水达标排放。</w:t>
      </w:r>
    </w:p>
    <w:p>
      <w:pPr>
        <w:adjustRightInd w:val="0"/>
        <w:snapToGrid w:val="0"/>
        <w:spacing w:line="360" w:lineRule="auto"/>
        <w:ind w:firstLine="480" w:firstLineChars="200"/>
        <w:rPr>
          <w:rStyle w:val="51"/>
          <w:rFonts w:hint="eastAsia" w:cs="Times New Roman"/>
          <w:color w:val="auto"/>
          <w:sz w:val="24"/>
          <w:szCs w:val="24"/>
          <w:highlight w:val="none"/>
          <w:lang w:val="en-US" w:eastAsia="zh-CN"/>
        </w:rPr>
      </w:pPr>
      <w:r>
        <w:rPr>
          <w:rStyle w:val="51"/>
          <w:rFonts w:hint="eastAsia" w:ascii="Times New Roman" w:hAnsi="Times New Roman" w:cs="Times New Roman"/>
          <w:color w:val="auto"/>
          <w:sz w:val="24"/>
          <w:szCs w:val="24"/>
          <w:highlight w:val="none"/>
          <w:lang w:val="en-US" w:eastAsia="zh-CN"/>
        </w:rPr>
        <w:t>园区内各入驻企业自主经营，并设有专门人员负责各车间内的日常生产管理、环境保护设施管理工作，严格执行园区废水、废气、固废等管理要求</w:t>
      </w:r>
      <w:r>
        <w:rPr>
          <w:rStyle w:val="51"/>
          <w:rFonts w:hint="eastAsia" w:cs="Times New Roman"/>
          <w:color w:val="auto"/>
          <w:sz w:val="24"/>
          <w:szCs w:val="24"/>
          <w:highlight w:val="none"/>
          <w:lang w:val="en-US" w:eastAsia="zh-CN"/>
        </w:rPr>
        <w:t>。</w:t>
      </w:r>
    </w:p>
    <w:p>
      <w:pPr>
        <w:adjustRightInd w:val="0"/>
        <w:snapToGrid w:val="0"/>
        <w:spacing w:line="360" w:lineRule="auto"/>
        <w:ind w:firstLine="480" w:firstLineChars="200"/>
        <w:rPr>
          <w:color w:val="auto"/>
          <w:sz w:val="24"/>
          <w:highlight w:val="none"/>
        </w:rPr>
      </w:pPr>
      <w:r>
        <w:rPr>
          <w:color w:val="auto"/>
          <w:sz w:val="24"/>
          <w:highlight w:val="none"/>
        </w:rPr>
        <w:t>2、</w:t>
      </w:r>
      <w:r>
        <w:rPr>
          <w:rFonts w:hint="eastAsia"/>
          <w:color w:val="auto"/>
          <w:sz w:val="24"/>
          <w:highlight w:val="none"/>
          <w:lang w:val="en-US" w:eastAsia="zh-CN"/>
        </w:rPr>
        <w:t>园区</w:t>
      </w:r>
      <w:r>
        <w:rPr>
          <w:color w:val="auto"/>
          <w:sz w:val="24"/>
          <w:highlight w:val="none"/>
        </w:rPr>
        <w:t>公用设施概况</w:t>
      </w:r>
    </w:p>
    <w:p>
      <w:pPr>
        <w:pStyle w:val="19"/>
        <w:adjustRightInd w:val="0"/>
        <w:snapToGrid w:val="0"/>
        <w:spacing w:line="360" w:lineRule="auto"/>
        <w:ind w:firstLine="480" w:firstLineChars="200"/>
        <w:rPr>
          <w:rFonts w:ascii="Times New Roman" w:hAnsi="Times New Roman" w:cs="Times New Roman"/>
          <w:color w:val="auto"/>
          <w:szCs w:val="24"/>
          <w:highlight w:val="none"/>
        </w:rPr>
      </w:pPr>
      <w:r>
        <w:rPr>
          <w:rFonts w:ascii="Times New Roman" w:hAnsi="Times New Roman" w:cs="Times New Roman"/>
          <w:color w:val="auto"/>
          <w:szCs w:val="24"/>
          <w:highlight w:val="none"/>
        </w:rPr>
        <w:t>(1)供水</w:t>
      </w:r>
    </w:p>
    <w:p>
      <w:pPr>
        <w:pStyle w:val="19"/>
        <w:adjustRightInd w:val="0"/>
        <w:snapToGrid w:val="0"/>
        <w:spacing w:line="360" w:lineRule="auto"/>
        <w:ind w:firstLine="480" w:firstLineChars="200"/>
        <w:rPr>
          <w:rFonts w:hint="eastAsia" w:ascii="Times New Roman" w:hAnsi="Times New Roman" w:cs="Times New Roman"/>
          <w:color w:val="auto"/>
          <w:szCs w:val="24"/>
          <w:highlight w:val="none"/>
        </w:rPr>
      </w:pPr>
      <w:r>
        <w:rPr>
          <w:rFonts w:hint="eastAsia" w:ascii="Times New Roman" w:hAnsi="Times New Roman" w:cs="Times New Roman"/>
          <w:color w:val="auto"/>
          <w:szCs w:val="24"/>
          <w:highlight w:val="none"/>
        </w:rPr>
        <w:t>园区供水系统主要分为自来水、中水和纯水三部分。</w:t>
      </w:r>
    </w:p>
    <w:p>
      <w:pPr>
        <w:pStyle w:val="19"/>
        <w:adjustRightInd w:val="0"/>
        <w:snapToGrid w:val="0"/>
        <w:spacing w:line="360" w:lineRule="auto"/>
        <w:ind w:firstLine="480" w:firstLineChars="200"/>
        <w:rPr>
          <w:rFonts w:hint="eastAsia" w:ascii="Times New Roman" w:hAnsi="Times New Roman" w:cs="Times New Roman"/>
          <w:color w:val="auto"/>
          <w:szCs w:val="24"/>
          <w:highlight w:val="none"/>
        </w:rPr>
      </w:pPr>
      <w:r>
        <w:rPr>
          <w:rFonts w:hint="eastAsia" w:ascii="Times New Roman" w:hAnsi="Times New Roman" w:cs="Times New Roman"/>
          <w:color w:val="auto"/>
          <w:szCs w:val="24"/>
          <w:highlight w:val="none"/>
        </w:rPr>
        <w:fldChar w:fldCharType="begin"/>
      </w:r>
      <w:r>
        <w:rPr>
          <w:rFonts w:hint="eastAsia" w:ascii="Times New Roman" w:hAnsi="Times New Roman" w:cs="Times New Roman"/>
          <w:color w:val="auto"/>
          <w:szCs w:val="24"/>
          <w:highlight w:val="none"/>
        </w:rPr>
        <w:instrText xml:space="preserve"> = 1 \* GB3 \* MERGEFORMAT </w:instrText>
      </w:r>
      <w:r>
        <w:rPr>
          <w:rFonts w:hint="eastAsia" w:ascii="Times New Roman" w:hAnsi="Times New Roman" w:cs="Times New Roman"/>
          <w:color w:val="auto"/>
          <w:szCs w:val="24"/>
          <w:highlight w:val="none"/>
        </w:rPr>
        <w:fldChar w:fldCharType="separate"/>
      </w:r>
      <w:r>
        <w:rPr>
          <w:color w:val="auto"/>
          <w:highlight w:val="none"/>
        </w:rPr>
        <w:t>①</w:t>
      </w:r>
      <w:r>
        <w:rPr>
          <w:rFonts w:hint="eastAsia" w:ascii="Times New Roman" w:hAnsi="Times New Roman" w:cs="Times New Roman"/>
          <w:color w:val="auto"/>
          <w:szCs w:val="24"/>
          <w:highlight w:val="none"/>
        </w:rPr>
        <w:fldChar w:fldCharType="end"/>
      </w:r>
      <w:r>
        <w:rPr>
          <w:rFonts w:hint="eastAsia" w:ascii="Times New Roman" w:hAnsi="Times New Roman" w:cs="Times New Roman"/>
          <w:color w:val="auto"/>
          <w:szCs w:val="24"/>
          <w:highlight w:val="none"/>
        </w:rPr>
        <w:t>自来水</w:t>
      </w:r>
    </w:p>
    <w:p>
      <w:pPr>
        <w:pStyle w:val="19"/>
        <w:adjustRightInd w:val="0"/>
        <w:snapToGrid w:val="0"/>
        <w:spacing w:line="360" w:lineRule="auto"/>
        <w:ind w:firstLine="480" w:firstLineChars="20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生活、生产用水为城市自来水，由市政给水管网引入园区，供水管网直径DN160，供水能力得到1900m</w:t>
      </w:r>
      <w:r>
        <w:rPr>
          <w:rFonts w:hint="default" w:ascii="Times New Roman" w:hAnsi="Times New Roman" w:cs="Times New Roman"/>
          <w:color w:val="auto"/>
          <w:szCs w:val="24"/>
          <w:highlight w:val="none"/>
          <w:vertAlign w:val="superscript"/>
        </w:rPr>
        <w:t>3</w:t>
      </w:r>
      <w:r>
        <w:rPr>
          <w:rFonts w:hint="default" w:ascii="Times New Roman" w:hAnsi="Times New Roman" w:cs="Times New Roman"/>
          <w:color w:val="auto"/>
          <w:szCs w:val="24"/>
          <w:highlight w:val="none"/>
        </w:rPr>
        <w:t>/d，能保证电镀工业园生产、生活用水需要。园区至各车间、办公用水点铺设DN110的给水管网，满足各入驻企业用水需求。</w:t>
      </w:r>
    </w:p>
    <w:p>
      <w:pPr>
        <w:pStyle w:val="19"/>
        <w:adjustRightInd w:val="0"/>
        <w:snapToGrid w:val="0"/>
        <w:spacing w:line="360" w:lineRule="auto"/>
        <w:ind w:firstLine="480" w:firstLineChars="20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fldChar w:fldCharType="begin"/>
      </w:r>
      <w:r>
        <w:rPr>
          <w:rFonts w:hint="default" w:ascii="Times New Roman" w:hAnsi="Times New Roman" w:cs="Times New Roman"/>
          <w:color w:val="auto"/>
          <w:szCs w:val="24"/>
          <w:highlight w:val="none"/>
        </w:rPr>
        <w:instrText xml:space="preserve"> = 2 \* GB3 \* MERGEFORMAT </w:instrText>
      </w:r>
      <w:r>
        <w:rPr>
          <w:rFonts w:hint="default" w:ascii="Times New Roman" w:hAnsi="Times New Roman" w:cs="Times New Roman"/>
          <w:color w:val="auto"/>
          <w:szCs w:val="24"/>
          <w:highlight w:val="none"/>
        </w:rPr>
        <w:fldChar w:fldCharType="separate"/>
      </w:r>
      <w:r>
        <w:rPr>
          <w:rFonts w:hint="default" w:ascii="Times New Roman" w:hAnsi="Times New Roman" w:cs="Times New Roman"/>
          <w:color w:val="auto"/>
          <w:highlight w:val="none"/>
        </w:rPr>
        <w:t>②</w:t>
      </w:r>
      <w:r>
        <w:rPr>
          <w:rFonts w:hint="default" w:ascii="Times New Roman" w:hAnsi="Times New Roman" w:cs="Times New Roman"/>
          <w:color w:val="auto"/>
          <w:szCs w:val="24"/>
          <w:highlight w:val="none"/>
        </w:rPr>
        <w:fldChar w:fldCharType="end"/>
      </w:r>
      <w:r>
        <w:rPr>
          <w:rFonts w:hint="default" w:ascii="Times New Roman" w:hAnsi="Times New Roman" w:cs="Times New Roman"/>
          <w:color w:val="auto"/>
          <w:szCs w:val="24"/>
          <w:highlight w:val="none"/>
        </w:rPr>
        <w:t>中水</w:t>
      </w:r>
    </w:p>
    <w:p>
      <w:pPr>
        <w:pStyle w:val="19"/>
        <w:adjustRightInd w:val="0"/>
        <w:snapToGrid w:val="0"/>
        <w:spacing w:line="360" w:lineRule="auto"/>
        <w:ind w:firstLine="480" w:firstLineChars="20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园区电镀废水中水回用系统于2009年4月建成，位于园区东南侧循环经济楼一层，工艺为“多介质过滤+滤棒过滤+反渗透处理”，该套系统产水量为100m</w:t>
      </w:r>
      <w:r>
        <w:rPr>
          <w:rFonts w:hint="default" w:ascii="Times New Roman" w:hAnsi="Times New Roman" w:cs="Times New Roman"/>
          <w:color w:val="auto"/>
          <w:szCs w:val="24"/>
          <w:highlight w:val="none"/>
          <w:vertAlign w:val="superscript"/>
        </w:rPr>
        <w:t>3</w:t>
      </w:r>
      <w:r>
        <w:rPr>
          <w:rFonts w:hint="default" w:ascii="Times New Roman" w:hAnsi="Times New Roman" w:cs="Times New Roman"/>
          <w:color w:val="auto"/>
          <w:szCs w:val="24"/>
          <w:highlight w:val="none"/>
        </w:rPr>
        <w:t>/h，出水水质达到GB/T18920-2002《城市污水再生利用 城市杂用水水质》、SL368-2006《再生水水质标准》。园区及各生产车间已铺设中水回用管道，中水回用系统在园区中为间歇运行。</w:t>
      </w:r>
    </w:p>
    <w:p>
      <w:pPr>
        <w:pStyle w:val="19"/>
        <w:adjustRightInd w:val="0"/>
        <w:snapToGrid w:val="0"/>
        <w:spacing w:line="360" w:lineRule="auto"/>
        <w:ind w:firstLine="480" w:firstLineChars="20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fldChar w:fldCharType="begin"/>
      </w:r>
      <w:r>
        <w:rPr>
          <w:rFonts w:hint="default" w:ascii="Times New Roman" w:hAnsi="Times New Roman" w:cs="Times New Roman"/>
          <w:color w:val="auto"/>
          <w:szCs w:val="24"/>
          <w:highlight w:val="none"/>
        </w:rPr>
        <w:instrText xml:space="preserve"> = 3 \* GB3 \* MERGEFORMAT </w:instrText>
      </w:r>
      <w:r>
        <w:rPr>
          <w:rFonts w:hint="default" w:ascii="Times New Roman" w:hAnsi="Times New Roman" w:cs="Times New Roman"/>
          <w:color w:val="auto"/>
          <w:szCs w:val="24"/>
          <w:highlight w:val="none"/>
        </w:rPr>
        <w:fldChar w:fldCharType="separate"/>
      </w:r>
      <w:r>
        <w:rPr>
          <w:rFonts w:hint="default" w:ascii="Times New Roman" w:hAnsi="Times New Roman" w:cs="Times New Roman"/>
          <w:color w:val="auto"/>
          <w:highlight w:val="none"/>
        </w:rPr>
        <w:t>③</w:t>
      </w:r>
      <w:r>
        <w:rPr>
          <w:rFonts w:hint="default" w:ascii="Times New Roman" w:hAnsi="Times New Roman" w:cs="Times New Roman"/>
          <w:color w:val="auto"/>
          <w:szCs w:val="24"/>
          <w:highlight w:val="none"/>
        </w:rPr>
        <w:fldChar w:fldCharType="end"/>
      </w:r>
      <w:r>
        <w:rPr>
          <w:rFonts w:hint="default" w:ascii="Times New Roman" w:hAnsi="Times New Roman" w:cs="Times New Roman"/>
          <w:color w:val="auto"/>
          <w:szCs w:val="24"/>
          <w:highlight w:val="none"/>
        </w:rPr>
        <w:t>纯水</w:t>
      </w:r>
    </w:p>
    <w:p>
      <w:pPr>
        <w:pStyle w:val="19"/>
        <w:adjustRightInd w:val="0"/>
        <w:snapToGrid w:val="0"/>
        <w:spacing w:line="360" w:lineRule="auto"/>
        <w:ind w:firstLine="480" w:firstLineChars="20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各种槽液的配制及镀件、电泳件纯水漂洗时需要用电导率较低的纯水，项目年消耗纯水12000m</w:t>
      </w:r>
      <w:r>
        <w:rPr>
          <w:rFonts w:hint="default" w:ascii="Times New Roman" w:hAnsi="Times New Roman" w:cs="Times New Roman"/>
          <w:color w:val="auto"/>
          <w:szCs w:val="24"/>
          <w:highlight w:val="none"/>
          <w:vertAlign w:val="superscript"/>
        </w:rPr>
        <w:t>3</w:t>
      </w:r>
      <w:r>
        <w:rPr>
          <w:rFonts w:hint="default" w:ascii="Times New Roman" w:hAnsi="Times New Roman" w:cs="Times New Roman"/>
          <w:color w:val="auto"/>
          <w:szCs w:val="24"/>
          <w:highlight w:val="none"/>
        </w:rPr>
        <w:t>/a，主要由园区管道供应。纯水由工业园纯水站供应，位于循环经济楼西南角一层，制备规模50吨/小时，采用多介质过滤+滤棒过滤+一级反渗透处理工艺，电导率≤10us/cm。</w:t>
      </w:r>
    </w:p>
    <w:p>
      <w:pPr>
        <w:pStyle w:val="19"/>
        <w:adjustRightInd w:val="0"/>
        <w:snapToGrid w:val="0"/>
        <w:spacing w:line="360" w:lineRule="auto"/>
        <w:ind w:firstLine="480" w:firstLineChars="200"/>
        <w:rPr>
          <w:rFonts w:ascii="Times New Roman" w:hAnsi="Times New Roman" w:cs="Times New Roman"/>
          <w:color w:val="auto"/>
          <w:szCs w:val="24"/>
          <w:highlight w:val="none"/>
        </w:rPr>
      </w:pPr>
      <w:r>
        <w:rPr>
          <w:rFonts w:ascii="Times New Roman" w:hAnsi="Times New Roman" w:cs="Times New Roman"/>
          <w:color w:val="auto"/>
          <w:szCs w:val="24"/>
          <w:highlight w:val="none"/>
        </w:rPr>
        <w:t>(2)排水</w:t>
      </w:r>
    </w:p>
    <w:p>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工业园实行雨污分流、生产废水与生活污水分流。生产废水经园区内污水厂处理，达到镰湾河污水厂进水水质要求后排入该污水处理厂，生活污水直接进入镰湾河水质净化厂。园区内铺设有含铬废水、含氰废水、综合废水、含镍废水四条管道，各企业电镀生产废水分类经相应管道排入园内污水处理厂。园区内在各个生产楼旁建有各类废水集水池。厂区及个车间地面、沟槽、管线及相关构筑物均采取防腐蚀防渗漏措施。园区排污管道采用耐腐蚀的PVC管道，现有车间地面铺耐腐蚀的大理石、耐酸砖、玻璃钢，地沟采用玻璃钢进行防腐防渗漏处理。</w:t>
      </w:r>
    </w:p>
    <w:p>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园区对企业电镀生产废水采取集中处理，建有1座污水站，污水站位于电镀工业园区东南角。站内原设有5套污水处理系统，其中2套综合废水处理系统(一套能力为90t/h，另一套为120t/h)，2套含铬废水处理系统(一套能力为90t/h，另一套为120t/h)，1套含镍废水处理系统90t/h，1套氰废水处理系统90t/h。各处理构筑物均位于室内。目前正在运行的污水处理系统为：含氰废水90t/h、含铬废水</w:t>
      </w:r>
      <w:r>
        <w:rPr>
          <w:rFonts w:hint="eastAsia"/>
          <w:color w:val="auto"/>
          <w:sz w:val="24"/>
          <w:highlight w:val="none"/>
          <w:lang w:val="en-US" w:eastAsia="zh-CN"/>
        </w:rPr>
        <w:t>9</w:t>
      </w:r>
      <w:r>
        <w:rPr>
          <w:rFonts w:hint="eastAsia"/>
          <w:color w:val="auto"/>
          <w:sz w:val="24"/>
          <w:highlight w:val="none"/>
        </w:rPr>
        <w:t>0t/h、酸碱综合废水</w:t>
      </w:r>
      <w:r>
        <w:rPr>
          <w:rFonts w:hint="eastAsia"/>
          <w:color w:val="auto"/>
          <w:sz w:val="24"/>
          <w:highlight w:val="none"/>
          <w:lang w:val="en-US" w:eastAsia="zh-CN"/>
        </w:rPr>
        <w:t>9</w:t>
      </w:r>
      <w:r>
        <w:rPr>
          <w:rFonts w:hint="eastAsia"/>
          <w:color w:val="auto"/>
          <w:sz w:val="24"/>
          <w:highlight w:val="none"/>
        </w:rPr>
        <w:t>0t/h、含镍废水集中处理系统90t/h。目前污水处理厂实际处理量为综合废水50-60t/h，含铬废水50-70t/h、含镍废水</w:t>
      </w:r>
      <w:r>
        <w:rPr>
          <w:rFonts w:hint="eastAsia"/>
          <w:color w:val="auto"/>
          <w:sz w:val="24"/>
          <w:highlight w:val="none"/>
          <w:lang w:val="en-US" w:eastAsia="zh-CN"/>
        </w:rPr>
        <w:t>4</w:t>
      </w:r>
      <w:r>
        <w:rPr>
          <w:rFonts w:hint="eastAsia"/>
          <w:color w:val="auto"/>
          <w:sz w:val="24"/>
          <w:highlight w:val="none"/>
        </w:rPr>
        <w:t>0t/</w:t>
      </w:r>
      <w:r>
        <w:rPr>
          <w:rFonts w:hint="eastAsia"/>
          <w:color w:val="auto"/>
          <w:sz w:val="24"/>
          <w:highlight w:val="none"/>
          <w:lang w:val="en-US" w:eastAsia="zh-CN"/>
        </w:rPr>
        <w:t>d</w:t>
      </w:r>
      <w:r>
        <w:rPr>
          <w:rFonts w:hint="eastAsia"/>
          <w:color w:val="auto"/>
          <w:sz w:val="24"/>
          <w:highlight w:val="none"/>
        </w:rPr>
        <w:t>，均未达到设计处理能力，该项目生产废水量为：综合废水</w:t>
      </w:r>
      <w:r>
        <w:rPr>
          <w:rFonts w:hint="eastAsia"/>
          <w:color w:val="auto"/>
          <w:sz w:val="24"/>
          <w:highlight w:val="none"/>
          <w:lang w:val="en-US" w:eastAsia="zh-CN"/>
        </w:rPr>
        <w:t>9610</w:t>
      </w:r>
      <w:r>
        <w:rPr>
          <w:rFonts w:hint="eastAsia"/>
          <w:color w:val="auto"/>
          <w:sz w:val="24"/>
          <w:highlight w:val="none"/>
        </w:rPr>
        <w:t>t/a、含镍废水</w:t>
      </w:r>
      <w:r>
        <w:rPr>
          <w:rFonts w:hint="eastAsia"/>
          <w:color w:val="auto"/>
          <w:sz w:val="24"/>
          <w:highlight w:val="none"/>
          <w:lang w:val="en-US" w:eastAsia="zh-CN"/>
        </w:rPr>
        <w:t>190</w:t>
      </w:r>
      <w:r>
        <w:rPr>
          <w:rFonts w:hint="eastAsia"/>
          <w:color w:val="auto"/>
          <w:sz w:val="24"/>
          <w:highlight w:val="none"/>
        </w:rPr>
        <w:t>t/a、含铬废水</w:t>
      </w:r>
      <w:r>
        <w:rPr>
          <w:rFonts w:hint="eastAsia"/>
          <w:color w:val="auto"/>
          <w:sz w:val="24"/>
          <w:highlight w:val="none"/>
          <w:lang w:val="en-US" w:eastAsia="zh-CN"/>
        </w:rPr>
        <w:t>1564</w:t>
      </w:r>
      <w:r>
        <w:rPr>
          <w:rFonts w:hint="eastAsia"/>
          <w:color w:val="auto"/>
          <w:sz w:val="24"/>
          <w:highlight w:val="none"/>
        </w:rPr>
        <w:t>t/a，可见工业园污水站有足够的容量接纳该项目的生产废水。</w:t>
      </w:r>
    </w:p>
    <w:p>
      <w:pPr>
        <w:adjustRightInd w:val="0"/>
        <w:snapToGrid w:val="0"/>
        <w:spacing w:line="360" w:lineRule="auto"/>
        <w:ind w:firstLine="480" w:firstLineChars="200"/>
        <w:rPr>
          <w:color w:val="auto"/>
          <w:sz w:val="24"/>
          <w:highlight w:val="none"/>
        </w:rPr>
      </w:pPr>
      <w:r>
        <w:rPr>
          <w:rFonts w:hint="eastAsia"/>
          <w:color w:val="auto"/>
          <w:sz w:val="24"/>
          <w:highlight w:val="none"/>
        </w:rPr>
        <w:t>目前园区一套120t/h的综合废水处理系统及一套120t/h的含铬废水处理系统停止运行，处理构筑物主要作为污水处理站应急事故水池。</w:t>
      </w:r>
    </w:p>
    <w:p>
      <w:pPr>
        <w:pStyle w:val="19"/>
        <w:adjustRightInd w:val="0"/>
        <w:snapToGrid w:val="0"/>
        <w:spacing w:line="360" w:lineRule="auto"/>
        <w:ind w:firstLine="480" w:firstLineChars="200"/>
        <w:rPr>
          <w:rFonts w:ascii="Times New Roman" w:hAnsi="Times New Roman" w:cs="Times New Roman"/>
          <w:color w:val="auto"/>
          <w:szCs w:val="24"/>
          <w:highlight w:val="none"/>
        </w:rPr>
      </w:pPr>
      <w:r>
        <w:rPr>
          <w:rFonts w:ascii="Times New Roman" w:hAnsi="Times New Roman" w:cs="Times New Roman"/>
          <w:color w:val="auto"/>
          <w:szCs w:val="24"/>
          <w:highlight w:val="none"/>
        </w:rPr>
        <w:t>(3)供电</w:t>
      </w:r>
    </w:p>
    <w:p>
      <w:pPr>
        <w:adjustRightInd w:val="0"/>
        <w:snapToGrid w:val="0"/>
        <w:spacing w:line="360" w:lineRule="auto"/>
        <w:ind w:firstLine="480" w:firstLineChars="200"/>
        <w:rPr>
          <w:color w:val="auto"/>
          <w:sz w:val="24"/>
          <w:highlight w:val="none"/>
        </w:rPr>
      </w:pPr>
      <w:r>
        <w:rPr>
          <w:rFonts w:hint="eastAsia"/>
          <w:color w:val="auto"/>
          <w:sz w:val="24"/>
          <w:highlight w:val="none"/>
        </w:rPr>
        <w:t>园区共设有5个配电柜，位于园区西北侧。装机容量共计1960千伏安，二期新增装机容量1540千伏安，分别增加1个800千伏安、1个600千伏安、1个160千伏安配电柜，位于园区西北侧，届时园区配电设施总装机容量共计3500千伏安，进入配电室变压为380V/220V低压后，供园区内各企业使用</w:t>
      </w:r>
      <w:r>
        <w:rPr>
          <w:color w:val="auto"/>
          <w:sz w:val="24"/>
          <w:highlight w:val="none"/>
        </w:rPr>
        <w:t>。</w:t>
      </w:r>
    </w:p>
    <w:p>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(4)固体废物</w:t>
      </w:r>
    </w:p>
    <w:p>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各企业及园区均建有相应的危险废物暂存间。园区内污水站东侧设有1处危险废物库，总占地面积约150m</w:t>
      </w:r>
      <w:r>
        <w:rPr>
          <w:rFonts w:hint="eastAsia"/>
          <w:color w:val="auto"/>
          <w:sz w:val="24"/>
          <w:highlight w:val="none"/>
          <w:vertAlign w:val="superscript"/>
        </w:rPr>
        <w:t>2</w:t>
      </w:r>
      <w:r>
        <w:rPr>
          <w:rFonts w:hint="eastAsia"/>
          <w:color w:val="auto"/>
          <w:sz w:val="24"/>
          <w:highlight w:val="none"/>
        </w:rPr>
        <w:t>，除用于存放污水站干化污泥外，还用于收集存放园区内各企业委托处理的危险废物，定期交由有资质单位处置。危废暂存间采取了防腐、防渗漏、防晒等措施，库内设置围堰。各企业产生的废电镀槽液、废弃过滤芯、废弃包装物等危险废物收集后交由园区危废暂存间储存，并由园区统一处理。</w:t>
      </w:r>
    </w:p>
    <w:p>
      <w:pPr>
        <w:pStyle w:val="19"/>
        <w:adjustRightInd w:val="0"/>
        <w:snapToGrid w:val="0"/>
        <w:spacing w:line="360" w:lineRule="auto"/>
        <w:ind w:firstLine="480" w:firstLineChars="200"/>
        <w:rPr>
          <w:rFonts w:ascii="Times New Roman" w:hAnsi="Times New Roman" w:cs="Times New Roman"/>
          <w:color w:val="auto"/>
          <w:szCs w:val="24"/>
          <w:highlight w:val="none"/>
        </w:rPr>
      </w:pPr>
      <w:r>
        <w:rPr>
          <w:rFonts w:ascii="Times New Roman" w:hAnsi="Times New Roman" w:cs="Times New Roman"/>
          <w:color w:val="auto"/>
          <w:szCs w:val="24"/>
          <w:highlight w:val="none"/>
        </w:rPr>
        <w:t>(5)</w:t>
      </w:r>
      <w:r>
        <w:rPr>
          <w:rFonts w:hint="eastAsia" w:ascii="Times New Roman" w:hAnsi="Times New Roman" w:cs="Times New Roman"/>
          <w:color w:val="auto"/>
          <w:szCs w:val="24"/>
          <w:highlight w:val="none"/>
        </w:rPr>
        <w:t>集中退镀区</w:t>
      </w:r>
    </w:p>
    <w:p>
      <w:pPr>
        <w:adjustRightInd w:val="0"/>
        <w:snapToGrid w:val="0"/>
        <w:spacing w:line="360" w:lineRule="auto"/>
        <w:ind w:firstLine="480" w:firstLineChars="200"/>
        <w:rPr>
          <w:color w:val="auto"/>
          <w:sz w:val="24"/>
          <w:highlight w:val="none"/>
        </w:rPr>
      </w:pPr>
      <w:r>
        <w:rPr>
          <w:rFonts w:hint="eastAsia"/>
          <w:color w:val="auto"/>
          <w:sz w:val="24"/>
          <w:highlight w:val="none"/>
        </w:rPr>
        <w:t>园区在3#楼-3层设置了集中退镀中心，已于2012年9月投入使用</w:t>
      </w:r>
      <w:r>
        <w:rPr>
          <w:color w:val="auto"/>
          <w:sz w:val="24"/>
          <w:highlight w:val="none"/>
        </w:rPr>
        <w:t>。</w:t>
      </w:r>
    </w:p>
    <w:p>
      <w:pPr>
        <w:adjustRightInd w:val="0"/>
        <w:snapToGrid w:val="0"/>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3、电镀工业园“三同时”执行情况</w:t>
      </w:r>
    </w:p>
    <w:p>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w:t>
      </w:r>
      <w:r>
        <w:rPr>
          <w:rFonts w:hint="eastAsia"/>
          <w:color w:val="auto"/>
          <w:sz w:val="24"/>
          <w:highlight w:val="none"/>
          <w:lang w:val="en-US" w:eastAsia="zh-CN"/>
        </w:rPr>
        <w:t>1</w:t>
      </w:r>
      <w:r>
        <w:rPr>
          <w:rFonts w:hint="eastAsia"/>
          <w:color w:val="auto"/>
          <w:sz w:val="24"/>
          <w:highlight w:val="none"/>
        </w:rPr>
        <w:t>)电镀工业园一期“三同时”执行情况</w:t>
      </w:r>
    </w:p>
    <w:p>
      <w:pPr>
        <w:adjustRightInd w:val="0"/>
        <w:snapToGrid w:val="0"/>
        <w:spacing w:line="360" w:lineRule="auto"/>
        <w:ind w:firstLine="480" w:firstLineChars="200"/>
        <w:rPr>
          <w:color w:val="auto"/>
          <w:sz w:val="24"/>
          <w:highlight w:val="none"/>
        </w:rPr>
      </w:pPr>
      <w:r>
        <w:rPr>
          <w:rFonts w:hint="eastAsia"/>
          <w:color w:val="auto"/>
          <w:sz w:val="24"/>
          <w:highlight w:val="none"/>
        </w:rPr>
        <w:t>该项目位于电镀工业园一期工程，一期工程已于2006年1月26日通过青岛市环保局的竣工验收，获准投入正式生产，其环评批复</w:t>
      </w:r>
      <w:r>
        <w:rPr>
          <w:rFonts w:hint="eastAsia"/>
          <w:color w:val="auto"/>
          <w:sz w:val="24"/>
          <w:highlight w:val="none"/>
        </w:rPr>
        <w:t>及验收意见(见附件</w:t>
      </w:r>
      <w:r>
        <w:rPr>
          <w:rFonts w:hint="eastAsia"/>
          <w:color w:val="auto"/>
          <w:sz w:val="24"/>
          <w:highlight w:val="none"/>
          <w:lang w:val="en-US" w:eastAsia="zh-CN"/>
        </w:rPr>
        <w:t>12、13</w:t>
      </w:r>
      <w:r>
        <w:rPr>
          <w:rFonts w:hint="eastAsia"/>
          <w:color w:val="auto"/>
          <w:sz w:val="24"/>
          <w:highlight w:val="none"/>
        </w:rPr>
        <w:t>)中相关</w:t>
      </w:r>
      <w:r>
        <w:rPr>
          <w:rFonts w:hint="eastAsia"/>
          <w:color w:val="auto"/>
          <w:sz w:val="24"/>
          <w:highlight w:val="none"/>
        </w:rPr>
        <w:t>要求执行情况见表</w:t>
      </w:r>
      <w:r>
        <w:rPr>
          <w:rFonts w:hint="eastAsia"/>
          <w:color w:val="auto"/>
          <w:sz w:val="24"/>
          <w:highlight w:val="none"/>
          <w:lang w:val="en-US" w:eastAsia="zh-CN"/>
        </w:rPr>
        <w:t>2.2-6</w:t>
      </w:r>
      <w:r>
        <w:rPr>
          <w:color w:val="auto"/>
          <w:sz w:val="24"/>
          <w:highlight w:val="none"/>
        </w:rPr>
        <w:t>。</w:t>
      </w:r>
    </w:p>
    <w:p>
      <w:pPr>
        <w:spacing w:line="360" w:lineRule="auto"/>
        <w:jc w:val="center"/>
        <w:rPr>
          <w:rFonts w:eastAsia="黑体"/>
          <w:color w:val="auto"/>
          <w:kern w:val="0"/>
          <w:sz w:val="24"/>
          <w:highlight w:val="none"/>
        </w:rPr>
      </w:pPr>
      <w:r>
        <w:rPr>
          <w:rFonts w:eastAsia="黑体"/>
          <w:color w:val="auto"/>
          <w:kern w:val="0"/>
          <w:sz w:val="24"/>
          <w:highlight w:val="none"/>
        </w:rPr>
        <w:t>表</w:t>
      </w:r>
      <w:r>
        <w:rPr>
          <w:rFonts w:hint="eastAsia" w:eastAsia="黑体"/>
          <w:color w:val="auto"/>
          <w:kern w:val="0"/>
          <w:sz w:val="24"/>
          <w:highlight w:val="none"/>
          <w:lang w:val="en-US" w:eastAsia="zh-CN"/>
        </w:rPr>
        <w:t>2.2-6  电镀工业园一期</w:t>
      </w:r>
      <w:r>
        <w:rPr>
          <w:rFonts w:eastAsia="黑体"/>
          <w:color w:val="auto"/>
          <w:kern w:val="0"/>
          <w:sz w:val="24"/>
          <w:highlight w:val="none"/>
        </w:rPr>
        <w:t>环评批复及验收意见执行情况列表</w:t>
      </w:r>
    </w:p>
    <w:tbl>
      <w:tblPr>
        <w:tblStyle w:val="36"/>
        <w:tblW w:w="9620" w:type="dxa"/>
        <w:tblInd w:w="0" w:type="dxa"/>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675"/>
        <w:gridCol w:w="4193"/>
        <w:gridCol w:w="4752"/>
      </w:tblGrid>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trPr>
        <w:tc>
          <w:tcPr>
            <w:tcW w:w="675" w:type="dxa"/>
            <w:tcBorders>
              <w:tl2br w:val="nil"/>
              <w:tr2bl w:val="nil"/>
            </w:tcBorders>
            <w:noWrap w:val="0"/>
            <w:vAlign w:val="center"/>
          </w:tcPr>
          <w:p>
            <w:pPr>
              <w:adjustRightInd w:val="0"/>
              <w:snapToGrid w:val="0"/>
              <w:jc w:val="center"/>
              <w:rPr>
                <w:rFonts w:eastAsia="黑体"/>
                <w:color w:val="auto"/>
                <w:szCs w:val="21"/>
                <w:highlight w:val="none"/>
              </w:rPr>
            </w:pPr>
            <w:r>
              <w:rPr>
                <w:rFonts w:eastAsia="黑体"/>
                <w:color w:val="auto"/>
                <w:szCs w:val="21"/>
                <w:highlight w:val="none"/>
              </w:rPr>
              <w:t>序号</w:t>
            </w:r>
          </w:p>
        </w:tc>
        <w:tc>
          <w:tcPr>
            <w:tcW w:w="4193" w:type="dxa"/>
            <w:tcBorders>
              <w:tl2br w:val="nil"/>
              <w:tr2bl w:val="nil"/>
            </w:tcBorders>
            <w:noWrap w:val="0"/>
            <w:vAlign w:val="center"/>
          </w:tcPr>
          <w:p>
            <w:pPr>
              <w:adjustRightInd w:val="0"/>
              <w:snapToGrid w:val="0"/>
              <w:jc w:val="center"/>
              <w:rPr>
                <w:rFonts w:eastAsia="黑体"/>
                <w:color w:val="auto"/>
                <w:szCs w:val="21"/>
                <w:highlight w:val="none"/>
              </w:rPr>
            </w:pPr>
            <w:r>
              <w:rPr>
                <w:rFonts w:eastAsia="黑体"/>
                <w:color w:val="auto"/>
                <w:szCs w:val="21"/>
                <w:highlight w:val="none"/>
              </w:rPr>
              <w:t>文件要求</w:t>
            </w:r>
          </w:p>
        </w:tc>
        <w:tc>
          <w:tcPr>
            <w:tcW w:w="4752" w:type="dxa"/>
            <w:tcBorders>
              <w:tl2br w:val="nil"/>
              <w:tr2bl w:val="nil"/>
            </w:tcBorders>
            <w:noWrap w:val="0"/>
            <w:vAlign w:val="center"/>
          </w:tcPr>
          <w:p>
            <w:pPr>
              <w:adjustRightInd w:val="0"/>
              <w:snapToGrid w:val="0"/>
              <w:jc w:val="center"/>
              <w:rPr>
                <w:rFonts w:eastAsia="黑体"/>
                <w:color w:val="auto"/>
                <w:szCs w:val="21"/>
                <w:highlight w:val="none"/>
              </w:rPr>
            </w:pPr>
            <w:r>
              <w:rPr>
                <w:rFonts w:eastAsia="黑体"/>
                <w:color w:val="auto"/>
                <w:szCs w:val="21"/>
                <w:highlight w:val="none"/>
              </w:rPr>
              <w:t>实际执行情况</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trPr>
        <w:tc>
          <w:tcPr>
            <w:tcW w:w="9620" w:type="dxa"/>
            <w:gridSpan w:val="3"/>
            <w:tcBorders>
              <w:tl2br w:val="nil"/>
              <w:tr2bl w:val="nil"/>
            </w:tcBorders>
            <w:noWrap w:val="0"/>
            <w:vAlign w:val="center"/>
          </w:tcPr>
          <w:p>
            <w:pPr>
              <w:adjustRightInd w:val="0"/>
              <w:snapToGrid w:val="0"/>
              <w:jc w:val="center"/>
              <w:rPr>
                <w:color w:val="auto"/>
                <w:szCs w:val="21"/>
                <w:highlight w:val="none"/>
              </w:rPr>
            </w:pPr>
            <w:r>
              <w:rPr>
                <w:color w:val="auto"/>
                <w:szCs w:val="21"/>
                <w:highlight w:val="none"/>
              </w:rPr>
              <w:t>1.</w:t>
            </w:r>
            <w:r>
              <w:rPr>
                <w:rFonts w:hint="eastAsia"/>
                <w:color w:val="auto"/>
                <w:szCs w:val="21"/>
                <w:highlight w:val="none"/>
              </w:rPr>
              <w:t>环评批复(青环发[2003]231号)</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trPr>
        <w:tc>
          <w:tcPr>
            <w:tcW w:w="675" w:type="dxa"/>
            <w:tcBorders>
              <w:tl2br w:val="nil"/>
              <w:tr2bl w:val="nil"/>
            </w:tcBorders>
            <w:noWrap w:val="0"/>
            <w:vAlign w:val="center"/>
          </w:tcPr>
          <w:p>
            <w:pPr>
              <w:adjustRightInd w:val="0"/>
              <w:snapToGrid w:val="0"/>
              <w:jc w:val="center"/>
              <w:rPr>
                <w:color w:val="auto"/>
                <w:szCs w:val="21"/>
                <w:highlight w:val="none"/>
              </w:rPr>
            </w:pPr>
            <w:r>
              <w:rPr>
                <w:color w:val="auto"/>
                <w:szCs w:val="21"/>
                <w:highlight w:val="none"/>
              </w:rPr>
              <w:t>1</w:t>
            </w:r>
          </w:p>
        </w:tc>
        <w:tc>
          <w:tcPr>
            <w:tcW w:w="4193" w:type="dxa"/>
            <w:tcBorders>
              <w:tl2br w:val="nil"/>
              <w:tr2bl w:val="nil"/>
            </w:tcBorders>
            <w:noWrap w:val="0"/>
            <w:vAlign w:val="center"/>
          </w:tcPr>
          <w:p>
            <w:pPr>
              <w:adjustRightInd w:val="0"/>
              <w:snapToGrid w:val="0"/>
              <w:spacing w:line="360" w:lineRule="auto"/>
              <w:jc w:val="both"/>
              <w:rPr>
                <w:color w:val="auto"/>
                <w:sz w:val="18"/>
                <w:szCs w:val="18"/>
                <w:highlight w:val="none"/>
              </w:rPr>
            </w:pPr>
            <w:r>
              <w:rPr>
                <w:rFonts w:hint="eastAsia"/>
                <w:color w:val="auto"/>
                <w:sz w:val="18"/>
                <w:szCs w:val="18"/>
                <w:highlight w:val="none"/>
              </w:rPr>
              <w:t>完善现有污水处理设施，废水由园区分别收集、统一处理。废水中一类污染物排放需符合《污水综合排放标准》(GB8978-1996)表1规定，其他污染物排放执行《污水综合排放标准》(GB8978-1996)表4三级标准。园区只允许设置1个排污口，排污口须进行规范化整治</w:t>
            </w:r>
            <w:r>
              <w:rPr>
                <w:color w:val="auto"/>
                <w:sz w:val="18"/>
                <w:szCs w:val="18"/>
                <w:highlight w:val="none"/>
              </w:rPr>
              <w:t>。</w:t>
            </w:r>
          </w:p>
        </w:tc>
        <w:tc>
          <w:tcPr>
            <w:tcW w:w="4752" w:type="dxa"/>
            <w:tcBorders>
              <w:tl2br w:val="nil"/>
              <w:tr2bl w:val="nil"/>
            </w:tcBorders>
            <w:noWrap w:val="0"/>
            <w:vAlign w:val="center"/>
          </w:tcPr>
          <w:p>
            <w:pPr>
              <w:adjustRightInd w:val="0"/>
              <w:snapToGrid w:val="0"/>
              <w:spacing w:line="360" w:lineRule="auto"/>
              <w:jc w:val="both"/>
              <w:rPr>
                <w:color w:val="auto"/>
                <w:sz w:val="18"/>
                <w:szCs w:val="18"/>
                <w:highlight w:val="none"/>
              </w:rPr>
            </w:pPr>
            <w:r>
              <w:rPr>
                <w:color w:val="auto"/>
                <w:sz w:val="18"/>
                <w:szCs w:val="18"/>
                <w:highlight w:val="none"/>
              </w:rPr>
              <w:t>1、</w:t>
            </w:r>
            <w:r>
              <w:rPr>
                <w:rFonts w:hint="eastAsia"/>
                <w:color w:val="auto"/>
                <w:sz w:val="18"/>
                <w:szCs w:val="18"/>
                <w:highlight w:val="none"/>
              </w:rPr>
              <w:t>园区共设有含氰、含铬、综合、含镍四类废水管道，分别单独收集处理，所有含铬的废水都排入含铬废水管道</w:t>
            </w:r>
            <w:r>
              <w:rPr>
                <w:color w:val="auto"/>
                <w:sz w:val="18"/>
                <w:szCs w:val="18"/>
                <w:highlight w:val="none"/>
              </w:rPr>
              <w:t>。</w:t>
            </w:r>
          </w:p>
          <w:p>
            <w:pPr>
              <w:adjustRightInd w:val="0"/>
              <w:snapToGrid w:val="0"/>
              <w:spacing w:line="360" w:lineRule="auto"/>
              <w:jc w:val="both"/>
              <w:rPr>
                <w:color w:val="auto"/>
                <w:sz w:val="18"/>
                <w:szCs w:val="18"/>
                <w:highlight w:val="none"/>
              </w:rPr>
            </w:pPr>
            <w:r>
              <w:rPr>
                <w:color w:val="auto"/>
                <w:sz w:val="18"/>
                <w:szCs w:val="18"/>
                <w:highlight w:val="none"/>
              </w:rPr>
              <w:t>2、</w:t>
            </w:r>
            <w:r>
              <w:rPr>
                <w:rFonts w:hint="eastAsia"/>
                <w:color w:val="auto"/>
                <w:sz w:val="18"/>
                <w:szCs w:val="18"/>
                <w:highlight w:val="none"/>
              </w:rPr>
              <w:t>根据验收监测报告、季度例行监测结果，废水中总镍、总铬、六价铬、总银处理达到《电镀污染物排放标准》(GB21900-2008)表2要求，其他污染物达到《污水排入城市下水道水质标准》(CJ343-2010)B 级标准要求)</w:t>
            </w:r>
            <w:r>
              <w:rPr>
                <w:color w:val="auto"/>
                <w:sz w:val="18"/>
                <w:szCs w:val="18"/>
                <w:highlight w:val="none"/>
              </w:rPr>
              <w:t>。</w:t>
            </w:r>
          </w:p>
          <w:p>
            <w:pPr>
              <w:adjustRightInd w:val="0"/>
              <w:snapToGrid w:val="0"/>
              <w:spacing w:line="360" w:lineRule="auto"/>
              <w:jc w:val="both"/>
              <w:rPr>
                <w:color w:val="auto"/>
                <w:sz w:val="18"/>
                <w:szCs w:val="18"/>
                <w:highlight w:val="none"/>
              </w:rPr>
            </w:pPr>
            <w:r>
              <w:rPr>
                <w:color w:val="auto"/>
                <w:sz w:val="18"/>
                <w:szCs w:val="18"/>
                <w:highlight w:val="none"/>
              </w:rPr>
              <w:t>3、</w:t>
            </w:r>
            <w:r>
              <w:rPr>
                <w:rFonts w:hint="eastAsia"/>
                <w:color w:val="auto"/>
                <w:sz w:val="18"/>
                <w:szCs w:val="18"/>
                <w:highlight w:val="none"/>
                <w:lang w:val="en-US" w:eastAsia="zh-CN"/>
              </w:rPr>
              <w:t>园区</w:t>
            </w:r>
            <w:r>
              <w:rPr>
                <w:color w:val="auto"/>
                <w:sz w:val="18"/>
                <w:szCs w:val="18"/>
                <w:highlight w:val="none"/>
              </w:rPr>
              <w:t>设置1个排污口，并进行了规范化建设。</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trPr>
        <w:tc>
          <w:tcPr>
            <w:tcW w:w="675" w:type="dxa"/>
            <w:tcBorders>
              <w:tl2br w:val="nil"/>
              <w:tr2bl w:val="nil"/>
            </w:tcBorders>
            <w:noWrap w:val="0"/>
            <w:vAlign w:val="center"/>
          </w:tcPr>
          <w:p>
            <w:pPr>
              <w:adjustRightInd w:val="0"/>
              <w:snapToGrid w:val="0"/>
              <w:jc w:val="center"/>
              <w:rPr>
                <w:color w:val="auto"/>
                <w:szCs w:val="21"/>
                <w:highlight w:val="none"/>
              </w:rPr>
            </w:pPr>
            <w:r>
              <w:rPr>
                <w:color w:val="auto"/>
                <w:szCs w:val="21"/>
                <w:highlight w:val="none"/>
              </w:rPr>
              <w:t>2</w:t>
            </w:r>
          </w:p>
        </w:tc>
        <w:tc>
          <w:tcPr>
            <w:tcW w:w="4193" w:type="dxa"/>
            <w:tcBorders>
              <w:tl2br w:val="nil"/>
              <w:tr2bl w:val="nil"/>
            </w:tcBorders>
            <w:noWrap w:val="0"/>
            <w:vAlign w:val="center"/>
          </w:tcPr>
          <w:p>
            <w:pPr>
              <w:adjustRightInd w:val="0"/>
              <w:snapToGrid w:val="0"/>
              <w:spacing w:line="360" w:lineRule="auto"/>
              <w:jc w:val="both"/>
              <w:rPr>
                <w:color w:val="auto"/>
                <w:sz w:val="18"/>
                <w:szCs w:val="18"/>
                <w:highlight w:val="none"/>
              </w:rPr>
            </w:pPr>
            <w:r>
              <w:rPr>
                <w:rFonts w:hint="eastAsia"/>
                <w:color w:val="auto"/>
                <w:sz w:val="18"/>
                <w:szCs w:val="18"/>
                <w:highlight w:val="none"/>
              </w:rPr>
              <w:t>全面落实报告书提出的大气污染防治措施，生产工艺废气经处理达到《大气污染物综合排放标准》(GB16297-1996)二级标准后经专用排气筒高空排放，氰化氢排气筒高度不得低于25m，其他排气筒高度不得低于15m</w:t>
            </w:r>
            <w:r>
              <w:rPr>
                <w:color w:val="auto"/>
                <w:sz w:val="18"/>
                <w:szCs w:val="18"/>
                <w:highlight w:val="none"/>
              </w:rPr>
              <w:t>。</w:t>
            </w:r>
          </w:p>
        </w:tc>
        <w:tc>
          <w:tcPr>
            <w:tcW w:w="4752" w:type="dxa"/>
            <w:tcBorders>
              <w:tl2br w:val="nil"/>
              <w:tr2bl w:val="nil"/>
            </w:tcBorders>
            <w:noWrap w:val="0"/>
            <w:vAlign w:val="center"/>
          </w:tcPr>
          <w:p>
            <w:pPr>
              <w:adjustRightInd w:val="0"/>
              <w:snapToGrid w:val="0"/>
              <w:spacing w:line="360" w:lineRule="auto"/>
              <w:jc w:val="both"/>
              <w:rPr>
                <w:color w:val="auto"/>
                <w:sz w:val="18"/>
                <w:szCs w:val="18"/>
                <w:highlight w:val="none"/>
              </w:rPr>
            </w:pPr>
            <w:r>
              <w:rPr>
                <w:rFonts w:hint="eastAsia"/>
                <w:color w:val="auto"/>
                <w:sz w:val="18"/>
                <w:szCs w:val="18"/>
                <w:highlight w:val="none"/>
              </w:rPr>
              <w:t>园区内一期</w:t>
            </w:r>
            <w:r>
              <w:rPr>
                <w:rFonts w:hint="eastAsia"/>
                <w:color w:val="auto"/>
                <w:sz w:val="18"/>
                <w:szCs w:val="18"/>
                <w:highlight w:val="none"/>
              </w:rPr>
              <w:t>现有企业均按照生产工艺废气种类安装废气净化罐(酸雾净化塔、铬酸</w:t>
            </w:r>
            <w:r>
              <w:rPr>
                <w:rFonts w:hint="eastAsia"/>
                <w:color w:val="auto"/>
                <w:sz w:val="18"/>
                <w:szCs w:val="18"/>
                <w:highlight w:val="none"/>
              </w:rPr>
              <w:t>雾净化塔、氰化氢净化罐等)，各类废气分类处理后经相应排气筒排放。氰化氢、其他废气排气筒高度满足25m到15m要求。类比青岛市其他同类企业，电镀废气经净化罐处理后均可达标排放</w:t>
            </w:r>
            <w:r>
              <w:rPr>
                <w:color w:val="auto"/>
                <w:sz w:val="18"/>
                <w:szCs w:val="18"/>
                <w:highlight w:val="none"/>
              </w:rPr>
              <w:t>。</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trPr>
        <w:tc>
          <w:tcPr>
            <w:tcW w:w="675" w:type="dxa"/>
            <w:tcBorders>
              <w:tl2br w:val="nil"/>
              <w:tr2bl w:val="nil"/>
            </w:tcBorders>
            <w:noWrap w:val="0"/>
            <w:vAlign w:val="center"/>
          </w:tcPr>
          <w:p>
            <w:pPr>
              <w:adjustRightInd w:val="0"/>
              <w:snapToGrid w:val="0"/>
              <w:jc w:val="center"/>
              <w:rPr>
                <w:color w:val="auto"/>
                <w:szCs w:val="21"/>
                <w:highlight w:val="none"/>
              </w:rPr>
            </w:pPr>
            <w:r>
              <w:rPr>
                <w:color w:val="auto"/>
                <w:szCs w:val="21"/>
                <w:highlight w:val="none"/>
              </w:rPr>
              <w:t>3</w:t>
            </w:r>
          </w:p>
        </w:tc>
        <w:tc>
          <w:tcPr>
            <w:tcW w:w="4193" w:type="dxa"/>
            <w:tcBorders>
              <w:tl2br w:val="nil"/>
              <w:tr2bl w:val="nil"/>
            </w:tcBorders>
            <w:noWrap w:val="0"/>
            <w:vAlign w:val="center"/>
          </w:tcPr>
          <w:p>
            <w:pPr>
              <w:adjustRightInd w:val="0"/>
              <w:snapToGrid w:val="0"/>
              <w:spacing w:line="360" w:lineRule="auto"/>
              <w:jc w:val="left"/>
              <w:rPr>
                <w:color w:val="auto"/>
                <w:sz w:val="18"/>
                <w:szCs w:val="18"/>
                <w:highlight w:val="none"/>
              </w:rPr>
            </w:pPr>
            <w:r>
              <w:rPr>
                <w:rFonts w:hint="eastAsia"/>
                <w:color w:val="auto"/>
                <w:sz w:val="18"/>
                <w:szCs w:val="18"/>
                <w:highlight w:val="none"/>
              </w:rPr>
              <w:t>固定噪声源应合理布局，并采取有效吸隔声、减振措施，以确保厂界噪声达到《工业企业厂界噪声标准》(GB12348-90)III类标准：昼/夜间≤65/55dB(A)</w:t>
            </w:r>
            <w:r>
              <w:rPr>
                <w:color w:val="auto"/>
                <w:sz w:val="18"/>
                <w:szCs w:val="18"/>
                <w:highlight w:val="none"/>
              </w:rPr>
              <w:t>。</w:t>
            </w:r>
          </w:p>
        </w:tc>
        <w:tc>
          <w:tcPr>
            <w:tcW w:w="4752" w:type="dxa"/>
            <w:tcBorders>
              <w:tl2br w:val="nil"/>
              <w:tr2bl w:val="nil"/>
            </w:tcBorders>
            <w:noWrap w:val="0"/>
            <w:vAlign w:val="center"/>
          </w:tcPr>
          <w:p>
            <w:pPr>
              <w:adjustRightInd w:val="0"/>
              <w:snapToGrid w:val="0"/>
              <w:spacing w:line="360" w:lineRule="auto"/>
              <w:jc w:val="left"/>
              <w:rPr>
                <w:color w:val="auto"/>
                <w:sz w:val="18"/>
                <w:szCs w:val="18"/>
                <w:highlight w:val="none"/>
              </w:rPr>
            </w:pPr>
            <w:r>
              <w:rPr>
                <w:rFonts w:hint="eastAsia"/>
                <w:color w:val="auto"/>
                <w:sz w:val="18"/>
                <w:szCs w:val="18"/>
                <w:highlight w:val="none"/>
              </w:rPr>
              <w:t>根据本次评价期间对园区厂界噪声监测结果，靠近该项目的园区东厂界、北厂界处昼、夜间噪声值均能满足《工业企业厂界环境噪声排放标准》(GB12348-2008)3类标准要求</w:t>
            </w:r>
            <w:r>
              <w:rPr>
                <w:color w:val="auto"/>
                <w:sz w:val="18"/>
                <w:szCs w:val="18"/>
                <w:highlight w:val="none"/>
              </w:rPr>
              <w:t>。</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trPr>
        <w:tc>
          <w:tcPr>
            <w:tcW w:w="675" w:type="dxa"/>
            <w:tcBorders>
              <w:tl2br w:val="nil"/>
              <w:tr2bl w:val="nil"/>
            </w:tcBorders>
            <w:noWrap w:val="0"/>
            <w:vAlign w:val="center"/>
          </w:tcPr>
          <w:p>
            <w:pPr>
              <w:adjustRightInd w:val="0"/>
              <w:snapToGrid w:val="0"/>
              <w:jc w:val="center"/>
              <w:rPr>
                <w:color w:val="auto"/>
                <w:szCs w:val="21"/>
                <w:highlight w:val="none"/>
              </w:rPr>
            </w:pPr>
            <w:r>
              <w:rPr>
                <w:color w:val="auto"/>
                <w:szCs w:val="21"/>
                <w:highlight w:val="none"/>
              </w:rPr>
              <w:t>4</w:t>
            </w:r>
          </w:p>
        </w:tc>
        <w:tc>
          <w:tcPr>
            <w:tcW w:w="4193" w:type="dxa"/>
            <w:tcBorders>
              <w:tl2br w:val="nil"/>
              <w:tr2bl w:val="nil"/>
            </w:tcBorders>
            <w:noWrap w:val="0"/>
            <w:vAlign w:val="center"/>
          </w:tcPr>
          <w:p>
            <w:pPr>
              <w:adjustRightInd w:val="0"/>
              <w:snapToGrid w:val="0"/>
              <w:spacing w:line="360" w:lineRule="auto"/>
              <w:jc w:val="both"/>
              <w:rPr>
                <w:color w:val="auto"/>
                <w:sz w:val="18"/>
                <w:szCs w:val="18"/>
                <w:highlight w:val="none"/>
              </w:rPr>
            </w:pPr>
            <w:r>
              <w:rPr>
                <w:rFonts w:hint="eastAsia"/>
                <w:color w:val="auto"/>
                <w:sz w:val="18"/>
                <w:szCs w:val="18"/>
                <w:highlight w:val="none"/>
              </w:rPr>
              <w:t>园区要建设统一的防淋、防渗漏场所用于贮存镀槽滤渣和污水站干化污泥，场所建设符合《危险废物贮存污染控制标准》GB18597-2001要求。生产过程所用的化学试剂的包装瓶，由原生产单位回收利用，无法回收的内包装袋、干污泥等危险废物需委托经环保部门认可资质的单位集中进行无害化处理</w:t>
            </w:r>
            <w:r>
              <w:rPr>
                <w:color w:val="auto"/>
                <w:sz w:val="18"/>
                <w:szCs w:val="18"/>
                <w:highlight w:val="none"/>
              </w:rPr>
              <w:t>。</w:t>
            </w:r>
          </w:p>
        </w:tc>
        <w:tc>
          <w:tcPr>
            <w:tcW w:w="4752" w:type="dxa"/>
            <w:tcBorders>
              <w:tl2br w:val="nil"/>
              <w:tr2bl w:val="nil"/>
            </w:tcBorders>
            <w:noWrap w:val="0"/>
            <w:vAlign w:val="center"/>
          </w:tcPr>
          <w:p>
            <w:pPr>
              <w:adjustRightInd w:val="0"/>
              <w:snapToGrid w:val="0"/>
              <w:spacing w:line="360" w:lineRule="auto"/>
              <w:jc w:val="left"/>
              <w:rPr>
                <w:color w:val="auto"/>
                <w:sz w:val="18"/>
                <w:szCs w:val="18"/>
                <w:highlight w:val="none"/>
              </w:rPr>
            </w:pPr>
            <w:r>
              <w:rPr>
                <w:rFonts w:hint="eastAsia"/>
                <w:color w:val="auto"/>
                <w:sz w:val="18"/>
                <w:szCs w:val="18"/>
                <w:highlight w:val="none"/>
              </w:rPr>
              <w:t>园区建设有统一的防淋、防渗漏、防晒危险废物暂存库，主要用于存放干化污泥；镀槽滤渣、废槽液、废包装物等危废收集后交由园区处理，统一委托有资质单位处理。危废暂存场所建设基本符合《危险废物贮存污染控制标准》要求</w:t>
            </w:r>
            <w:r>
              <w:rPr>
                <w:color w:val="auto"/>
                <w:sz w:val="18"/>
                <w:szCs w:val="18"/>
                <w:highlight w:val="none"/>
              </w:rPr>
              <w:t>。</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trPr>
        <w:tc>
          <w:tcPr>
            <w:tcW w:w="675" w:type="dxa"/>
            <w:tcBorders>
              <w:tl2br w:val="nil"/>
              <w:tr2bl w:val="nil"/>
            </w:tcBorders>
            <w:noWrap w:val="0"/>
            <w:vAlign w:val="center"/>
          </w:tcPr>
          <w:p>
            <w:pPr>
              <w:adjustRightInd w:val="0"/>
              <w:snapToGrid w:val="0"/>
              <w:jc w:val="center"/>
              <w:rPr>
                <w:color w:val="auto"/>
                <w:szCs w:val="21"/>
                <w:highlight w:val="none"/>
              </w:rPr>
            </w:pPr>
            <w:r>
              <w:rPr>
                <w:color w:val="auto"/>
                <w:szCs w:val="21"/>
                <w:highlight w:val="none"/>
              </w:rPr>
              <w:t>5</w:t>
            </w:r>
          </w:p>
        </w:tc>
        <w:tc>
          <w:tcPr>
            <w:tcW w:w="4193" w:type="dxa"/>
            <w:tcBorders>
              <w:tl2br w:val="nil"/>
              <w:tr2bl w:val="nil"/>
            </w:tcBorders>
            <w:noWrap w:val="0"/>
            <w:vAlign w:val="center"/>
          </w:tcPr>
          <w:p>
            <w:pPr>
              <w:adjustRightInd w:val="0"/>
              <w:snapToGrid w:val="0"/>
              <w:spacing w:line="360" w:lineRule="auto"/>
              <w:jc w:val="both"/>
              <w:rPr>
                <w:color w:val="auto"/>
                <w:sz w:val="18"/>
                <w:szCs w:val="18"/>
                <w:highlight w:val="none"/>
              </w:rPr>
            </w:pPr>
            <w:r>
              <w:rPr>
                <w:rFonts w:hint="eastAsia"/>
                <w:color w:val="auto"/>
                <w:sz w:val="18"/>
                <w:szCs w:val="18"/>
                <w:highlight w:val="none"/>
              </w:rPr>
              <w:t>落实报告书提出的以新代老措施，对园区内现有企业进行治理改造；加强现有污水处理设施运行管理，做到稳定达标排放</w:t>
            </w:r>
            <w:r>
              <w:rPr>
                <w:color w:val="auto"/>
                <w:sz w:val="18"/>
                <w:szCs w:val="18"/>
                <w:highlight w:val="none"/>
              </w:rPr>
              <w:t>。</w:t>
            </w:r>
          </w:p>
        </w:tc>
        <w:tc>
          <w:tcPr>
            <w:tcW w:w="4752" w:type="dxa"/>
            <w:tcBorders>
              <w:tl2br w:val="nil"/>
              <w:tr2bl w:val="nil"/>
            </w:tcBorders>
            <w:noWrap w:val="0"/>
            <w:vAlign w:val="center"/>
          </w:tcPr>
          <w:p>
            <w:pPr>
              <w:adjustRightInd w:val="0"/>
              <w:snapToGrid w:val="0"/>
              <w:jc w:val="center"/>
              <w:rPr>
                <w:rFonts w:eastAsia="黑体"/>
                <w:color w:val="auto"/>
                <w:szCs w:val="21"/>
                <w:highlight w:val="none"/>
              </w:rPr>
            </w:pPr>
            <w:r>
              <w:rPr>
                <w:color w:val="auto"/>
                <w:sz w:val="18"/>
                <w:szCs w:val="21"/>
                <w:highlight w:val="none"/>
              </w:rPr>
              <w:t>已执行</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trPr>
        <w:tc>
          <w:tcPr>
            <w:tcW w:w="675" w:type="dxa"/>
            <w:tcBorders>
              <w:tl2br w:val="nil"/>
              <w:tr2bl w:val="nil"/>
            </w:tcBorders>
            <w:noWrap w:val="0"/>
            <w:vAlign w:val="center"/>
          </w:tcPr>
          <w:p>
            <w:pPr>
              <w:adjustRightInd w:val="0"/>
              <w:snapToGrid w:val="0"/>
              <w:jc w:val="center"/>
              <w:rPr>
                <w:color w:val="auto"/>
                <w:szCs w:val="21"/>
                <w:highlight w:val="none"/>
              </w:rPr>
            </w:pPr>
            <w:r>
              <w:rPr>
                <w:color w:val="auto"/>
                <w:szCs w:val="21"/>
                <w:highlight w:val="none"/>
              </w:rPr>
              <w:t>6</w:t>
            </w:r>
          </w:p>
        </w:tc>
        <w:tc>
          <w:tcPr>
            <w:tcW w:w="4193" w:type="dxa"/>
            <w:tcBorders>
              <w:tl2br w:val="nil"/>
              <w:tr2bl w:val="nil"/>
            </w:tcBorders>
            <w:noWrap w:val="0"/>
            <w:vAlign w:val="center"/>
          </w:tcPr>
          <w:p>
            <w:pPr>
              <w:adjustRightInd w:val="0"/>
              <w:snapToGrid w:val="0"/>
              <w:spacing w:line="360" w:lineRule="auto"/>
              <w:jc w:val="both"/>
              <w:rPr>
                <w:color w:val="auto"/>
                <w:sz w:val="18"/>
                <w:szCs w:val="18"/>
                <w:highlight w:val="none"/>
              </w:rPr>
            </w:pPr>
            <w:r>
              <w:rPr>
                <w:rFonts w:hint="eastAsia"/>
                <w:color w:val="auto"/>
                <w:sz w:val="18"/>
                <w:szCs w:val="18"/>
                <w:highlight w:val="none"/>
              </w:rPr>
              <w:t>该电镀工业园建成后，开发区现有分散电镀企业尽快按省、市长目标责任书规定的时间迁至园内</w:t>
            </w:r>
            <w:r>
              <w:rPr>
                <w:color w:val="auto"/>
                <w:sz w:val="18"/>
                <w:szCs w:val="18"/>
                <w:highlight w:val="none"/>
              </w:rPr>
              <w:t>。</w:t>
            </w:r>
          </w:p>
        </w:tc>
        <w:tc>
          <w:tcPr>
            <w:tcW w:w="4752" w:type="dxa"/>
            <w:tcBorders>
              <w:tl2br w:val="nil"/>
              <w:tr2bl w:val="nil"/>
            </w:tcBorders>
            <w:noWrap w:val="0"/>
            <w:vAlign w:val="center"/>
          </w:tcPr>
          <w:p>
            <w:pPr>
              <w:adjustRightInd w:val="0"/>
              <w:snapToGrid w:val="0"/>
              <w:jc w:val="center"/>
              <w:rPr>
                <w:rFonts w:eastAsia="黑体"/>
                <w:color w:val="auto"/>
                <w:szCs w:val="21"/>
                <w:highlight w:val="none"/>
              </w:rPr>
            </w:pPr>
            <w:r>
              <w:rPr>
                <w:color w:val="auto"/>
                <w:sz w:val="18"/>
                <w:szCs w:val="21"/>
                <w:highlight w:val="none"/>
              </w:rPr>
              <w:t>已执行</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trPr>
        <w:tc>
          <w:tcPr>
            <w:tcW w:w="675" w:type="dxa"/>
            <w:tcBorders>
              <w:tl2br w:val="nil"/>
              <w:tr2bl w:val="nil"/>
            </w:tcBorders>
            <w:noWrap w:val="0"/>
            <w:vAlign w:val="center"/>
          </w:tcPr>
          <w:p>
            <w:pPr>
              <w:adjustRightInd w:val="0"/>
              <w:snapToGrid w:val="0"/>
              <w:jc w:val="center"/>
              <w:rPr>
                <w:color w:val="auto"/>
                <w:szCs w:val="21"/>
                <w:highlight w:val="none"/>
              </w:rPr>
            </w:pPr>
            <w:r>
              <w:rPr>
                <w:color w:val="auto"/>
                <w:szCs w:val="21"/>
                <w:highlight w:val="none"/>
              </w:rPr>
              <w:t>7</w:t>
            </w:r>
          </w:p>
        </w:tc>
        <w:tc>
          <w:tcPr>
            <w:tcW w:w="4193" w:type="dxa"/>
            <w:tcBorders>
              <w:tl2br w:val="nil"/>
              <w:tr2bl w:val="nil"/>
            </w:tcBorders>
            <w:noWrap w:val="0"/>
            <w:vAlign w:val="center"/>
          </w:tcPr>
          <w:p>
            <w:pPr>
              <w:adjustRightInd w:val="0"/>
              <w:snapToGrid w:val="0"/>
              <w:spacing w:line="360" w:lineRule="auto"/>
              <w:jc w:val="both"/>
              <w:rPr>
                <w:color w:val="auto"/>
                <w:sz w:val="18"/>
                <w:szCs w:val="18"/>
                <w:highlight w:val="none"/>
              </w:rPr>
            </w:pPr>
            <w:r>
              <w:rPr>
                <w:rFonts w:hint="eastAsia"/>
                <w:color w:val="auto"/>
                <w:sz w:val="18"/>
                <w:szCs w:val="18"/>
                <w:highlight w:val="none"/>
              </w:rPr>
              <w:t>严格执行报告书提出的污染物总量控制目标要求实施清洁生产；建议按照循环经济理念做好园区规划，污水处理设施采用先进的处理工艺并经专家论证后实施，力争处理后的污水循环利用</w:t>
            </w:r>
            <w:r>
              <w:rPr>
                <w:color w:val="auto"/>
                <w:sz w:val="18"/>
                <w:szCs w:val="18"/>
                <w:highlight w:val="none"/>
              </w:rPr>
              <w:t>。</w:t>
            </w:r>
          </w:p>
        </w:tc>
        <w:tc>
          <w:tcPr>
            <w:tcW w:w="4752" w:type="dxa"/>
            <w:tcBorders>
              <w:tl2br w:val="nil"/>
              <w:tr2bl w:val="nil"/>
            </w:tcBorders>
            <w:noWrap w:val="0"/>
            <w:vAlign w:val="center"/>
          </w:tcPr>
          <w:p>
            <w:pPr>
              <w:adjustRightInd w:val="0"/>
              <w:snapToGrid w:val="0"/>
              <w:jc w:val="both"/>
              <w:rPr>
                <w:rFonts w:eastAsia="黑体"/>
                <w:color w:val="auto"/>
                <w:szCs w:val="21"/>
                <w:highlight w:val="none"/>
              </w:rPr>
            </w:pPr>
            <w:r>
              <w:rPr>
                <w:rFonts w:hint="eastAsia"/>
                <w:color w:val="auto"/>
                <w:sz w:val="18"/>
                <w:szCs w:val="18"/>
                <w:highlight w:val="none"/>
              </w:rPr>
              <w:t>目前，园区企业</w:t>
            </w:r>
            <w:r>
              <w:rPr>
                <w:rFonts w:hint="eastAsia"/>
                <w:color w:val="auto"/>
                <w:sz w:val="18"/>
                <w:szCs w:val="18"/>
                <w:highlight w:val="none"/>
                <w:lang w:val="en-US" w:eastAsia="zh-CN"/>
              </w:rPr>
              <w:t>已于2019年10月份</w:t>
            </w:r>
            <w:r>
              <w:rPr>
                <w:rFonts w:hint="eastAsia"/>
                <w:color w:val="auto"/>
                <w:sz w:val="18"/>
                <w:szCs w:val="18"/>
                <w:highlight w:val="none"/>
              </w:rPr>
              <w:t>完成清洁生产验收。</w:t>
            </w:r>
            <w:r>
              <w:rPr>
                <w:rFonts w:hint="eastAsia"/>
                <w:color w:val="auto"/>
                <w:sz w:val="18"/>
                <w:szCs w:val="18"/>
                <w:highlight w:val="none"/>
              </w:rPr>
              <w:t>园区污水处理采用物理化学法处理达标，2009年4月电镀废水中水回用系统建成并投入使用。</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trPr>
        <w:tc>
          <w:tcPr>
            <w:tcW w:w="9620" w:type="dxa"/>
            <w:gridSpan w:val="3"/>
            <w:tcBorders>
              <w:tl2br w:val="nil"/>
              <w:tr2bl w:val="nil"/>
            </w:tcBorders>
            <w:noWrap w:val="0"/>
            <w:vAlign w:val="center"/>
          </w:tcPr>
          <w:p>
            <w:pPr>
              <w:adjustRightInd w:val="0"/>
              <w:snapToGrid w:val="0"/>
              <w:jc w:val="center"/>
              <w:rPr>
                <w:rFonts w:hint="default" w:eastAsia="宋体"/>
                <w:color w:val="auto"/>
                <w:szCs w:val="21"/>
                <w:highlight w:val="none"/>
                <w:lang w:val="en-US" w:eastAsia="zh-CN"/>
              </w:rPr>
            </w:pPr>
            <w:r>
              <w:rPr>
                <w:color w:val="auto"/>
                <w:szCs w:val="21"/>
                <w:highlight w:val="none"/>
              </w:rPr>
              <w:t>2.验收意见</w:t>
            </w:r>
            <w:r>
              <w:rPr>
                <w:rFonts w:hint="eastAsia"/>
                <w:color w:val="auto"/>
                <w:szCs w:val="21"/>
                <w:highlight w:val="none"/>
                <w:lang w:val="en-US" w:eastAsia="zh-CN"/>
              </w:rPr>
              <w:t>(2006-8)</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trPr>
        <w:tc>
          <w:tcPr>
            <w:tcW w:w="675" w:type="dxa"/>
            <w:tcBorders>
              <w:tl2br w:val="nil"/>
              <w:tr2bl w:val="nil"/>
            </w:tcBorders>
            <w:noWrap w:val="0"/>
            <w:vAlign w:val="center"/>
          </w:tcPr>
          <w:p>
            <w:pPr>
              <w:adjustRightInd w:val="0"/>
              <w:snapToGrid w:val="0"/>
              <w:jc w:val="center"/>
              <w:rPr>
                <w:color w:val="auto"/>
                <w:szCs w:val="21"/>
                <w:highlight w:val="none"/>
              </w:rPr>
            </w:pPr>
            <w:r>
              <w:rPr>
                <w:color w:val="auto"/>
                <w:szCs w:val="21"/>
                <w:highlight w:val="none"/>
              </w:rPr>
              <w:t>1</w:t>
            </w:r>
          </w:p>
        </w:tc>
        <w:tc>
          <w:tcPr>
            <w:tcW w:w="4193" w:type="dxa"/>
            <w:tcBorders>
              <w:tl2br w:val="nil"/>
              <w:tr2bl w:val="nil"/>
            </w:tcBorders>
            <w:noWrap w:val="0"/>
            <w:vAlign w:val="center"/>
          </w:tcPr>
          <w:p>
            <w:pPr>
              <w:adjustRightInd w:val="0"/>
              <w:snapToGrid w:val="0"/>
              <w:spacing w:line="360" w:lineRule="auto"/>
              <w:jc w:val="both"/>
              <w:rPr>
                <w:rFonts w:hint="eastAsia"/>
                <w:color w:val="auto"/>
                <w:sz w:val="18"/>
                <w:szCs w:val="18"/>
                <w:highlight w:val="none"/>
              </w:rPr>
            </w:pPr>
            <w:r>
              <w:rPr>
                <w:rFonts w:hint="eastAsia"/>
                <w:color w:val="auto"/>
                <w:sz w:val="18"/>
                <w:szCs w:val="18"/>
                <w:highlight w:val="none"/>
              </w:rPr>
              <w:t>继续加强污染防治设施的运行管理，提高园区工作人员的环保意识，确保各类污染物达标排放。</w:t>
            </w:r>
          </w:p>
        </w:tc>
        <w:tc>
          <w:tcPr>
            <w:tcW w:w="4752" w:type="dxa"/>
            <w:tcBorders>
              <w:tl2br w:val="nil"/>
              <w:tr2bl w:val="nil"/>
            </w:tcBorders>
            <w:noWrap w:val="0"/>
            <w:vAlign w:val="center"/>
          </w:tcPr>
          <w:p>
            <w:pPr>
              <w:adjustRightInd w:val="0"/>
              <w:snapToGrid w:val="0"/>
              <w:jc w:val="center"/>
              <w:rPr>
                <w:color w:val="auto"/>
                <w:sz w:val="18"/>
                <w:szCs w:val="21"/>
                <w:highlight w:val="none"/>
              </w:rPr>
            </w:pPr>
            <w:r>
              <w:rPr>
                <w:color w:val="auto"/>
                <w:sz w:val="18"/>
                <w:szCs w:val="21"/>
                <w:highlight w:val="none"/>
              </w:rPr>
              <w:t>已执行</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trPr>
        <w:tc>
          <w:tcPr>
            <w:tcW w:w="675" w:type="dxa"/>
            <w:tcBorders>
              <w:tl2br w:val="nil"/>
              <w:tr2bl w:val="nil"/>
            </w:tcBorders>
            <w:noWrap w:val="0"/>
            <w:vAlign w:val="center"/>
          </w:tcPr>
          <w:p>
            <w:pPr>
              <w:adjustRightInd w:val="0"/>
              <w:snapToGrid w:val="0"/>
              <w:jc w:val="center"/>
              <w:rPr>
                <w:color w:val="auto"/>
                <w:szCs w:val="21"/>
                <w:highlight w:val="none"/>
              </w:rPr>
            </w:pPr>
            <w:r>
              <w:rPr>
                <w:color w:val="auto"/>
                <w:szCs w:val="21"/>
                <w:highlight w:val="none"/>
              </w:rPr>
              <w:t>2</w:t>
            </w:r>
          </w:p>
        </w:tc>
        <w:tc>
          <w:tcPr>
            <w:tcW w:w="4193" w:type="dxa"/>
            <w:tcBorders>
              <w:tl2br w:val="nil"/>
              <w:tr2bl w:val="nil"/>
            </w:tcBorders>
            <w:noWrap w:val="0"/>
            <w:vAlign w:val="center"/>
          </w:tcPr>
          <w:p>
            <w:pPr>
              <w:adjustRightInd w:val="0"/>
              <w:snapToGrid w:val="0"/>
              <w:spacing w:line="360" w:lineRule="auto"/>
              <w:jc w:val="both"/>
              <w:rPr>
                <w:rFonts w:hint="eastAsia"/>
                <w:color w:val="auto"/>
                <w:sz w:val="18"/>
                <w:szCs w:val="18"/>
                <w:highlight w:val="none"/>
              </w:rPr>
            </w:pPr>
            <w:r>
              <w:rPr>
                <w:rFonts w:hint="eastAsia"/>
                <w:color w:val="auto"/>
                <w:sz w:val="18"/>
                <w:szCs w:val="18"/>
                <w:highlight w:val="none"/>
              </w:rPr>
              <w:t>污染防治设施出现异常情况要及时向环保部门申报。</w:t>
            </w:r>
          </w:p>
        </w:tc>
        <w:tc>
          <w:tcPr>
            <w:tcW w:w="4752" w:type="dxa"/>
            <w:tcBorders>
              <w:tl2br w:val="nil"/>
              <w:tr2bl w:val="nil"/>
            </w:tcBorders>
            <w:noWrap w:val="0"/>
            <w:vAlign w:val="center"/>
          </w:tcPr>
          <w:p>
            <w:pPr>
              <w:adjustRightInd w:val="0"/>
              <w:snapToGrid w:val="0"/>
              <w:jc w:val="center"/>
              <w:rPr>
                <w:color w:val="auto"/>
                <w:sz w:val="18"/>
                <w:szCs w:val="21"/>
                <w:highlight w:val="none"/>
              </w:rPr>
            </w:pPr>
            <w:r>
              <w:rPr>
                <w:color w:val="auto"/>
                <w:sz w:val="18"/>
                <w:szCs w:val="21"/>
                <w:highlight w:val="none"/>
              </w:rPr>
              <w:t>已执行</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trPr>
        <w:tc>
          <w:tcPr>
            <w:tcW w:w="675" w:type="dxa"/>
            <w:tcBorders>
              <w:tl2br w:val="nil"/>
              <w:tr2bl w:val="nil"/>
            </w:tcBorders>
            <w:noWrap w:val="0"/>
            <w:vAlign w:val="center"/>
          </w:tcPr>
          <w:p>
            <w:pPr>
              <w:adjustRightInd w:val="0"/>
              <w:snapToGrid w:val="0"/>
              <w:jc w:val="center"/>
              <w:rPr>
                <w:color w:val="auto"/>
                <w:szCs w:val="21"/>
                <w:highlight w:val="none"/>
              </w:rPr>
            </w:pPr>
            <w:r>
              <w:rPr>
                <w:color w:val="auto"/>
                <w:szCs w:val="21"/>
                <w:highlight w:val="none"/>
              </w:rPr>
              <w:t>3</w:t>
            </w:r>
          </w:p>
        </w:tc>
        <w:tc>
          <w:tcPr>
            <w:tcW w:w="4193" w:type="dxa"/>
            <w:tcBorders>
              <w:tl2br w:val="nil"/>
              <w:tr2bl w:val="nil"/>
            </w:tcBorders>
            <w:noWrap w:val="0"/>
            <w:vAlign w:val="center"/>
          </w:tcPr>
          <w:p>
            <w:pPr>
              <w:adjustRightInd w:val="0"/>
              <w:snapToGrid w:val="0"/>
              <w:spacing w:line="360" w:lineRule="auto"/>
              <w:jc w:val="left"/>
              <w:rPr>
                <w:rFonts w:hint="eastAsia"/>
                <w:color w:val="auto"/>
                <w:sz w:val="18"/>
                <w:szCs w:val="18"/>
                <w:highlight w:val="none"/>
              </w:rPr>
            </w:pPr>
            <w:r>
              <w:rPr>
                <w:rFonts w:hint="eastAsia"/>
                <w:color w:val="auto"/>
                <w:sz w:val="18"/>
                <w:szCs w:val="18"/>
                <w:highlight w:val="none"/>
              </w:rPr>
              <w:t>加强园区地面硬化，减少跑、冒、滴、漏现象发生。新进园区的电镀项目，需另行按规定报批，并建议安置在二楼以上车间。</w:t>
            </w:r>
          </w:p>
        </w:tc>
        <w:tc>
          <w:tcPr>
            <w:tcW w:w="4752" w:type="dxa"/>
            <w:tcBorders>
              <w:tl2br w:val="nil"/>
              <w:tr2bl w:val="nil"/>
            </w:tcBorders>
            <w:noWrap w:val="0"/>
            <w:vAlign w:val="center"/>
          </w:tcPr>
          <w:p>
            <w:pPr>
              <w:adjustRightInd w:val="0"/>
              <w:snapToGrid w:val="0"/>
              <w:spacing w:line="360" w:lineRule="auto"/>
              <w:jc w:val="left"/>
              <w:rPr>
                <w:color w:val="auto"/>
                <w:sz w:val="18"/>
                <w:szCs w:val="21"/>
                <w:highlight w:val="none"/>
              </w:rPr>
            </w:pPr>
            <w:r>
              <w:rPr>
                <w:rFonts w:hint="eastAsia"/>
                <w:color w:val="auto"/>
                <w:sz w:val="18"/>
                <w:szCs w:val="21"/>
                <w:highlight w:val="none"/>
              </w:rPr>
              <w:t>园区地面采取硬化、防止跑冒滴漏的相关措施目前一期入园企</w:t>
            </w:r>
            <w:r>
              <w:rPr>
                <w:rFonts w:hint="eastAsia"/>
                <w:color w:val="auto"/>
                <w:sz w:val="18"/>
                <w:szCs w:val="21"/>
                <w:highlight w:val="none"/>
              </w:rPr>
              <w:t>业有16家，全</w:t>
            </w:r>
            <w:r>
              <w:rPr>
                <w:rFonts w:hint="eastAsia"/>
                <w:color w:val="auto"/>
                <w:sz w:val="18"/>
                <w:szCs w:val="21"/>
                <w:highlight w:val="none"/>
              </w:rPr>
              <w:t>部企业已经进行了单独报批。园区现有的1#、3#、4#楼一层均设为生产车间，车间地面均采取相应的防腐防渗漏措施。</w:t>
            </w:r>
          </w:p>
        </w:tc>
      </w:tr>
    </w:tbl>
    <w:p>
      <w:pPr>
        <w:adjustRightInd w:val="0"/>
        <w:snapToGrid w:val="0"/>
        <w:spacing w:line="360" w:lineRule="auto"/>
        <w:ind w:firstLine="480" w:firstLineChars="200"/>
        <w:rPr>
          <w:rFonts w:hint="eastAsia"/>
          <w:color w:val="auto"/>
          <w:sz w:val="24"/>
          <w:highlight w:val="none"/>
        </w:rPr>
      </w:pPr>
      <w:r>
        <w:rPr>
          <w:rFonts w:hint="eastAsia"/>
          <w:color w:val="auto"/>
          <w:sz w:val="24"/>
          <w:highlight w:val="none"/>
          <w:lang w:eastAsia="zh-CN"/>
        </w:rPr>
        <w:t>(</w:t>
      </w:r>
      <w:r>
        <w:rPr>
          <w:rFonts w:hint="eastAsia"/>
          <w:color w:val="auto"/>
          <w:sz w:val="24"/>
          <w:highlight w:val="none"/>
          <w:lang w:val="en-US" w:eastAsia="zh-CN"/>
        </w:rPr>
        <w:t>2</w:t>
      </w:r>
      <w:r>
        <w:rPr>
          <w:rFonts w:hint="eastAsia"/>
          <w:color w:val="auto"/>
          <w:sz w:val="24"/>
          <w:highlight w:val="none"/>
          <w:lang w:eastAsia="zh-CN"/>
        </w:rPr>
        <w:t>)</w:t>
      </w:r>
      <w:r>
        <w:rPr>
          <w:rFonts w:hint="eastAsia"/>
          <w:color w:val="auto"/>
          <w:sz w:val="24"/>
          <w:highlight w:val="none"/>
        </w:rPr>
        <w:t>电镀工业园二期“三同时”执行情况</w:t>
      </w:r>
    </w:p>
    <w:p>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该项目位于电镀工业园二期工程，二期工程已于2014年4月26日通过青岛市环保局的环评批复</w:t>
      </w:r>
      <w:r>
        <w:rPr>
          <w:rFonts w:hint="eastAsia"/>
          <w:color w:val="auto"/>
          <w:sz w:val="24"/>
          <w:highlight w:val="none"/>
        </w:rPr>
        <w:t>(见附件</w:t>
      </w:r>
      <w:r>
        <w:rPr>
          <w:rFonts w:hint="eastAsia"/>
          <w:color w:val="auto"/>
          <w:sz w:val="24"/>
          <w:highlight w:val="none"/>
          <w:lang w:val="en-US" w:eastAsia="zh-CN"/>
        </w:rPr>
        <w:t>14</w:t>
      </w:r>
      <w:r>
        <w:rPr>
          <w:rFonts w:hint="eastAsia"/>
          <w:color w:val="auto"/>
          <w:sz w:val="24"/>
          <w:highlight w:val="none"/>
        </w:rPr>
        <w:t>)</w:t>
      </w:r>
      <w:r>
        <w:rPr>
          <w:rFonts w:hint="eastAsia"/>
          <w:color w:val="auto"/>
          <w:sz w:val="24"/>
          <w:highlight w:val="none"/>
        </w:rPr>
        <w:t>，其环评批复意见中相关要求执行情况见表</w:t>
      </w:r>
      <w:r>
        <w:rPr>
          <w:rFonts w:hint="eastAsia"/>
          <w:color w:val="auto"/>
          <w:sz w:val="24"/>
          <w:highlight w:val="none"/>
          <w:lang w:val="en-US" w:eastAsia="zh-CN"/>
        </w:rPr>
        <w:t>2.2-7</w:t>
      </w:r>
      <w:r>
        <w:rPr>
          <w:rFonts w:hint="eastAsia"/>
          <w:color w:val="auto"/>
          <w:sz w:val="24"/>
          <w:highlight w:val="none"/>
        </w:rPr>
        <w:t>。</w:t>
      </w:r>
    </w:p>
    <w:p>
      <w:pPr>
        <w:adjustRightInd w:val="0"/>
        <w:snapToGrid w:val="0"/>
        <w:spacing w:line="360" w:lineRule="auto"/>
        <w:jc w:val="center"/>
        <w:rPr>
          <w:rFonts w:hint="eastAsia" w:ascii="黑体" w:hAnsi="黑体" w:eastAsia="黑体" w:cs="黑体"/>
          <w:color w:val="auto"/>
          <w:sz w:val="24"/>
          <w:highlight w:val="none"/>
        </w:rPr>
      </w:pPr>
      <w:r>
        <w:rPr>
          <w:rFonts w:hint="eastAsia" w:ascii="黑体" w:hAnsi="黑体" w:eastAsia="黑体" w:cs="黑体"/>
          <w:color w:val="auto"/>
          <w:sz w:val="24"/>
          <w:highlight w:val="none"/>
        </w:rPr>
        <w:t xml:space="preserve">表 </w:t>
      </w:r>
      <w:r>
        <w:rPr>
          <w:rFonts w:hint="eastAsia" w:ascii="黑体" w:hAnsi="黑体" w:eastAsia="黑体" w:cs="黑体"/>
          <w:color w:val="auto"/>
          <w:sz w:val="24"/>
          <w:highlight w:val="none"/>
          <w:lang w:val="en-US" w:eastAsia="zh-CN"/>
        </w:rPr>
        <w:t xml:space="preserve">2.2-7 </w:t>
      </w:r>
      <w:r>
        <w:rPr>
          <w:rFonts w:hint="eastAsia" w:ascii="黑体" w:hAnsi="黑体" w:eastAsia="黑体" w:cs="黑体"/>
          <w:color w:val="auto"/>
          <w:sz w:val="24"/>
          <w:highlight w:val="none"/>
        </w:rPr>
        <w:t xml:space="preserve"> 电镀工业园二期环评批复意见执行情况列表</w:t>
      </w:r>
    </w:p>
    <w:tbl>
      <w:tblPr>
        <w:tblStyle w:val="36"/>
        <w:tblW w:w="9620" w:type="dxa"/>
        <w:tblInd w:w="0" w:type="dxa"/>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675"/>
        <w:gridCol w:w="5245"/>
        <w:gridCol w:w="3700"/>
      </w:tblGrid>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trPr>
        <w:tc>
          <w:tcPr>
            <w:tcW w:w="675" w:type="dxa"/>
            <w:tcBorders>
              <w:tl2br w:val="nil"/>
              <w:tr2bl w:val="nil"/>
            </w:tcBorders>
            <w:noWrap w:val="0"/>
            <w:vAlign w:val="center"/>
          </w:tcPr>
          <w:p>
            <w:pPr>
              <w:adjustRightInd w:val="0"/>
              <w:snapToGrid w:val="0"/>
              <w:jc w:val="center"/>
              <w:rPr>
                <w:rFonts w:eastAsia="黑体"/>
                <w:color w:val="auto"/>
                <w:szCs w:val="21"/>
                <w:highlight w:val="none"/>
              </w:rPr>
            </w:pPr>
            <w:r>
              <w:rPr>
                <w:rFonts w:eastAsia="黑体"/>
                <w:color w:val="auto"/>
                <w:szCs w:val="21"/>
                <w:highlight w:val="none"/>
              </w:rPr>
              <w:t>序号</w:t>
            </w:r>
          </w:p>
        </w:tc>
        <w:tc>
          <w:tcPr>
            <w:tcW w:w="5245" w:type="dxa"/>
            <w:tcBorders>
              <w:tl2br w:val="nil"/>
              <w:tr2bl w:val="nil"/>
            </w:tcBorders>
            <w:noWrap w:val="0"/>
            <w:vAlign w:val="center"/>
          </w:tcPr>
          <w:p>
            <w:pPr>
              <w:adjustRightInd w:val="0"/>
              <w:snapToGrid w:val="0"/>
              <w:jc w:val="center"/>
              <w:rPr>
                <w:rFonts w:eastAsia="黑体"/>
                <w:color w:val="auto"/>
                <w:szCs w:val="21"/>
                <w:highlight w:val="none"/>
              </w:rPr>
            </w:pPr>
            <w:r>
              <w:rPr>
                <w:rFonts w:eastAsia="黑体"/>
                <w:color w:val="auto"/>
                <w:szCs w:val="21"/>
                <w:highlight w:val="none"/>
              </w:rPr>
              <w:t>文件要求</w:t>
            </w:r>
          </w:p>
        </w:tc>
        <w:tc>
          <w:tcPr>
            <w:tcW w:w="3700" w:type="dxa"/>
            <w:tcBorders>
              <w:tl2br w:val="nil"/>
              <w:tr2bl w:val="nil"/>
            </w:tcBorders>
            <w:noWrap w:val="0"/>
            <w:vAlign w:val="center"/>
          </w:tcPr>
          <w:p>
            <w:pPr>
              <w:adjustRightInd w:val="0"/>
              <w:snapToGrid w:val="0"/>
              <w:jc w:val="center"/>
              <w:rPr>
                <w:rFonts w:eastAsia="黑体"/>
                <w:color w:val="auto"/>
                <w:szCs w:val="21"/>
                <w:highlight w:val="none"/>
              </w:rPr>
            </w:pPr>
            <w:r>
              <w:rPr>
                <w:rFonts w:eastAsia="黑体"/>
                <w:color w:val="auto"/>
                <w:szCs w:val="21"/>
                <w:highlight w:val="none"/>
              </w:rPr>
              <w:t>实际执行情况</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trPr>
        <w:tc>
          <w:tcPr>
            <w:tcW w:w="9620" w:type="dxa"/>
            <w:gridSpan w:val="3"/>
            <w:tcBorders>
              <w:tl2br w:val="nil"/>
              <w:tr2bl w:val="nil"/>
            </w:tcBorders>
            <w:noWrap w:val="0"/>
            <w:vAlign w:val="center"/>
          </w:tcPr>
          <w:p>
            <w:pPr>
              <w:adjustRightInd w:val="0"/>
              <w:snapToGrid w:val="0"/>
              <w:jc w:val="center"/>
              <w:rPr>
                <w:color w:val="auto"/>
                <w:szCs w:val="21"/>
                <w:highlight w:val="none"/>
              </w:rPr>
            </w:pPr>
            <w:r>
              <w:rPr>
                <w:color w:val="auto"/>
                <w:szCs w:val="21"/>
                <w:highlight w:val="none"/>
              </w:rPr>
              <w:t>1.</w:t>
            </w:r>
            <w:r>
              <w:rPr>
                <w:rFonts w:hint="eastAsia"/>
                <w:color w:val="auto"/>
                <w:szCs w:val="21"/>
                <w:highlight w:val="none"/>
              </w:rPr>
              <w:t>环评批复(青环审[2014]12 号)</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trPr>
        <w:tc>
          <w:tcPr>
            <w:tcW w:w="675" w:type="dxa"/>
            <w:tcBorders>
              <w:tl2br w:val="nil"/>
              <w:tr2bl w:val="nil"/>
            </w:tcBorders>
            <w:noWrap w:val="0"/>
            <w:vAlign w:val="center"/>
          </w:tcPr>
          <w:p>
            <w:pPr>
              <w:adjustRightInd w:val="0"/>
              <w:snapToGrid w:val="0"/>
              <w:jc w:val="center"/>
              <w:rPr>
                <w:color w:val="auto"/>
                <w:szCs w:val="21"/>
                <w:highlight w:val="none"/>
              </w:rPr>
            </w:pPr>
            <w:r>
              <w:rPr>
                <w:color w:val="auto"/>
                <w:szCs w:val="21"/>
                <w:highlight w:val="none"/>
              </w:rPr>
              <w:t>1</w:t>
            </w:r>
          </w:p>
        </w:tc>
        <w:tc>
          <w:tcPr>
            <w:tcW w:w="5245" w:type="dxa"/>
            <w:tcBorders>
              <w:tl2br w:val="nil"/>
              <w:tr2bl w:val="nil"/>
            </w:tcBorders>
            <w:noWrap w:val="0"/>
            <w:vAlign w:val="center"/>
          </w:tcPr>
          <w:p>
            <w:pPr>
              <w:adjustRightInd w:val="0"/>
              <w:snapToGrid w:val="0"/>
              <w:spacing w:line="360" w:lineRule="auto"/>
              <w:rPr>
                <w:color w:val="auto"/>
                <w:sz w:val="18"/>
                <w:szCs w:val="18"/>
                <w:highlight w:val="none"/>
              </w:rPr>
            </w:pPr>
            <w:r>
              <w:rPr>
                <w:rFonts w:hint="eastAsia"/>
                <w:color w:val="auto"/>
                <w:sz w:val="18"/>
                <w:szCs w:val="18"/>
                <w:highlight w:val="none"/>
              </w:rPr>
              <w:t>电镀工业园内设综合废水、含氰废水、含铬废水、含镍废水四条管道，各企业产生的废水分类收集进入电镀工业园相应主管道(产生含银废水的企业在车间内设置在线回收装置，处理后的废水排入含氰废水管道)，再进入电镀工业园污水站。废水总总镍、总铬、六价铬、总银处理达到《电镀污染物排放标准》表2要求，其他污染物达到《污水排入城市下水道水质标准》级标准和镰湾河水质净化厂进水水质要求。污水处理站出水的40%进入中水处理系统，经深度处理后回用，60%排入市政污水管网，进入镰湾河水质净化厂。生活污水经城市污水管道直接排入镰湾河水质净化厂处理。安装重金属在线监测装置。生产车间的地面、地沟、管道及污水处理构筑物均采取相应的防腐、防渗措施。污水管道应全部可视化铺设</w:t>
            </w:r>
            <w:r>
              <w:rPr>
                <w:color w:val="auto"/>
                <w:sz w:val="18"/>
                <w:szCs w:val="18"/>
                <w:highlight w:val="none"/>
              </w:rPr>
              <w:t>。</w:t>
            </w:r>
          </w:p>
        </w:tc>
        <w:tc>
          <w:tcPr>
            <w:tcW w:w="3700" w:type="dxa"/>
            <w:tcBorders>
              <w:tl2br w:val="nil"/>
              <w:tr2bl w:val="nil"/>
            </w:tcBorders>
            <w:noWrap w:val="0"/>
            <w:vAlign w:val="center"/>
          </w:tcPr>
          <w:p>
            <w:pPr>
              <w:adjustRightInd w:val="0"/>
              <w:snapToGrid w:val="0"/>
              <w:spacing w:line="360" w:lineRule="auto"/>
              <w:jc w:val="both"/>
              <w:rPr>
                <w:color w:val="auto"/>
                <w:sz w:val="18"/>
                <w:szCs w:val="18"/>
                <w:highlight w:val="none"/>
              </w:rPr>
            </w:pPr>
            <w:r>
              <w:rPr>
                <w:color w:val="auto"/>
                <w:sz w:val="18"/>
                <w:szCs w:val="18"/>
                <w:highlight w:val="none"/>
              </w:rPr>
              <w:t>1、</w:t>
            </w:r>
            <w:r>
              <w:rPr>
                <w:rFonts w:hint="eastAsia"/>
                <w:color w:val="auto"/>
                <w:sz w:val="18"/>
                <w:szCs w:val="18"/>
                <w:highlight w:val="none"/>
              </w:rPr>
              <w:t>园区共设有含氰、含铬、综合、含镍四类废水管道，分别单独收集处理，所有含铬的废水都排入含铬废水管道</w:t>
            </w:r>
            <w:r>
              <w:rPr>
                <w:color w:val="auto"/>
                <w:sz w:val="18"/>
                <w:szCs w:val="18"/>
                <w:highlight w:val="none"/>
              </w:rPr>
              <w:t>。</w:t>
            </w:r>
          </w:p>
          <w:p>
            <w:pPr>
              <w:adjustRightInd w:val="0"/>
              <w:snapToGrid w:val="0"/>
              <w:spacing w:line="360" w:lineRule="auto"/>
              <w:jc w:val="both"/>
              <w:rPr>
                <w:color w:val="auto"/>
                <w:sz w:val="18"/>
                <w:szCs w:val="18"/>
                <w:highlight w:val="none"/>
              </w:rPr>
            </w:pPr>
            <w:r>
              <w:rPr>
                <w:color w:val="auto"/>
                <w:sz w:val="18"/>
                <w:szCs w:val="18"/>
                <w:highlight w:val="none"/>
              </w:rPr>
              <w:t>2、</w:t>
            </w:r>
            <w:r>
              <w:rPr>
                <w:rFonts w:hint="eastAsia"/>
                <w:color w:val="auto"/>
                <w:sz w:val="18"/>
                <w:szCs w:val="18"/>
                <w:highlight w:val="none"/>
              </w:rPr>
              <w:t>根据验收监测报告、季度例行监测结果，废水中总镍、总铬、六价铬、总银处理达到《电镀污染物排放标准 》(GB21900-2008)表 2 要求，其他污染物达到《污水排入城市下水道水质标准》(CJ343-2010)B 级标准要求)</w:t>
            </w:r>
            <w:r>
              <w:rPr>
                <w:color w:val="auto"/>
                <w:sz w:val="18"/>
                <w:szCs w:val="18"/>
                <w:highlight w:val="none"/>
              </w:rPr>
              <w:t>。</w:t>
            </w:r>
          </w:p>
          <w:p>
            <w:pPr>
              <w:adjustRightInd w:val="0"/>
              <w:snapToGrid w:val="0"/>
              <w:spacing w:line="360" w:lineRule="auto"/>
              <w:jc w:val="both"/>
              <w:rPr>
                <w:color w:val="auto"/>
                <w:sz w:val="18"/>
                <w:szCs w:val="18"/>
                <w:highlight w:val="none"/>
              </w:rPr>
            </w:pPr>
            <w:r>
              <w:rPr>
                <w:color w:val="auto"/>
                <w:sz w:val="18"/>
                <w:szCs w:val="18"/>
                <w:highlight w:val="none"/>
              </w:rPr>
              <w:t>3、</w:t>
            </w:r>
            <w:r>
              <w:rPr>
                <w:rFonts w:hint="eastAsia"/>
                <w:color w:val="auto"/>
                <w:sz w:val="18"/>
                <w:szCs w:val="18"/>
                <w:highlight w:val="none"/>
                <w:lang w:val="en-US" w:eastAsia="zh-CN"/>
              </w:rPr>
              <w:t>园区重金属在线监测装置列入计划</w:t>
            </w:r>
            <w:r>
              <w:rPr>
                <w:color w:val="auto"/>
                <w:sz w:val="18"/>
                <w:szCs w:val="18"/>
                <w:highlight w:val="none"/>
              </w:rPr>
              <w:t>。</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trPr>
        <w:tc>
          <w:tcPr>
            <w:tcW w:w="675" w:type="dxa"/>
            <w:tcBorders>
              <w:tl2br w:val="nil"/>
              <w:tr2bl w:val="nil"/>
            </w:tcBorders>
            <w:noWrap w:val="0"/>
            <w:vAlign w:val="center"/>
          </w:tcPr>
          <w:p>
            <w:pPr>
              <w:adjustRightInd w:val="0"/>
              <w:snapToGrid w:val="0"/>
              <w:jc w:val="center"/>
              <w:rPr>
                <w:color w:val="auto"/>
                <w:szCs w:val="21"/>
                <w:highlight w:val="none"/>
              </w:rPr>
            </w:pPr>
            <w:r>
              <w:rPr>
                <w:color w:val="auto"/>
                <w:szCs w:val="21"/>
                <w:highlight w:val="none"/>
              </w:rPr>
              <w:t>2</w:t>
            </w:r>
          </w:p>
        </w:tc>
        <w:tc>
          <w:tcPr>
            <w:tcW w:w="5245" w:type="dxa"/>
            <w:tcBorders>
              <w:tl2br w:val="nil"/>
              <w:tr2bl w:val="nil"/>
            </w:tcBorders>
            <w:noWrap w:val="0"/>
            <w:vAlign w:val="center"/>
          </w:tcPr>
          <w:p>
            <w:pPr>
              <w:adjustRightInd w:val="0"/>
              <w:snapToGrid w:val="0"/>
              <w:spacing w:line="360" w:lineRule="auto"/>
              <w:jc w:val="left"/>
              <w:rPr>
                <w:color w:val="auto"/>
                <w:sz w:val="18"/>
                <w:szCs w:val="18"/>
                <w:highlight w:val="none"/>
              </w:rPr>
            </w:pPr>
            <w:r>
              <w:rPr>
                <w:rFonts w:hint="eastAsia"/>
                <w:color w:val="auto"/>
                <w:sz w:val="18"/>
                <w:szCs w:val="18"/>
                <w:highlight w:val="none"/>
              </w:rPr>
              <w:t>入驻企业根据生产情况安装各种废气净化塔出离电镀废气。酸雾、含氰废气、铬酸雾使用稀碱性中水溶液作为吸收液，含氰含铬吸收液分别进入相应废水处理系统，碱雾排入酸雾净化塔处理，硫酸雾、盐酸雾、含氰废气净化塔的净化效率为90%,铭酸雾净.化效率为95%，碱.雾净化效率为95%;喷漆和烘干废气通过干式漆雾过滤器+活性炭吸附+臭氧氧化处理，电泳漆烘干废气通过“列管式冷却器冷却+活性炭吸附+臭氧氧化”处理，净化效率达到90%以上，退镀产生的氮氧化物采用硫化钠+氢氧化钠溶液吸收，净化效率为90%,经过净化的各种废气污染物经 25-80m 排气筒排放，排放浓度和速率满足《电镀污染物排放标准》和《大气污染物综合排放标准》要求；燃气锅炉烟气通过排气筒高空排放，烟气中 SO2、NOX、烟尘的排放浓度须满足《山东省锅炉大气污染物排放标准》表2排放限值要求</w:t>
            </w:r>
            <w:r>
              <w:rPr>
                <w:color w:val="auto"/>
                <w:sz w:val="18"/>
                <w:szCs w:val="18"/>
                <w:highlight w:val="none"/>
              </w:rPr>
              <w:t>。</w:t>
            </w:r>
          </w:p>
        </w:tc>
        <w:tc>
          <w:tcPr>
            <w:tcW w:w="3700" w:type="dxa"/>
            <w:tcBorders>
              <w:tl2br w:val="nil"/>
              <w:tr2bl w:val="nil"/>
            </w:tcBorders>
            <w:noWrap w:val="0"/>
            <w:vAlign w:val="center"/>
          </w:tcPr>
          <w:p>
            <w:pPr>
              <w:adjustRightInd w:val="0"/>
              <w:snapToGrid w:val="0"/>
              <w:spacing w:line="360" w:lineRule="auto"/>
              <w:jc w:val="both"/>
              <w:rPr>
                <w:color w:val="auto"/>
                <w:sz w:val="18"/>
                <w:szCs w:val="18"/>
                <w:highlight w:val="none"/>
              </w:rPr>
            </w:pPr>
            <w:r>
              <w:rPr>
                <w:rFonts w:hint="eastAsia"/>
                <w:color w:val="auto"/>
                <w:sz w:val="18"/>
                <w:szCs w:val="18"/>
                <w:highlight w:val="none"/>
              </w:rPr>
              <w:t>园区内二期现有企业均按照生产工艺废气种类安装废气净化罐(酸雾净化塔、铬酸雾净化塔、氰化氢净化罐等)，各类废气分类处理后经相应排气筒排放。氰化氢、其他废气排气筒高度满足25m到80m要求。燃气锅炉烟气通过排气筒高空排放；类比青岛市其他同类企业，电镀废气经净化罐处理后均可达标排放</w:t>
            </w:r>
            <w:r>
              <w:rPr>
                <w:color w:val="auto"/>
                <w:sz w:val="18"/>
                <w:szCs w:val="18"/>
                <w:highlight w:val="none"/>
              </w:rPr>
              <w:t>。</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trPr>
        <w:tc>
          <w:tcPr>
            <w:tcW w:w="675" w:type="dxa"/>
            <w:tcBorders>
              <w:tl2br w:val="nil"/>
              <w:tr2bl w:val="nil"/>
            </w:tcBorders>
            <w:noWrap w:val="0"/>
            <w:vAlign w:val="center"/>
          </w:tcPr>
          <w:p>
            <w:pPr>
              <w:adjustRightInd w:val="0"/>
              <w:snapToGrid w:val="0"/>
              <w:jc w:val="center"/>
              <w:rPr>
                <w:color w:val="auto"/>
                <w:szCs w:val="21"/>
                <w:highlight w:val="none"/>
              </w:rPr>
            </w:pPr>
            <w:r>
              <w:rPr>
                <w:color w:val="auto"/>
                <w:szCs w:val="21"/>
                <w:highlight w:val="none"/>
              </w:rPr>
              <w:t>3</w:t>
            </w:r>
          </w:p>
        </w:tc>
        <w:tc>
          <w:tcPr>
            <w:tcW w:w="5245" w:type="dxa"/>
            <w:tcBorders>
              <w:tl2br w:val="nil"/>
              <w:tr2bl w:val="nil"/>
            </w:tcBorders>
            <w:noWrap w:val="0"/>
            <w:vAlign w:val="center"/>
          </w:tcPr>
          <w:p>
            <w:pPr>
              <w:adjustRightInd w:val="0"/>
              <w:snapToGrid w:val="0"/>
              <w:spacing w:line="360" w:lineRule="auto"/>
              <w:jc w:val="left"/>
              <w:rPr>
                <w:color w:val="auto"/>
                <w:sz w:val="18"/>
                <w:szCs w:val="18"/>
                <w:highlight w:val="none"/>
              </w:rPr>
            </w:pPr>
            <w:r>
              <w:rPr>
                <w:rFonts w:hint="eastAsia"/>
                <w:color w:val="auto"/>
                <w:sz w:val="18"/>
                <w:szCs w:val="18"/>
                <w:highlight w:val="none"/>
              </w:rPr>
              <w:t>营运期噪声执行《工业企业厂界噪声标准》(GB12348-90)III类标准：昼/夜间≤65/55dB(A)</w:t>
            </w:r>
            <w:r>
              <w:rPr>
                <w:color w:val="auto"/>
                <w:sz w:val="18"/>
                <w:szCs w:val="18"/>
                <w:highlight w:val="none"/>
              </w:rPr>
              <w:t>。</w:t>
            </w:r>
          </w:p>
        </w:tc>
        <w:tc>
          <w:tcPr>
            <w:tcW w:w="3700" w:type="dxa"/>
            <w:tcBorders>
              <w:tl2br w:val="nil"/>
              <w:tr2bl w:val="nil"/>
            </w:tcBorders>
            <w:noWrap w:val="0"/>
            <w:vAlign w:val="center"/>
          </w:tcPr>
          <w:p>
            <w:pPr>
              <w:adjustRightInd w:val="0"/>
              <w:snapToGrid w:val="0"/>
              <w:spacing w:line="360" w:lineRule="auto"/>
              <w:jc w:val="both"/>
              <w:rPr>
                <w:color w:val="auto"/>
                <w:sz w:val="18"/>
                <w:szCs w:val="18"/>
                <w:highlight w:val="none"/>
              </w:rPr>
            </w:pPr>
            <w:r>
              <w:rPr>
                <w:rFonts w:hint="eastAsia"/>
                <w:color w:val="auto"/>
                <w:sz w:val="18"/>
                <w:szCs w:val="18"/>
                <w:highlight w:val="none"/>
              </w:rPr>
              <w:t>根据本次评价期间对园区厂界噪声监测结果，靠近该项目的园区东厂界、北厂界处昼、夜间噪声值均能满足《工业企业厂界环 境 噪声排放标准》(GB12348-2008)3类标准要求</w:t>
            </w:r>
            <w:r>
              <w:rPr>
                <w:color w:val="auto"/>
                <w:sz w:val="18"/>
                <w:szCs w:val="18"/>
                <w:highlight w:val="none"/>
              </w:rPr>
              <w:t>。</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trPr>
        <w:tc>
          <w:tcPr>
            <w:tcW w:w="675" w:type="dxa"/>
            <w:tcBorders>
              <w:tl2br w:val="nil"/>
              <w:tr2bl w:val="nil"/>
            </w:tcBorders>
            <w:noWrap w:val="0"/>
            <w:vAlign w:val="center"/>
          </w:tcPr>
          <w:p>
            <w:pPr>
              <w:adjustRightInd w:val="0"/>
              <w:snapToGrid w:val="0"/>
              <w:jc w:val="center"/>
              <w:rPr>
                <w:color w:val="auto"/>
                <w:szCs w:val="21"/>
                <w:highlight w:val="none"/>
              </w:rPr>
            </w:pPr>
            <w:r>
              <w:rPr>
                <w:color w:val="auto"/>
                <w:szCs w:val="21"/>
                <w:highlight w:val="none"/>
              </w:rPr>
              <w:t>4</w:t>
            </w:r>
          </w:p>
        </w:tc>
        <w:tc>
          <w:tcPr>
            <w:tcW w:w="5245" w:type="dxa"/>
            <w:tcBorders>
              <w:tl2br w:val="nil"/>
              <w:tr2bl w:val="nil"/>
            </w:tcBorders>
            <w:noWrap w:val="0"/>
            <w:vAlign w:val="center"/>
          </w:tcPr>
          <w:p>
            <w:pPr>
              <w:adjustRightInd w:val="0"/>
              <w:snapToGrid w:val="0"/>
              <w:spacing w:line="360" w:lineRule="auto"/>
              <w:jc w:val="both"/>
              <w:rPr>
                <w:color w:val="auto"/>
                <w:sz w:val="18"/>
                <w:szCs w:val="18"/>
                <w:highlight w:val="none"/>
              </w:rPr>
            </w:pPr>
            <w:r>
              <w:rPr>
                <w:rFonts w:hint="eastAsia"/>
                <w:color w:val="auto"/>
                <w:sz w:val="18"/>
                <w:szCs w:val="18"/>
                <w:highlight w:val="none"/>
              </w:rPr>
              <w:t>加强固体废物及危险废物规范化管理。建设防淋、防渗漏贮存场所用于贮存各企业化工原料包装物等危险废物，场所建设符合《危险废物贮存污染控制标准》GB18597-2001要求。危险废物需委托经环保部门认可资质的单位集中进行无害化处理，废酸废碱用于园区污水处理站</w:t>
            </w:r>
            <w:r>
              <w:rPr>
                <w:color w:val="auto"/>
                <w:sz w:val="18"/>
                <w:szCs w:val="18"/>
                <w:highlight w:val="none"/>
              </w:rPr>
              <w:t>。</w:t>
            </w:r>
          </w:p>
        </w:tc>
        <w:tc>
          <w:tcPr>
            <w:tcW w:w="3700" w:type="dxa"/>
            <w:tcBorders>
              <w:tl2br w:val="nil"/>
              <w:tr2bl w:val="nil"/>
            </w:tcBorders>
            <w:noWrap w:val="0"/>
            <w:vAlign w:val="center"/>
          </w:tcPr>
          <w:p>
            <w:pPr>
              <w:adjustRightInd w:val="0"/>
              <w:snapToGrid w:val="0"/>
              <w:spacing w:line="360" w:lineRule="auto"/>
              <w:jc w:val="left"/>
              <w:rPr>
                <w:color w:val="auto"/>
                <w:sz w:val="18"/>
                <w:szCs w:val="18"/>
                <w:highlight w:val="none"/>
              </w:rPr>
            </w:pPr>
            <w:r>
              <w:rPr>
                <w:rFonts w:hint="eastAsia"/>
                <w:color w:val="auto"/>
                <w:sz w:val="18"/>
                <w:szCs w:val="18"/>
                <w:highlight w:val="none"/>
              </w:rPr>
              <w:t>园区建设有统一的防淋、防渗漏、防晒危险废物暂存库，主要用于存放干化污泥；镀槽滤渣、废槽液、废包装物等危废暂存交由园区处理货委托有资质单位处理。危废暂存场所建设基本符合《危险废物贮存污染控制标准》要求。</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trPr>
        <w:tc>
          <w:tcPr>
            <w:tcW w:w="675" w:type="dxa"/>
            <w:tcBorders>
              <w:tl2br w:val="nil"/>
              <w:tr2bl w:val="nil"/>
            </w:tcBorders>
            <w:noWrap w:val="0"/>
            <w:vAlign w:val="center"/>
          </w:tcPr>
          <w:p>
            <w:pPr>
              <w:adjustRightInd w:val="0"/>
              <w:snapToGrid w:val="0"/>
              <w:jc w:val="center"/>
              <w:rPr>
                <w:color w:val="auto"/>
                <w:szCs w:val="21"/>
                <w:highlight w:val="none"/>
              </w:rPr>
            </w:pPr>
            <w:r>
              <w:rPr>
                <w:color w:val="auto"/>
                <w:szCs w:val="21"/>
                <w:highlight w:val="none"/>
              </w:rPr>
              <w:t>5</w:t>
            </w:r>
          </w:p>
        </w:tc>
        <w:tc>
          <w:tcPr>
            <w:tcW w:w="5245" w:type="dxa"/>
            <w:tcBorders>
              <w:tl2br w:val="nil"/>
              <w:tr2bl w:val="nil"/>
            </w:tcBorders>
            <w:noWrap w:val="0"/>
            <w:vAlign w:val="center"/>
          </w:tcPr>
          <w:p>
            <w:pPr>
              <w:adjustRightInd w:val="0"/>
              <w:snapToGrid w:val="0"/>
              <w:spacing w:line="360" w:lineRule="auto"/>
              <w:jc w:val="left"/>
              <w:rPr>
                <w:color w:val="auto"/>
                <w:sz w:val="18"/>
                <w:szCs w:val="18"/>
                <w:highlight w:val="none"/>
              </w:rPr>
            </w:pPr>
            <w:r>
              <w:rPr>
                <w:rFonts w:hint="eastAsia"/>
                <w:color w:val="auto"/>
                <w:sz w:val="18"/>
                <w:szCs w:val="18"/>
                <w:highlight w:val="none"/>
              </w:rPr>
              <w:t>储罐周围按照规范设置围堰并进行防渗处理。储运需建立严格的管理制度，采取有效措施减少生产过程中的跑、冒、滴、漏。设置满足需要的事故应急池，确保事故状况下排放的各类废水能够得到有效处理。认真落实环境风险防范措施，完善突发环境事件应急预案，并于地区应急预案做好衔接。配备必要的应急设备和器材，加大风险监测和监控力度。完善后的事故应急预案经专家评审后报当地环保部门和青岛市环境监察支队备案</w:t>
            </w:r>
            <w:r>
              <w:rPr>
                <w:color w:val="auto"/>
                <w:sz w:val="18"/>
                <w:szCs w:val="18"/>
                <w:highlight w:val="none"/>
              </w:rPr>
              <w:t>。</w:t>
            </w:r>
          </w:p>
        </w:tc>
        <w:tc>
          <w:tcPr>
            <w:tcW w:w="3700" w:type="dxa"/>
            <w:tcBorders>
              <w:tl2br w:val="nil"/>
              <w:tr2bl w:val="nil"/>
            </w:tcBorders>
            <w:noWrap w:val="0"/>
            <w:vAlign w:val="center"/>
          </w:tcPr>
          <w:p>
            <w:pPr>
              <w:adjustRightInd w:val="0"/>
              <w:snapToGrid w:val="0"/>
              <w:spacing w:line="360" w:lineRule="auto"/>
              <w:jc w:val="both"/>
              <w:rPr>
                <w:rFonts w:hint="eastAsia" w:eastAsia="宋体"/>
                <w:color w:val="auto"/>
                <w:szCs w:val="21"/>
                <w:highlight w:val="none"/>
                <w:lang w:eastAsia="zh-CN"/>
              </w:rPr>
            </w:pPr>
            <w:r>
              <w:rPr>
                <w:rFonts w:hint="eastAsia"/>
                <w:color w:val="auto"/>
                <w:sz w:val="18"/>
                <w:szCs w:val="18"/>
                <w:highlight w:val="none"/>
              </w:rPr>
              <w:t>园区污水站</w:t>
            </w:r>
            <w:r>
              <w:rPr>
                <w:rFonts w:hint="eastAsia"/>
                <w:color w:val="auto"/>
                <w:sz w:val="18"/>
                <w:szCs w:val="18"/>
                <w:highlight w:val="none"/>
                <w:lang w:val="en-US" w:eastAsia="zh-CN"/>
              </w:rPr>
              <w:t>一套120t/h</w:t>
            </w:r>
            <w:r>
              <w:rPr>
                <w:rFonts w:hint="eastAsia"/>
                <w:color w:val="auto"/>
                <w:sz w:val="18"/>
                <w:szCs w:val="18"/>
                <w:highlight w:val="none"/>
              </w:rPr>
              <w:t>综合废水和</w:t>
            </w:r>
            <w:r>
              <w:rPr>
                <w:rFonts w:hint="eastAsia"/>
                <w:color w:val="auto"/>
                <w:sz w:val="18"/>
                <w:szCs w:val="18"/>
                <w:highlight w:val="none"/>
                <w:lang w:val="en-US" w:eastAsia="zh-CN"/>
              </w:rPr>
              <w:t>一套120t/h</w:t>
            </w:r>
            <w:r>
              <w:rPr>
                <w:rFonts w:hint="eastAsia"/>
                <w:color w:val="auto"/>
                <w:sz w:val="18"/>
                <w:szCs w:val="18"/>
                <w:highlight w:val="none"/>
              </w:rPr>
              <w:t>含铬废水处理系统停运，构筑物作为设置应急事故池。</w:t>
            </w:r>
            <w:r>
              <w:rPr>
                <w:rFonts w:hint="eastAsia"/>
                <w:color w:val="auto"/>
                <w:sz w:val="18"/>
                <w:szCs w:val="18"/>
                <w:highlight w:val="none"/>
              </w:rPr>
              <w:t>《青岛金泰表面工程有限公司突发环境事件应急预案》已经过专家评审并于201</w:t>
            </w:r>
            <w:r>
              <w:rPr>
                <w:rFonts w:hint="eastAsia"/>
                <w:color w:val="auto"/>
                <w:sz w:val="18"/>
                <w:szCs w:val="18"/>
                <w:highlight w:val="none"/>
                <w:lang w:val="en-US" w:eastAsia="zh-CN"/>
              </w:rPr>
              <w:t>9</w:t>
            </w:r>
            <w:r>
              <w:rPr>
                <w:rFonts w:hint="eastAsia"/>
                <w:color w:val="auto"/>
                <w:sz w:val="18"/>
                <w:szCs w:val="18"/>
                <w:highlight w:val="none"/>
              </w:rPr>
              <w:t>年</w:t>
            </w:r>
            <w:r>
              <w:rPr>
                <w:rFonts w:hint="eastAsia"/>
                <w:color w:val="auto"/>
                <w:sz w:val="18"/>
                <w:szCs w:val="18"/>
                <w:highlight w:val="none"/>
                <w:lang w:val="en-US" w:eastAsia="zh-CN"/>
              </w:rPr>
              <w:t>1</w:t>
            </w:r>
            <w:r>
              <w:rPr>
                <w:rFonts w:hint="eastAsia"/>
                <w:color w:val="auto"/>
                <w:sz w:val="18"/>
                <w:szCs w:val="18"/>
                <w:highlight w:val="none"/>
              </w:rPr>
              <w:t>月</w:t>
            </w:r>
            <w:r>
              <w:rPr>
                <w:rFonts w:hint="eastAsia"/>
                <w:color w:val="auto"/>
                <w:sz w:val="18"/>
                <w:szCs w:val="18"/>
                <w:highlight w:val="none"/>
                <w:lang w:val="en-US" w:eastAsia="zh-CN"/>
              </w:rPr>
              <w:t>4</w:t>
            </w:r>
            <w:r>
              <w:rPr>
                <w:rFonts w:hint="eastAsia"/>
                <w:color w:val="auto"/>
                <w:sz w:val="18"/>
                <w:szCs w:val="18"/>
                <w:highlight w:val="none"/>
              </w:rPr>
              <w:t>日由青岛市环境保护局黄岛分局环境应急管理办公室予以备案，备案编号370211-201</w:t>
            </w:r>
            <w:r>
              <w:rPr>
                <w:rFonts w:hint="eastAsia"/>
                <w:color w:val="auto"/>
                <w:sz w:val="18"/>
                <w:szCs w:val="18"/>
                <w:highlight w:val="none"/>
                <w:lang w:val="en-US" w:eastAsia="zh-CN"/>
              </w:rPr>
              <w:t>9</w:t>
            </w:r>
            <w:r>
              <w:rPr>
                <w:rFonts w:hint="eastAsia"/>
                <w:color w:val="auto"/>
                <w:sz w:val="18"/>
                <w:szCs w:val="18"/>
                <w:highlight w:val="none"/>
              </w:rPr>
              <w:t>-0</w:t>
            </w:r>
            <w:r>
              <w:rPr>
                <w:rFonts w:hint="eastAsia"/>
                <w:color w:val="auto"/>
                <w:sz w:val="18"/>
                <w:szCs w:val="18"/>
                <w:highlight w:val="none"/>
                <w:lang w:val="en-US" w:eastAsia="zh-CN"/>
              </w:rPr>
              <w:t>0</w:t>
            </w:r>
            <w:r>
              <w:rPr>
                <w:rFonts w:hint="eastAsia"/>
                <w:color w:val="auto"/>
                <w:sz w:val="18"/>
                <w:szCs w:val="18"/>
                <w:highlight w:val="none"/>
              </w:rPr>
              <w:t>1-L</w:t>
            </w:r>
            <w:r>
              <w:rPr>
                <w:rFonts w:hint="eastAsia"/>
                <w:color w:val="auto"/>
                <w:sz w:val="18"/>
                <w:szCs w:val="18"/>
                <w:highlight w:val="none"/>
                <w:lang w:eastAsia="zh-CN"/>
              </w:rPr>
              <w:t>。</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trPr>
        <w:tc>
          <w:tcPr>
            <w:tcW w:w="675" w:type="dxa"/>
            <w:tcBorders>
              <w:tl2br w:val="nil"/>
              <w:tr2bl w:val="nil"/>
            </w:tcBorders>
            <w:noWrap w:val="0"/>
            <w:vAlign w:val="center"/>
          </w:tcPr>
          <w:p>
            <w:pPr>
              <w:adjustRightInd w:val="0"/>
              <w:snapToGrid w:val="0"/>
              <w:jc w:val="center"/>
              <w:rPr>
                <w:color w:val="auto"/>
                <w:szCs w:val="21"/>
                <w:highlight w:val="none"/>
              </w:rPr>
            </w:pPr>
            <w:r>
              <w:rPr>
                <w:color w:val="auto"/>
                <w:szCs w:val="21"/>
                <w:highlight w:val="none"/>
              </w:rPr>
              <w:t>6</w:t>
            </w:r>
          </w:p>
        </w:tc>
        <w:tc>
          <w:tcPr>
            <w:tcW w:w="5245" w:type="dxa"/>
            <w:tcBorders>
              <w:tl2br w:val="nil"/>
              <w:tr2bl w:val="nil"/>
            </w:tcBorders>
            <w:noWrap w:val="0"/>
            <w:vAlign w:val="center"/>
          </w:tcPr>
          <w:p>
            <w:pPr>
              <w:adjustRightInd w:val="0"/>
              <w:snapToGrid w:val="0"/>
              <w:spacing w:line="360" w:lineRule="auto"/>
              <w:jc w:val="left"/>
              <w:rPr>
                <w:color w:val="auto"/>
                <w:sz w:val="18"/>
                <w:szCs w:val="18"/>
                <w:highlight w:val="none"/>
              </w:rPr>
            </w:pPr>
            <w:r>
              <w:rPr>
                <w:rFonts w:hint="eastAsia"/>
                <w:color w:val="auto"/>
                <w:sz w:val="18"/>
                <w:szCs w:val="18"/>
                <w:highlight w:val="none"/>
              </w:rPr>
              <w:t>严格控制入园企业准入标准，按规定实时清洁生产审核，采用先进的工艺技术，确保清洁生产指标达到和超过国内先进水平</w:t>
            </w:r>
            <w:r>
              <w:rPr>
                <w:color w:val="auto"/>
                <w:sz w:val="18"/>
                <w:szCs w:val="18"/>
                <w:highlight w:val="none"/>
              </w:rPr>
              <w:t>。</w:t>
            </w:r>
          </w:p>
        </w:tc>
        <w:tc>
          <w:tcPr>
            <w:tcW w:w="3700" w:type="dxa"/>
            <w:tcBorders>
              <w:tl2br w:val="nil"/>
              <w:tr2bl w:val="nil"/>
            </w:tcBorders>
            <w:noWrap w:val="0"/>
            <w:vAlign w:val="center"/>
          </w:tcPr>
          <w:p>
            <w:pPr>
              <w:adjustRightInd w:val="0"/>
              <w:snapToGrid w:val="0"/>
              <w:jc w:val="center"/>
              <w:rPr>
                <w:rFonts w:eastAsia="黑体"/>
                <w:color w:val="auto"/>
                <w:szCs w:val="21"/>
                <w:highlight w:val="none"/>
              </w:rPr>
            </w:pPr>
            <w:r>
              <w:rPr>
                <w:color w:val="auto"/>
                <w:sz w:val="18"/>
                <w:szCs w:val="21"/>
                <w:highlight w:val="none"/>
              </w:rPr>
              <w:t>已执行</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trPr>
        <w:tc>
          <w:tcPr>
            <w:tcW w:w="675" w:type="dxa"/>
            <w:tcBorders>
              <w:tl2br w:val="nil"/>
              <w:tr2bl w:val="nil"/>
            </w:tcBorders>
            <w:noWrap w:val="0"/>
            <w:vAlign w:val="center"/>
          </w:tcPr>
          <w:p>
            <w:pPr>
              <w:adjustRightInd w:val="0"/>
              <w:snapToGrid w:val="0"/>
              <w:jc w:val="center"/>
              <w:rPr>
                <w:color w:val="auto"/>
                <w:szCs w:val="21"/>
                <w:highlight w:val="none"/>
              </w:rPr>
            </w:pPr>
            <w:r>
              <w:rPr>
                <w:color w:val="auto"/>
                <w:szCs w:val="21"/>
                <w:highlight w:val="none"/>
              </w:rPr>
              <w:t>7</w:t>
            </w:r>
          </w:p>
        </w:tc>
        <w:tc>
          <w:tcPr>
            <w:tcW w:w="5245" w:type="dxa"/>
            <w:tcBorders>
              <w:tl2br w:val="nil"/>
              <w:tr2bl w:val="nil"/>
            </w:tcBorders>
            <w:noWrap w:val="0"/>
            <w:vAlign w:val="center"/>
          </w:tcPr>
          <w:p>
            <w:pPr>
              <w:adjustRightInd w:val="0"/>
              <w:snapToGrid w:val="0"/>
              <w:spacing w:line="360" w:lineRule="auto"/>
              <w:jc w:val="both"/>
              <w:rPr>
                <w:color w:val="auto"/>
                <w:sz w:val="18"/>
                <w:szCs w:val="18"/>
                <w:highlight w:val="none"/>
              </w:rPr>
            </w:pPr>
            <w:r>
              <w:rPr>
                <w:rFonts w:hint="eastAsia"/>
                <w:color w:val="auto"/>
                <w:sz w:val="18"/>
                <w:szCs w:val="18"/>
                <w:highlight w:val="none"/>
              </w:rPr>
              <w:t>在科研办公楼改扩建时委托有资质单位对产生的弃土进行污染监测，根据监测结果采取相应处置措施。改建后的科研办公楼1-8层作为电镀厂房，可能存在一定安全隐患，应征求相关部门意见</w:t>
            </w:r>
            <w:r>
              <w:rPr>
                <w:color w:val="auto"/>
                <w:sz w:val="18"/>
                <w:szCs w:val="18"/>
                <w:highlight w:val="none"/>
              </w:rPr>
              <w:t>。</w:t>
            </w:r>
          </w:p>
        </w:tc>
        <w:tc>
          <w:tcPr>
            <w:tcW w:w="3700" w:type="dxa"/>
            <w:tcBorders>
              <w:tl2br w:val="nil"/>
              <w:tr2bl w:val="nil"/>
            </w:tcBorders>
            <w:noWrap w:val="0"/>
            <w:vAlign w:val="center"/>
          </w:tcPr>
          <w:p>
            <w:pPr>
              <w:adjustRightInd w:val="0"/>
              <w:snapToGrid w:val="0"/>
              <w:jc w:val="center"/>
              <w:rPr>
                <w:rFonts w:eastAsia="黑体"/>
                <w:color w:val="auto"/>
                <w:szCs w:val="21"/>
                <w:highlight w:val="none"/>
              </w:rPr>
            </w:pPr>
            <w:r>
              <w:rPr>
                <w:color w:val="auto"/>
                <w:sz w:val="18"/>
                <w:szCs w:val="21"/>
                <w:highlight w:val="none"/>
              </w:rPr>
              <w:t>已执行</w:t>
            </w:r>
          </w:p>
        </w:tc>
      </w:tr>
    </w:tbl>
    <w:p>
      <w:pPr>
        <w:adjustRightInd w:val="0"/>
        <w:snapToGrid w:val="0"/>
        <w:spacing w:line="360" w:lineRule="auto"/>
        <w:ind w:firstLine="480" w:firstLineChars="200"/>
        <w:rPr>
          <w:rFonts w:hint="eastAsia"/>
          <w:color w:val="auto"/>
          <w:sz w:val="24"/>
          <w:highlight w:val="none"/>
        </w:rPr>
      </w:pPr>
      <w:bookmarkStart w:id="69" w:name="_Toc534827926"/>
      <w:bookmarkStart w:id="70" w:name="_Toc392592664"/>
      <w:r>
        <w:rPr>
          <w:rFonts w:hint="eastAsia"/>
          <w:color w:val="auto"/>
          <w:sz w:val="24"/>
          <w:highlight w:val="none"/>
          <w:lang w:val="en-US" w:eastAsia="zh-CN"/>
        </w:rPr>
        <w:t>4、</w:t>
      </w:r>
      <w:r>
        <w:rPr>
          <w:rFonts w:hint="eastAsia"/>
          <w:color w:val="auto"/>
          <w:sz w:val="24"/>
          <w:highlight w:val="none"/>
        </w:rPr>
        <w:t xml:space="preserve"> 项目依托工程可行性分析</w:t>
      </w:r>
    </w:p>
    <w:p>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青岛源润宏防腐精饰科技有限公司位于青岛西海岸新区黄河东路139号青岛经济技术开发区电镀工业园内，依托园区现有厂房进行电镀生产加工，本项目</w:t>
      </w:r>
      <w:r>
        <w:rPr>
          <w:rFonts w:hint="eastAsia"/>
          <w:color w:val="auto"/>
          <w:sz w:val="24"/>
          <w:highlight w:val="none"/>
          <w:lang w:eastAsia="zh-CN"/>
        </w:rPr>
        <w:t>给</w:t>
      </w:r>
      <w:r>
        <w:rPr>
          <w:rFonts w:hint="eastAsia"/>
          <w:color w:val="auto"/>
          <w:sz w:val="24"/>
          <w:highlight w:val="none"/>
        </w:rPr>
        <w:t>排水、危废暂存及委托处置等依托产业园相应设施。</w:t>
      </w:r>
    </w:p>
    <w:p>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项目具体依托情况及可行性分析见表2.2-</w:t>
      </w:r>
      <w:r>
        <w:rPr>
          <w:rFonts w:hint="eastAsia"/>
          <w:color w:val="auto"/>
          <w:sz w:val="24"/>
          <w:highlight w:val="none"/>
          <w:lang w:val="en-US" w:eastAsia="zh-CN"/>
        </w:rPr>
        <w:t>8</w:t>
      </w:r>
      <w:r>
        <w:rPr>
          <w:rFonts w:hint="eastAsia"/>
          <w:color w:val="auto"/>
          <w:sz w:val="24"/>
          <w:highlight w:val="none"/>
        </w:rPr>
        <w:t>。</w:t>
      </w:r>
    </w:p>
    <w:p>
      <w:pPr>
        <w:adjustRightInd w:val="0"/>
        <w:snapToGrid w:val="0"/>
        <w:spacing w:line="360" w:lineRule="auto"/>
        <w:jc w:val="center"/>
        <w:rPr>
          <w:rFonts w:hint="eastAsia" w:ascii="黑体" w:hAnsi="黑体" w:eastAsia="黑体" w:cs="黑体"/>
          <w:color w:val="auto"/>
          <w:sz w:val="24"/>
          <w:highlight w:val="none"/>
        </w:rPr>
      </w:pPr>
      <w:r>
        <w:rPr>
          <w:rFonts w:hint="eastAsia" w:ascii="黑体" w:hAnsi="黑体" w:eastAsia="黑体" w:cs="黑体"/>
          <w:color w:val="auto"/>
          <w:sz w:val="24"/>
          <w:highlight w:val="none"/>
        </w:rPr>
        <w:t>表2.2-</w:t>
      </w:r>
      <w:r>
        <w:rPr>
          <w:rFonts w:hint="eastAsia" w:ascii="黑体" w:hAnsi="黑体" w:eastAsia="黑体" w:cs="黑体"/>
          <w:color w:val="auto"/>
          <w:sz w:val="24"/>
          <w:highlight w:val="none"/>
          <w:lang w:val="en-US" w:eastAsia="zh-CN"/>
        </w:rPr>
        <w:t>8</w:t>
      </w:r>
      <w:r>
        <w:rPr>
          <w:rFonts w:hint="eastAsia" w:ascii="黑体" w:hAnsi="黑体" w:eastAsia="黑体" w:cs="黑体"/>
          <w:color w:val="auto"/>
          <w:sz w:val="24"/>
          <w:highlight w:val="none"/>
        </w:rPr>
        <w:t xml:space="preserve">  项目依托工程情况一览表</w:t>
      </w:r>
    </w:p>
    <w:tbl>
      <w:tblPr>
        <w:tblStyle w:val="36"/>
        <w:tblW w:w="9230" w:type="dxa"/>
        <w:jc w:val="center"/>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658"/>
        <w:gridCol w:w="961"/>
        <w:gridCol w:w="6356"/>
        <w:gridCol w:w="1255"/>
      </w:tblGrid>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557" w:hRule="atLeast"/>
          <w:jc w:val="center"/>
        </w:trPr>
        <w:tc>
          <w:tcPr>
            <w:tcW w:w="658" w:type="dxa"/>
            <w:tcBorders>
              <w:tl2br w:val="nil"/>
              <w:tr2bl w:val="nil"/>
            </w:tcBorders>
            <w:noWrap w:val="0"/>
            <w:vAlign w:val="center"/>
          </w:tcPr>
          <w:p>
            <w:pPr>
              <w:spacing w:line="300" w:lineRule="exact"/>
              <w:ind w:firstLine="0" w:firstLineChars="0"/>
              <w:jc w:val="center"/>
              <w:rPr>
                <w:rFonts w:hint="default" w:ascii="Times New Roman" w:hAnsi="Times New Roman" w:cs="Times New Roman" w:eastAsiaTheme="majorEastAsia"/>
                <w:b/>
                <w:color w:val="auto"/>
                <w:kern w:val="0"/>
                <w:sz w:val="21"/>
                <w:szCs w:val="21"/>
                <w:highlight w:val="none"/>
              </w:rPr>
            </w:pPr>
            <w:r>
              <w:rPr>
                <w:rFonts w:hint="default" w:ascii="Times New Roman" w:hAnsi="Times New Roman" w:cs="Times New Roman" w:eastAsiaTheme="majorEastAsia"/>
                <w:b/>
                <w:color w:val="auto"/>
                <w:kern w:val="0"/>
                <w:sz w:val="21"/>
                <w:szCs w:val="21"/>
                <w:highlight w:val="none"/>
              </w:rPr>
              <w:t>类别</w:t>
            </w:r>
          </w:p>
        </w:tc>
        <w:tc>
          <w:tcPr>
            <w:tcW w:w="7317" w:type="dxa"/>
            <w:gridSpan w:val="2"/>
            <w:tcBorders>
              <w:tl2br w:val="nil"/>
              <w:tr2bl w:val="nil"/>
            </w:tcBorders>
            <w:noWrap w:val="0"/>
            <w:vAlign w:val="center"/>
          </w:tcPr>
          <w:p>
            <w:pPr>
              <w:spacing w:line="300" w:lineRule="exact"/>
              <w:ind w:firstLine="0" w:firstLineChars="0"/>
              <w:jc w:val="center"/>
              <w:rPr>
                <w:rFonts w:hint="default" w:ascii="Times New Roman" w:hAnsi="Times New Roman" w:cs="Times New Roman" w:eastAsiaTheme="majorEastAsia"/>
                <w:b/>
                <w:color w:val="auto"/>
                <w:kern w:val="0"/>
                <w:sz w:val="21"/>
                <w:szCs w:val="21"/>
                <w:highlight w:val="none"/>
              </w:rPr>
            </w:pPr>
            <w:r>
              <w:rPr>
                <w:rFonts w:hint="default" w:ascii="Times New Roman" w:hAnsi="Times New Roman" w:cs="Times New Roman" w:eastAsiaTheme="majorEastAsia"/>
                <w:b/>
                <w:color w:val="auto"/>
                <w:kern w:val="0"/>
                <w:sz w:val="21"/>
                <w:szCs w:val="21"/>
                <w:highlight w:val="none"/>
              </w:rPr>
              <w:t>依托工程内容</w:t>
            </w:r>
          </w:p>
        </w:tc>
        <w:tc>
          <w:tcPr>
            <w:tcW w:w="1255" w:type="dxa"/>
            <w:tcBorders>
              <w:tl2br w:val="nil"/>
              <w:tr2bl w:val="nil"/>
            </w:tcBorders>
            <w:noWrap w:val="0"/>
            <w:vAlign w:val="center"/>
          </w:tcPr>
          <w:p>
            <w:pPr>
              <w:spacing w:line="300" w:lineRule="exact"/>
              <w:ind w:firstLine="0" w:firstLineChars="0"/>
              <w:jc w:val="center"/>
              <w:rPr>
                <w:rFonts w:hint="default" w:ascii="Times New Roman" w:hAnsi="Times New Roman" w:cs="Times New Roman" w:eastAsiaTheme="majorEastAsia"/>
                <w:b/>
                <w:color w:val="auto"/>
                <w:kern w:val="0"/>
                <w:sz w:val="21"/>
                <w:szCs w:val="21"/>
                <w:highlight w:val="none"/>
              </w:rPr>
            </w:pPr>
            <w:r>
              <w:rPr>
                <w:rFonts w:hint="default" w:ascii="Times New Roman" w:hAnsi="Times New Roman" w:cs="Times New Roman" w:eastAsiaTheme="majorEastAsia"/>
                <w:b/>
                <w:color w:val="auto"/>
                <w:kern w:val="0"/>
                <w:sz w:val="21"/>
                <w:szCs w:val="21"/>
                <w:highlight w:val="none"/>
              </w:rPr>
              <w:t>依托可行性</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0" w:hRule="atLeast"/>
          <w:jc w:val="center"/>
        </w:trPr>
        <w:tc>
          <w:tcPr>
            <w:tcW w:w="658" w:type="dxa"/>
            <w:vMerge w:val="restart"/>
            <w:tcBorders>
              <w:tl2br w:val="nil"/>
              <w:tr2bl w:val="nil"/>
            </w:tcBorders>
            <w:noWrap w:val="0"/>
            <w:vAlign w:val="center"/>
          </w:tcPr>
          <w:p>
            <w:pPr>
              <w:spacing w:line="300" w:lineRule="exact"/>
              <w:ind w:firstLine="0" w:firstLineChars="0"/>
              <w:jc w:val="center"/>
              <w:rPr>
                <w:rFonts w:hint="default" w:ascii="Times New Roman" w:hAnsi="Times New Roman" w:cs="Times New Roman" w:eastAsiaTheme="majorEastAsia"/>
                <w:color w:val="auto"/>
                <w:kern w:val="0"/>
                <w:sz w:val="21"/>
                <w:szCs w:val="21"/>
                <w:highlight w:val="none"/>
              </w:rPr>
            </w:pPr>
            <w:r>
              <w:rPr>
                <w:rFonts w:hint="default" w:ascii="Times New Roman" w:hAnsi="Times New Roman" w:cs="Times New Roman" w:eastAsiaTheme="majorEastAsia"/>
                <w:color w:val="auto"/>
                <w:kern w:val="0"/>
                <w:sz w:val="21"/>
                <w:szCs w:val="21"/>
                <w:highlight w:val="none"/>
              </w:rPr>
              <w:t>公用设施</w:t>
            </w:r>
          </w:p>
        </w:tc>
        <w:tc>
          <w:tcPr>
            <w:tcW w:w="961" w:type="dxa"/>
            <w:tcBorders>
              <w:tl2br w:val="nil"/>
              <w:tr2bl w:val="nil"/>
            </w:tcBorders>
            <w:noWrap w:val="0"/>
            <w:vAlign w:val="center"/>
          </w:tcPr>
          <w:p>
            <w:pPr>
              <w:spacing w:line="300" w:lineRule="exact"/>
              <w:ind w:firstLine="0" w:firstLineChars="0"/>
              <w:jc w:val="center"/>
              <w:rPr>
                <w:rFonts w:hint="default" w:ascii="Times New Roman" w:hAnsi="Times New Roman" w:cs="Times New Roman" w:eastAsiaTheme="majorEastAsia"/>
                <w:color w:val="auto"/>
                <w:kern w:val="0"/>
                <w:sz w:val="21"/>
                <w:szCs w:val="21"/>
                <w:highlight w:val="none"/>
              </w:rPr>
            </w:pPr>
            <w:r>
              <w:rPr>
                <w:rFonts w:hint="default" w:ascii="Times New Roman" w:hAnsi="Times New Roman" w:cs="Times New Roman" w:eastAsiaTheme="majorEastAsia"/>
                <w:color w:val="auto"/>
                <w:kern w:val="0"/>
                <w:sz w:val="21"/>
                <w:szCs w:val="21"/>
                <w:highlight w:val="none"/>
              </w:rPr>
              <w:t>给水</w:t>
            </w:r>
          </w:p>
        </w:tc>
        <w:tc>
          <w:tcPr>
            <w:tcW w:w="6356" w:type="dxa"/>
            <w:tcBorders>
              <w:tl2br w:val="nil"/>
              <w:tr2bl w:val="nil"/>
            </w:tcBorders>
            <w:noWrap w:val="0"/>
            <w:vAlign w:val="center"/>
          </w:tcPr>
          <w:p>
            <w:pPr>
              <w:spacing w:line="300" w:lineRule="exact"/>
              <w:ind w:firstLine="0" w:firstLineChars="0"/>
              <w:rPr>
                <w:rFonts w:hint="default" w:ascii="Times New Roman" w:hAnsi="Times New Roman" w:cs="Times New Roman" w:eastAsiaTheme="majorEastAsia"/>
                <w:color w:val="auto"/>
                <w:kern w:val="0"/>
                <w:sz w:val="21"/>
                <w:szCs w:val="21"/>
                <w:highlight w:val="none"/>
              </w:rPr>
            </w:pPr>
            <w:r>
              <w:rPr>
                <w:rFonts w:hint="default" w:ascii="Times New Roman" w:hAnsi="Times New Roman" w:cs="Times New Roman" w:eastAsiaTheme="majorEastAsia"/>
                <w:color w:val="auto"/>
                <w:kern w:val="0"/>
                <w:sz w:val="21"/>
                <w:szCs w:val="21"/>
                <w:highlight w:val="none"/>
              </w:rPr>
              <w:t>新鲜水：由市政新鲜水管网供给，能够满足生产需要。</w:t>
            </w:r>
          </w:p>
          <w:p>
            <w:pPr>
              <w:spacing w:line="300" w:lineRule="exact"/>
              <w:ind w:firstLine="0" w:firstLineChars="0"/>
              <w:rPr>
                <w:rFonts w:hint="default" w:ascii="Times New Roman" w:hAnsi="Times New Roman" w:cs="Times New Roman" w:eastAsiaTheme="majorEastAsia"/>
                <w:color w:val="auto"/>
                <w:kern w:val="0"/>
                <w:sz w:val="21"/>
                <w:szCs w:val="21"/>
                <w:highlight w:val="none"/>
              </w:rPr>
            </w:pPr>
            <w:r>
              <w:rPr>
                <w:rFonts w:hint="default" w:ascii="Times New Roman" w:hAnsi="Times New Roman" w:cs="Times New Roman" w:eastAsiaTheme="majorEastAsia"/>
                <w:color w:val="auto"/>
                <w:kern w:val="0"/>
                <w:sz w:val="21"/>
                <w:szCs w:val="21"/>
                <w:highlight w:val="none"/>
                <w:lang w:eastAsia="zh-CN"/>
              </w:rPr>
              <w:t>纯</w:t>
            </w:r>
            <w:r>
              <w:rPr>
                <w:rFonts w:hint="default" w:ascii="Times New Roman" w:hAnsi="Times New Roman" w:cs="Times New Roman" w:eastAsiaTheme="majorEastAsia"/>
                <w:color w:val="auto"/>
                <w:kern w:val="0"/>
                <w:sz w:val="21"/>
                <w:szCs w:val="21"/>
                <w:highlight w:val="none"/>
              </w:rPr>
              <w:t>水：</w:t>
            </w:r>
            <w:r>
              <w:rPr>
                <w:rFonts w:hint="default" w:ascii="Times New Roman" w:hAnsi="Times New Roman" w:cs="Times New Roman" w:eastAsiaTheme="majorEastAsia"/>
                <w:color w:val="auto"/>
                <w:sz w:val="21"/>
                <w:szCs w:val="21"/>
                <w:highlight w:val="none"/>
              </w:rPr>
              <w:t>由工业园纯水站供应，位</w:t>
            </w:r>
            <w:r>
              <w:rPr>
                <w:rFonts w:hint="default" w:ascii="Times New Roman" w:hAnsi="Times New Roman" w:cs="Times New Roman" w:eastAsiaTheme="majorEastAsia"/>
                <w:color w:val="auto"/>
                <w:sz w:val="21"/>
                <w:szCs w:val="21"/>
                <w:highlight w:val="none"/>
              </w:rPr>
              <w:t>于循环经济楼西南</w:t>
            </w:r>
            <w:r>
              <w:rPr>
                <w:rFonts w:hint="default" w:ascii="Times New Roman" w:hAnsi="Times New Roman" w:cs="Times New Roman" w:eastAsiaTheme="majorEastAsia"/>
                <w:color w:val="auto"/>
                <w:sz w:val="21"/>
                <w:szCs w:val="21"/>
                <w:highlight w:val="none"/>
              </w:rPr>
              <w:t>角一层，制备规模50吨/小时，采用多介质过滤+滤棒过滤+一级反渗透处理工艺</w:t>
            </w:r>
            <w:r>
              <w:rPr>
                <w:rFonts w:hint="default" w:ascii="Times New Roman" w:hAnsi="Times New Roman" w:cs="Times New Roman" w:eastAsiaTheme="majorEastAsia"/>
                <w:color w:val="auto"/>
                <w:kern w:val="0"/>
                <w:sz w:val="21"/>
                <w:szCs w:val="21"/>
                <w:highlight w:val="none"/>
              </w:rPr>
              <w:t>，能够满足项目要求。</w:t>
            </w:r>
          </w:p>
        </w:tc>
        <w:tc>
          <w:tcPr>
            <w:tcW w:w="1255" w:type="dxa"/>
            <w:tcBorders>
              <w:tl2br w:val="nil"/>
              <w:tr2bl w:val="nil"/>
            </w:tcBorders>
            <w:noWrap w:val="0"/>
            <w:vAlign w:val="center"/>
          </w:tcPr>
          <w:p>
            <w:pPr>
              <w:spacing w:line="300" w:lineRule="exact"/>
              <w:ind w:firstLine="0" w:firstLineChars="0"/>
              <w:jc w:val="center"/>
              <w:rPr>
                <w:rFonts w:hint="default" w:ascii="Times New Roman" w:hAnsi="Times New Roman" w:cs="Times New Roman" w:eastAsiaTheme="majorEastAsia"/>
                <w:color w:val="auto"/>
                <w:kern w:val="0"/>
                <w:sz w:val="21"/>
                <w:szCs w:val="21"/>
                <w:highlight w:val="none"/>
              </w:rPr>
            </w:pPr>
            <w:r>
              <w:rPr>
                <w:rFonts w:hint="default" w:ascii="Times New Roman" w:hAnsi="Times New Roman" w:cs="Times New Roman" w:eastAsiaTheme="majorEastAsia"/>
                <w:color w:val="auto"/>
                <w:kern w:val="0"/>
                <w:sz w:val="21"/>
                <w:szCs w:val="21"/>
                <w:highlight w:val="none"/>
              </w:rPr>
              <w:t>依托可行</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0" w:hRule="atLeast"/>
          <w:jc w:val="center"/>
        </w:trPr>
        <w:tc>
          <w:tcPr>
            <w:tcW w:w="658" w:type="dxa"/>
            <w:vMerge w:val="continue"/>
            <w:tcBorders>
              <w:tl2br w:val="nil"/>
              <w:tr2bl w:val="nil"/>
            </w:tcBorders>
            <w:noWrap w:val="0"/>
            <w:vAlign w:val="center"/>
          </w:tcPr>
          <w:p>
            <w:pPr>
              <w:spacing w:line="300" w:lineRule="exact"/>
              <w:ind w:firstLine="0" w:firstLineChars="0"/>
              <w:jc w:val="center"/>
              <w:rPr>
                <w:rFonts w:hint="default" w:ascii="Times New Roman" w:hAnsi="Times New Roman" w:cs="Times New Roman" w:eastAsiaTheme="majorEastAsia"/>
                <w:color w:val="auto"/>
                <w:kern w:val="0"/>
                <w:sz w:val="21"/>
                <w:szCs w:val="21"/>
                <w:highlight w:val="none"/>
              </w:rPr>
            </w:pPr>
          </w:p>
        </w:tc>
        <w:tc>
          <w:tcPr>
            <w:tcW w:w="961" w:type="dxa"/>
            <w:tcBorders>
              <w:tl2br w:val="nil"/>
              <w:tr2bl w:val="nil"/>
            </w:tcBorders>
            <w:noWrap w:val="0"/>
            <w:vAlign w:val="center"/>
          </w:tcPr>
          <w:p>
            <w:pPr>
              <w:spacing w:line="300" w:lineRule="exact"/>
              <w:ind w:firstLine="0" w:firstLineChars="0"/>
              <w:jc w:val="center"/>
              <w:rPr>
                <w:rFonts w:hint="default" w:ascii="Times New Roman" w:hAnsi="Times New Roman" w:cs="Times New Roman" w:eastAsiaTheme="majorEastAsia"/>
                <w:color w:val="auto"/>
                <w:kern w:val="0"/>
                <w:sz w:val="21"/>
                <w:szCs w:val="21"/>
                <w:highlight w:val="none"/>
              </w:rPr>
            </w:pPr>
            <w:r>
              <w:rPr>
                <w:rFonts w:hint="default" w:ascii="Times New Roman" w:hAnsi="Times New Roman" w:cs="Times New Roman" w:eastAsiaTheme="majorEastAsia"/>
                <w:color w:val="auto"/>
                <w:kern w:val="0"/>
                <w:sz w:val="21"/>
                <w:szCs w:val="21"/>
                <w:highlight w:val="none"/>
              </w:rPr>
              <w:t>排水</w:t>
            </w:r>
          </w:p>
        </w:tc>
        <w:tc>
          <w:tcPr>
            <w:tcW w:w="6356" w:type="dxa"/>
            <w:tcBorders>
              <w:tl2br w:val="nil"/>
              <w:tr2bl w:val="nil"/>
            </w:tcBorders>
            <w:noWrap w:val="0"/>
            <w:vAlign w:val="center"/>
          </w:tcPr>
          <w:p>
            <w:pPr>
              <w:spacing w:line="300" w:lineRule="exact"/>
              <w:ind w:firstLine="0" w:firstLineChars="0"/>
              <w:rPr>
                <w:rFonts w:hint="default" w:ascii="Times New Roman" w:hAnsi="Times New Roman" w:cs="Times New Roman" w:eastAsiaTheme="majorEastAsia"/>
                <w:color w:val="auto"/>
                <w:kern w:val="0"/>
                <w:sz w:val="21"/>
                <w:szCs w:val="21"/>
                <w:highlight w:val="none"/>
              </w:rPr>
            </w:pPr>
            <w:r>
              <w:rPr>
                <w:rFonts w:hint="default" w:ascii="Times New Roman" w:hAnsi="Times New Roman" w:cs="Times New Roman" w:eastAsiaTheme="majorEastAsia"/>
                <w:color w:val="auto"/>
                <w:kern w:val="0"/>
                <w:sz w:val="21"/>
                <w:szCs w:val="21"/>
                <w:highlight w:val="none"/>
              </w:rPr>
              <w:t>依</w:t>
            </w:r>
            <w:r>
              <w:rPr>
                <w:rFonts w:hint="default" w:ascii="Times New Roman" w:hAnsi="Times New Roman" w:cs="Times New Roman" w:eastAsiaTheme="majorEastAsia"/>
                <w:color w:val="auto"/>
                <w:kern w:val="0"/>
                <w:sz w:val="21"/>
                <w:szCs w:val="21"/>
                <w:highlight w:val="none"/>
                <w:lang w:eastAsia="zh-CN"/>
              </w:rPr>
              <w:t>园区</w:t>
            </w:r>
            <w:r>
              <w:rPr>
                <w:rFonts w:hint="default" w:ascii="Times New Roman" w:hAnsi="Times New Roman" w:cs="Times New Roman" w:eastAsiaTheme="majorEastAsia"/>
                <w:color w:val="auto"/>
                <w:kern w:val="0"/>
                <w:sz w:val="21"/>
                <w:szCs w:val="21"/>
                <w:highlight w:val="none"/>
              </w:rPr>
              <w:t>污水处理</w:t>
            </w:r>
            <w:r>
              <w:rPr>
                <w:rFonts w:hint="default" w:ascii="Times New Roman" w:hAnsi="Times New Roman" w:cs="Times New Roman" w:eastAsiaTheme="majorEastAsia"/>
                <w:color w:val="auto"/>
                <w:kern w:val="0"/>
                <w:sz w:val="21"/>
                <w:szCs w:val="21"/>
                <w:highlight w:val="none"/>
                <w:lang w:eastAsia="zh-CN"/>
              </w:rPr>
              <w:t>站</w:t>
            </w:r>
            <w:r>
              <w:rPr>
                <w:rFonts w:hint="eastAsia" w:cs="Times New Roman" w:eastAsiaTheme="majorEastAsia"/>
                <w:color w:val="auto"/>
                <w:kern w:val="0"/>
                <w:sz w:val="21"/>
                <w:szCs w:val="21"/>
                <w:highlight w:val="none"/>
                <w:lang w:eastAsia="zh-CN"/>
              </w:rPr>
              <w:t>(</w:t>
            </w:r>
            <w:r>
              <w:rPr>
                <w:rFonts w:hint="default" w:ascii="Times New Roman" w:hAnsi="Times New Roman" w:cs="Times New Roman" w:eastAsiaTheme="majorEastAsia"/>
                <w:color w:val="auto"/>
                <w:kern w:val="0"/>
                <w:sz w:val="21"/>
                <w:szCs w:val="21"/>
                <w:highlight w:val="none"/>
              </w:rPr>
              <w:t>处理规模为含铬废水90t/h、酸碱综合废水90t/h、含镍废水集中处理系统90t/h</w:t>
            </w:r>
            <w:r>
              <w:rPr>
                <w:rFonts w:hint="default" w:ascii="Times New Roman" w:hAnsi="Times New Roman" w:cs="Times New Roman" w:eastAsiaTheme="majorEastAsia"/>
                <w:color w:val="auto"/>
                <w:kern w:val="0"/>
                <w:sz w:val="21"/>
                <w:szCs w:val="21"/>
                <w:highlight w:val="none"/>
                <w:lang w:eastAsia="zh-CN"/>
              </w:rPr>
              <w:t>、含氰废水90t/h</w:t>
            </w:r>
            <w:r>
              <w:rPr>
                <w:rFonts w:hint="eastAsia" w:cs="Times New Roman" w:eastAsiaTheme="majorEastAsia"/>
                <w:color w:val="auto"/>
                <w:kern w:val="0"/>
                <w:sz w:val="21"/>
                <w:szCs w:val="21"/>
                <w:highlight w:val="none"/>
                <w:lang w:eastAsia="zh-CN"/>
              </w:rPr>
              <w:t>)</w:t>
            </w:r>
            <w:r>
              <w:rPr>
                <w:rFonts w:hint="default" w:ascii="Times New Roman" w:hAnsi="Times New Roman" w:cs="Times New Roman" w:eastAsiaTheme="majorEastAsia"/>
                <w:color w:val="auto"/>
                <w:kern w:val="0"/>
                <w:sz w:val="21"/>
                <w:szCs w:val="21"/>
                <w:highlight w:val="none"/>
              </w:rPr>
              <w:t>处理；园区内铺设有含铬废水、综合废水、含镍废水、含氰废水</w:t>
            </w:r>
            <w:r>
              <w:rPr>
                <w:rFonts w:hint="default" w:ascii="Times New Roman" w:hAnsi="Times New Roman" w:cs="Times New Roman" w:eastAsiaTheme="majorEastAsia"/>
                <w:color w:val="auto"/>
                <w:kern w:val="0"/>
                <w:sz w:val="21"/>
                <w:szCs w:val="21"/>
                <w:highlight w:val="none"/>
                <w:lang w:val="en-US" w:eastAsia="zh-CN"/>
              </w:rPr>
              <w:t>4</w:t>
            </w:r>
            <w:r>
              <w:rPr>
                <w:rFonts w:hint="default" w:ascii="Times New Roman" w:hAnsi="Times New Roman" w:cs="Times New Roman" w:eastAsiaTheme="majorEastAsia"/>
                <w:color w:val="auto"/>
                <w:kern w:val="0"/>
                <w:sz w:val="21"/>
                <w:szCs w:val="21"/>
                <w:highlight w:val="none"/>
              </w:rPr>
              <w:t>条管道，电镀生产废水分类进入相应管道。</w:t>
            </w:r>
            <w:r>
              <w:rPr>
                <w:rFonts w:hint="default" w:ascii="Times New Roman" w:hAnsi="Times New Roman" w:cs="Times New Roman" w:eastAsiaTheme="majorEastAsia"/>
                <w:color w:val="auto"/>
                <w:kern w:val="0"/>
                <w:sz w:val="21"/>
                <w:szCs w:val="21"/>
                <w:highlight w:val="none"/>
                <w:lang w:eastAsia="zh-CN"/>
              </w:rPr>
              <w:t>园区</w:t>
            </w:r>
            <w:r>
              <w:rPr>
                <w:rFonts w:hint="default" w:ascii="Times New Roman" w:hAnsi="Times New Roman" w:cs="Times New Roman" w:eastAsiaTheme="majorEastAsia"/>
                <w:color w:val="auto"/>
                <w:kern w:val="0"/>
                <w:sz w:val="21"/>
                <w:szCs w:val="21"/>
                <w:highlight w:val="none"/>
              </w:rPr>
              <w:t>污水处理</w:t>
            </w:r>
            <w:r>
              <w:rPr>
                <w:rFonts w:hint="default" w:ascii="Times New Roman" w:hAnsi="Times New Roman" w:cs="Times New Roman" w:eastAsiaTheme="majorEastAsia"/>
                <w:color w:val="auto"/>
                <w:kern w:val="0"/>
                <w:sz w:val="21"/>
                <w:szCs w:val="21"/>
                <w:highlight w:val="none"/>
                <w:lang w:eastAsia="zh-CN"/>
              </w:rPr>
              <w:t>站</w:t>
            </w:r>
            <w:r>
              <w:rPr>
                <w:rFonts w:hint="default" w:ascii="Times New Roman" w:hAnsi="Times New Roman" w:cs="Times New Roman" w:eastAsiaTheme="majorEastAsia"/>
                <w:color w:val="auto"/>
                <w:kern w:val="0"/>
                <w:sz w:val="21"/>
                <w:szCs w:val="21"/>
                <w:highlight w:val="none"/>
              </w:rPr>
              <w:t>建有含氰废水、含铬废水、综合废水、含镍废水</w:t>
            </w:r>
            <w:r>
              <w:rPr>
                <w:rFonts w:hint="default" w:ascii="Times New Roman" w:hAnsi="Times New Roman" w:cs="Times New Roman" w:eastAsiaTheme="majorEastAsia"/>
                <w:color w:val="auto"/>
                <w:kern w:val="0"/>
                <w:sz w:val="21"/>
                <w:szCs w:val="21"/>
                <w:highlight w:val="none"/>
                <w:lang w:val="en-US" w:eastAsia="zh-CN"/>
              </w:rPr>
              <w:t>4</w:t>
            </w:r>
            <w:r>
              <w:rPr>
                <w:rFonts w:hint="default" w:ascii="Times New Roman" w:hAnsi="Times New Roman" w:cs="Times New Roman" w:eastAsiaTheme="majorEastAsia"/>
                <w:color w:val="auto"/>
                <w:kern w:val="0"/>
                <w:sz w:val="21"/>
                <w:szCs w:val="21"/>
                <w:highlight w:val="none"/>
              </w:rPr>
              <w:t>套处理系统。</w:t>
            </w:r>
            <w:r>
              <w:rPr>
                <w:rFonts w:hint="default" w:ascii="Times New Roman" w:hAnsi="Times New Roman" w:cs="Times New Roman" w:eastAsiaTheme="majorEastAsia"/>
                <w:color w:val="auto"/>
                <w:kern w:val="0"/>
                <w:sz w:val="21"/>
                <w:szCs w:val="21"/>
                <w:highlight w:val="none"/>
                <w:lang w:eastAsia="zh-CN"/>
              </w:rPr>
              <w:t>园区</w:t>
            </w:r>
            <w:r>
              <w:rPr>
                <w:rFonts w:hint="default" w:ascii="Times New Roman" w:hAnsi="Times New Roman" w:cs="Times New Roman" w:eastAsiaTheme="majorEastAsia"/>
                <w:color w:val="auto"/>
                <w:kern w:val="0"/>
                <w:sz w:val="21"/>
                <w:szCs w:val="21"/>
                <w:highlight w:val="none"/>
              </w:rPr>
              <w:t>污水处理</w:t>
            </w:r>
            <w:r>
              <w:rPr>
                <w:rFonts w:hint="default" w:ascii="Times New Roman" w:hAnsi="Times New Roman" w:cs="Times New Roman" w:eastAsiaTheme="majorEastAsia"/>
                <w:color w:val="auto"/>
                <w:kern w:val="0"/>
                <w:sz w:val="21"/>
                <w:szCs w:val="21"/>
                <w:highlight w:val="none"/>
                <w:lang w:eastAsia="zh-CN"/>
              </w:rPr>
              <w:t>站</w:t>
            </w:r>
            <w:r>
              <w:rPr>
                <w:rFonts w:hint="default" w:ascii="Times New Roman" w:hAnsi="Times New Roman" w:cs="Times New Roman" w:eastAsiaTheme="majorEastAsia"/>
                <w:color w:val="auto"/>
                <w:kern w:val="0"/>
                <w:sz w:val="21"/>
                <w:szCs w:val="21"/>
                <w:highlight w:val="none"/>
              </w:rPr>
              <w:t>处理出水一类污染物单独处理设施出口达到《电镀污染物排放标准》</w:t>
            </w:r>
            <w:r>
              <w:rPr>
                <w:rFonts w:hint="eastAsia" w:cs="Times New Roman" w:eastAsiaTheme="majorEastAsia"/>
                <w:color w:val="auto"/>
                <w:kern w:val="0"/>
                <w:sz w:val="21"/>
                <w:szCs w:val="21"/>
                <w:highlight w:val="none"/>
                <w:lang w:eastAsia="zh-CN"/>
              </w:rPr>
              <w:t>(</w:t>
            </w:r>
            <w:r>
              <w:rPr>
                <w:rFonts w:hint="default" w:ascii="Times New Roman" w:hAnsi="Times New Roman" w:cs="Times New Roman" w:eastAsiaTheme="majorEastAsia"/>
                <w:color w:val="auto"/>
                <w:kern w:val="0"/>
                <w:sz w:val="21"/>
                <w:szCs w:val="21"/>
                <w:highlight w:val="none"/>
              </w:rPr>
              <w:t>GB21900-2008</w:t>
            </w:r>
            <w:r>
              <w:rPr>
                <w:rFonts w:hint="eastAsia" w:cs="Times New Roman" w:eastAsiaTheme="majorEastAsia"/>
                <w:color w:val="auto"/>
                <w:kern w:val="0"/>
                <w:sz w:val="21"/>
                <w:szCs w:val="21"/>
                <w:highlight w:val="none"/>
                <w:lang w:eastAsia="zh-CN"/>
              </w:rPr>
              <w:t>)</w:t>
            </w:r>
            <w:r>
              <w:rPr>
                <w:rFonts w:hint="default" w:ascii="Times New Roman" w:hAnsi="Times New Roman" w:cs="Times New Roman" w:eastAsiaTheme="majorEastAsia"/>
                <w:color w:val="auto"/>
                <w:kern w:val="0"/>
                <w:sz w:val="21"/>
                <w:szCs w:val="21"/>
                <w:highlight w:val="none"/>
              </w:rPr>
              <w:t>表2标准、其它污染物指标总排口达到《污水排入城镇下水道水质标准》</w:t>
            </w:r>
            <w:r>
              <w:rPr>
                <w:rFonts w:hint="eastAsia" w:cs="Times New Roman" w:eastAsiaTheme="majorEastAsia"/>
                <w:color w:val="auto"/>
                <w:kern w:val="0"/>
                <w:sz w:val="21"/>
                <w:szCs w:val="21"/>
                <w:highlight w:val="none"/>
                <w:lang w:eastAsia="zh-CN"/>
              </w:rPr>
              <w:t>(</w:t>
            </w:r>
            <w:r>
              <w:rPr>
                <w:rFonts w:hint="default" w:ascii="Times New Roman" w:hAnsi="Times New Roman" w:cs="Times New Roman" w:eastAsiaTheme="majorEastAsia"/>
                <w:color w:val="auto"/>
                <w:kern w:val="0"/>
                <w:sz w:val="21"/>
                <w:szCs w:val="21"/>
                <w:highlight w:val="none"/>
              </w:rPr>
              <w:t>GB/T31962-2015</w:t>
            </w:r>
            <w:r>
              <w:rPr>
                <w:rFonts w:hint="eastAsia" w:cs="Times New Roman" w:eastAsiaTheme="majorEastAsia"/>
                <w:color w:val="auto"/>
                <w:kern w:val="0"/>
                <w:sz w:val="21"/>
                <w:szCs w:val="21"/>
                <w:highlight w:val="none"/>
                <w:lang w:eastAsia="zh-CN"/>
              </w:rPr>
              <w:t>)</w:t>
            </w:r>
            <w:r>
              <w:rPr>
                <w:rFonts w:hint="default" w:ascii="Times New Roman" w:hAnsi="Times New Roman" w:cs="Times New Roman" w:eastAsiaTheme="majorEastAsia"/>
                <w:color w:val="auto"/>
                <w:kern w:val="0"/>
                <w:sz w:val="21"/>
                <w:szCs w:val="21"/>
                <w:highlight w:val="none"/>
              </w:rPr>
              <w:t>表1中的B级标准后通过市政污水管网排入</w:t>
            </w:r>
            <w:r>
              <w:rPr>
                <w:rFonts w:hint="default" w:ascii="Times New Roman" w:hAnsi="Times New Roman" w:cs="Times New Roman" w:eastAsiaTheme="majorEastAsia"/>
                <w:color w:val="auto"/>
                <w:kern w:val="0"/>
                <w:sz w:val="21"/>
                <w:szCs w:val="21"/>
                <w:highlight w:val="none"/>
                <w:lang w:eastAsia="zh-CN"/>
              </w:rPr>
              <w:t>镰湾河</w:t>
            </w:r>
            <w:r>
              <w:rPr>
                <w:rFonts w:hint="default" w:ascii="Times New Roman" w:hAnsi="Times New Roman" w:cs="Times New Roman" w:eastAsiaTheme="majorEastAsia"/>
                <w:color w:val="auto"/>
                <w:kern w:val="0"/>
                <w:sz w:val="21"/>
                <w:szCs w:val="21"/>
                <w:highlight w:val="none"/>
              </w:rPr>
              <w:t>水质净化厂。</w:t>
            </w:r>
          </w:p>
        </w:tc>
        <w:tc>
          <w:tcPr>
            <w:tcW w:w="1255" w:type="dxa"/>
            <w:tcBorders>
              <w:tl2br w:val="nil"/>
              <w:tr2bl w:val="nil"/>
            </w:tcBorders>
            <w:noWrap w:val="0"/>
            <w:vAlign w:val="center"/>
          </w:tcPr>
          <w:p>
            <w:pPr>
              <w:spacing w:line="300" w:lineRule="exact"/>
              <w:ind w:firstLine="0" w:firstLineChars="0"/>
              <w:jc w:val="center"/>
              <w:rPr>
                <w:rFonts w:hint="default" w:ascii="Times New Roman" w:hAnsi="Times New Roman" w:cs="Times New Roman" w:eastAsiaTheme="majorEastAsia"/>
                <w:color w:val="auto"/>
                <w:kern w:val="0"/>
                <w:sz w:val="21"/>
                <w:szCs w:val="21"/>
                <w:highlight w:val="none"/>
              </w:rPr>
            </w:pPr>
            <w:r>
              <w:rPr>
                <w:rFonts w:hint="default" w:ascii="Times New Roman" w:hAnsi="Times New Roman" w:cs="Times New Roman" w:eastAsiaTheme="majorEastAsia"/>
                <w:color w:val="auto"/>
                <w:kern w:val="0"/>
                <w:sz w:val="21"/>
                <w:szCs w:val="21"/>
                <w:highlight w:val="none"/>
              </w:rPr>
              <w:t>依托可行</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0" w:hRule="atLeast"/>
          <w:jc w:val="center"/>
        </w:trPr>
        <w:tc>
          <w:tcPr>
            <w:tcW w:w="658" w:type="dxa"/>
            <w:vMerge w:val="continue"/>
            <w:tcBorders>
              <w:tl2br w:val="nil"/>
              <w:tr2bl w:val="nil"/>
            </w:tcBorders>
            <w:noWrap w:val="0"/>
            <w:vAlign w:val="center"/>
          </w:tcPr>
          <w:p>
            <w:pPr>
              <w:spacing w:line="300" w:lineRule="exact"/>
              <w:ind w:firstLine="0" w:firstLineChars="0"/>
              <w:jc w:val="center"/>
              <w:rPr>
                <w:rFonts w:hint="default" w:ascii="Times New Roman" w:hAnsi="Times New Roman" w:cs="Times New Roman" w:eastAsiaTheme="majorEastAsia"/>
                <w:color w:val="auto"/>
                <w:kern w:val="0"/>
                <w:sz w:val="21"/>
                <w:szCs w:val="21"/>
                <w:highlight w:val="none"/>
              </w:rPr>
            </w:pPr>
          </w:p>
        </w:tc>
        <w:tc>
          <w:tcPr>
            <w:tcW w:w="961" w:type="dxa"/>
            <w:tcBorders>
              <w:tl2br w:val="nil"/>
              <w:tr2bl w:val="nil"/>
            </w:tcBorders>
            <w:noWrap w:val="0"/>
            <w:vAlign w:val="center"/>
          </w:tcPr>
          <w:p>
            <w:pPr>
              <w:spacing w:line="300" w:lineRule="exact"/>
              <w:ind w:firstLine="0" w:firstLineChars="0"/>
              <w:jc w:val="center"/>
              <w:rPr>
                <w:rFonts w:hint="default" w:ascii="Times New Roman" w:hAnsi="Times New Roman" w:cs="Times New Roman" w:eastAsiaTheme="majorEastAsia"/>
                <w:color w:val="auto"/>
                <w:kern w:val="0"/>
                <w:sz w:val="21"/>
                <w:szCs w:val="21"/>
                <w:highlight w:val="none"/>
              </w:rPr>
            </w:pPr>
            <w:r>
              <w:rPr>
                <w:rFonts w:hint="default" w:ascii="Times New Roman" w:hAnsi="Times New Roman" w:cs="Times New Roman" w:eastAsiaTheme="majorEastAsia"/>
                <w:color w:val="auto"/>
                <w:kern w:val="0"/>
                <w:sz w:val="21"/>
                <w:szCs w:val="21"/>
                <w:highlight w:val="none"/>
              </w:rPr>
              <w:t>危废库</w:t>
            </w:r>
          </w:p>
        </w:tc>
        <w:tc>
          <w:tcPr>
            <w:tcW w:w="6356" w:type="dxa"/>
            <w:tcBorders>
              <w:tl2br w:val="nil"/>
              <w:tr2bl w:val="nil"/>
            </w:tcBorders>
            <w:noWrap w:val="0"/>
            <w:vAlign w:val="center"/>
          </w:tcPr>
          <w:p>
            <w:pPr>
              <w:spacing w:line="300" w:lineRule="exact"/>
              <w:ind w:firstLine="0" w:firstLineChars="0"/>
              <w:rPr>
                <w:rFonts w:hint="default" w:ascii="Times New Roman" w:hAnsi="Times New Roman" w:cs="Times New Roman" w:eastAsiaTheme="majorEastAsia"/>
                <w:color w:val="auto"/>
                <w:kern w:val="0"/>
                <w:sz w:val="21"/>
                <w:szCs w:val="21"/>
                <w:highlight w:val="none"/>
              </w:rPr>
            </w:pPr>
            <w:r>
              <w:rPr>
                <w:rFonts w:hint="default" w:ascii="Times New Roman" w:hAnsi="Times New Roman" w:cs="Times New Roman" w:eastAsiaTheme="majorEastAsia"/>
                <w:color w:val="auto"/>
                <w:kern w:val="0"/>
                <w:sz w:val="21"/>
                <w:szCs w:val="21"/>
                <w:highlight w:val="none"/>
              </w:rPr>
              <w:t>园</w:t>
            </w:r>
            <w:r>
              <w:rPr>
                <w:rFonts w:hint="default" w:ascii="Times New Roman" w:hAnsi="Times New Roman" w:cs="Times New Roman" w:eastAsiaTheme="majorEastAsia"/>
                <w:color w:val="auto"/>
                <w:kern w:val="0"/>
                <w:sz w:val="21"/>
                <w:szCs w:val="21"/>
                <w:highlight w:val="none"/>
                <w:lang w:eastAsia="zh-CN"/>
              </w:rPr>
              <w:t>区</w:t>
            </w:r>
            <w:r>
              <w:rPr>
                <w:rFonts w:hint="default" w:ascii="Times New Roman" w:hAnsi="Times New Roman" w:cs="Times New Roman" w:eastAsiaTheme="majorEastAsia"/>
                <w:color w:val="auto"/>
                <w:kern w:val="0"/>
                <w:sz w:val="21"/>
                <w:szCs w:val="21"/>
                <w:highlight w:val="none"/>
              </w:rPr>
              <w:t>设置危险废物储存库1座，位于污水</w:t>
            </w:r>
            <w:r>
              <w:rPr>
                <w:rFonts w:hint="default" w:ascii="Times New Roman" w:hAnsi="Times New Roman" w:cs="Times New Roman" w:eastAsiaTheme="majorEastAsia"/>
                <w:color w:val="auto"/>
                <w:kern w:val="0"/>
                <w:sz w:val="21"/>
                <w:szCs w:val="21"/>
                <w:highlight w:val="none"/>
                <w:lang w:eastAsia="zh-CN"/>
              </w:rPr>
              <w:t>站</w:t>
            </w:r>
            <w:r>
              <w:rPr>
                <w:rFonts w:hint="default" w:ascii="Times New Roman" w:hAnsi="Times New Roman" w:cs="Times New Roman" w:eastAsiaTheme="majorEastAsia"/>
                <w:color w:val="auto"/>
                <w:kern w:val="0"/>
                <w:sz w:val="21"/>
                <w:szCs w:val="21"/>
                <w:highlight w:val="none"/>
              </w:rPr>
              <w:t>的</w:t>
            </w:r>
            <w:r>
              <w:rPr>
                <w:rFonts w:hint="default" w:ascii="Times New Roman" w:hAnsi="Times New Roman" w:cs="Times New Roman" w:eastAsiaTheme="majorEastAsia"/>
                <w:color w:val="auto"/>
                <w:kern w:val="0"/>
                <w:sz w:val="21"/>
                <w:szCs w:val="21"/>
                <w:highlight w:val="none"/>
                <w:lang w:eastAsia="zh-CN"/>
              </w:rPr>
              <w:t>东</w:t>
            </w:r>
            <w:r>
              <w:rPr>
                <w:rFonts w:hint="default" w:ascii="Times New Roman" w:hAnsi="Times New Roman" w:cs="Times New Roman" w:eastAsiaTheme="majorEastAsia"/>
                <w:color w:val="auto"/>
                <w:kern w:val="0"/>
                <w:sz w:val="21"/>
                <w:szCs w:val="21"/>
                <w:highlight w:val="none"/>
              </w:rPr>
              <w:t>侧，危险废物储存库总占地面积约</w:t>
            </w:r>
            <w:r>
              <w:rPr>
                <w:rFonts w:hint="default" w:ascii="Times New Roman" w:hAnsi="Times New Roman" w:cs="Times New Roman" w:eastAsiaTheme="majorEastAsia"/>
                <w:color w:val="auto"/>
                <w:kern w:val="0"/>
                <w:sz w:val="21"/>
                <w:szCs w:val="21"/>
                <w:highlight w:val="none"/>
                <w:lang w:val="en-US" w:eastAsia="zh-CN"/>
              </w:rPr>
              <w:t>150</w:t>
            </w:r>
            <w:r>
              <w:rPr>
                <w:rFonts w:hint="default" w:ascii="Times New Roman" w:hAnsi="Times New Roman" w:cs="Times New Roman" w:eastAsiaTheme="majorEastAsia"/>
                <w:color w:val="auto"/>
                <w:kern w:val="0"/>
                <w:sz w:val="21"/>
                <w:szCs w:val="21"/>
                <w:highlight w:val="none"/>
              </w:rPr>
              <w:t>m²，高度</w:t>
            </w:r>
            <w:r>
              <w:rPr>
                <w:rFonts w:hint="default" w:ascii="Times New Roman" w:hAnsi="Times New Roman" w:cs="Times New Roman" w:eastAsiaTheme="majorEastAsia"/>
                <w:color w:val="auto"/>
                <w:kern w:val="0"/>
                <w:sz w:val="21"/>
                <w:szCs w:val="21"/>
                <w:highlight w:val="none"/>
                <w:lang w:val="en-US" w:eastAsia="zh-CN"/>
              </w:rPr>
              <w:t>4</w:t>
            </w:r>
            <w:r>
              <w:rPr>
                <w:rFonts w:hint="default" w:ascii="Times New Roman" w:hAnsi="Times New Roman" w:cs="Times New Roman" w:eastAsiaTheme="majorEastAsia"/>
                <w:color w:val="auto"/>
                <w:kern w:val="0"/>
                <w:sz w:val="21"/>
                <w:szCs w:val="21"/>
                <w:highlight w:val="none"/>
              </w:rPr>
              <w:t>m。危险废物储存库建设、运行等严格执行《危险废物贮存污染控制标准》</w:t>
            </w:r>
            <w:r>
              <w:rPr>
                <w:rFonts w:hint="default" w:ascii="Times New Roman" w:hAnsi="Times New Roman" w:cs="Times New Roman" w:eastAsiaTheme="majorEastAsia"/>
                <w:color w:val="auto"/>
                <w:kern w:val="0"/>
                <w:sz w:val="21"/>
                <w:szCs w:val="21"/>
                <w:highlight w:val="none"/>
                <w:lang w:val="en-US" w:eastAsia="zh-CN"/>
              </w:rPr>
              <w:t>(</w:t>
            </w:r>
            <w:r>
              <w:rPr>
                <w:rFonts w:hint="default" w:ascii="Times New Roman" w:hAnsi="Times New Roman" w:cs="Times New Roman" w:eastAsiaTheme="majorEastAsia"/>
                <w:color w:val="auto"/>
                <w:kern w:val="0"/>
                <w:sz w:val="21"/>
                <w:szCs w:val="21"/>
                <w:highlight w:val="none"/>
              </w:rPr>
              <w:t>GB18597-2001</w:t>
            </w:r>
            <w:r>
              <w:rPr>
                <w:rFonts w:hint="default" w:ascii="Times New Roman" w:hAnsi="Times New Roman" w:cs="Times New Roman" w:eastAsiaTheme="majorEastAsia"/>
                <w:color w:val="auto"/>
                <w:kern w:val="0"/>
                <w:sz w:val="21"/>
                <w:szCs w:val="21"/>
                <w:highlight w:val="none"/>
                <w:lang w:val="en-US" w:eastAsia="zh-CN"/>
              </w:rPr>
              <w:t>)</w:t>
            </w:r>
            <w:r>
              <w:rPr>
                <w:rFonts w:hint="default" w:ascii="Times New Roman" w:hAnsi="Times New Roman" w:cs="Times New Roman" w:eastAsiaTheme="majorEastAsia"/>
                <w:color w:val="auto"/>
                <w:kern w:val="0"/>
                <w:sz w:val="21"/>
                <w:szCs w:val="21"/>
                <w:highlight w:val="none"/>
              </w:rPr>
              <w:t>，采取防腐、防渗漏、防晒等措施，库内设置围堰。危废库主要存放污泥、各企业废液、滤渣、残渣、废弃过滤芯、废弃包装物等。</w:t>
            </w:r>
          </w:p>
        </w:tc>
        <w:tc>
          <w:tcPr>
            <w:tcW w:w="1255" w:type="dxa"/>
            <w:tcBorders>
              <w:tl2br w:val="nil"/>
              <w:tr2bl w:val="nil"/>
            </w:tcBorders>
            <w:noWrap w:val="0"/>
            <w:vAlign w:val="center"/>
          </w:tcPr>
          <w:p>
            <w:pPr>
              <w:spacing w:line="300" w:lineRule="exact"/>
              <w:ind w:firstLine="0" w:firstLineChars="0"/>
              <w:jc w:val="center"/>
              <w:rPr>
                <w:rFonts w:hint="default" w:ascii="Times New Roman" w:hAnsi="Times New Roman" w:cs="Times New Roman" w:eastAsiaTheme="majorEastAsia"/>
                <w:color w:val="auto"/>
                <w:kern w:val="0"/>
                <w:sz w:val="21"/>
                <w:szCs w:val="21"/>
                <w:highlight w:val="none"/>
              </w:rPr>
            </w:pPr>
            <w:r>
              <w:rPr>
                <w:rFonts w:hint="default" w:ascii="Times New Roman" w:hAnsi="Times New Roman" w:cs="Times New Roman" w:eastAsiaTheme="majorEastAsia"/>
                <w:color w:val="auto"/>
                <w:kern w:val="0"/>
                <w:sz w:val="21"/>
                <w:szCs w:val="21"/>
                <w:highlight w:val="none"/>
              </w:rPr>
              <w:t>依托可行</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0" w:hRule="atLeast"/>
          <w:jc w:val="center"/>
        </w:trPr>
        <w:tc>
          <w:tcPr>
            <w:tcW w:w="658" w:type="dxa"/>
            <w:vMerge w:val="continue"/>
            <w:tcBorders>
              <w:tl2br w:val="nil"/>
              <w:tr2bl w:val="nil"/>
            </w:tcBorders>
            <w:noWrap w:val="0"/>
            <w:vAlign w:val="center"/>
          </w:tcPr>
          <w:p>
            <w:pPr>
              <w:spacing w:line="300" w:lineRule="exact"/>
              <w:ind w:firstLine="0" w:firstLineChars="0"/>
              <w:jc w:val="center"/>
              <w:rPr>
                <w:rFonts w:hint="default" w:ascii="Times New Roman" w:hAnsi="Times New Roman" w:cs="Times New Roman" w:eastAsiaTheme="majorEastAsia"/>
                <w:color w:val="auto"/>
                <w:kern w:val="0"/>
                <w:sz w:val="21"/>
                <w:szCs w:val="21"/>
                <w:highlight w:val="none"/>
              </w:rPr>
            </w:pPr>
          </w:p>
        </w:tc>
        <w:tc>
          <w:tcPr>
            <w:tcW w:w="961" w:type="dxa"/>
            <w:tcBorders>
              <w:tl2br w:val="nil"/>
              <w:tr2bl w:val="nil"/>
            </w:tcBorders>
            <w:noWrap w:val="0"/>
            <w:vAlign w:val="center"/>
          </w:tcPr>
          <w:p>
            <w:pPr>
              <w:spacing w:line="300" w:lineRule="exact"/>
              <w:ind w:firstLine="0" w:firstLineChars="0"/>
              <w:jc w:val="center"/>
              <w:rPr>
                <w:rFonts w:hint="default" w:ascii="Times New Roman" w:hAnsi="Times New Roman" w:cs="Times New Roman" w:eastAsiaTheme="majorEastAsia"/>
                <w:color w:val="auto"/>
                <w:kern w:val="0"/>
                <w:sz w:val="21"/>
                <w:szCs w:val="21"/>
                <w:highlight w:val="none"/>
              </w:rPr>
            </w:pPr>
            <w:r>
              <w:rPr>
                <w:rFonts w:hint="default" w:ascii="Times New Roman" w:hAnsi="Times New Roman" w:cs="Times New Roman" w:eastAsiaTheme="majorEastAsia"/>
                <w:color w:val="auto"/>
                <w:kern w:val="0"/>
                <w:sz w:val="21"/>
                <w:szCs w:val="21"/>
                <w:highlight w:val="none"/>
              </w:rPr>
              <w:t>供电</w:t>
            </w:r>
          </w:p>
        </w:tc>
        <w:tc>
          <w:tcPr>
            <w:tcW w:w="6356" w:type="dxa"/>
            <w:tcBorders>
              <w:tl2br w:val="nil"/>
              <w:tr2bl w:val="nil"/>
            </w:tcBorders>
            <w:noWrap w:val="0"/>
            <w:vAlign w:val="center"/>
          </w:tcPr>
          <w:p>
            <w:pPr>
              <w:spacing w:line="300" w:lineRule="exact"/>
              <w:ind w:firstLine="0" w:firstLineChars="0"/>
              <w:rPr>
                <w:rFonts w:hint="default" w:ascii="Times New Roman" w:hAnsi="Times New Roman" w:cs="Times New Roman" w:eastAsiaTheme="majorEastAsia"/>
                <w:color w:val="auto"/>
                <w:kern w:val="0"/>
                <w:sz w:val="21"/>
                <w:szCs w:val="21"/>
                <w:highlight w:val="none"/>
              </w:rPr>
            </w:pPr>
            <w:r>
              <w:rPr>
                <w:rFonts w:hint="default" w:ascii="Times New Roman" w:hAnsi="Times New Roman" w:cs="Times New Roman" w:eastAsiaTheme="majorEastAsia"/>
                <w:color w:val="auto"/>
                <w:kern w:val="0"/>
                <w:sz w:val="21"/>
                <w:szCs w:val="21"/>
                <w:highlight w:val="none"/>
              </w:rPr>
              <w:t>园</w:t>
            </w:r>
            <w:r>
              <w:rPr>
                <w:rFonts w:hint="default" w:ascii="Times New Roman" w:hAnsi="Times New Roman" w:cs="Times New Roman" w:eastAsiaTheme="majorEastAsia"/>
                <w:color w:val="auto"/>
                <w:kern w:val="0"/>
                <w:sz w:val="21"/>
                <w:szCs w:val="21"/>
                <w:highlight w:val="none"/>
                <w:lang w:eastAsia="zh-CN"/>
              </w:rPr>
              <w:t>区</w:t>
            </w:r>
            <w:r>
              <w:rPr>
                <w:rFonts w:hint="default" w:ascii="Times New Roman" w:hAnsi="Times New Roman" w:cs="Times New Roman" w:eastAsiaTheme="majorEastAsia"/>
                <w:color w:val="auto"/>
                <w:kern w:val="0"/>
                <w:sz w:val="21"/>
                <w:szCs w:val="21"/>
                <w:highlight w:val="none"/>
              </w:rPr>
              <w:t>内设有5个配电柜，经</w:t>
            </w:r>
            <w:r>
              <w:rPr>
                <w:rFonts w:hint="default" w:ascii="Times New Roman" w:hAnsi="Times New Roman" w:cs="Times New Roman" w:eastAsiaTheme="majorEastAsia"/>
                <w:color w:val="auto"/>
                <w:kern w:val="0"/>
                <w:sz w:val="21"/>
                <w:szCs w:val="21"/>
                <w:highlight w:val="none"/>
                <w:lang w:eastAsia="zh-CN"/>
              </w:rPr>
              <w:t>园区</w:t>
            </w:r>
            <w:r>
              <w:rPr>
                <w:rFonts w:hint="default" w:ascii="Times New Roman" w:hAnsi="Times New Roman" w:cs="Times New Roman" w:eastAsiaTheme="majorEastAsia"/>
                <w:color w:val="auto"/>
                <w:kern w:val="0"/>
                <w:sz w:val="21"/>
                <w:szCs w:val="21"/>
                <w:highlight w:val="none"/>
              </w:rPr>
              <w:t>配电室统一分配，能够满足入驻企业需求。</w:t>
            </w:r>
          </w:p>
        </w:tc>
        <w:tc>
          <w:tcPr>
            <w:tcW w:w="1255" w:type="dxa"/>
            <w:tcBorders>
              <w:tl2br w:val="nil"/>
              <w:tr2bl w:val="nil"/>
            </w:tcBorders>
            <w:noWrap w:val="0"/>
            <w:vAlign w:val="center"/>
          </w:tcPr>
          <w:p>
            <w:pPr>
              <w:spacing w:line="300" w:lineRule="exact"/>
              <w:ind w:firstLine="0" w:firstLineChars="0"/>
              <w:jc w:val="center"/>
              <w:rPr>
                <w:rFonts w:hint="default" w:ascii="Times New Roman" w:hAnsi="Times New Roman" w:cs="Times New Roman" w:eastAsiaTheme="majorEastAsia"/>
                <w:color w:val="auto"/>
                <w:kern w:val="0"/>
                <w:sz w:val="21"/>
                <w:szCs w:val="21"/>
                <w:highlight w:val="none"/>
              </w:rPr>
            </w:pPr>
            <w:r>
              <w:rPr>
                <w:rFonts w:hint="default" w:ascii="Times New Roman" w:hAnsi="Times New Roman" w:cs="Times New Roman" w:eastAsiaTheme="majorEastAsia"/>
                <w:color w:val="auto"/>
                <w:kern w:val="0"/>
                <w:sz w:val="21"/>
                <w:szCs w:val="21"/>
                <w:highlight w:val="none"/>
              </w:rPr>
              <w:t>依托可行</w:t>
            </w:r>
          </w:p>
        </w:tc>
      </w:tr>
    </w:tbl>
    <w:p>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综上分析，本项目依托现有厂房，从事电镀表面处理加工，能够满足项目生产线设备安装等要求，园区公用设备包括排水、危废库等均可满足项目生产生产需要，因此，本项目依托产业园的相关配套设施是可行的。</w:t>
      </w:r>
    </w:p>
    <w:p>
      <w:pPr>
        <w:adjustRightInd w:val="0"/>
        <w:snapToGrid w:val="0"/>
        <w:spacing w:line="360" w:lineRule="auto"/>
        <w:ind w:firstLine="480" w:firstLineChars="200"/>
        <w:rPr>
          <w:rFonts w:hint="eastAsia"/>
          <w:color w:val="auto"/>
          <w:sz w:val="24"/>
          <w:highlight w:val="none"/>
        </w:rPr>
      </w:pPr>
      <w:r>
        <w:rPr>
          <w:rFonts w:hint="eastAsia"/>
          <w:color w:val="auto"/>
          <w:sz w:val="24"/>
          <w:highlight w:val="none"/>
          <w:lang w:val="en-US" w:eastAsia="zh-CN"/>
        </w:rPr>
        <w:t>5、</w:t>
      </w:r>
      <w:r>
        <w:rPr>
          <w:rFonts w:hint="eastAsia"/>
          <w:color w:val="auto"/>
          <w:sz w:val="24"/>
          <w:highlight w:val="none"/>
          <w:lang w:eastAsia="zh-CN"/>
        </w:rPr>
        <w:t>电镀工业园</w:t>
      </w:r>
      <w:r>
        <w:rPr>
          <w:rFonts w:hint="eastAsia"/>
          <w:color w:val="auto"/>
          <w:sz w:val="24"/>
          <w:highlight w:val="none"/>
        </w:rPr>
        <w:t>存在的环境问题和整改建议</w:t>
      </w:r>
    </w:p>
    <w:p>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本项目所在园区存在的主要环境问题及整改建议见表2.2-</w:t>
      </w:r>
      <w:r>
        <w:rPr>
          <w:rFonts w:hint="eastAsia"/>
          <w:color w:val="auto"/>
          <w:sz w:val="24"/>
          <w:highlight w:val="none"/>
          <w:lang w:val="en-US" w:eastAsia="zh-CN"/>
        </w:rPr>
        <w:t>9</w:t>
      </w:r>
      <w:r>
        <w:rPr>
          <w:rFonts w:hint="eastAsia"/>
          <w:color w:val="auto"/>
          <w:sz w:val="24"/>
          <w:highlight w:val="none"/>
        </w:rPr>
        <w:t>。</w:t>
      </w:r>
    </w:p>
    <w:p>
      <w:pPr>
        <w:adjustRightInd w:val="0"/>
        <w:snapToGrid w:val="0"/>
        <w:spacing w:line="360" w:lineRule="auto"/>
        <w:jc w:val="center"/>
        <w:rPr>
          <w:rFonts w:hint="eastAsia" w:ascii="黑体" w:hAnsi="黑体" w:eastAsia="黑体" w:cs="黑体"/>
          <w:color w:val="auto"/>
          <w:sz w:val="24"/>
          <w:highlight w:val="none"/>
        </w:rPr>
      </w:pPr>
      <w:r>
        <w:rPr>
          <w:rFonts w:hint="eastAsia" w:ascii="黑体" w:hAnsi="黑体" w:eastAsia="黑体" w:cs="黑体"/>
          <w:color w:val="auto"/>
          <w:sz w:val="24"/>
          <w:highlight w:val="none"/>
        </w:rPr>
        <w:t>表 2.2-</w:t>
      </w:r>
      <w:r>
        <w:rPr>
          <w:rFonts w:hint="eastAsia" w:ascii="黑体" w:hAnsi="黑体" w:eastAsia="黑体" w:cs="黑体"/>
          <w:color w:val="auto"/>
          <w:sz w:val="24"/>
          <w:highlight w:val="none"/>
          <w:lang w:val="en-US" w:eastAsia="zh-CN"/>
        </w:rPr>
        <w:t>9</w:t>
      </w:r>
      <w:r>
        <w:rPr>
          <w:rFonts w:hint="eastAsia" w:ascii="黑体" w:hAnsi="黑体" w:eastAsia="黑体" w:cs="黑体"/>
          <w:color w:val="auto"/>
          <w:sz w:val="24"/>
          <w:highlight w:val="none"/>
        </w:rPr>
        <w:t xml:space="preserve">  园区目前主要环境问题及整改建议</w:t>
      </w:r>
    </w:p>
    <w:tbl>
      <w:tblPr>
        <w:tblStyle w:val="36"/>
        <w:tblW w:w="9230" w:type="dxa"/>
        <w:jc w:val="center"/>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753"/>
        <w:gridCol w:w="4028"/>
        <w:gridCol w:w="4449"/>
      </w:tblGrid>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78" w:hRule="atLeast"/>
          <w:jc w:val="center"/>
        </w:trPr>
        <w:tc>
          <w:tcPr>
            <w:tcW w:w="753" w:type="dxa"/>
            <w:tcBorders>
              <w:tl2br w:val="nil"/>
              <w:tr2bl w:val="nil"/>
            </w:tcBorders>
            <w:noWrap w:val="0"/>
            <w:vAlign w:val="center"/>
          </w:tcPr>
          <w:p>
            <w:pPr>
              <w:spacing w:line="240" w:lineRule="auto"/>
              <w:ind w:firstLine="0" w:firstLineChars="0"/>
              <w:jc w:val="center"/>
              <w:rPr>
                <w:rFonts w:hint="default" w:ascii="Times New Roman" w:hAnsi="Times New Roman" w:cs="Times New Roman" w:eastAsiaTheme="minorEastAsia"/>
                <w:b/>
                <w:color w:val="auto"/>
                <w:kern w:val="0"/>
                <w:sz w:val="21"/>
                <w:szCs w:val="21"/>
                <w:highlight w:val="none"/>
              </w:rPr>
            </w:pPr>
            <w:r>
              <w:rPr>
                <w:rFonts w:hint="default" w:ascii="Times New Roman" w:hAnsi="Times New Roman" w:cs="Times New Roman" w:eastAsiaTheme="minorEastAsia"/>
                <w:b/>
                <w:color w:val="auto"/>
                <w:kern w:val="0"/>
                <w:sz w:val="21"/>
                <w:szCs w:val="21"/>
                <w:highlight w:val="none"/>
              </w:rPr>
              <w:t>序号</w:t>
            </w:r>
          </w:p>
        </w:tc>
        <w:tc>
          <w:tcPr>
            <w:tcW w:w="4028" w:type="dxa"/>
            <w:tcBorders>
              <w:tl2br w:val="nil"/>
              <w:tr2bl w:val="nil"/>
            </w:tcBorders>
            <w:noWrap w:val="0"/>
            <w:vAlign w:val="center"/>
          </w:tcPr>
          <w:p>
            <w:pPr>
              <w:spacing w:line="240" w:lineRule="auto"/>
              <w:ind w:firstLine="0" w:firstLineChars="0"/>
              <w:jc w:val="center"/>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主要环境问题</w:t>
            </w:r>
          </w:p>
        </w:tc>
        <w:tc>
          <w:tcPr>
            <w:tcW w:w="4449" w:type="dxa"/>
            <w:tcBorders>
              <w:tl2br w:val="nil"/>
              <w:tr2bl w:val="nil"/>
            </w:tcBorders>
            <w:noWrap w:val="0"/>
            <w:vAlign w:val="center"/>
          </w:tcPr>
          <w:p>
            <w:pPr>
              <w:spacing w:line="240" w:lineRule="auto"/>
              <w:ind w:firstLine="0" w:firstLineChars="0"/>
              <w:jc w:val="center"/>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整改建议</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651" w:hRule="atLeast"/>
          <w:jc w:val="center"/>
        </w:trPr>
        <w:tc>
          <w:tcPr>
            <w:tcW w:w="753" w:type="dxa"/>
            <w:tcBorders>
              <w:tl2br w:val="nil"/>
              <w:tr2bl w:val="nil"/>
            </w:tcBorders>
            <w:noWrap w:val="0"/>
            <w:vAlign w:val="center"/>
          </w:tcPr>
          <w:p>
            <w:pPr>
              <w:spacing w:line="240" w:lineRule="auto"/>
              <w:ind w:firstLine="0" w:firstLineChars="0"/>
              <w:jc w:val="center"/>
              <w:rPr>
                <w:rFonts w:hint="default" w:ascii="Times New Roman" w:hAnsi="Times New Roman" w:cs="Times New Roman" w:eastAsiaTheme="minorEastAsia"/>
                <w:color w:val="auto"/>
                <w:kern w:val="0"/>
                <w:sz w:val="21"/>
                <w:szCs w:val="21"/>
                <w:highlight w:val="none"/>
              </w:rPr>
            </w:pPr>
            <w:r>
              <w:rPr>
                <w:rFonts w:hint="default" w:ascii="Times New Roman" w:hAnsi="Times New Roman" w:cs="Times New Roman" w:eastAsiaTheme="minorEastAsia"/>
                <w:color w:val="auto"/>
                <w:kern w:val="0"/>
                <w:sz w:val="21"/>
                <w:szCs w:val="21"/>
                <w:highlight w:val="none"/>
              </w:rPr>
              <w:t>1</w:t>
            </w:r>
          </w:p>
        </w:tc>
        <w:tc>
          <w:tcPr>
            <w:tcW w:w="4028" w:type="dxa"/>
            <w:tcBorders>
              <w:tl2br w:val="nil"/>
              <w:tr2bl w:val="nil"/>
            </w:tcBorders>
            <w:noWrap w:val="0"/>
            <w:vAlign w:val="center"/>
          </w:tcPr>
          <w:p>
            <w:pPr>
              <w:spacing w:line="240" w:lineRule="auto"/>
              <w:ind w:firstLine="0" w:firstLineChars="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lang w:eastAsia="zh-CN"/>
              </w:rPr>
              <w:t>园区的一类污染物在线监控设施安装于总排口</w:t>
            </w:r>
            <w:r>
              <w:rPr>
                <w:rFonts w:hint="eastAsia" w:asciiTheme="minorEastAsia" w:hAnsiTheme="minorEastAsia" w:eastAsiaTheme="minorEastAsia" w:cstheme="minorEastAsia"/>
                <w:color w:val="auto"/>
                <w:kern w:val="0"/>
                <w:sz w:val="21"/>
                <w:szCs w:val="21"/>
                <w:highlight w:val="none"/>
              </w:rPr>
              <w:t>。</w:t>
            </w:r>
          </w:p>
        </w:tc>
        <w:tc>
          <w:tcPr>
            <w:tcW w:w="4449" w:type="dxa"/>
            <w:tcBorders>
              <w:tl2br w:val="nil"/>
              <w:tr2bl w:val="nil"/>
            </w:tcBorders>
            <w:noWrap w:val="0"/>
            <w:vAlign w:val="center"/>
          </w:tcPr>
          <w:p>
            <w:pPr>
              <w:spacing w:line="240" w:lineRule="auto"/>
              <w:ind w:firstLine="0" w:firstLineChars="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lang w:eastAsia="zh-CN"/>
              </w:rPr>
              <w:t>一类污染物在线监控设施安装于各处理设施排放口</w:t>
            </w:r>
            <w:r>
              <w:rPr>
                <w:rFonts w:hint="eastAsia" w:asciiTheme="minorEastAsia" w:hAnsiTheme="minorEastAsia" w:eastAsiaTheme="minorEastAsia" w:cstheme="minorEastAsia"/>
                <w:color w:val="auto"/>
                <w:kern w:val="0"/>
                <w:sz w:val="21"/>
                <w:szCs w:val="21"/>
                <w:highlight w:val="none"/>
              </w:rPr>
              <w:t>。</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777" w:hRule="atLeast"/>
          <w:jc w:val="center"/>
        </w:trPr>
        <w:tc>
          <w:tcPr>
            <w:tcW w:w="753" w:type="dxa"/>
            <w:tcBorders>
              <w:tl2br w:val="nil"/>
              <w:tr2bl w:val="nil"/>
            </w:tcBorders>
            <w:noWrap w:val="0"/>
            <w:vAlign w:val="center"/>
          </w:tcPr>
          <w:p>
            <w:pPr>
              <w:spacing w:line="240" w:lineRule="auto"/>
              <w:ind w:firstLine="0" w:firstLineChars="0"/>
              <w:jc w:val="center"/>
              <w:rPr>
                <w:rFonts w:hint="default" w:ascii="Times New Roman" w:hAnsi="Times New Roman" w:cs="Times New Roman" w:eastAsiaTheme="minorEastAsia"/>
                <w:color w:val="auto"/>
                <w:kern w:val="0"/>
                <w:sz w:val="21"/>
                <w:szCs w:val="21"/>
                <w:highlight w:val="none"/>
              </w:rPr>
            </w:pPr>
            <w:r>
              <w:rPr>
                <w:rFonts w:hint="default" w:ascii="Times New Roman" w:hAnsi="Times New Roman" w:cs="Times New Roman" w:eastAsiaTheme="minorEastAsia"/>
                <w:color w:val="auto"/>
                <w:kern w:val="0"/>
                <w:sz w:val="21"/>
                <w:szCs w:val="21"/>
                <w:highlight w:val="none"/>
              </w:rPr>
              <w:t>2</w:t>
            </w:r>
          </w:p>
        </w:tc>
        <w:tc>
          <w:tcPr>
            <w:tcW w:w="4028" w:type="dxa"/>
            <w:tcBorders>
              <w:tl2br w:val="nil"/>
              <w:tr2bl w:val="nil"/>
            </w:tcBorders>
            <w:noWrap w:val="0"/>
            <w:vAlign w:val="center"/>
          </w:tcPr>
          <w:p>
            <w:pPr>
              <w:spacing w:line="240" w:lineRule="auto"/>
              <w:ind w:firstLine="0" w:firstLineChars="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园区</w:t>
            </w:r>
            <w:r>
              <w:rPr>
                <w:rFonts w:hint="eastAsia" w:asciiTheme="minorEastAsia" w:hAnsiTheme="minorEastAsia" w:eastAsiaTheme="minorEastAsia" w:cstheme="minorEastAsia"/>
                <w:color w:val="auto"/>
                <w:kern w:val="0"/>
                <w:sz w:val="21"/>
                <w:szCs w:val="21"/>
                <w:highlight w:val="none"/>
                <w:lang w:eastAsia="zh-CN"/>
              </w:rPr>
              <w:t>设置于车间的废气收集监测探头需及时维护更换</w:t>
            </w:r>
            <w:r>
              <w:rPr>
                <w:rFonts w:hint="eastAsia" w:asciiTheme="minorEastAsia" w:hAnsiTheme="minorEastAsia" w:eastAsiaTheme="minorEastAsia" w:cstheme="minorEastAsia"/>
                <w:color w:val="auto"/>
                <w:kern w:val="0"/>
                <w:sz w:val="21"/>
                <w:szCs w:val="21"/>
                <w:highlight w:val="none"/>
              </w:rPr>
              <w:t>。</w:t>
            </w:r>
          </w:p>
        </w:tc>
        <w:tc>
          <w:tcPr>
            <w:tcW w:w="4449" w:type="dxa"/>
            <w:tcBorders>
              <w:tl2br w:val="nil"/>
              <w:tr2bl w:val="nil"/>
            </w:tcBorders>
            <w:noWrap w:val="0"/>
            <w:vAlign w:val="center"/>
          </w:tcPr>
          <w:p>
            <w:pPr>
              <w:spacing w:line="240" w:lineRule="auto"/>
              <w:ind w:firstLine="0" w:firstLineChars="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lang w:eastAsia="zh-CN"/>
              </w:rPr>
              <w:t>园区在各车间及时维护废气收集监测探头的性能，及时升级灵敏度更高的设备</w:t>
            </w:r>
            <w:r>
              <w:rPr>
                <w:rFonts w:hint="eastAsia" w:asciiTheme="minorEastAsia" w:hAnsiTheme="minorEastAsia" w:eastAsiaTheme="minorEastAsia" w:cstheme="minorEastAsia"/>
                <w:color w:val="auto"/>
                <w:kern w:val="0"/>
                <w:sz w:val="21"/>
                <w:szCs w:val="21"/>
                <w:highlight w:val="none"/>
              </w:rPr>
              <w:t>。</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617" w:hRule="atLeast"/>
          <w:jc w:val="center"/>
        </w:trPr>
        <w:tc>
          <w:tcPr>
            <w:tcW w:w="753" w:type="dxa"/>
            <w:tcBorders>
              <w:tl2br w:val="nil"/>
              <w:tr2bl w:val="nil"/>
            </w:tcBorders>
            <w:noWrap w:val="0"/>
            <w:vAlign w:val="center"/>
          </w:tcPr>
          <w:p>
            <w:pPr>
              <w:spacing w:line="240" w:lineRule="auto"/>
              <w:ind w:firstLine="0" w:firstLineChars="0"/>
              <w:jc w:val="center"/>
              <w:rPr>
                <w:rFonts w:hint="eastAsia" w:ascii="Times New Roman" w:hAnsi="Times New Roman" w:cs="Times New Roman" w:eastAsiaTheme="minorEastAsia"/>
                <w:color w:val="auto"/>
                <w:kern w:val="0"/>
                <w:sz w:val="21"/>
                <w:szCs w:val="21"/>
                <w:highlight w:val="none"/>
                <w:lang w:val="en-US" w:eastAsia="zh-CN"/>
              </w:rPr>
            </w:pPr>
            <w:r>
              <w:rPr>
                <w:rFonts w:hint="eastAsia" w:ascii="Times New Roman" w:hAnsi="Times New Roman" w:cs="Times New Roman" w:eastAsiaTheme="minorEastAsia"/>
                <w:color w:val="auto"/>
                <w:kern w:val="0"/>
                <w:sz w:val="21"/>
                <w:szCs w:val="21"/>
                <w:highlight w:val="none"/>
                <w:lang w:val="en-US" w:eastAsia="zh-CN"/>
              </w:rPr>
              <w:t>3</w:t>
            </w:r>
          </w:p>
        </w:tc>
        <w:tc>
          <w:tcPr>
            <w:tcW w:w="4028" w:type="dxa"/>
            <w:tcBorders>
              <w:tl2br w:val="nil"/>
              <w:tr2bl w:val="nil"/>
            </w:tcBorders>
            <w:noWrap w:val="0"/>
            <w:vAlign w:val="center"/>
          </w:tcPr>
          <w:p>
            <w:pPr>
              <w:spacing w:line="240" w:lineRule="auto"/>
              <w:ind w:firstLine="0" w:firstLineChars="0"/>
              <w:rPr>
                <w:rFonts w:hint="eastAsia" w:asciiTheme="minorEastAsia" w:hAnsiTheme="minorEastAsia" w:eastAsiaTheme="minorEastAsia" w:cstheme="minorEastAsia"/>
                <w:color w:val="auto"/>
                <w:kern w:val="0"/>
                <w:sz w:val="21"/>
                <w:szCs w:val="21"/>
                <w:highlight w:val="none"/>
                <w:lang w:eastAsia="zh-CN"/>
              </w:rPr>
            </w:pPr>
            <w:r>
              <w:rPr>
                <w:rFonts w:hint="eastAsia" w:asciiTheme="minorEastAsia" w:hAnsiTheme="minorEastAsia" w:eastAsiaTheme="minorEastAsia" w:cstheme="minorEastAsia"/>
                <w:color w:val="auto"/>
                <w:kern w:val="0"/>
                <w:sz w:val="21"/>
                <w:szCs w:val="21"/>
                <w:highlight w:val="none"/>
                <w:lang w:eastAsia="zh-CN"/>
              </w:rPr>
              <w:t>园区的二期工程尚未开展环评验收。</w:t>
            </w:r>
          </w:p>
        </w:tc>
        <w:tc>
          <w:tcPr>
            <w:tcW w:w="4449" w:type="dxa"/>
            <w:tcBorders>
              <w:tl2br w:val="nil"/>
              <w:tr2bl w:val="nil"/>
            </w:tcBorders>
            <w:noWrap w:val="0"/>
            <w:vAlign w:val="center"/>
          </w:tcPr>
          <w:p>
            <w:pPr>
              <w:spacing w:line="240" w:lineRule="auto"/>
              <w:ind w:firstLine="0" w:firstLineChars="0"/>
              <w:rPr>
                <w:rFonts w:hint="eastAsia" w:asciiTheme="minorEastAsia" w:hAnsiTheme="minorEastAsia" w:eastAsiaTheme="minorEastAsia" w:cstheme="minorEastAsia"/>
                <w:color w:val="auto"/>
                <w:kern w:val="0"/>
                <w:sz w:val="21"/>
                <w:szCs w:val="21"/>
                <w:highlight w:val="none"/>
                <w:lang w:eastAsia="zh-CN"/>
              </w:rPr>
            </w:pPr>
            <w:r>
              <w:rPr>
                <w:rFonts w:hint="eastAsia" w:asciiTheme="minorEastAsia" w:hAnsiTheme="minorEastAsia" w:eastAsiaTheme="minorEastAsia" w:cstheme="minorEastAsia"/>
                <w:color w:val="auto"/>
                <w:kern w:val="0"/>
                <w:sz w:val="21"/>
                <w:szCs w:val="21"/>
                <w:highlight w:val="none"/>
                <w:lang w:eastAsia="zh-CN"/>
              </w:rPr>
              <w:t>园区</w:t>
            </w:r>
            <w:r>
              <w:rPr>
                <w:rFonts w:hint="eastAsia" w:asciiTheme="minorEastAsia" w:hAnsiTheme="minorEastAsia" w:eastAsiaTheme="minorEastAsia" w:cstheme="minorEastAsia"/>
                <w:color w:val="auto"/>
                <w:kern w:val="0"/>
                <w:sz w:val="21"/>
                <w:szCs w:val="21"/>
                <w:highlight w:val="none"/>
                <w:lang w:val="en-US" w:eastAsia="zh-CN"/>
              </w:rPr>
              <w:t>二期</w:t>
            </w:r>
            <w:r>
              <w:rPr>
                <w:rFonts w:hint="eastAsia" w:asciiTheme="minorEastAsia" w:hAnsiTheme="minorEastAsia" w:eastAsiaTheme="minorEastAsia" w:cstheme="minorEastAsia"/>
                <w:color w:val="auto"/>
                <w:kern w:val="0"/>
                <w:sz w:val="21"/>
                <w:szCs w:val="21"/>
                <w:highlight w:val="none"/>
                <w:lang w:eastAsia="zh-CN"/>
              </w:rPr>
              <w:t>的</w:t>
            </w:r>
            <w:r>
              <w:rPr>
                <w:rFonts w:hint="eastAsia" w:asciiTheme="minorEastAsia" w:hAnsiTheme="minorEastAsia" w:eastAsiaTheme="minorEastAsia" w:cstheme="minorEastAsia"/>
                <w:color w:val="auto"/>
                <w:kern w:val="0"/>
                <w:sz w:val="21"/>
                <w:szCs w:val="21"/>
                <w:highlight w:val="none"/>
                <w:lang w:val="en-US" w:eastAsia="zh-CN"/>
              </w:rPr>
              <w:t>已</w:t>
            </w:r>
            <w:r>
              <w:rPr>
                <w:rFonts w:hint="eastAsia" w:asciiTheme="minorEastAsia" w:hAnsiTheme="minorEastAsia" w:eastAsiaTheme="minorEastAsia" w:cstheme="minorEastAsia"/>
                <w:color w:val="auto"/>
                <w:kern w:val="0"/>
                <w:sz w:val="21"/>
                <w:szCs w:val="21"/>
                <w:highlight w:val="none"/>
                <w:lang w:eastAsia="zh-CN"/>
              </w:rPr>
              <w:t>建</w:t>
            </w:r>
            <w:r>
              <w:rPr>
                <w:rFonts w:hint="eastAsia" w:asciiTheme="minorEastAsia" w:hAnsiTheme="minorEastAsia" w:eastAsiaTheme="minorEastAsia" w:cstheme="minorEastAsia"/>
                <w:color w:val="auto"/>
                <w:kern w:val="0"/>
                <w:sz w:val="21"/>
                <w:szCs w:val="21"/>
                <w:highlight w:val="none"/>
                <w:lang w:val="en-US" w:eastAsia="zh-CN"/>
              </w:rPr>
              <w:t>设完成</w:t>
            </w:r>
            <w:r>
              <w:rPr>
                <w:rFonts w:hint="eastAsia" w:asciiTheme="minorEastAsia" w:hAnsiTheme="minorEastAsia" w:eastAsiaTheme="minorEastAsia" w:cstheme="minorEastAsia"/>
                <w:color w:val="auto"/>
                <w:kern w:val="0"/>
                <w:sz w:val="21"/>
                <w:szCs w:val="21"/>
                <w:highlight w:val="none"/>
                <w:lang w:eastAsia="zh-CN"/>
              </w:rPr>
              <w:t>部分可采取分期环评验收。</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617" w:hRule="atLeast"/>
          <w:jc w:val="center"/>
        </w:trPr>
        <w:tc>
          <w:tcPr>
            <w:tcW w:w="753" w:type="dxa"/>
            <w:tcBorders>
              <w:tl2br w:val="nil"/>
              <w:tr2bl w:val="nil"/>
            </w:tcBorders>
            <w:noWrap w:val="0"/>
            <w:vAlign w:val="center"/>
          </w:tcPr>
          <w:p>
            <w:pPr>
              <w:spacing w:line="240" w:lineRule="auto"/>
              <w:ind w:firstLine="0" w:firstLineChars="0"/>
              <w:jc w:val="center"/>
              <w:rPr>
                <w:rFonts w:hint="default" w:ascii="Times New Roman" w:hAnsi="Times New Roman" w:cs="Times New Roman" w:eastAsiaTheme="minorEastAsia"/>
                <w:color w:val="auto"/>
                <w:kern w:val="0"/>
                <w:sz w:val="21"/>
                <w:szCs w:val="21"/>
                <w:highlight w:val="none"/>
                <w:lang w:val="en-US" w:eastAsia="zh-CN"/>
              </w:rPr>
            </w:pPr>
            <w:r>
              <w:rPr>
                <w:rFonts w:hint="eastAsia" w:cs="Times New Roman" w:eastAsiaTheme="minorEastAsia"/>
                <w:color w:val="auto"/>
                <w:kern w:val="0"/>
                <w:sz w:val="21"/>
                <w:szCs w:val="21"/>
                <w:highlight w:val="none"/>
                <w:lang w:val="en-US" w:eastAsia="zh-CN"/>
              </w:rPr>
              <w:t>4</w:t>
            </w:r>
          </w:p>
        </w:tc>
        <w:tc>
          <w:tcPr>
            <w:tcW w:w="4028" w:type="dxa"/>
            <w:tcBorders>
              <w:tl2br w:val="nil"/>
              <w:tr2bl w:val="nil"/>
            </w:tcBorders>
            <w:noWrap w:val="0"/>
            <w:vAlign w:val="center"/>
          </w:tcPr>
          <w:p>
            <w:pPr>
              <w:spacing w:line="240" w:lineRule="auto"/>
              <w:ind w:firstLine="0" w:firstLineChars="0"/>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园区未办理园区排污许可证。</w:t>
            </w:r>
          </w:p>
        </w:tc>
        <w:tc>
          <w:tcPr>
            <w:tcW w:w="4449" w:type="dxa"/>
            <w:tcBorders>
              <w:tl2br w:val="nil"/>
              <w:tr2bl w:val="nil"/>
            </w:tcBorders>
            <w:noWrap w:val="0"/>
            <w:vAlign w:val="center"/>
          </w:tcPr>
          <w:p>
            <w:pPr>
              <w:spacing w:line="240" w:lineRule="auto"/>
              <w:ind w:firstLine="0" w:firstLineChars="0"/>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建议园区管理单位办理园区排污许可文件。</w:t>
            </w:r>
          </w:p>
        </w:tc>
      </w:tr>
    </w:tbl>
    <w:p>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1"/>
        <w:rPr>
          <w:rFonts w:hint="eastAsia" w:ascii="黑体" w:hAnsi="黑体" w:eastAsia="黑体" w:cs="黑体"/>
          <w:b w:val="0"/>
          <w:color w:val="auto"/>
          <w:sz w:val="24"/>
          <w:szCs w:val="24"/>
          <w:highlight w:val="none"/>
        </w:rPr>
      </w:pPr>
      <w:bookmarkStart w:id="71" w:name="_Toc17356"/>
      <w:r>
        <w:rPr>
          <w:rFonts w:hint="eastAsia" w:ascii="黑体" w:hAnsi="黑体" w:eastAsia="黑体" w:cs="黑体"/>
          <w:b w:val="0"/>
          <w:color w:val="auto"/>
          <w:sz w:val="24"/>
          <w:szCs w:val="24"/>
          <w:highlight w:val="none"/>
          <w:lang w:val="en-US" w:eastAsia="zh-CN"/>
        </w:rPr>
        <w:t>2.3</w:t>
      </w:r>
      <w:r>
        <w:rPr>
          <w:rFonts w:hint="eastAsia" w:ascii="黑体" w:hAnsi="黑体" w:eastAsia="黑体" w:cs="黑体"/>
          <w:b w:val="0"/>
          <w:color w:val="auto"/>
          <w:sz w:val="24"/>
          <w:szCs w:val="24"/>
          <w:highlight w:val="none"/>
        </w:rPr>
        <w:t>平衡</w:t>
      </w:r>
      <w:r>
        <w:rPr>
          <w:rFonts w:hint="eastAsia" w:ascii="黑体" w:hAnsi="黑体" w:eastAsia="黑体" w:cs="黑体"/>
          <w:color w:val="auto"/>
          <w:sz w:val="24"/>
          <w:szCs w:val="24"/>
          <w:highlight w:val="none"/>
        </w:rPr>
        <w:t>分析</w:t>
      </w:r>
      <w:bookmarkEnd w:id="69"/>
      <w:bookmarkEnd w:id="70"/>
      <w:bookmarkEnd w:id="71"/>
    </w:p>
    <w:p>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2"/>
        <w:rPr>
          <w:rFonts w:ascii="黑体" w:hAnsi="黑体" w:eastAsia="黑体"/>
          <w:color w:val="auto"/>
          <w:sz w:val="24"/>
          <w:highlight w:val="none"/>
        </w:rPr>
      </w:pPr>
      <w:r>
        <w:rPr>
          <w:rFonts w:hint="eastAsia" w:ascii="黑体" w:hAnsi="黑体" w:eastAsia="黑体"/>
          <w:color w:val="auto"/>
          <w:sz w:val="24"/>
          <w:highlight w:val="none"/>
          <w:lang w:val="en-US" w:eastAsia="zh-CN"/>
        </w:rPr>
        <w:t>2.</w:t>
      </w:r>
      <w:r>
        <w:rPr>
          <w:rFonts w:hint="eastAsia" w:ascii="黑体" w:hAnsi="黑体" w:eastAsia="黑体"/>
          <w:color w:val="auto"/>
          <w:sz w:val="24"/>
          <w:highlight w:val="none"/>
          <w:lang w:val="en-US" w:eastAsia="zh-CN"/>
        </w:rPr>
        <w:t>3.1</w:t>
      </w:r>
      <w:r>
        <w:rPr>
          <w:rFonts w:ascii="黑体" w:hAnsi="黑体" w:eastAsia="黑体"/>
          <w:color w:val="auto"/>
          <w:sz w:val="24"/>
          <w:highlight w:val="none"/>
        </w:rPr>
        <w:t>物料平衡分析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color w:val="auto"/>
          <w:sz w:val="24"/>
          <w:highlight w:val="none"/>
        </w:rPr>
      </w:pPr>
      <w:r>
        <w:rPr>
          <w:color w:val="auto"/>
          <w:sz w:val="24"/>
          <w:highlight w:val="none"/>
        </w:rPr>
        <w:t>根据建设单位提供的有关资料，</w:t>
      </w:r>
      <w:r>
        <w:rPr>
          <w:rFonts w:hint="eastAsia"/>
          <w:color w:val="auto"/>
          <w:sz w:val="24"/>
          <w:highlight w:val="none"/>
          <w:lang w:val="en-US" w:eastAsia="zh-CN"/>
        </w:rPr>
        <w:t>根据</w:t>
      </w:r>
      <w:r>
        <w:rPr>
          <w:color w:val="auto"/>
          <w:sz w:val="24"/>
          <w:highlight w:val="none"/>
        </w:rPr>
        <w:t>企业</w:t>
      </w:r>
      <w:r>
        <w:rPr>
          <w:rFonts w:hint="eastAsia"/>
          <w:color w:val="auto"/>
          <w:sz w:val="24"/>
          <w:highlight w:val="none"/>
          <w:lang w:val="en-US" w:eastAsia="zh-CN"/>
        </w:rPr>
        <w:t>实际生产情况</w:t>
      </w:r>
      <w:r>
        <w:rPr>
          <w:color w:val="auto"/>
          <w:sz w:val="24"/>
          <w:highlight w:val="none"/>
        </w:rPr>
        <w:t>，本项目主要金属镀种物料平衡情况如表</w:t>
      </w:r>
      <w:r>
        <w:rPr>
          <w:rFonts w:hint="eastAsia"/>
          <w:color w:val="auto"/>
          <w:sz w:val="24"/>
          <w:highlight w:val="none"/>
          <w:lang w:val="en-US" w:eastAsia="zh-CN"/>
        </w:rPr>
        <w:t>2.3</w:t>
      </w:r>
      <w:r>
        <w:rPr>
          <w:color w:val="auto"/>
          <w:sz w:val="24"/>
          <w:highlight w:val="none"/>
        </w:rPr>
        <w:t>-1～</w:t>
      </w:r>
      <w:r>
        <w:rPr>
          <w:rFonts w:hint="eastAsia"/>
          <w:color w:val="auto"/>
          <w:sz w:val="24"/>
          <w:highlight w:val="none"/>
          <w:lang w:val="en-US" w:eastAsia="zh-CN"/>
        </w:rPr>
        <w:t>2.3</w:t>
      </w:r>
      <w:r>
        <w:rPr>
          <w:color w:val="auto"/>
          <w:sz w:val="24"/>
          <w:highlight w:val="none"/>
        </w:rPr>
        <w:t>-6所示、图</w:t>
      </w:r>
      <w:r>
        <w:rPr>
          <w:rFonts w:hint="eastAsia"/>
          <w:color w:val="auto"/>
          <w:sz w:val="24"/>
          <w:highlight w:val="none"/>
          <w:lang w:val="en-US" w:eastAsia="zh-CN"/>
        </w:rPr>
        <w:t>2.3</w:t>
      </w:r>
      <w:r>
        <w:rPr>
          <w:color w:val="auto"/>
          <w:sz w:val="24"/>
          <w:highlight w:val="none"/>
        </w:rPr>
        <w:t>-1～</w:t>
      </w:r>
      <w:r>
        <w:rPr>
          <w:rFonts w:hint="eastAsia"/>
          <w:color w:val="auto"/>
          <w:sz w:val="24"/>
          <w:highlight w:val="none"/>
          <w:lang w:val="en-US" w:eastAsia="zh-CN"/>
        </w:rPr>
        <w:t>2.3</w:t>
      </w:r>
      <w:r>
        <w:rPr>
          <w:color w:val="auto"/>
          <w:sz w:val="24"/>
          <w:highlight w:val="none"/>
        </w:rPr>
        <w:t>-6所示。</w:t>
      </w:r>
    </w:p>
    <w:p>
      <w:pPr>
        <w:spacing w:line="440" w:lineRule="exact"/>
        <w:ind w:firstLine="480" w:firstLineChars="200"/>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进入镀件的量为：</w:t>
      </w:r>
    </w:p>
    <w:p>
      <w:pPr>
        <w:spacing w:line="440" w:lineRule="exact"/>
        <w:jc w:val="center"/>
        <w:rPr>
          <w:rFonts w:hint="default" w:ascii="Times New Roman" w:hAnsi="Times New Roman" w:cs="Times New Roman" w:eastAsiaTheme="minorEastAsia"/>
          <w:color w:val="auto"/>
          <w:sz w:val="24"/>
          <w:szCs w:val="24"/>
          <w:highlight w:val="none"/>
        </w:rPr>
      </w:pPr>
      <w:bookmarkStart w:id="72" w:name="_Toc278813105"/>
      <w:r>
        <w:rPr>
          <w:rFonts w:hint="default" w:ascii="Times New Roman" w:hAnsi="Times New Roman" w:cs="Times New Roman" w:eastAsiaTheme="minorEastAsia"/>
          <w:color w:val="auto"/>
          <w:sz w:val="24"/>
          <w:szCs w:val="24"/>
          <w:highlight w:val="none"/>
        </w:rPr>
        <w:t>G=ρ·S·D</w:t>
      </w:r>
      <w:bookmarkEnd w:id="72"/>
    </w:p>
    <w:p>
      <w:pPr>
        <w:spacing w:line="440" w:lineRule="exact"/>
        <w:ind w:firstLine="480" w:firstLineChars="200"/>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式中：G为进入镀件的量，kg/a；   ρ为镀层金属密度，g/cm</w:t>
      </w:r>
      <w:r>
        <w:rPr>
          <w:rFonts w:hint="default" w:ascii="Times New Roman" w:hAnsi="Times New Roman" w:cs="Times New Roman" w:eastAsiaTheme="minorEastAsia"/>
          <w:color w:val="auto"/>
          <w:sz w:val="24"/>
          <w:szCs w:val="24"/>
          <w:highlight w:val="none"/>
          <w:vertAlign w:val="superscript"/>
        </w:rPr>
        <w:t>3</w:t>
      </w:r>
      <w:r>
        <w:rPr>
          <w:rFonts w:hint="default" w:ascii="Times New Roman" w:hAnsi="Times New Roman" w:cs="Times New Roman" w:eastAsiaTheme="minorEastAsia"/>
          <w:color w:val="auto"/>
          <w:sz w:val="24"/>
          <w:szCs w:val="24"/>
          <w:highlight w:val="none"/>
        </w:rPr>
        <w:t>；</w:t>
      </w:r>
    </w:p>
    <w:p>
      <w:pPr>
        <w:spacing w:line="440" w:lineRule="exact"/>
        <w:ind w:firstLine="1200" w:firstLineChars="500"/>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S为镀层面积，m</w:t>
      </w:r>
      <w:r>
        <w:rPr>
          <w:rFonts w:hint="default" w:ascii="Times New Roman" w:hAnsi="Times New Roman" w:cs="Times New Roman" w:eastAsiaTheme="minorEastAsia"/>
          <w:color w:val="auto"/>
          <w:sz w:val="24"/>
          <w:szCs w:val="24"/>
          <w:highlight w:val="none"/>
          <w:vertAlign w:val="superscript"/>
        </w:rPr>
        <w:t>2</w:t>
      </w:r>
      <w:r>
        <w:rPr>
          <w:rFonts w:hint="default" w:ascii="Times New Roman" w:hAnsi="Times New Roman" w:cs="Times New Roman" w:eastAsiaTheme="minorEastAsia"/>
          <w:color w:val="auto"/>
          <w:sz w:val="24"/>
          <w:szCs w:val="24"/>
          <w:highlight w:val="none"/>
        </w:rPr>
        <w:t>/a；       D为镀层厚度，mm；</w:t>
      </w:r>
    </w:p>
    <w:p>
      <w:pPr>
        <w:spacing w:line="400" w:lineRule="exact"/>
        <w:ind w:firstLine="480"/>
        <w:rPr>
          <w:color w:val="auto"/>
          <w:sz w:val="24"/>
          <w:highlight w:val="none"/>
        </w:rPr>
      </w:pPr>
      <w:r>
        <w:rPr>
          <w:color w:val="auto"/>
          <w:sz w:val="24"/>
          <w:highlight w:val="none"/>
        </w:rPr>
        <w:t>1、锌平衡</w:t>
      </w:r>
    </w:p>
    <w:p>
      <w:pPr>
        <w:spacing w:line="400" w:lineRule="exact"/>
        <w:ind w:firstLine="480"/>
        <w:rPr>
          <w:color w:val="auto"/>
          <w:sz w:val="24"/>
          <w:highlight w:val="none"/>
        </w:rPr>
      </w:pPr>
      <w:r>
        <w:rPr>
          <w:color w:val="auto"/>
          <w:sz w:val="24"/>
          <w:highlight w:val="none"/>
        </w:rPr>
        <w:t>镀锌物料平衡情况见表</w:t>
      </w:r>
      <w:r>
        <w:rPr>
          <w:rFonts w:hint="eastAsia"/>
          <w:color w:val="auto"/>
          <w:sz w:val="24"/>
          <w:highlight w:val="none"/>
          <w:lang w:val="en-US" w:eastAsia="zh-CN"/>
        </w:rPr>
        <w:t>2.3</w:t>
      </w:r>
      <w:r>
        <w:rPr>
          <w:color w:val="auto"/>
          <w:sz w:val="24"/>
          <w:highlight w:val="none"/>
        </w:rPr>
        <w:t>-</w:t>
      </w:r>
      <w:r>
        <w:rPr>
          <w:color w:val="auto"/>
          <w:sz w:val="24"/>
          <w:highlight w:val="none"/>
        </w:rPr>
        <w:t>1。</w:t>
      </w:r>
    </w:p>
    <w:p>
      <w:pPr>
        <w:pStyle w:val="14"/>
        <w:keepNext w:val="0"/>
        <w:keepLines w:val="0"/>
        <w:pageBreakBefore w:val="0"/>
        <w:widowControl w:val="0"/>
        <w:kinsoku/>
        <w:wordWrap/>
        <w:overflowPunct/>
        <w:topLinePunct w:val="0"/>
        <w:autoSpaceDE/>
        <w:autoSpaceDN/>
        <w:bidi w:val="0"/>
        <w:adjustRightInd/>
        <w:snapToGrid w:val="0"/>
        <w:spacing w:after="0" w:line="240" w:lineRule="auto"/>
        <w:ind w:firstLine="0"/>
        <w:jc w:val="center"/>
        <w:textAlignment w:val="auto"/>
        <w:outlineLvl w:val="9"/>
        <w:rPr>
          <w:rFonts w:eastAsia="黑体"/>
          <w:color w:val="auto"/>
          <w:highlight w:val="none"/>
        </w:rPr>
      </w:pPr>
      <w:r>
        <w:rPr>
          <w:rFonts w:eastAsia="黑体"/>
          <w:color w:val="auto"/>
          <w:sz w:val="24"/>
          <w:szCs w:val="24"/>
          <w:highlight w:val="none"/>
        </w:rPr>
        <w:t>表</w:t>
      </w:r>
      <w:r>
        <w:rPr>
          <w:rFonts w:hint="eastAsia" w:eastAsia="黑体"/>
          <w:color w:val="auto"/>
          <w:sz w:val="24"/>
          <w:szCs w:val="24"/>
          <w:highlight w:val="none"/>
          <w:lang w:val="en-US" w:eastAsia="zh-CN"/>
        </w:rPr>
        <w:t>2.3</w:t>
      </w:r>
      <w:r>
        <w:rPr>
          <w:rFonts w:eastAsia="黑体"/>
          <w:color w:val="auto"/>
          <w:sz w:val="24"/>
          <w:szCs w:val="24"/>
          <w:highlight w:val="none"/>
        </w:rPr>
        <w:t>-1  锌平衡表</w:t>
      </w:r>
    </w:p>
    <w:tbl>
      <w:tblPr>
        <w:tblStyle w:val="36"/>
        <w:tblW w:w="8978" w:type="dxa"/>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3481"/>
        <w:gridCol w:w="1083"/>
        <w:gridCol w:w="2333"/>
        <w:gridCol w:w="1184"/>
        <w:gridCol w:w="897"/>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63" w:hRule="atLeast"/>
          <w:jc w:val="center"/>
        </w:trPr>
        <w:tc>
          <w:tcPr>
            <w:tcW w:w="4564" w:type="dxa"/>
            <w:gridSpan w:val="2"/>
            <w:tcBorders>
              <w:tl2br w:val="nil"/>
              <w:tr2bl w:val="nil"/>
            </w:tcBorders>
            <w:noWrap w:val="0"/>
            <w:vAlign w:val="center"/>
          </w:tcPr>
          <w:p>
            <w:pPr>
              <w:pStyle w:val="19"/>
              <w:spacing w:line="300" w:lineRule="exact"/>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输入kg/a</w:t>
            </w:r>
          </w:p>
        </w:tc>
        <w:tc>
          <w:tcPr>
            <w:tcW w:w="4414" w:type="dxa"/>
            <w:gridSpan w:val="3"/>
            <w:tcBorders>
              <w:tl2br w:val="nil"/>
              <w:tr2bl w:val="nil"/>
            </w:tcBorders>
            <w:noWrap w:val="0"/>
            <w:vAlign w:val="center"/>
          </w:tcPr>
          <w:p>
            <w:pPr>
              <w:pStyle w:val="19"/>
              <w:spacing w:line="300" w:lineRule="exact"/>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输出kg/a</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63" w:hRule="atLeast"/>
          <w:jc w:val="center"/>
        </w:trPr>
        <w:tc>
          <w:tcPr>
            <w:tcW w:w="3481" w:type="dxa"/>
            <w:tcBorders>
              <w:tl2br w:val="nil"/>
              <w:tr2bl w:val="nil"/>
            </w:tcBorders>
            <w:noWrap w:val="0"/>
            <w:vAlign w:val="center"/>
          </w:tcPr>
          <w:p>
            <w:pPr>
              <w:pStyle w:val="19"/>
              <w:spacing w:line="300" w:lineRule="exact"/>
              <w:ind w:left="210" w:leftChars="10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物料</w:t>
            </w:r>
          </w:p>
        </w:tc>
        <w:tc>
          <w:tcPr>
            <w:tcW w:w="1083" w:type="dxa"/>
            <w:tcBorders>
              <w:tl2br w:val="nil"/>
              <w:tr2bl w:val="nil"/>
            </w:tcBorders>
            <w:noWrap w:val="0"/>
            <w:vAlign w:val="center"/>
          </w:tcPr>
          <w:p>
            <w:pPr>
              <w:pStyle w:val="19"/>
              <w:spacing w:line="300" w:lineRule="exact"/>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折合成锌</w:t>
            </w:r>
          </w:p>
        </w:tc>
        <w:tc>
          <w:tcPr>
            <w:tcW w:w="2333" w:type="dxa"/>
            <w:tcBorders>
              <w:tl2br w:val="nil"/>
              <w:tr2bl w:val="nil"/>
            </w:tcBorders>
            <w:noWrap w:val="0"/>
            <w:vAlign w:val="center"/>
          </w:tcPr>
          <w:p>
            <w:pPr>
              <w:pStyle w:val="19"/>
              <w:spacing w:line="300" w:lineRule="exact"/>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产出物</w:t>
            </w:r>
          </w:p>
        </w:tc>
        <w:tc>
          <w:tcPr>
            <w:tcW w:w="1184" w:type="dxa"/>
            <w:tcBorders>
              <w:tl2br w:val="nil"/>
              <w:tr2bl w:val="nil"/>
            </w:tcBorders>
            <w:noWrap w:val="0"/>
            <w:vAlign w:val="center"/>
          </w:tcPr>
          <w:p>
            <w:pPr>
              <w:pStyle w:val="19"/>
              <w:spacing w:line="300" w:lineRule="exact"/>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折合成锌</w:t>
            </w:r>
          </w:p>
        </w:tc>
        <w:tc>
          <w:tcPr>
            <w:tcW w:w="897" w:type="dxa"/>
            <w:tcBorders>
              <w:tl2br w:val="nil"/>
              <w:tr2bl w:val="nil"/>
            </w:tcBorders>
            <w:noWrap w:val="0"/>
            <w:vAlign w:val="center"/>
          </w:tcPr>
          <w:p>
            <w:pPr>
              <w:pStyle w:val="19"/>
              <w:spacing w:line="300" w:lineRule="exact"/>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比例</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63" w:hRule="atLeast"/>
          <w:jc w:val="center"/>
        </w:trPr>
        <w:tc>
          <w:tcPr>
            <w:tcW w:w="3481" w:type="dxa"/>
            <w:tcBorders>
              <w:tl2br w:val="nil"/>
              <w:tr2bl w:val="nil"/>
            </w:tcBorders>
            <w:noWrap w:val="0"/>
            <w:vAlign w:val="center"/>
          </w:tcPr>
          <w:p>
            <w:pPr>
              <w:pStyle w:val="19"/>
              <w:spacing w:line="300" w:lineRule="exact"/>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氯化锌</w:t>
            </w:r>
            <w:r>
              <w:rPr>
                <w:rFonts w:hint="default" w:ascii="Times New Roman" w:hAnsi="Times New Roman" w:cs="Times New Roman"/>
                <w:color w:val="auto"/>
                <w:sz w:val="21"/>
                <w:szCs w:val="21"/>
                <w:highlight w:val="none"/>
                <w:lang w:val="en-US" w:eastAsia="zh-CN"/>
              </w:rPr>
              <w:t>4</w:t>
            </w:r>
            <w:r>
              <w:rPr>
                <w:rFonts w:hint="default" w:ascii="Times New Roman" w:hAnsi="Times New Roman" w:cs="Times New Roman"/>
                <w:color w:val="auto"/>
                <w:sz w:val="21"/>
                <w:szCs w:val="21"/>
                <w:highlight w:val="none"/>
              </w:rPr>
              <w:t>00</w:t>
            </w:r>
            <w:r>
              <w:rPr>
                <w:rFonts w:hint="default" w:ascii="Times New Roman" w:hAnsi="Times New Roman" w:cs="Times New Roman"/>
                <w:color w:val="auto"/>
                <w:sz w:val="21"/>
                <w:szCs w:val="21"/>
                <w:highlight w:val="none"/>
                <w:lang w:val="en-US" w:eastAsia="zh-CN"/>
              </w:rPr>
              <w:t xml:space="preserve">  </w:t>
            </w:r>
            <w:r>
              <w:rPr>
                <w:rFonts w:hint="default" w:ascii="Times New Roman" w:hAnsi="Times New Roman" w:cs="Times New Roman"/>
                <w:color w:val="auto"/>
                <w:sz w:val="21"/>
                <w:szCs w:val="21"/>
                <w:highlight w:val="none"/>
              </w:rPr>
              <w:t>ZnCl</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，98%</w:t>
            </w:r>
            <w:r>
              <w:rPr>
                <w:rFonts w:hint="default" w:ascii="Times New Roman" w:hAnsi="Times New Roman" w:cs="Times New Roman"/>
                <w:color w:val="auto"/>
                <w:sz w:val="21"/>
                <w:szCs w:val="21"/>
                <w:highlight w:val="none"/>
                <w:lang w:eastAsia="zh-CN"/>
              </w:rPr>
              <w:t>，锌47.8%</w:t>
            </w:r>
          </w:p>
        </w:tc>
        <w:tc>
          <w:tcPr>
            <w:tcW w:w="1083" w:type="dxa"/>
            <w:tcBorders>
              <w:tl2br w:val="nil"/>
              <w:tr2bl w:val="nil"/>
            </w:tcBorders>
            <w:noWrap w:val="0"/>
            <w:vAlign w:val="center"/>
          </w:tcPr>
          <w:p>
            <w:pPr>
              <w:pStyle w:val="19"/>
              <w:spacing w:line="30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187.4</w:t>
            </w:r>
          </w:p>
        </w:tc>
        <w:tc>
          <w:tcPr>
            <w:tcW w:w="2333" w:type="dxa"/>
            <w:tcBorders>
              <w:tl2br w:val="nil"/>
              <w:tr2bl w:val="nil"/>
            </w:tcBorders>
            <w:noWrap w:val="0"/>
            <w:vAlign w:val="center"/>
          </w:tcPr>
          <w:p>
            <w:pPr>
              <w:pStyle w:val="19"/>
              <w:spacing w:line="30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进入镀层</w:t>
            </w:r>
          </w:p>
        </w:tc>
        <w:tc>
          <w:tcPr>
            <w:tcW w:w="1184" w:type="dxa"/>
            <w:tcBorders>
              <w:tl2br w:val="nil"/>
              <w:tr2bl w:val="nil"/>
            </w:tcBorders>
            <w:noWrap w:val="0"/>
            <w:vAlign w:val="center"/>
          </w:tcPr>
          <w:p>
            <w:pPr>
              <w:pStyle w:val="19"/>
              <w:spacing w:line="30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29988</w:t>
            </w:r>
          </w:p>
        </w:tc>
        <w:tc>
          <w:tcPr>
            <w:tcW w:w="897" w:type="dxa"/>
            <w:tcBorders>
              <w:tl2br w:val="nil"/>
              <w:tr2bl w:val="nil"/>
            </w:tcBorders>
            <w:noWrap w:val="0"/>
            <w:vAlign w:val="center"/>
          </w:tcPr>
          <w:p>
            <w:pPr>
              <w:pStyle w:val="19"/>
              <w:spacing w:line="300" w:lineRule="exact"/>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81</w:t>
            </w:r>
            <w:r>
              <w:rPr>
                <w:rFonts w:hint="default" w:ascii="Times New Roman" w:hAnsi="Times New Roman" w:cs="Times New Roman"/>
                <w:b/>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63" w:hRule="atLeast"/>
          <w:jc w:val="center"/>
        </w:trPr>
        <w:tc>
          <w:tcPr>
            <w:tcW w:w="3481" w:type="dxa"/>
            <w:tcBorders>
              <w:tl2br w:val="nil"/>
              <w:tr2bl w:val="nil"/>
            </w:tcBorders>
            <w:noWrap w:val="0"/>
            <w:vAlign w:val="center"/>
          </w:tcPr>
          <w:p>
            <w:pPr>
              <w:pStyle w:val="19"/>
              <w:spacing w:line="300" w:lineRule="exact"/>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氧化锌</w:t>
            </w:r>
            <w:r>
              <w:rPr>
                <w:rFonts w:hint="eastAsia" w:ascii="Times New Roman" w:hAnsi="Times New Roman" w:cs="Times New Roman"/>
                <w:color w:val="auto"/>
                <w:sz w:val="21"/>
                <w:szCs w:val="21"/>
                <w:highlight w:val="none"/>
                <w:lang w:val="en-US" w:eastAsia="zh-CN"/>
              </w:rPr>
              <w:t>8</w:t>
            </w:r>
            <w:r>
              <w:rPr>
                <w:rFonts w:hint="default"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rPr>
              <w:t>00</w:t>
            </w:r>
            <w:r>
              <w:rPr>
                <w:rFonts w:hint="default" w:ascii="Times New Roman" w:hAnsi="Times New Roman" w:cs="Times New Roman"/>
                <w:color w:val="auto"/>
                <w:sz w:val="21"/>
                <w:szCs w:val="21"/>
                <w:highlight w:val="none"/>
                <w:lang w:val="en-US" w:eastAsia="zh-CN"/>
              </w:rPr>
              <w:t xml:space="preserve"> </w:t>
            </w:r>
            <w:r>
              <w:rPr>
                <w:rFonts w:hint="default" w:ascii="Times New Roman" w:hAnsi="Times New Roman" w:cs="Times New Roman"/>
                <w:color w:val="auto"/>
                <w:sz w:val="21"/>
                <w:szCs w:val="21"/>
                <w:highlight w:val="none"/>
                <w:shd w:val="clear" w:color="auto" w:fill="FFFFFF"/>
              </w:rPr>
              <w:t>ZnO</w:t>
            </w:r>
            <w:r>
              <w:rPr>
                <w:rFonts w:hint="default" w:ascii="Times New Roman" w:hAnsi="Times New Roman" w:cs="Times New Roman"/>
                <w:color w:val="auto"/>
                <w:sz w:val="21"/>
                <w:szCs w:val="21"/>
                <w:highlight w:val="none"/>
              </w:rPr>
              <w:t>，98%</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kern w:val="0"/>
                <w:sz w:val="21"/>
                <w:szCs w:val="21"/>
                <w:highlight w:val="none"/>
              </w:rPr>
              <w:t>锌80.2%</w:t>
            </w:r>
          </w:p>
        </w:tc>
        <w:tc>
          <w:tcPr>
            <w:tcW w:w="1083" w:type="dxa"/>
            <w:tcBorders>
              <w:tl2br w:val="nil"/>
              <w:tr2bl w:val="nil"/>
            </w:tcBorders>
            <w:noWrap w:val="0"/>
            <w:vAlign w:val="center"/>
          </w:tcPr>
          <w:p>
            <w:pPr>
              <w:pStyle w:val="19"/>
              <w:spacing w:line="30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6680.7</w:t>
            </w:r>
          </w:p>
        </w:tc>
        <w:tc>
          <w:tcPr>
            <w:tcW w:w="2333" w:type="dxa"/>
            <w:tcBorders>
              <w:tl2br w:val="nil"/>
              <w:tr2bl w:val="nil"/>
            </w:tcBorders>
            <w:noWrap w:val="0"/>
            <w:vAlign w:val="center"/>
          </w:tcPr>
          <w:p>
            <w:pPr>
              <w:pStyle w:val="19"/>
              <w:spacing w:line="300" w:lineRule="exact"/>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进入废渣</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过滤损失</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进入固废</w:t>
            </w:r>
            <w:r>
              <w:rPr>
                <w:rFonts w:hint="eastAsia" w:ascii="Times New Roman" w:hAnsi="Times New Roman" w:cs="Times New Roman"/>
                <w:color w:val="auto"/>
                <w:sz w:val="21"/>
                <w:szCs w:val="21"/>
                <w:highlight w:val="none"/>
                <w:lang w:eastAsia="zh-CN"/>
              </w:rPr>
              <w:t>)</w:t>
            </w:r>
          </w:p>
        </w:tc>
        <w:tc>
          <w:tcPr>
            <w:tcW w:w="1184" w:type="dxa"/>
            <w:tcBorders>
              <w:tl2br w:val="nil"/>
              <w:tr2bl w:val="nil"/>
            </w:tcBorders>
            <w:noWrap w:val="0"/>
            <w:vAlign w:val="center"/>
          </w:tcPr>
          <w:p>
            <w:pPr>
              <w:pStyle w:val="19"/>
              <w:spacing w:line="30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6699.1</w:t>
            </w:r>
          </w:p>
        </w:tc>
        <w:tc>
          <w:tcPr>
            <w:tcW w:w="897" w:type="dxa"/>
            <w:tcBorders>
              <w:tl2br w:val="nil"/>
              <w:tr2bl w:val="nil"/>
            </w:tcBorders>
            <w:noWrap w:val="0"/>
            <w:vAlign w:val="center"/>
          </w:tcPr>
          <w:p>
            <w:pPr>
              <w:pStyle w:val="19"/>
              <w:spacing w:line="300" w:lineRule="exact"/>
              <w:jc w:val="center"/>
              <w:rPr>
                <w:rFonts w:hint="default" w:ascii="Times New Roman" w:hAnsi="Times New Roman" w:cs="Times New Roman"/>
                <w:color w:val="auto"/>
                <w:sz w:val="21"/>
                <w:szCs w:val="21"/>
                <w:highlight w:val="none"/>
              </w:rPr>
            </w:pPr>
            <w:r>
              <w:rPr>
                <w:rFonts w:hint="eastAsia" w:ascii="Times New Roman" w:hAnsi="Times New Roman" w:cs="Times New Roman"/>
                <w:b w:val="0"/>
                <w:bCs/>
                <w:color w:val="auto"/>
                <w:sz w:val="21"/>
                <w:szCs w:val="21"/>
                <w:highlight w:val="none"/>
                <w:lang w:val="en-US" w:eastAsia="zh-CN"/>
              </w:rPr>
              <w:t>18</w:t>
            </w:r>
            <w:r>
              <w:rPr>
                <w:rFonts w:hint="default" w:ascii="Times New Roman" w:hAnsi="Times New Roman" w:cs="Times New Roman"/>
                <w:b w:val="0"/>
                <w:bCs/>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63" w:hRule="atLeast"/>
          <w:jc w:val="center"/>
        </w:trPr>
        <w:tc>
          <w:tcPr>
            <w:tcW w:w="3481" w:type="dxa"/>
            <w:tcBorders>
              <w:tl2br w:val="nil"/>
              <w:tr2bl w:val="nil"/>
            </w:tcBorders>
            <w:noWrap w:val="0"/>
            <w:vAlign w:val="center"/>
          </w:tcPr>
          <w:p>
            <w:pPr>
              <w:pStyle w:val="19"/>
              <w:spacing w:line="30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锌锭</w:t>
            </w:r>
            <w:r>
              <w:rPr>
                <w:rFonts w:hint="eastAsia" w:ascii="Times New Roman" w:hAnsi="Times New Roman" w:cs="Times New Roman"/>
                <w:color w:val="auto"/>
                <w:sz w:val="21"/>
                <w:szCs w:val="21"/>
                <w:highlight w:val="none"/>
                <w:lang w:val="en-US" w:eastAsia="zh-CN"/>
              </w:rPr>
              <w:t>30</w:t>
            </w:r>
            <w:r>
              <w:rPr>
                <w:rFonts w:hint="default" w:ascii="Times New Roman" w:hAnsi="Times New Roman" w:cs="Times New Roman"/>
                <w:color w:val="auto"/>
                <w:sz w:val="21"/>
                <w:szCs w:val="21"/>
                <w:highlight w:val="none"/>
              </w:rPr>
              <w:t>000</w:t>
            </w:r>
            <w:r>
              <w:rPr>
                <w:rFonts w:hint="default" w:ascii="Times New Roman" w:hAnsi="Times New Roman" w:cs="Times New Roman"/>
                <w:color w:val="auto"/>
                <w:sz w:val="21"/>
                <w:szCs w:val="21"/>
                <w:highlight w:val="none"/>
                <w:lang w:val="en-US" w:eastAsia="zh-CN"/>
              </w:rPr>
              <w:t xml:space="preserve"> </w:t>
            </w:r>
            <w:r>
              <w:rPr>
                <w:rFonts w:hint="default" w:ascii="Times New Roman" w:hAnsi="Times New Roman" w:cs="Times New Roman"/>
                <w:color w:val="auto"/>
                <w:sz w:val="21"/>
                <w:szCs w:val="21"/>
                <w:highlight w:val="none"/>
              </w:rPr>
              <w:t>(纯度&gt;99.99%)</w:t>
            </w:r>
          </w:p>
        </w:tc>
        <w:tc>
          <w:tcPr>
            <w:tcW w:w="1083" w:type="dxa"/>
            <w:tcBorders>
              <w:tl2br w:val="nil"/>
              <w:tr2bl w:val="nil"/>
            </w:tcBorders>
            <w:noWrap w:val="0"/>
            <w:vAlign w:val="center"/>
          </w:tcPr>
          <w:p>
            <w:pPr>
              <w:pStyle w:val="19"/>
              <w:spacing w:line="30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29997</w:t>
            </w:r>
          </w:p>
        </w:tc>
        <w:tc>
          <w:tcPr>
            <w:tcW w:w="2333" w:type="dxa"/>
            <w:tcBorders>
              <w:tl2br w:val="nil"/>
              <w:tr2bl w:val="nil"/>
            </w:tcBorders>
            <w:noWrap w:val="0"/>
            <w:vAlign w:val="center"/>
          </w:tcPr>
          <w:p>
            <w:pPr>
              <w:pStyle w:val="19"/>
              <w:spacing w:line="30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进入废水</w:t>
            </w:r>
          </w:p>
        </w:tc>
        <w:tc>
          <w:tcPr>
            <w:tcW w:w="1184" w:type="dxa"/>
            <w:tcBorders>
              <w:tl2br w:val="nil"/>
              <w:tr2bl w:val="nil"/>
            </w:tcBorders>
            <w:noWrap w:val="0"/>
            <w:vAlign w:val="center"/>
          </w:tcPr>
          <w:p>
            <w:pPr>
              <w:pStyle w:val="19"/>
              <w:spacing w:line="30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178</w:t>
            </w:r>
          </w:p>
        </w:tc>
        <w:tc>
          <w:tcPr>
            <w:tcW w:w="897" w:type="dxa"/>
            <w:tcBorders>
              <w:tl2br w:val="nil"/>
              <w:tr2bl w:val="nil"/>
            </w:tcBorders>
            <w:noWrap w:val="0"/>
            <w:vAlign w:val="center"/>
          </w:tcPr>
          <w:p>
            <w:pPr>
              <w:pStyle w:val="19"/>
              <w:spacing w:line="300" w:lineRule="exact"/>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1</w:t>
            </w:r>
            <w:r>
              <w:rPr>
                <w:rFonts w:hint="default" w:ascii="Times New Roman" w:hAnsi="Times New Roman" w:cs="Times New Roman"/>
                <w:b/>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63" w:hRule="atLeast"/>
          <w:jc w:val="center"/>
        </w:trPr>
        <w:tc>
          <w:tcPr>
            <w:tcW w:w="3481" w:type="dxa"/>
            <w:tcBorders>
              <w:tl2br w:val="nil"/>
              <w:tr2bl w:val="nil"/>
            </w:tcBorders>
            <w:noWrap w:val="0"/>
            <w:vAlign w:val="center"/>
          </w:tcPr>
          <w:p>
            <w:pPr>
              <w:pStyle w:val="19"/>
              <w:spacing w:line="300" w:lineRule="exact"/>
              <w:ind w:left="210" w:leftChars="10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合计</w:t>
            </w:r>
          </w:p>
        </w:tc>
        <w:tc>
          <w:tcPr>
            <w:tcW w:w="1083" w:type="dxa"/>
            <w:tcBorders>
              <w:tl2br w:val="nil"/>
              <w:tr2bl w:val="nil"/>
            </w:tcBorders>
            <w:noWrap w:val="0"/>
            <w:vAlign w:val="center"/>
          </w:tcPr>
          <w:p>
            <w:pPr>
              <w:pStyle w:val="19"/>
              <w:spacing w:line="30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36865.1</w:t>
            </w:r>
          </w:p>
        </w:tc>
        <w:tc>
          <w:tcPr>
            <w:tcW w:w="2333" w:type="dxa"/>
            <w:tcBorders>
              <w:tl2br w:val="nil"/>
              <w:tr2bl w:val="nil"/>
            </w:tcBorders>
            <w:noWrap w:val="0"/>
            <w:vAlign w:val="center"/>
          </w:tcPr>
          <w:p>
            <w:pPr>
              <w:pStyle w:val="19"/>
              <w:spacing w:line="30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合计</w:t>
            </w:r>
          </w:p>
        </w:tc>
        <w:tc>
          <w:tcPr>
            <w:tcW w:w="1184" w:type="dxa"/>
            <w:tcBorders>
              <w:tl2br w:val="nil"/>
              <w:tr2bl w:val="nil"/>
            </w:tcBorders>
            <w:noWrap w:val="0"/>
            <w:vAlign w:val="center"/>
          </w:tcPr>
          <w:p>
            <w:pPr>
              <w:pStyle w:val="19"/>
              <w:spacing w:line="30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36865.1</w:t>
            </w:r>
          </w:p>
        </w:tc>
        <w:tc>
          <w:tcPr>
            <w:tcW w:w="897" w:type="dxa"/>
            <w:tcBorders>
              <w:tl2br w:val="nil"/>
              <w:tr2bl w:val="nil"/>
            </w:tcBorders>
            <w:noWrap w:val="0"/>
            <w:vAlign w:val="center"/>
          </w:tcPr>
          <w:p>
            <w:pPr>
              <w:pStyle w:val="19"/>
              <w:spacing w:line="30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100</w:t>
            </w:r>
            <w:r>
              <w:rPr>
                <w:rFonts w:hint="default" w:ascii="Times New Roman" w:hAnsi="Times New Roman" w:cs="Times New Roman"/>
                <w:b/>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63" w:hRule="atLeast"/>
          <w:jc w:val="center"/>
        </w:trPr>
        <w:tc>
          <w:tcPr>
            <w:tcW w:w="8978" w:type="dxa"/>
            <w:gridSpan w:val="5"/>
            <w:tcBorders>
              <w:tl2br w:val="nil"/>
              <w:tr2bl w:val="nil"/>
            </w:tcBorders>
            <w:noWrap w:val="0"/>
            <w:vAlign w:val="center"/>
          </w:tcPr>
          <w:p>
            <w:pPr>
              <w:pStyle w:val="19"/>
              <w:spacing w:line="300" w:lineRule="exac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注：锌镀层密度7.14g/cm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。来源《电镀手册 第三版》。</w:t>
            </w:r>
          </w:p>
        </w:tc>
      </w:tr>
    </w:tbl>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eastAsia="宋体"/>
          <w:b/>
          <w:color w:val="auto"/>
          <w:sz w:val="24"/>
          <w:highlight w:val="none"/>
          <w:lang w:eastAsia="zh-CN"/>
        </w:rPr>
      </w:pPr>
      <w:r>
        <w:rPr>
          <w:color w:val="auto"/>
          <w:sz w:val="24"/>
          <w:highlight w:val="none"/>
        </w:rPr>
        <w:pict>
          <v:group id="_x0000_s2052" o:spid="_x0000_s2052" o:spt="203" style="height:212.75pt;width:441.05pt;" coordorigin="1418,2510" coordsize="8821,4255" editas="canvas">
            <o:lock v:ext="edit"/>
            <v:shape id="_x0000_s2054" o:spid="_x0000_s2054" o:spt="75" type="#_x0000_t75" style="position:absolute;left:1418;top:2510;height:4255;width:8821;" filled="f" stroked="f" coordsize="21600,21600">
              <v:path/>
              <v:fill on="f" focussize="0,0"/>
              <v:stroke on="f"/>
              <v:imagedata o:title=""/>
              <o:lock v:ext="edit" rotation="t" text="t" aspectratio="t"/>
            </v:shape>
            <v:rect id="_x0000_s2056" o:spid="_x0000_s2056" o:spt="1" style="position:absolute;left:4806;top:2644;height:955;width:1691;" fillcolor="#FFFFFF" filled="t" stroked="t" coordsize="21600,21600">
              <v:path/>
              <v:fill on="t" color2="#FFFFFF" focussize="0,0"/>
              <v:stroke color="#000000" joinstyle="miter"/>
              <v:imagedata o:title=""/>
              <o:lock v:ext="edit" aspectratio="f"/>
              <v:textbox>
                <w:txbxContent>
                  <w:p>
                    <w:pPr>
                      <w:rPr>
                        <w:rFonts w:hint="eastAsia"/>
                      </w:rPr>
                    </w:pPr>
                    <w:r>
                      <w:rPr>
                        <w:rFonts w:hint="eastAsia"/>
                      </w:rPr>
                      <w:t>氯化锌：</w:t>
                    </w:r>
                    <w:r>
                      <w:rPr>
                        <w:rFonts w:hint="eastAsia"/>
                        <w:lang w:val="en-US" w:eastAsia="zh-CN"/>
                      </w:rPr>
                      <w:t>4</w:t>
                    </w:r>
                    <w:r>
                      <w:rPr>
                        <w:rFonts w:hint="eastAsia"/>
                      </w:rPr>
                      <w:t>00</w:t>
                    </w:r>
                  </w:p>
                  <w:p>
                    <w:pPr>
                      <w:rPr>
                        <w:rFonts w:hint="eastAsia"/>
                        <w:lang w:val="en-US" w:eastAsia="zh-CN"/>
                      </w:rPr>
                    </w:pPr>
                    <w:r>
                      <w:rPr>
                        <w:rFonts w:hint="eastAsia"/>
                        <w:lang w:val="en-US" w:eastAsia="zh-CN"/>
                      </w:rPr>
                      <w:t>氧化锌：8500</w:t>
                    </w:r>
                  </w:p>
                  <w:p>
                    <w:r>
                      <w:rPr>
                        <w:rFonts w:hint="eastAsia"/>
                      </w:rPr>
                      <w:t>锌锭：</w:t>
                    </w:r>
                    <w:r>
                      <w:rPr>
                        <w:rFonts w:hint="eastAsia"/>
                        <w:lang w:val="en-US" w:eastAsia="zh-CN"/>
                      </w:rPr>
                      <w:t>30</w:t>
                    </w:r>
                    <w:r>
                      <w:rPr>
                        <w:rFonts w:hint="eastAsia"/>
                      </w:rPr>
                      <w:t>000</w:t>
                    </w:r>
                  </w:p>
                </w:txbxContent>
              </v:textbox>
            </v:rect>
            <v:shape id="_x0000_s2058" o:spid="_x0000_s2058" o:spt="32" type="#_x0000_t32" style="position:absolute;left:5652;top:3383;height:351;width:8;" filled="f" stroked="t" coordsize="21600,21600">
              <v:path arrowok="t"/>
              <v:fill on="f" focussize="0,0"/>
              <v:stroke color="#000000" endarrow="block"/>
              <v:imagedata o:title=""/>
              <o:lock v:ext="edit" aspectratio="f"/>
            </v:shape>
            <v:rect id="_x0000_s2060" o:spid="_x0000_s2060" o:spt="1" style="position:absolute;left:4807;top:3748;height:486;width:1933;" fillcolor="#FFFFFF" filled="t" stroked="t" coordsize="21600,21600">
              <v:path/>
              <v:fill on="t" color2="#FFFFFF" focussize="0,0"/>
              <v:stroke color="#000000" joinstyle="miter"/>
              <v:imagedata o:title=""/>
              <o:lock v:ext="edit" aspectratio="f"/>
              <v:textbox>
                <w:txbxContent>
                  <w:p>
                    <w:r>
                      <w:rPr>
                        <w:rFonts w:hint="eastAsia"/>
                      </w:rPr>
                      <w:t>折合锌：</w:t>
                    </w:r>
                    <w:r>
                      <w:rPr>
                        <w:rFonts w:hint="eastAsia"/>
                        <w:lang w:val="en-US" w:eastAsia="zh-CN"/>
                      </w:rPr>
                      <w:t>36865.1</w:t>
                    </w:r>
                  </w:p>
                </w:txbxContent>
              </v:textbox>
            </v:rect>
            <v:shape id="_x0000_s2061" o:spid="_x0000_s2061" o:spt="32" type="#_x0000_t32" style="position:absolute;left:5642;top:4234;height:672;width:1;" filled="f" stroked="t" coordsize="21600,21600">
              <v:path arrowok="t"/>
              <v:fill on="f" focussize="0,0"/>
              <v:stroke color="#000000" endarrow="block"/>
              <v:imagedata o:title=""/>
              <o:lock v:ext="edit" aspectratio="f"/>
            </v:shape>
            <v:shape id="_x0000_s2062" o:spid="_x0000_s2062" o:spt="32" type="#_x0000_t32" style="position:absolute;left:3214;top:4535;height:2;width:4689;" filled="f" stroked="t" coordsize="21600,21600">
              <v:path arrowok="t"/>
              <v:fill on="f" focussize="0,0"/>
              <v:stroke color="#000000"/>
              <v:imagedata o:title=""/>
              <o:lock v:ext="edit" aspectratio="f"/>
            </v:shape>
            <v:shape id="_x0000_s2063" o:spid="_x0000_s2063" o:spt="32" type="#_x0000_t32" style="position:absolute;left:3214;top:4555;height:351;width:8;" filled="f" stroked="t" coordsize="21600,21600">
              <v:path arrowok="t"/>
              <v:fill on="f" focussize="0,0"/>
              <v:stroke color="#000000" endarrow="block"/>
              <v:imagedata o:title=""/>
              <o:lock v:ext="edit" aspectratio="f"/>
            </v:shape>
            <v:shape id="_x0000_s2064" o:spid="_x0000_s2064" o:spt="32" type="#_x0000_t32" style="position:absolute;left:7895;top:4535;height:351;width:8;" filled="f" stroked="t" coordsize="21600,21600">
              <v:path arrowok="t"/>
              <v:fill on="f" focussize="0,0"/>
              <v:stroke color="#000000" endarrow="block"/>
              <v:imagedata o:title=""/>
              <o:lock v:ext="edit" aspectratio="f"/>
            </v:shape>
            <v:rect id="_x0000_s2065" o:spid="_x0000_s2065" o:spt="1" style="position:absolute;left:2049;top:4906;height:486;width:1975;" fillcolor="#FFFFFF" filled="t" stroked="t" coordsize="21600,21600">
              <v:path/>
              <v:fill on="t" color2="#FFFFFF" focussize="0,0"/>
              <v:stroke color="#000000" joinstyle="miter"/>
              <v:imagedata o:title=""/>
              <o:lock v:ext="edit" aspectratio="f"/>
              <v:textbox>
                <w:txbxContent>
                  <w:p>
                    <w:pPr>
                      <w:rPr>
                        <w:rFonts w:hint="default" w:eastAsia="宋体"/>
                        <w:lang w:val="en-US" w:eastAsia="zh-CN"/>
                      </w:rPr>
                    </w:pPr>
                    <w:r>
                      <w:rPr>
                        <w:rFonts w:hint="eastAsia"/>
                      </w:rPr>
                      <w:t>进入镀层：</w:t>
                    </w:r>
                    <w:r>
                      <w:rPr>
                        <w:rFonts w:hint="eastAsia"/>
                        <w:lang w:val="en-US" w:eastAsia="zh-CN"/>
                      </w:rPr>
                      <w:t>29988</w:t>
                    </w:r>
                  </w:p>
                </w:txbxContent>
              </v:textbox>
            </v:rect>
            <v:rect id="_x0000_s2066" o:spid="_x0000_s2066" o:spt="1" style="position:absolute;left:4806;top:4886;height:486;width:1690;" fillcolor="#FFFFFF" filled="t" stroked="t" coordsize="21600,21600">
              <v:path/>
              <v:fill on="t" color2="#FFFFFF" focussize="0,0"/>
              <v:stroke color="#000000" joinstyle="miter"/>
              <v:imagedata o:title=""/>
              <o:lock v:ext="edit" aspectratio="f"/>
              <v:textbox>
                <w:txbxContent>
                  <w:p>
                    <w:pPr>
                      <w:rPr>
                        <w:rFonts w:hint="default" w:eastAsia="宋体"/>
                        <w:lang w:val="en-US" w:eastAsia="zh-CN"/>
                      </w:rPr>
                    </w:pPr>
                    <w:r>
                      <w:rPr>
                        <w:rFonts w:hint="eastAsia"/>
                      </w:rPr>
                      <w:t>进入废水：</w:t>
                    </w:r>
                    <w:r>
                      <w:rPr>
                        <w:rFonts w:hint="eastAsia"/>
                        <w:lang w:val="en-US" w:eastAsia="zh-CN"/>
                      </w:rPr>
                      <w:t>178</w:t>
                    </w:r>
                  </w:p>
                </w:txbxContent>
              </v:textbox>
            </v:rect>
            <v:rect id="_x0000_s2067" o:spid="_x0000_s2067" o:spt="1" style="position:absolute;left:7190;top:4886;height:486;width:2455;" fillcolor="#FFFFFF" filled="t" stroked="t" coordsize="21600,21600">
              <v:path/>
              <v:fill on="t" color2="#FFFFFF" focussize="0,0"/>
              <v:stroke color="#000000" joinstyle="miter"/>
              <v:imagedata o:title=""/>
              <o:lock v:ext="edit" aspectratio="f"/>
              <v:textbox>
                <w:txbxContent>
                  <w:p>
                    <w:pPr>
                      <w:rPr>
                        <w:rFonts w:hint="default" w:eastAsia="宋体"/>
                        <w:lang w:val="en-US" w:eastAsia="zh-CN"/>
                      </w:rPr>
                    </w:pPr>
                    <w:r>
                      <w:rPr>
                        <w:rFonts w:hint="eastAsia"/>
                      </w:rPr>
                      <w:t>进入镀液/损失：</w:t>
                    </w:r>
                    <w:r>
                      <w:rPr>
                        <w:rFonts w:hint="eastAsia"/>
                        <w:lang w:val="en-US" w:eastAsia="zh-CN"/>
                      </w:rPr>
                      <w:t>6699.1</w:t>
                    </w:r>
                  </w:p>
                </w:txbxContent>
              </v:textbox>
            </v:rect>
            <v:shape id="_x0000_s2068" o:spid="_x0000_s2068" o:spt="32" type="#_x0000_t32" style="position:absolute;left:5643;top:5392;height:351;width:8;" filled="f" stroked="t" coordsize="21600,21600">
              <v:path arrowok="t"/>
              <v:fill on="f" focussize="0,0"/>
              <v:stroke color="#000000" endarrow="block"/>
              <v:imagedata o:title=""/>
              <o:lock v:ext="edit" aspectratio="f"/>
            </v:shape>
            <v:shape id="_x0000_s2069" o:spid="_x0000_s2069" o:spt="32" type="#_x0000_t32" style="position:absolute;left:4806;top:5741;height:2;width:1691;" filled="f" stroked="t" coordsize="21600,21600">
              <v:path arrowok="t"/>
              <v:fill on="f" focussize="0,0"/>
              <v:stroke color="#000000"/>
              <v:imagedata o:title=""/>
              <o:lock v:ext="edit" aspectratio="f"/>
            </v:shape>
            <v:shape id="_x0000_s2070" o:spid="_x0000_s2070" o:spt="32" type="#_x0000_t32" style="position:absolute;left:4806;top:5743;height:351;width:8;" filled="f" stroked="t" coordsize="21600,21600">
              <v:path arrowok="t"/>
              <v:fill on="f" focussize="0,0"/>
              <v:stroke color="#000000" endarrow="block"/>
              <v:imagedata o:title=""/>
              <o:lock v:ext="edit" aspectratio="f"/>
            </v:shape>
            <v:shape id="_x0000_s2071" o:spid="_x0000_s2071" o:spt="32" type="#_x0000_t32" style="position:absolute;left:6497;top:5743;height:351;width:8;" filled="f" stroked="t" coordsize="21600,21600">
              <v:path arrowok="t"/>
              <v:fill on="f" focussize="0,0"/>
              <v:stroke color="#000000" endarrow="block"/>
              <v:imagedata o:title=""/>
              <o:lock v:ext="edit" aspectratio="f"/>
            </v:shape>
            <v:rect id="_x0000_s2072" o:spid="_x0000_s2072" o:spt="1" style="position:absolute;left:3439;top:6094;height:486;width:1958;" fillcolor="#FFFFFF" filled="t" stroked="t" coordsize="21600,21600">
              <v:path/>
              <v:fill on="t" color2="#FFFFFF" focussize="0,0"/>
              <v:stroke color="#000000" joinstyle="miter"/>
              <v:imagedata o:title=""/>
              <o:lock v:ext="edit" aspectratio="f"/>
              <v:textbox>
                <w:txbxContent>
                  <w:p>
                    <w:pPr>
                      <w:rPr>
                        <w:rFonts w:hint="default" w:eastAsia="宋体"/>
                        <w:lang w:val="en-US" w:eastAsia="zh-CN"/>
                      </w:rPr>
                    </w:pPr>
                    <w:r>
                      <w:rPr>
                        <w:rFonts w:hint="eastAsia"/>
                      </w:rPr>
                      <w:t>污水站去除：</w:t>
                    </w:r>
                    <w:r>
                      <w:rPr>
                        <w:rFonts w:hint="eastAsia"/>
                        <w:lang w:val="en-US" w:eastAsia="zh-CN"/>
                      </w:rPr>
                      <w:t>175</w:t>
                    </w:r>
                  </w:p>
                </w:txbxContent>
              </v:textbox>
            </v:rect>
            <v:rect id="_x0000_s2073" o:spid="_x0000_s2073" o:spt="1" style="position:absolute;left:5883;top:6094;height:486;width:1274;" fillcolor="#FFFFFF" filled="t" stroked="t" coordsize="21600,21600">
              <v:path/>
              <v:fill on="t" color2="#FFFFFF" focussize="0,0"/>
              <v:stroke color="#000000" joinstyle="miter"/>
              <v:imagedata o:title=""/>
              <o:lock v:ext="edit" aspectratio="f"/>
              <v:textbox>
                <w:txbxContent>
                  <w:p>
                    <w:pPr>
                      <w:rPr>
                        <w:rFonts w:hint="default" w:eastAsia="宋体"/>
                        <w:lang w:val="en-US" w:eastAsia="zh-CN"/>
                      </w:rPr>
                    </w:pPr>
                    <w:r>
                      <w:rPr>
                        <w:rFonts w:hint="eastAsia"/>
                      </w:rPr>
                      <w:t>外排：</w:t>
                    </w:r>
                    <w:r>
                      <w:rPr>
                        <w:rFonts w:hint="eastAsia"/>
                        <w:lang w:val="en-US" w:eastAsia="zh-CN"/>
                      </w:rPr>
                      <w:t>3</w:t>
                    </w:r>
                  </w:p>
                </w:txbxContent>
              </v:textbox>
            </v:rect>
            <w10:wrap type="none"/>
            <w10:anchorlock/>
          </v:group>
        </w:pict>
      </w:r>
    </w:p>
    <w:p>
      <w:pPr>
        <w:spacing w:line="440" w:lineRule="exact"/>
        <w:ind w:firstLine="480"/>
        <w:jc w:val="center"/>
        <w:rPr>
          <w:rFonts w:eastAsia="黑体"/>
          <w:color w:val="auto"/>
          <w:sz w:val="24"/>
          <w:highlight w:val="none"/>
        </w:rPr>
      </w:pPr>
      <w:r>
        <w:rPr>
          <w:rFonts w:eastAsia="黑体"/>
          <w:color w:val="auto"/>
          <w:sz w:val="24"/>
          <w:highlight w:val="none"/>
        </w:rPr>
        <w:t>图</w:t>
      </w:r>
      <w:r>
        <w:rPr>
          <w:rFonts w:hint="eastAsia" w:eastAsia="黑体"/>
          <w:color w:val="auto"/>
          <w:sz w:val="24"/>
          <w:highlight w:val="none"/>
          <w:lang w:val="en-US" w:eastAsia="zh-CN"/>
        </w:rPr>
        <w:t>2.3</w:t>
      </w:r>
      <w:r>
        <w:rPr>
          <w:rFonts w:eastAsia="黑体"/>
          <w:color w:val="auto"/>
          <w:sz w:val="24"/>
          <w:highlight w:val="none"/>
        </w:rPr>
        <w:t xml:space="preserve">-1  锌平衡图    </w:t>
      </w:r>
      <w:r>
        <w:rPr>
          <w:color w:val="auto"/>
          <w:sz w:val="24"/>
          <w:highlight w:val="none"/>
        </w:rPr>
        <w:t>单位：kg/a</w:t>
      </w:r>
    </w:p>
    <w:p>
      <w:pPr>
        <w:spacing w:line="400" w:lineRule="exact"/>
        <w:ind w:firstLine="480"/>
        <w:rPr>
          <w:color w:val="auto"/>
          <w:sz w:val="24"/>
          <w:highlight w:val="none"/>
        </w:rPr>
      </w:pPr>
      <w:r>
        <w:rPr>
          <w:color w:val="auto"/>
          <w:sz w:val="24"/>
          <w:highlight w:val="none"/>
        </w:rPr>
        <w:t>2、铜平衡</w:t>
      </w:r>
    </w:p>
    <w:p>
      <w:pPr>
        <w:pStyle w:val="14"/>
        <w:keepNext w:val="0"/>
        <w:keepLines w:val="0"/>
        <w:pageBreakBefore w:val="0"/>
        <w:widowControl w:val="0"/>
        <w:kinsoku/>
        <w:wordWrap/>
        <w:overflowPunct/>
        <w:topLinePunct w:val="0"/>
        <w:autoSpaceDE/>
        <w:autoSpaceDN/>
        <w:bidi w:val="0"/>
        <w:adjustRightInd/>
        <w:snapToGrid w:val="0"/>
        <w:spacing w:after="0" w:line="240" w:lineRule="auto"/>
        <w:ind w:firstLine="0"/>
        <w:jc w:val="center"/>
        <w:textAlignment w:val="auto"/>
        <w:outlineLvl w:val="9"/>
        <w:rPr>
          <w:rFonts w:hint="eastAsia" w:eastAsia="黑体"/>
          <w:color w:val="auto"/>
          <w:sz w:val="24"/>
          <w:szCs w:val="24"/>
          <w:highlight w:val="none"/>
          <w:lang w:val="en-US" w:eastAsia="zh-CN"/>
        </w:rPr>
      </w:pPr>
      <w:r>
        <w:rPr>
          <w:rFonts w:hint="eastAsia" w:eastAsia="黑体"/>
          <w:color w:val="auto"/>
          <w:sz w:val="24"/>
          <w:szCs w:val="24"/>
          <w:highlight w:val="none"/>
          <w:lang w:val="en-US" w:eastAsia="zh-CN"/>
        </w:rPr>
        <w:t>表2.3-2  铜平衡表</w:t>
      </w:r>
    </w:p>
    <w:tbl>
      <w:tblPr>
        <w:tblStyle w:val="36"/>
        <w:tblW w:w="9286" w:type="dxa"/>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3179"/>
        <w:gridCol w:w="1316"/>
        <w:gridCol w:w="2134"/>
        <w:gridCol w:w="1158"/>
        <w:gridCol w:w="1499"/>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4495" w:type="dxa"/>
            <w:gridSpan w:val="2"/>
            <w:noWrap w:val="0"/>
            <w:vAlign w:val="center"/>
          </w:tcPr>
          <w:p>
            <w:pPr>
              <w:pStyle w:val="19"/>
              <w:spacing w:line="300" w:lineRule="exact"/>
              <w:ind w:firstLine="482"/>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输入kg/a</w:t>
            </w:r>
          </w:p>
        </w:tc>
        <w:tc>
          <w:tcPr>
            <w:tcW w:w="4791" w:type="dxa"/>
            <w:gridSpan w:val="3"/>
            <w:noWrap w:val="0"/>
            <w:vAlign w:val="center"/>
          </w:tcPr>
          <w:p>
            <w:pPr>
              <w:pStyle w:val="19"/>
              <w:spacing w:line="300" w:lineRule="exact"/>
              <w:ind w:firstLine="482"/>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输出kg/a</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3179" w:type="dxa"/>
            <w:noWrap w:val="0"/>
            <w:vAlign w:val="center"/>
          </w:tcPr>
          <w:p>
            <w:pPr>
              <w:pStyle w:val="19"/>
              <w:spacing w:line="300" w:lineRule="exact"/>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物料</w:t>
            </w:r>
          </w:p>
        </w:tc>
        <w:tc>
          <w:tcPr>
            <w:tcW w:w="1316" w:type="dxa"/>
            <w:noWrap w:val="0"/>
            <w:vAlign w:val="center"/>
          </w:tcPr>
          <w:p>
            <w:pPr>
              <w:pStyle w:val="19"/>
              <w:spacing w:line="300" w:lineRule="exact"/>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折合成铜</w:t>
            </w:r>
          </w:p>
        </w:tc>
        <w:tc>
          <w:tcPr>
            <w:tcW w:w="2134" w:type="dxa"/>
            <w:noWrap w:val="0"/>
            <w:vAlign w:val="center"/>
          </w:tcPr>
          <w:p>
            <w:pPr>
              <w:pStyle w:val="19"/>
              <w:spacing w:line="300" w:lineRule="exact"/>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产出物</w:t>
            </w:r>
          </w:p>
        </w:tc>
        <w:tc>
          <w:tcPr>
            <w:tcW w:w="1158" w:type="dxa"/>
            <w:noWrap w:val="0"/>
            <w:vAlign w:val="center"/>
          </w:tcPr>
          <w:p>
            <w:pPr>
              <w:pStyle w:val="19"/>
              <w:spacing w:line="300" w:lineRule="exact"/>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折合成铜</w:t>
            </w:r>
          </w:p>
        </w:tc>
        <w:tc>
          <w:tcPr>
            <w:tcW w:w="1499" w:type="dxa"/>
            <w:noWrap w:val="0"/>
            <w:vAlign w:val="center"/>
          </w:tcPr>
          <w:p>
            <w:pPr>
              <w:pStyle w:val="19"/>
              <w:spacing w:line="300" w:lineRule="exact"/>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比例</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3179" w:type="dxa"/>
            <w:noWrap w:val="0"/>
            <w:vAlign w:val="center"/>
          </w:tcPr>
          <w:p>
            <w:pPr>
              <w:pStyle w:val="19"/>
              <w:spacing w:line="30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铜丸200，纯度99.9%</w:t>
            </w:r>
          </w:p>
        </w:tc>
        <w:tc>
          <w:tcPr>
            <w:tcW w:w="1316" w:type="dxa"/>
            <w:noWrap w:val="0"/>
            <w:vAlign w:val="center"/>
          </w:tcPr>
          <w:p>
            <w:pPr>
              <w:pStyle w:val="19"/>
              <w:spacing w:line="30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199</w: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8</w:t>
            </w:r>
          </w:p>
        </w:tc>
        <w:tc>
          <w:tcPr>
            <w:tcW w:w="2134" w:type="dxa"/>
            <w:noWrap w:val="0"/>
            <w:vAlign w:val="center"/>
          </w:tcPr>
          <w:p>
            <w:pPr>
              <w:pStyle w:val="19"/>
              <w:spacing w:line="30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进入铜镀层</w:t>
            </w:r>
          </w:p>
        </w:tc>
        <w:tc>
          <w:tcPr>
            <w:tcW w:w="1158" w:type="dxa"/>
            <w:noWrap w:val="0"/>
            <w:vAlign w:val="center"/>
          </w:tcPr>
          <w:p>
            <w:pPr>
              <w:spacing w:line="30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1</w:t>
            </w:r>
            <w:r>
              <w:rPr>
                <w:rFonts w:hint="eastAsia" w:ascii="Times New Roman" w:hAnsi="Times New Roman" w:cs="Times New Roman"/>
                <w:color w:val="auto"/>
                <w:sz w:val="21"/>
                <w:szCs w:val="21"/>
                <w:highlight w:val="none"/>
                <w:lang w:val="en-US" w:eastAsia="zh-CN"/>
              </w:rPr>
              <w:t>2</w:t>
            </w:r>
            <w:r>
              <w:rPr>
                <w:rFonts w:hint="eastAsia" w:cs="Times New Roman"/>
                <w:color w:val="auto"/>
                <w:sz w:val="21"/>
                <w:szCs w:val="21"/>
                <w:highlight w:val="none"/>
                <w:lang w:val="en-US" w:eastAsia="zh-CN"/>
              </w:rPr>
              <w:t>01.5</w:t>
            </w:r>
          </w:p>
        </w:tc>
        <w:tc>
          <w:tcPr>
            <w:tcW w:w="1499" w:type="dxa"/>
            <w:noWrap w:val="0"/>
            <w:vAlign w:val="center"/>
          </w:tcPr>
          <w:p>
            <w:pPr>
              <w:pStyle w:val="19"/>
              <w:spacing w:line="30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w:t>
            </w:r>
            <w:r>
              <w:rPr>
                <w:rFonts w:hint="eastAsia"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3179" w:type="dxa"/>
            <w:noWrap w:val="0"/>
            <w:vAlign w:val="center"/>
          </w:tcPr>
          <w:p>
            <w:pPr>
              <w:spacing w:line="30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硫酸铜</w:t>
            </w:r>
            <w:r>
              <w:rPr>
                <w:rFonts w:hint="default" w:ascii="Times New Roman" w:hAnsi="Times New Roman" w:cs="Times New Roman"/>
                <w:color w:val="auto"/>
                <w:sz w:val="21"/>
                <w:szCs w:val="21"/>
                <w:highlight w:val="none"/>
                <w:lang w:val="en-US" w:eastAsia="zh-CN"/>
              </w:rPr>
              <w:t>50</w:t>
            </w:r>
            <w:r>
              <w:rPr>
                <w:rFonts w:hint="default" w:ascii="Times New Roman" w:hAnsi="Times New Roman" w:cs="Times New Roman"/>
                <w:color w:val="auto"/>
                <w:sz w:val="21"/>
                <w:szCs w:val="21"/>
                <w:highlight w:val="none"/>
              </w:rPr>
              <w:t>00，铜25.45%</w:t>
            </w:r>
          </w:p>
        </w:tc>
        <w:tc>
          <w:tcPr>
            <w:tcW w:w="1316" w:type="dxa"/>
            <w:noWrap w:val="0"/>
            <w:vAlign w:val="center"/>
          </w:tcPr>
          <w:p>
            <w:pPr>
              <w:pStyle w:val="19"/>
              <w:spacing w:line="300" w:lineRule="exact"/>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1272.5</w:t>
            </w:r>
          </w:p>
        </w:tc>
        <w:tc>
          <w:tcPr>
            <w:tcW w:w="2134" w:type="dxa"/>
            <w:noWrap w:val="0"/>
            <w:vAlign w:val="center"/>
          </w:tcPr>
          <w:p>
            <w:pPr>
              <w:pStyle w:val="19"/>
              <w:spacing w:line="30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进入废渣</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过滤损失</w:t>
            </w:r>
          </w:p>
          <w:p>
            <w:pPr>
              <w:pStyle w:val="19"/>
              <w:spacing w:line="300" w:lineRule="exact"/>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进入固废</w:t>
            </w:r>
            <w:r>
              <w:rPr>
                <w:rFonts w:hint="eastAsia" w:ascii="Times New Roman" w:hAnsi="Times New Roman" w:cs="Times New Roman"/>
                <w:color w:val="auto"/>
                <w:sz w:val="21"/>
                <w:szCs w:val="21"/>
                <w:highlight w:val="none"/>
                <w:lang w:eastAsia="zh-CN"/>
              </w:rPr>
              <w:t>)</w:t>
            </w:r>
          </w:p>
        </w:tc>
        <w:tc>
          <w:tcPr>
            <w:tcW w:w="1158" w:type="dxa"/>
            <w:noWrap w:val="0"/>
            <w:vAlign w:val="center"/>
          </w:tcPr>
          <w:p>
            <w:pPr>
              <w:pStyle w:val="19"/>
              <w:spacing w:line="30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153.8</w:t>
            </w:r>
          </w:p>
        </w:tc>
        <w:tc>
          <w:tcPr>
            <w:tcW w:w="1499" w:type="dxa"/>
            <w:noWrap w:val="0"/>
            <w:vAlign w:val="center"/>
          </w:tcPr>
          <w:p>
            <w:pPr>
              <w:pStyle w:val="19"/>
              <w:spacing w:line="300" w:lineRule="exact"/>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10</w:t>
            </w:r>
            <w:r>
              <w:rPr>
                <w:rFonts w:hint="default" w:ascii="Times New Roman" w:hAnsi="Times New Roman" w:cs="Times New Roman"/>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PrEx>
        <w:trPr>
          <w:trHeight w:val="340" w:hRule="atLeast"/>
          <w:jc w:val="center"/>
        </w:trPr>
        <w:tc>
          <w:tcPr>
            <w:tcW w:w="3179" w:type="dxa"/>
            <w:noWrap w:val="0"/>
            <w:vAlign w:val="center"/>
          </w:tcPr>
          <w:p>
            <w:pPr>
              <w:spacing w:line="300" w:lineRule="exact"/>
              <w:jc w:val="center"/>
              <w:rPr>
                <w:rFonts w:hint="default" w:ascii="Times New Roman" w:hAnsi="Times New Roman" w:cs="Times New Roman"/>
                <w:color w:val="auto"/>
                <w:sz w:val="21"/>
                <w:szCs w:val="21"/>
                <w:highlight w:val="none"/>
              </w:rPr>
            </w:pPr>
          </w:p>
        </w:tc>
        <w:tc>
          <w:tcPr>
            <w:tcW w:w="1316" w:type="dxa"/>
            <w:noWrap w:val="0"/>
            <w:vAlign w:val="center"/>
          </w:tcPr>
          <w:p>
            <w:pPr>
              <w:pStyle w:val="19"/>
              <w:spacing w:line="300" w:lineRule="exact"/>
              <w:jc w:val="both"/>
              <w:rPr>
                <w:rFonts w:hint="default" w:ascii="Times New Roman" w:hAnsi="Times New Roman" w:cs="Times New Roman"/>
                <w:color w:val="auto"/>
                <w:sz w:val="21"/>
                <w:szCs w:val="21"/>
                <w:highlight w:val="none"/>
              </w:rPr>
            </w:pPr>
          </w:p>
        </w:tc>
        <w:tc>
          <w:tcPr>
            <w:tcW w:w="2134" w:type="dxa"/>
            <w:noWrap w:val="0"/>
            <w:vAlign w:val="center"/>
          </w:tcPr>
          <w:p>
            <w:pPr>
              <w:pStyle w:val="19"/>
              <w:spacing w:line="30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带出液进入废水</w:t>
            </w:r>
          </w:p>
        </w:tc>
        <w:tc>
          <w:tcPr>
            <w:tcW w:w="1158" w:type="dxa"/>
            <w:noWrap w:val="0"/>
            <w:vAlign w:val="center"/>
          </w:tcPr>
          <w:p>
            <w:pPr>
              <w:pStyle w:val="19"/>
              <w:spacing w:line="30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117</w:t>
            </w:r>
          </w:p>
        </w:tc>
        <w:tc>
          <w:tcPr>
            <w:tcW w:w="1499" w:type="dxa"/>
            <w:noWrap w:val="0"/>
            <w:vAlign w:val="center"/>
          </w:tcPr>
          <w:p>
            <w:pPr>
              <w:pStyle w:val="19"/>
              <w:spacing w:line="300" w:lineRule="exact"/>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8</w:t>
            </w:r>
            <w:r>
              <w:rPr>
                <w:rFonts w:hint="default" w:ascii="Times New Roman" w:hAnsi="Times New Roman" w:cs="Times New Roman"/>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PrEx>
        <w:trPr>
          <w:trHeight w:val="340" w:hRule="atLeast"/>
          <w:jc w:val="center"/>
        </w:trPr>
        <w:tc>
          <w:tcPr>
            <w:tcW w:w="3179" w:type="dxa"/>
            <w:noWrap w:val="0"/>
            <w:vAlign w:val="center"/>
          </w:tcPr>
          <w:p>
            <w:pPr>
              <w:pStyle w:val="19"/>
              <w:spacing w:line="300" w:lineRule="exact"/>
              <w:ind w:firstLine="48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合计</w:t>
            </w:r>
          </w:p>
        </w:tc>
        <w:tc>
          <w:tcPr>
            <w:tcW w:w="1316" w:type="dxa"/>
            <w:noWrap w:val="0"/>
            <w:vAlign w:val="center"/>
          </w:tcPr>
          <w:p>
            <w:pPr>
              <w:spacing w:line="300" w:lineRule="exact"/>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1472.3</w:t>
            </w:r>
          </w:p>
        </w:tc>
        <w:tc>
          <w:tcPr>
            <w:tcW w:w="2134" w:type="dxa"/>
            <w:noWrap w:val="0"/>
            <w:vAlign w:val="center"/>
          </w:tcPr>
          <w:p>
            <w:pPr>
              <w:pStyle w:val="19"/>
              <w:spacing w:line="30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合计</w:t>
            </w:r>
          </w:p>
        </w:tc>
        <w:tc>
          <w:tcPr>
            <w:tcW w:w="1158" w:type="dxa"/>
            <w:noWrap w:val="0"/>
            <w:vAlign w:val="center"/>
          </w:tcPr>
          <w:p>
            <w:pPr>
              <w:pStyle w:val="19"/>
              <w:spacing w:line="300" w:lineRule="exact"/>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1472.3</w:t>
            </w:r>
          </w:p>
        </w:tc>
        <w:tc>
          <w:tcPr>
            <w:tcW w:w="1499" w:type="dxa"/>
            <w:noWrap w:val="0"/>
            <w:vAlign w:val="center"/>
          </w:tcPr>
          <w:p>
            <w:pPr>
              <w:pStyle w:val="19"/>
              <w:spacing w:line="30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9286" w:type="dxa"/>
            <w:gridSpan w:val="5"/>
            <w:noWrap w:val="0"/>
            <w:vAlign w:val="center"/>
          </w:tcPr>
          <w:p>
            <w:pPr>
              <w:pStyle w:val="19"/>
              <w:spacing w:line="300" w:lineRule="exact"/>
              <w:rPr>
                <w:rFonts w:hint="default" w:ascii="Times New Roman" w:hAnsi="Times New Roman" w:cs="Times New Roman"/>
                <w:color w:val="auto"/>
                <w:sz w:val="21"/>
                <w:szCs w:val="21"/>
                <w:highlight w:val="none"/>
              </w:rPr>
            </w:pPr>
            <w:r>
              <w:rPr>
                <w:rFonts w:hint="default" w:ascii="Times New Roman" w:hAnsi="Times New Roman" w:cs="Times New Roman"/>
                <w:color w:val="auto"/>
                <w:sz w:val="18"/>
                <w:szCs w:val="18"/>
                <w:highlight w:val="none"/>
              </w:rPr>
              <w:t>备注:铜镀层密度8.9g/cm</w:t>
            </w:r>
            <w:r>
              <w:rPr>
                <w:rFonts w:hint="default" w:ascii="Times New Roman" w:hAnsi="Times New Roman" w:cs="Times New Roman"/>
                <w:color w:val="auto"/>
                <w:sz w:val="18"/>
                <w:szCs w:val="18"/>
                <w:highlight w:val="none"/>
                <w:vertAlign w:val="superscript"/>
              </w:rPr>
              <w:t>3</w:t>
            </w:r>
            <w:r>
              <w:rPr>
                <w:rFonts w:hint="default" w:ascii="Times New Roman" w:hAnsi="Times New Roman" w:cs="Times New Roman"/>
                <w:color w:val="auto"/>
                <w:sz w:val="18"/>
                <w:szCs w:val="18"/>
                <w:highlight w:val="none"/>
              </w:rPr>
              <w:t>。来源《电镀手册 第三版》</w:t>
            </w:r>
          </w:p>
        </w:tc>
      </w:tr>
    </w:tbl>
    <w:p>
      <w:pPr>
        <w:keepNext w:val="0"/>
        <w:keepLines w:val="0"/>
        <w:pageBreakBefore w:val="0"/>
        <w:widowControl w:val="0"/>
        <w:kinsoku/>
        <w:wordWrap/>
        <w:overflowPunct/>
        <w:topLinePunct w:val="0"/>
        <w:autoSpaceDE/>
        <w:autoSpaceDN/>
        <w:bidi w:val="0"/>
        <w:adjustRightInd/>
        <w:snapToGrid w:val="0"/>
        <w:spacing w:line="240" w:lineRule="auto"/>
        <w:textAlignment w:val="auto"/>
        <w:outlineLvl w:val="9"/>
        <w:rPr>
          <w:b/>
          <w:color w:val="auto"/>
          <w:sz w:val="24"/>
          <w:highlight w:val="none"/>
        </w:rPr>
      </w:pPr>
      <w:r>
        <w:rPr>
          <w:color w:val="auto"/>
          <w:sz w:val="24"/>
          <w:highlight w:val="none"/>
        </w:rPr>
        <w:pict>
          <v:group id="_x0000_s2074" o:spid="_x0000_s2074" o:spt="203" style="height:212.75pt;width:470.2pt;" coordorigin="1418,2510" coordsize="9404,4255" editas="canvas">
            <o:lock v:ext="edit"/>
            <v:shape id="_x0000_s2075" o:spid="_x0000_s2075" o:spt="75" type="#_x0000_t75" style="position:absolute;left:1418;top:2510;height:4255;width:9404;" filled="f" o:preferrelative="f" stroked="f" coordsize="21600,21600">
              <v:path/>
              <v:fill on="f" focussize="0,0"/>
              <v:stroke on="f"/>
              <v:imagedata o:title=""/>
              <o:lock v:ext="edit" rotation="t" text="t" aspectratio="t"/>
            </v:shape>
            <v:rect id="_x0000_s2076" o:spid="_x0000_s2076" o:spt="1" style="position:absolute;left:4806;top:2644;height:739;width:1691;" coordsize="21600,21600">
              <v:path/>
              <v:fill focussize="0,0"/>
              <v:stroke/>
              <v:imagedata o:title=""/>
              <o:lock v:ext="edit"/>
              <v:textbox>
                <w:txbxContent>
                  <w:p>
                    <w:pPr>
                      <w:jc w:val="center"/>
                      <w:rPr>
                        <w:rFonts w:hint="eastAsia"/>
                        <w:sz w:val="21"/>
                        <w:szCs w:val="21"/>
                      </w:rPr>
                    </w:pPr>
                    <w:r>
                      <w:rPr>
                        <w:sz w:val="21"/>
                        <w:szCs w:val="21"/>
                      </w:rPr>
                      <w:t>铜</w:t>
                    </w:r>
                    <w:r>
                      <w:rPr>
                        <w:rFonts w:hint="eastAsia"/>
                        <w:sz w:val="21"/>
                        <w:szCs w:val="21"/>
                        <w:lang w:val="en-US" w:eastAsia="zh-CN"/>
                      </w:rPr>
                      <w:t>丸200</w:t>
                    </w:r>
                    <w:r>
                      <w:rPr>
                        <w:rFonts w:hint="eastAsia"/>
                        <w:sz w:val="21"/>
                        <w:szCs w:val="21"/>
                      </w:rPr>
                      <w:t>、</w:t>
                    </w:r>
                  </w:p>
                  <w:p>
                    <w:pPr>
                      <w:jc w:val="center"/>
                      <w:rPr>
                        <w:rFonts w:hint="eastAsia" w:eastAsia="宋体"/>
                        <w:sz w:val="21"/>
                        <w:szCs w:val="21"/>
                        <w:lang w:val="en-US" w:eastAsia="zh-CN"/>
                      </w:rPr>
                    </w:pPr>
                    <w:r>
                      <w:rPr>
                        <w:sz w:val="21"/>
                        <w:szCs w:val="21"/>
                      </w:rPr>
                      <w:t>硫酸铜</w:t>
                    </w:r>
                    <w:r>
                      <w:rPr>
                        <w:rFonts w:hint="eastAsia"/>
                        <w:sz w:val="21"/>
                        <w:szCs w:val="21"/>
                        <w:lang w:val="en-US" w:eastAsia="zh-CN"/>
                      </w:rPr>
                      <w:t>5000</w:t>
                    </w:r>
                  </w:p>
                </w:txbxContent>
              </v:textbox>
            </v:rect>
            <v:shape id="_x0000_s2077" o:spid="_x0000_s2077" o:spt="32" type="#_x0000_t32" style="position:absolute;left:5652;top:3383;height:351;width:8;" o:connectortype="straight" filled="f" coordsize="21600,21600">
              <v:path arrowok="t"/>
              <v:fill on="f" focussize="0,0"/>
              <v:stroke endarrow="block"/>
              <v:imagedata o:title=""/>
              <o:lock v:ext="edit"/>
            </v:shape>
            <v:rect id="_x0000_s2079" o:spid="_x0000_s2079" o:spt="1" style="position:absolute;left:4807;top:3748;height:486;width:1933;" coordsize="21600,21600">
              <v:path/>
              <v:fill focussize="0,0"/>
              <v:stroke/>
              <v:imagedata o:title=""/>
              <o:lock v:ext="edit"/>
              <v:textbox>
                <w:txbxContent>
                  <w:p>
                    <w:pPr>
                      <w:rPr>
                        <w:rFonts w:hint="eastAsia" w:eastAsia="宋体"/>
                        <w:lang w:val="en-US" w:eastAsia="zh-CN"/>
                      </w:rPr>
                    </w:pPr>
                    <w:r>
                      <w:rPr>
                        <w:rFonts w:hint="eastAsia"/>
                      </w:rPr>
                      <w:t>折合</w:t>
                    </w:r>
                    <w:r>
                      <w:rPr>
                        <w:rFonts w:hint="eastAsia"/>
                        <w:lang w:val="en-US" w:eastAsia="zh-CN"/>
                      </w:rPr>
                      <w:t>铜</w:t>
                    </w:r>
                    <w:r>
                      <w:rPr>
                        <w:rFonts w:hint="eastAsia"/>
                      </w:rPr>
                      <w:t>：</w:t>
                    </w:r>
                    <w:r>
                      <w:rPr>
                        <w:rFonts w:hint="eastAsia"/>
                        <w:lang w:val="en-US" w:eastAsia="zh-CN"/>
                      </w:rPr>
                      <w:t>1472.3</w:t>
                    </w:r>
                  </w:p>
                </w:txbxContent>
              </v:textbox>
            </v:rect>
            <v:shape id="_x0000_s2080" o:spid="_x0000_s2080" o:spt="32" type="#_x0000_t32" style="position:absolute;left:5642;top:4234;height:672;width:1;" o:connectortype="straight" filled="f" coordsize="21600,21600">
              <v:path arrowok="t"/>
              <v:fill on="f" focussize="0,0"/>
              <v:stroke endarrow="block"/>
              <v:imagedata o:title=""/>
              <o:lock v:ext="edit"/>
            </v:shape>
            <v:shape id="_x0000_s2081" o:spid="_x0000_s2081" o:spt="32" type="#_x0000_t32" style="position:absolute;left:3214;top:4535;height:2;width:4689;" o:connectortype="straight" filled="f" coordsize="21600,21600">
              <v:path arrowok="t"/>
              <v:fill on="f" focussize="0,0"/>
              <v:stroke/>
              <v:imagedata o:title=""/>
              <o:lock v:ext="edit"/>
            </v:shape>
            <v:shape id="_x0000_s2082" o:spid="_x0000_s2082" o:spt="32" type="#_x0000_t32" style="position:absolute;left:3214;top:4555;height:351;width:8;" o:connectortype="straight" filled="f" coordsize="21600,21600">
              <v:path arrowok="t"/>
              <v:fill on="f" focussize="0,0"/>
              <v:stroke endarrow="block"/>
              <v:imagedata o:title=""/>
              <o:lock v:ext="edit"/>
            </v:shape>
            <v:shape id="_x0000_s2083" o:spid="_x0000_s2083" o:spt="32" type="#_x0000_t32" style="position:absolute;left:7895;top:4535;height:351;width:8;" o:connectortype="straight" filled="f" coordsize="21600,21600">
              <v:path arrowok="t"/>
              <v:fill on="f" focussize="0,0"/>
              <v:stroke endarrow="block"/>
              <v:imagedata o:title=""/>
              <o:lock v:ext="edit"/>
            </v:shape>
            <v:rect id="_x0000_s2084" o:spid="_x0000_s2084" o:spt="1" style="position:absolute;left:2049;top:4906;height:486;width:1975;" coordsize="21600,21600">
              <v:path/>
              <v:fill focussize="0,0"/>
              <v:stroke/>
              <v:imagedata o:title=""/>
              <o:lock v:ext="edit"/>
              <v:textbox>
                <w:txbxContent>
                  <w:p>
                    <w:pPr>
                      <w:rPr>
                        <w:rFonts w:hint="default" w:eastAsia="宋体"/>
                        <w:lang w:val="en-US" w:eastAsia="zh-CN"/>
                      </w:rPr>
                    </w:pPr>
                    <w:r>
                      <w:rPr>
                        <w:rFonts w:hint="eastAsia"/>
                      </w:rPr>
                      <w:t>进入镀层：</w:t>
                    </w:r>
                    <w:r>
                      <w:rPr>
                        <w:rFonts w:hint="eastAsia"/>
                        <w:lang w:val="en-US" w:eastAsia="zh-CN"/>
                      </w:rPr>
                      <w:t>1201.5</w:t>
                    </w:r>
                  </w:p>
                </w:txbxContent>
              </v:textbox>
            </v:rect>
            <v:rect id="_x0000_s2085" o:spid="_x0000_s2085" o:spt="1" style="position:absolute;left:4806;top:4886;height:486;width:1690;" coordsize="21600,21600">
              <v:path/>
              <v:fill focussize="0,0"/>
              <v:stroke/>
              <v:imagedata o:title=""/>
              <o:lock v:ext="edit"/>
              <v:textbox>
                <w:txbxContent>
                  <w:p>
                    <w:pPr>
                      <w:rPr>
                        <w:rFonts w:hint="default"/>
                        <w:lang w:val="en-US"/>
                      </w:rPr>
                    </w:pPr>
                    <w:r>
                      <w:rPr>
                        <w:rFonts w:hint="eastAsia"/>
                      </w:rPr>
                      <w:t>进入废水：</w:t>
                    </w:r>
                    <w:r>
                      <w:rPr>
                        <w:rFonts w:hint="eastAsia"/>
                        <w:lang w:val="en-US" w:eastAsia="zh-CN"/>
                      </w:rPr>
                      <w:t>117</w:t>
                    </w:r>
                  </w:p>
                </w:txbxContent>
              </v:textbox>
            </v:rect>
            <v:rect id="_x0000_s2086" o:spid="_x0000_s2086" o:spt="1" style="position:absolute;left:7190;top:4886;height:486;width:2455;" coordsize="21600,21600">
              <v:path/>
              <v:fill focussize="0,0"/>
              <v:stroke/>
              <v:imagedata o:title=""/>
              <o:lock v:ext="edit"/>
              <v:textbox>
                <w:txbxContent>
                  <w:p>
                    <w:pPr>
                      <w:rPr>
                        <w:rFonts w:hint="default" w:eastAsia="宋体"/>
                        <w:lang w:val="en-US" w:eastAsia="zh-CN"/>
                      </w:rPr>
                    </w:pPr>
                    <w:r>
                      <w:rPr>
                        <w:rFonts w:hint="eastAsia"/>
                      </w:rPr>
                      <w:t>进入镀液/损失：</w:t>
                    </w:r>
                    <w:r>
                      <w:rPr>
                        <w:rFonts w:hint="eastAsia"/>
                        <w:lang w:val="en-US" w:eastAsia="zh-CN"/>
                      </w:rPr>
                      <w:t>153.8</w:t>
                    </w:r>
                  </w:p>
                </w:txbxContent>
              </v:textbox>
            </v:rect>
            <v:shape id="_x0000_s2087" o:spid="_x0000_s2087" o:spt="32" type="#_x0000_t32" style="position:absolute;left:5643;top:5392;height:351;width:8;" o:connectortype="straight" filled="f" coordsize="21600,21600">
              <v:path arrowok="t"/>
              <v:fill on="f" focussize="0,0"/>
              <v:stroke endarrow="block"/>
              <v:imagedata o:title=""/>
              <o:lock v:ext="edit"/>
            </v:shape>
            <v:shape id="_x0000_s2091" o:spid="_x0000_s2091" o:spt="32" type="#_x0000_t32" style="position:absolute;left:4806;top:5741;height:2;width:1691;" o:connectortype="straight" filled="f" coordsize="21600,21600">
              <v:path arrowok="t"/>
              <v:fill on="f" focussize="0,0"/>
              <v:stroke/>
              <v:imagedata o:title=""/>
              <o:lock v:ext="edit"/>
            </v:shape>
            <v:shape id="_x0000_s2093" o:spid="_x0000_s2093" o:spt="32" type="#_x0000_t32" style="position:absolute;left:4806;top:5743;height:351;width:8;" o:connectortype="straight" filled="f" coordsize="21600,21600">
              <v:path arrowok="t"/>
              <v:fill on="f" focussize="0,0"/>
              <v:stroke endarrow="block"/>
              <v:imagedata o:title=""/>
              <o:lock v:ext="edit"/>
            </v:shape>
            <v:shape id="_x0000_s2094" o:spid="_x0000_s2094" o:spt="32" type="#_x0000_t32" style="position:absolute;left:6497;top:5743;height:351;width:8;" o:connectortype="straight" filled="f" coordsize="21600,21600">
              <v:path arrowok="t"/>
              <v:fill on="f" focussize="0,0"/>
              <v:stroke endarrow="block"/>
              <v:imagedata o:title=""/>
              <o:lock v:ext="edit"/>
            </v:shape>
            <v:rect id="_x0000_s2095" o:spid="_x0000_s2095" o:spt="1" style="position:absolute;left:3439;top:6094;height:486;width:1958;" coordsize="21600,21600">
              <v:path/>
              <v:fill focussize="0,0"/>
              <v:stroke/>
              <v:imagedata o:title=""/>
              <o:lock v:ext="edit"/>
              <v:textbox>
                <w:txbxContent>
                  <w:p>
                    <w:pPr>
                      <w:rPr>
                        <w:rFonts w:hint="default" w:eastAsia="宋体"/>
                        <w:lang w:val="en-US" w:eastAsia="zh-CN"/>
                      </w:rPr>
                    </w:pPr>
                    <w:r>
                      <w:rPr>
                        <w:rFonts w:hint="eastAsia"/>
                      </w:rPr>
                      <w:t>污水站去除：</w:t>
                    </w:r>
                    <w:r>
                      <w:rPr>
                        <w:rFonts w:hint="eastAsia"/>
                        <w:lang w:val="en-US" w:eastAsia="zh-CN"/>
                      </w:rPr>
                      <w:t>116</w:t>
                    </w:r>
                  </w:p>
                </w:txbxContent>
              </v:textbox>
            </v:rect>
            <v:rect id="_x0000_s2102" o:spid="_x0000_s2102" o:spt="1" style="position:absolute;left:5883;top:6094;height:486;width:1690;" coordsize="21600,21600">
              <v:path/>
              <v:fill focussize="0,0"/>
              <v:stroke/>
              <v:imagedata o:title=""/>
              <o:lock v:ext="edit"/>
              <v:textbox>
                <w:txbxContent>
                  <w:p>
                    <w:pPr>
                      <w:rPr>
                        <w:rFonts w:hint="default"/>
                        <w:lang w:val="en-US"/>
                      </w:rPr>
                    </w:pPr>
                    <w:r>
                      <w:rPr>
                        <w:rFonts w:hint="eastAsia"/>
                      </w:rPr>
                      <w:t>外排：</w:t>
                    </w:r>
                    <w:r>
                      <w:rPr>
                        <w:rFonts w:hint="eastAsia"/>
                        <w:lang w:val="en-US" w:eastAsia="zh-CN"/>
                      </w:rPr>
                      <w:t>1</w:t>
                    </w:r>
                  </w:p>
                </w:txbxContent>
              </v:textbox>
            </v:rect>
            <w10:wrap type="none"/>
            <w10:anchorlock/>
          </v:group>
        </w:pict>
      </w:r>
    </w:p>
    <w:p>
      <w:pPr>
        <w:spacing w:line="440" w:lineRule="exact"/>
        <w:ind w:firstLine="480"/>
        <w:jc w:val="center"/>
        <w:rPr>
          <w:rFonts w:eastAsia="黑体"/>
          <w:color w:val="auto"/>
          <w:sz w:val="24"/>
          <w:highlight w:val="none"/>
        </w:rPr>
      </w:pPr>
      <w:r>
        <w:rPr>
          <w:rFonts w:eastAsia="黑体"/>
          <w:color w:val="auto"/>
          <w:sz w:val="24"/>
          <w:highlight w:val="none"/>
        </w:rPr>
        <w:t>图</w:t>
      </w:r>
      <w:r>
        <w:rPr>
          <w:rFonts w:hint="eastAsia" w:eastAsia="黑体"/>
          <w:color w:val="auto"/>
          <w:sz w:val="24"/>
          <w:highlight w:val="none"/>
          <w:lang w:val="en-US" w:eastAsia="zh-CN"/>
        </w:rPr>
        <w:t>2.3</w:t>
      </w:r>
      <w:r>
        <w:rPr>
          <w:rFonts w:eastAsia="黑体"/>
          <w:color w:val="auto"/>
          <w:sz w:val="24"/>
          <w:highlight w:val="none"/>
        </w:rPr>
        <w:t xml:space="preserve">-2  铜平衡图    </w:t>
      </w:r>
      <w:r>
        <w:rPr>
          <w:color w:val="auto"/>
          <w:sz w:val="24"/>
          <w:highlight w:val="none"/>
        </w:rPr>
        <w:t>单位：kg/a</w:t>
      </w:r>
    </w:p>
    <w:p>
      <w:pPr>
        <w:spacing w:line="440" w:lineRule="exact"/>
        <w:ind w:firstLine="480"/>
        <w:rPr>
          <w:b/>
          <w:color w:val="auto"/>
          <w:sz w:val="24"/>
          <w:highlight w:val="none"/>
        </w:rPr>
      </w:pPr>
      <w:r>
        <w:rPr>
          <w:color w:val="auto"/>
          <w:sz w:val="24"/>
          <w:highlight w:val="none"/>
        </w:rPr>
        <w:t>3、镍平衡</w:t>
      </w:r>
    </w:p>
    <w:p>
      <w:pPr>
        <w:pStyle w:val="14"/>
        <w:keepNext w:val="0"/>
        <w:keepLines w:val="0"/>
        <w:pageBreakBefore w:val="0"/>
        <w:widowControl w:val="0"/>
        <w:kinsoku/>
        <w:wordWrap/>
        <w:overflowPunct/>
        <w:topLinePunct w:val="0"/>
        <w:autoSpaceDE/>
        <w:autoSpaceDN/>
        <w:bidi w:val="0"/>
        <w:adjustRightInd/>
        <w:snapToGrid w:val="0"/>
        <w:spacing w:after="0" w:line="240" w:lineRule="auto"/>
        <w:ind w:firstLine="0"/>
        <w:jc w:val="center"/>
        <w:textAlignment w:val="auto"/>
        <w:outlineLvl w:val="9"/>
        <w:rPr>
          <w:rFonts w:hint="eastAsia" w:eastAsia="黑体"/>
          <w:color w:val="auto"/>
          <w:sz w:val="24"/>
          <w:szCs w:val="24"/>
          <w:highlight w:val="none"/>
          <w:lang w:val="en-US" w:eastAsia="zh-CN"/>
        </w:rPr>
      </w:pPr>
      <w:r>
        <w:rPr>
          <w:rFonts w:hint="eastAsia" w:eastAsia="黑体"/>
          <w:color w:val="auto"/>
          <w:sz w:val="24"/>
          <w:szCs w:val="24"/>
          <w:highlight w:val="none"/>
          <w:lang w:val="en-US" w:eastAsia="zh-CN"/>
        </w:rPr>
        <w:t>表2.3-3  镍平衡表</w:t>
      </w:r>
    </w:p>
    <w:tbl>
      <w:tblPr>
        <w:tblStyle w:val="36"/>
        <w:tblW w:w="9286" w:type="dxa"/>
        <w:tblInd w:w="0"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3667"/>
        <w:gridCol w:w="1234"/>
        <w:gridCol w:w="2083"/>
        <w:gridCol w:w="1417"/>
        <w:gridCol w:w="885"/>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4901" w:type="dxa"/>
            <w:gridSpan w:val="2"/>
            <w:tcBorders>
              <w:tl2br w:val="nil"/>
              <w:tr2bl w:val="nil"/>
            </w:tcBorders>
            <w:noWrap w:val="0"/>
            <w:vAlign w:val="center"/>
          </w:tcPr>
          <w:p>
            <w:pPr>
              <w:pStyle w:val="19"/>
              <w:spacing w:line="300" w:lineRule="exact"/>
              <w:jc w:val="center"/>
              <w:rPr>
                <w:rFonts w:ascii="Times New Roman" w:hAnsi="Times New Roman"/>
                <w:b/>
                <w:color w:val="auto"/>
                <w:sz w:val="21"/>
                <w:szCs w:val="21"/>
                <w:highlight w:val="none"/>
              </w:rPr>
            </w:pPr>
            <w:r>
              <w:rPr>
                <w:rFonts w:ascii="Times New Roman" w:hAnsi="Times New Roman"/>
                <w:b/>
                <w:color w:val="auto"/>
                <w:sz w:val="21"/>
                <w:szCs w:val="21"/>
                <w:highlight w:val="none"/>
              </w:rPr>
              <w:t>输入kg/a</w:t>
            </w:r>
          </w:p>
        </w:tc>
        <w:tc>
          <w:tcPr>
            <w:tcW w:w="4385" w:type="dxa"/>
            <w:gridSpan w:val="3"/>
            <w:tcBorders>
              <w:tl2br w:val="nil"/>
              <w:tr2bl w:val="nil"/>
            </w:tcBorders>
            <w:noWrap w:val="0"/>
            <w:vAlign w:val="center"/>
          </w:tcPr>
          <w:p>
            <w:pPr>
              <w:pStyle w:val="19"/>
              <w:spacing w:line="300" w:lineRule="exact"/>
              <w:jc w:val="center"/>
              <w:rPr>
                <w:rFonts w:ascii="Times New Roman" w:hAnsi="Times New Roman"/>
                <w:b/>
                <w:color w:val="auto"/>
                <w:sz w:val="21"/>
                <w:szCs w:val="21"/>
                <w:highlight w:val="none"/>
              </w:rPr>
            </w:pPr>
            <w:r>
              <w:rPr>
                <w:rFonts w:ascii="Times New Roman" w:hAnsi="Times New Roman"/>
                <w:b/>
                <w:color w:val="auto"/>
                <w:sz w:val="21"/>
                <w:szCs w:val="21"/>
                <w:highlight w:val="none"/>
              </w:rPr>
              <w:t>输出kg/a</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3667" w:type="dxa"/>
            <w:tcBorders>
              <w:tl2br w:val="nil"/>
              <w:tr2bl w:val="nil"/>
            </w:tcBorders>
            <w:noWrap w:val="0"/>
            <w:vAlign w:val="center"/>
          </w:tcPr>
          <w:p>
            <w:pPr>
              <w:pStyle w:val="19"/>
              <w:spacing w:line="300" w:lineRule="exact"/>
              <w:jc w:val="center"/>
              <w:rPr>
                <w:rFonts w:ascii="Times New Roman" w:hAnsi="Times New Roman"/>
                <w:b/>
                <w:color w:val="auto"/>
                <w:sz w:val="21"/>
                <w:szCs w:val="21"/>
                <w:highlight w:val="none"/>
              </w:rPr>
            </w:pPr>
            <w:r>
              <w:rPr>
                <w:rFonts w:ascii="Times New Roman" w:hAnsi="Times New Roman"/>
                <w:b/>
                <w:color w:val="auto"/>
                <w:sz w:val="21"/>
                <w:szCs w:val="21"/>
                <w:highlight w:val="none"/>
              </w:rPr>
              <w:t>物料</w:t>
            </w:r>
          </w:p>
        </w:tc>
        <w:tc>
          <w:tcPr>
            <w:tcW w:w="1234" w:type="dxa"/>
            <w:tcBorders>
              <w:tl2br w:val="nil"/>
              <w:tr2bl w:val="nil"/>
            </w:tcBorders>
            <w:noWrap w:val="0"/>
            <w:vAlign w:val="center"/>
          </w:tcPr>
          <w:p>
            <w:pPr>
              <w:pStyle w:val="19"/>
              <w:spacing w:line="300" w:lineRule="exact"/>
              <w:jc w:val="center"/>
              <w:rPr>
                <w:rFonts w:ascii="Times New Roman" w:hAnsi="Times New Roman"/>
                <w:b/>
                <w:color w:val="auto"/>
                <w:sz w:val="21"/>
                <w:szCs w:val="21"/>
                <w:highlight w:val="none"/>
              </w:rPr>
            </w:pPr>
            <w:r>
              <w:rPr>
                <w:rFonts w:ascii="Times New Roman" w:hAnsi="Times New Roman"/>
                <w:b/>
                <w:color w:val="auto"/>
                <w:sz w:val="21"/>
                <w:szCs w:val="21"/>
                <w:highlight w:val="none"/>
              </w:rPr>
              <w:t>折合成镍</w:t>
            </w:r>
          </w:p>
        </w:tc>
        <w:tc>
          <w:tcPr>
            <w:tcW w:w="2083" w:type="dxa"/>
            <w:tcBorders>
              <w:tl2br w:val="nil"/>
              <w:tr2bl w:val="nil"/>
            </w:tcBorders>
            <w:noWrap w:val="0"/>
            <w:vAlign w:val="center"/>
          </w:tcPr>
          <w:p>
            <w:pPr>
              <w:pStyle w:val="19"/>
              <w:spacing w:line="300" w:lineRule="exact"/>
              <w:jc w:val="center"/>
              <w:rPr>
                <w:rFonts w:ascii="Times New Roman" w:hAnsi="Times New Roman"/>
                <w:b/>
                <w:color w:val="auto"/>
                <w:sz w:val="21"/>
                <w:szCs w:val="21"/>
                <w:highlight w:val="none"/>
              </w:rPr>
            </w:pPr>
            <w:r>
              <w:rPr>
                <w:rFonts w:ascii="Times New Roman" w:hAnsi="Times New Roman"/>
                <w:b/>
                <w:color w:val="auto"/>
                <w:sz w:val="21"/>
                <w:szCs w:val="21"/>
                <w:highlight w:val="none"/>
              </w:rPr>
              <w:t>产出物</w:t>
            </w:r>
          </w:p>
        </w:tc>
        <w:tc>
          <w:tcPr>
            <w:tcW w:w="1417" w:type="dxa"/>
            <w:tcBorders>
              <w:tl2br w:val="nil"/>
              <w:tr2bl w:val="nil"/>
            </w:tcBorders>
            <w:noWrap w:val="0"/>
            <w:vAlign w:val="center"/>
          </w:tcPr>
          <w:p>
            <w:pPr>
              <w:pStyle w:val="19"/>
              <w:spacing w:line="300" w:lineRule="exact"/>
              <w:jc w:val="center"/>
              <w:rPr>
                <w:rFonts w:ascii="Times New Roman" w:hAnsi="Times New Roman"/>
                <w:b/>
                <w:color w:val="auto"/>
                <w:sz w:val="21"/>
                <w:szCs w:val="21"/>
                <w:highlight w:val="none"/>
              </w:rPr>
            </w:pPr>
            <w:r>
              <w:rPr>
                <w:rFonts w:ascii="Times New Roman" w:hAnsi="Times New Roman"/>
                <w:b/>
                <w:color w:val="auto"/>
                <w:sz w:val="21"/>
                <w:szCs w:val="21"/>
                <w:highlight w:val="none"/>
              </w:rPr>
              <w:t>折合成镍</w:t>
            </w:r>
          </w:p>
        </w:tc>
        <w:tc>
          <w:tcPr>
            <w:tcW w:w="885" w:type="dxa"/>
            <w:tcBorders>
              <w:tl2br w:val="nil"/>
              <w:tr2bl w:val="nil"/>
            </w:tcBorders>
            <w:noWrap w:val="0"/>
            <w:vAlign w:val="center"/>
          </w:tcPr>
          <w:p>
            <w:pPr>
              <w:pStyle w:val="19"/>
              <w:spacing w:line="300" w:lineRule="exact"/>
              <w:jc w:val="center"/>
              <w:rPr>
                <w:rFonts w:ascii="Times New Roman" w:hAnsi="Times New Roman"/>
                <w:b/>
                <w:color w:val="auto"/>
                <w:sz w:val="21"/>
                <w:szCs w:val="21"/>
                <w:highlight w:val="none"/>
              </w:rPr>
            </w:pPr>
            <w:r>
              <w:rPr>
                <w:rFonts w:ascii="Times New Roman" w:hAnsi="Times New Roman"/>
                <w:b/>
                <w:color w:val="auto"/>
                <w:sz w:val="21"/>
                <w:szCs w:val="21"/>
                <w:highlight w:val="none"/>
              </w:rPr>
              <w:t>比例</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3667" w:type="dxa"/>
            <w:tcBorders>
              <w:tl2br w:val="nil"/>
              <w:tr2bl w:val="nil"/>
            </w:tcBorders>
            <w:noWrap w:val="0"/>
            <w:vAlign w:val="center"/>
          </w:tcPr>
          <w:p>
            <w:pPr>
              <w:pStyle w:val="19"/>
              <w:spacing w:line="300" w:lineRule="exact"/>
              <w:jc w:val="center"/>
              <w:rPr>
                <w:rFonts w:ascii="Times New Roman" w:hAnsi="Times New Roman"/>
                <w:color w:val="auto"/>
                <w:sz w:val="21"/>
                <w:szCs w:val="21"/>
                <w:highlight w:val="none"/>
              </w:rPr>
            </w:pPr>
            <w:r>
              <w:rPr>
                <w:rFonts w:ascii="Times New Roman" w:hAnsi="Times New Roman"/>
                <w:color w:val="auto"/>
                <w:sz w:val="21"/>
                <w:szCs w:val="21"/>
                <w:highlight w:val="none"/>
              </w:rPr>
              <w:t>镍</w:t>
            </w:r>
            <w:r>
              <w:rPr>
                <w:rFonts w:hint="eastAsia" w:ascii="Times New Roman" w:hAnsi="Times New Roman"/>
                <w:color w:val="auto"/>
                <w:sz w:val="21"/>
                <w:szCs w:val="21"/>
                <w:highlight w:val="none"/>
                <w:lang w:val="en-US" w:eastAsia="zh-CN"/>
              </w:rPr>
              <w:t>板20</w:t>
            </w:r>
            <w:r>
              <w:rPr>
                <w:rFonts w:ascii="Times New Roman" w:hAnsi="Times New Roman"/>
                <w:color w:val="auto"/>
                <w:sz w:val="21"/>
                <w:szCs w:val="21"/>
                <w:highlight w:val="none"/>
              </w:rPr>
              <w:t>00，纯度99.9%</w:t>
            </w:r>
          </w:p>
        </w:tc>
        <w:tc>
          <w:tcPr>
            <w:tcW w:w="1234" w:type="dxa"/>
            <w:tcBorders>
              <w:tl2br w:val="nil"/>
              <w:tr2bl w:val="nil"/>
            </w:tcBorders>
            <w:noWrap w:val="0"/>
            <w:vAlign w:val="center"/>
          </w:tcPr>
          <w:p>
            <w:pPr>
              <w:spacing w:line="30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1998</w:t>
            </w:r>
          </w:p>
        </w:tc>
        <w:tc>
          <w:tcPr>
            <w:tcW w:w="2083" w:type="dxa"/>
            <w:tcBorders>
              <w:tl2br w:val="nil"/>
              <w:tr2bl w:val="nil"/>
            </w:tcBorders>
            <w:noWrap w:val="0"/>
            <w:vAlign w:val="center"/>
          </w:tcPr>
          <w:p>
            <w:pPr>
              <w:pStyle w:val="19"/>
              <w:spacing w:line="300" w:lineRule="exact"/>
              <w:jc w:val="center"/>
              <w:rPr>
                <w:rFonts w:ascii="Times New Roman" w:hAnsi="Times New Roman"/>
                <w:color w:val="auto"/>
                <w:sz w:val="21"/>
                <w:szCs w:val="21"/>
                <w:highlight w:val="none"/>
              </w:rPr>
            </w:pPr>
            <w:r>
              <w:rPr>
                <w:rFonts w:ascii="Times New Roman" w:hAnsi="Times New Roman"/>
                <w:color w:val="auto"/>
                <w:sz w:val="21"/>
                <w:szCs w:val="21"/>
                <w:highlight w:val="none"/>
              </w:rPr>
              <w:t>进入镍镀层</w:t>
            </w:r>
          </w:p>
        </w:tc>
        <w:tc>
          <w:tcPr>
            <w:tcW w:w="1417" w:type="dxa"/>
            <w:tcBorders>
              <w:tl2br w:val="nil"/>
              <w:tr2bl w:val="nil"/>
            </w:tcBorders>
            <w:noWrap w:val="0"/>
            <w:vAlign w:val="center"/>
          </w:tcPr>
          <w:p>
            <w:pPr>
              <w:pStyle w:val="19"/>
              <w:spacing w:line="300" w:lineRule="exact"/>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1869</w:t>
            </w:r>
          </w:p>
        </w:tc>
        <w:tc>
          <w:tcPr>
            <w:tcW w:w="885" w:type="dxa"/>
            <w:tcBorders>
              <w:tl2br w:val="nil"/>
              <w:tr2bl w:val="nil"/>
            </w:tcBorders>
            <w:noWrap w:val="0"/>
            <w:vAlign w:val="center"/>
          </w:tcPr>
          <w:p>
            <w:pPr>
              <w:pStyle w:val="19"/>
              <w:spacing w:line="300" w:lineRule="exact"/>
              <w:jc w:val="center"/>
              <w:rPr>
                <w:rFonts w:ascii="Times New Roman" w:hAnsi="Times New Roman"/>
                <w:color w:val="auto"/>
                <w:sz w:val="21"/>
                <w:szCs w:val="21"/>
                <w:highlight w:val="none"/>
              </w:rPr>
            </w:pPr>
            <w:r>
              <w:rPr>
                <w:rFonts w:ascii="Times New Roman" w:hAnsi="Times New Roman"/>
                <w:color w:val="auto"/>
                <w:sz w:val="21"/>
                <w:szCs w:val="21"/>
                <w:highlight w:val="none"/>
              </w:rPr>
              <w:t>8</w:t>
            </w:r>
            <w:r>
              <w:rPr>
                <w:rFonts w:hint="eastAsia" w:ascii="Times New Roman" w:hAnsi="Times New Roman"/>
                <w:color w:val="auto"/>
                <w:sz w:val="21"/>
                <w:szCs w:val="21"/>
                <w:highlight w:val="none"/>
                <w:lang w:val="en-US" w:eastAsia="zh-CN"/>
              </w:rPr>
              <w:t>4</w:t>
            </w:r>
            <w:r>
              <w:rPr>
                <w:rFonts w:ascii="Times New Roman" w:hAnsi="Times New Roman"/>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660" w:hRule="atLeast"/>
        </w:trPr>
        <w:tc>
          <w:tcPr>
            <w:tcW w:w="3667" w:type="dxa"/>
            <w:tcBorders>
              <w:tl2br w:val="nil"/>
              <w:tr2bl w:val="nil"/>
            </w:tcBorders>
            <w:noWrap w:val="0"/>
            <w:vAlign w:val="center"/>
          </w:tcPr>
          <w:p>
            <w:pPr>
              <w:pStyle w:val="19"/>
              <w:spacing w:line="300" w:lineRule="exact"/>
              <w:jc w:val="center"/>
              <w:rPr>
                <w:rFonts w:ascii="Times New Roman" w:hAnsi="Times New Roman"/>
                <w:color w:val="auto"/>
                <w:sz w:val="21"/>
                <w:szCs w:val="21"/>
                <w:highlight w:val="none"/>
              </w:rPr>
            </w:pPr>
            <w:r>
              <w:rPr>
                <w:rFonts w:ascii="Times New Roman" w:hAnsi="Times New Roman"/>
                <w:color w:val="auto"/>
                <w:sz w:val="21"/>
                <w:szCs w:val="21"/>
                <w:highlight w:val="none"/>
              </w:rPr>
              <w:t>硫酸镍</w:t>
            </w:r>
            <w:r>
              <w:rPr>
                <w:rFonts w:hint="eastAsia" w:ascii="Times New Roman" w:hAnsi="Times New Roman"/>
                <w:color w:val="auto"/>
                <w:sz w:val="21"/>
                <w:szCs w:val="21"/>
                <w:highlight w:val="none"/>
                <w:lang w:val="en-US" w:eastAsia="zh-CN"/>
              </w:rPr>
              <w:t>7</w:t>
            </w:r>
            <w:r>
              <w:rPr>
                <w:rFonts w:ascii="Times New Roman" w:hAnsi="Times New Roman"/>
                <w:color w:val="auto"/>
                <w:sz w:val="21"/>
                <w:szCs w:val="21"/>
                <w:highlight w:val="none"/>
              </w:rPr>
              <w:t>00</w:t>
            </w:r>
            <w:r>
              <w:rPr>
                <w:rFonts w:hint="eastAsia" w:ascii="Times New Roman" w:hAnsi="Times New Roman"/>
                <w:color w:val="auto"/>
                <w:sz w:val="21"/>
                <w:szCs w:val="21"/>
                <w:highlight w:val="none"/>
                <w:lang w:eastAsia="zh-CN"/>
              </w:rPr>
              <w:t>，</w:t>
            </w:r>
            <w:r>
              <w:rPr>
                <w:rFonts w:ascii="Times New Roman" w:hAnsi="Times New Roman"/>
                <w:color w:val="auto"/>
                <w:sz w:val="21"/>
                <w:szCs w:val="21"/>
                <w:highlight w:val="none"/>
              </w:rPr>
              <w:t>NiSO</w:t>
            </w:r>
            <w:r>
              <w:rPr>
                <w:rFonts w:ascii="Times New Roman" w:hAnsi="Times New Roman"/>
                <w:color w:val="auto"/>
                <w:sz w:val="21"/>
                <w:szCs w:val="21"/>
                <w:highlight w:val="none"/>
                <w:vertAlign w:val="subscript"/>
              </w:rPr>
              <w:t>4</w:t>
            </w:r>
            <w:r>
              <w:rPr>
                <w:rFonts w:ascii="Times New Roman" w:hAnsi="Times New Roman"/>
                <w:color w:val="auto"/>
                <w:sz w:val="21"/>
                <w:szCs w:val="21"/>
                <w:highlight w:val="none"/>
              </w:rPr>
              <w:t>·6H</w:t>
            </w:r>
            <w:r>
              <w:rPr>
                <w:rFonts w:ascii="Times New Roman" w:hAnsi="Times New Roman"/>
                <w:color w:val="auto"/>
                <w:sz w:val="21"/>
                <w:szCs w:val="21"/>
                <w:highlight w:val="none"/>
                <w:vertAlign w:val="subscript"/>
              </w:rPr>
              <w:t>2</w:t>
            </w:r>
            <w:r>
              <w:rPr>
                <w:rFonts w:ascii="Times New Roman" w:hAnsi="Times New Roman"/>
                <w:color w:val="auto"/>
                <w:sz w:val="21"/>
                <w:szCs w:val="21"/>
                <w:highlight w:val="none"/>
              </w:rPr>
              <w:t>O，纯度99.5%</w:t>
            </w:r>
          </w:p>
        </w:tc>
        <w:tc>
          <w:tcPr>
            <w:tcW w:w="1234" w:type="dxa"/>
            <w:tcBorders>
              <w:tl2br w:val="nil"/>
              <w:tr2bl w:val="nil"/>
            </w:tcBorders>
            <w:noWrap w:val="0"/>
            <w:vAlign w:val="center"/>
          </w:tcPr>
          <w:p>
            <w:pPr>
              <w:spacing w:line="300" w:lineRule="exact"/>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156.4</w:t>
            </w:r>
          </w:p>
        </w:tc>
        <w:tc>
          <w:tcPr>
            <w:tcW w:w="2083" w:type="dxa"/>
            <w:tcBorders>
              <w:tl2br w:val="nil"/>
              <w:tr2bl w:val="nil"/>
            </w:tcBorders>
            <w:noWrap w:val="0"/>
            <w:vAlign w:val="center"/>
          </w:tcPr>
          <w:p>
            <w:pPr>
              <w:pStyle w:val="19"/>
              <w:spacing w:line="300" w:lineRule="exact"/>
              <w:jc w:val="center"/>
              <w:rPr>
                <w:rFonts w:ascii="Times New Roman" w:hAnsi="Times New Roman"/>
                <w:color w:val="auto"/>
                <w:sz w:val="21"/>
                <w:szCs w:val="21"/>
                <w:highlight w:val="none"/>
              </w:rPr>
            </w:pPr>
            <w:r>
              <w:rPr>
                <w:rFonts w:ascii="Times New Roman" w:hAnsi="Times New Roman"/>
                <w:color w:val="auto"/>
                <w:sz w:val="21"/>
                <w:szCs w:val="21"/>
                <w:highlight w:val="none"/>
              </w:rPr>
              <w:t>进入废液</w:t>
            </w:r>
            <w:r>
              <w:rPr>
                <w:rFonts w:hint="eastAsia" w:ascii="Times New Roman" w:hAnsi="Times New Roman"/>
                <w:color w:val="auto"/>
                <w:sz w:val="21"/>
                <w:szCs w:val="21"/>
                <w:highlight w:val="none"/>
                <w:lang w:eastAsia="zh-CN"/>
              </w:rPr>
              <w:t>，</w:t>
            </w:r>
            <w:r>
              <w:rPr>
                <w:rFonts w:ascii="Times New Roman" w:hAnsi="Times New Roman"/>
                <w:color w:val="auto"/>
                <w:sz w:val="21"/>
                <w:szCs w:val="21"/>
                <w:highlight w:val="none"/>
              </w:rPr>
              <w:t>过滤损失</w:t>
            </w:r>
          </w:p>
          <w:p>
            <w:pPr>
              <w:pStyle w:val="19"/>
              <w:spacing w:line="300" w:lineRule="exact"/>
              <w:jc w:val="center"/>
              <w:rPr>
                <w:rFonts w:hint="eastAsia" w:ascii="Times New Roman" w:hAnsi="Times New Roman" w:eastAsia="宋体"/>
                <w:color w:val="auto"/>
                <w:sz w:val="21"/>
                <w:szCs w:val="21"/>
                <w:highlight w:val="none"/>
                <w:lang w:eastAsia="zh-CN"/>
              </w:rPr>
            </w:pPr>
            <w:r>
              <w:rPr>
                <w:rFonts w:hint="eastAsia" w:ascii="Times New Roman" w:hAnsi="Times New Roman"/>
                <w:color w:val="auto"/>
                <w:sz w:val="21"/>
                <w:szCs w:val="21"/>
                <w:highlight w:val="none"/>
                <w:lang w:eastAsia="zh-CN"/>
              </w:rPr>
              <w:t>(</w:t>
            </w:r>
            <w:r>
              <w:rPr>
                <w:rFonts w:ascii="Times New Roman" w:hAnsi="Times New Roman"/>
                <w:color w:val="auto"/>
                <w:sz w:val="21"/>
                <w:szCs w:val="21"/>
                <w:highlight w:val="none"/>
              </w:rPr>
              <w:t>进入废渣固废</w:t>
            </w:r>
            <w:r>
              <w:rPr>
                <w:rFonts w:hint="eastAsia" w:ascii="Times New Roman" w:hAnsi="Times New Roman"/>
                <w:color w:val="auto"/>
                <w:sz w:val="21"/>
                <w:szCs w:val="21"/>
                <w:highlight w:val="none"/>
                <w:lang w:eastAsia="zh-CN"/>
              </w:rPr>
              <w:t>)</w:t>
            </w:r>
          </w:p>
        </w:tc>
        <w:tc>
          <w:tcPr>
            <w:tcW w:w="1417" w:type="dxa"/>
            <w:tcBorders>
              <w:tl2br w:val="nil"/>
              <w:tr2bl w:val="nil"/>
            </w:tcBorders>
            <w:noWrap w:val="0"/>
            <w:vAlign w:val="center"/>
          </w:tcPr>
          <w:p>
            <w:pPr>
              <w:pStyle w:val="19"/>
              <w:spacing w:line="300" w:lineRule="exact"/>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344.3</w:t>
            </w:r>
          </w:p>
        </w:tc>
        <w:tc>
          <w:tcPr>
            <w:tcW w:w="885" w:type="dxa"/>
            <w:tcBorders>
              <w:tl2br w:val="nil"/>
              <w:tr2bl w:val="nil"/>
            </w:tcBorders>
            <w:noWrap w:val="0"/>
            <w:vAlign w:val="center"/>
          </w:tcPr>
          <w:p>
            <w:pPr>
              <w:pStyle w:val="19"/>
              <w:spacing w:line="300" w:lineRule="exact"/>
              <w:jc w:val="center"/>
              <w:rPr>
                <w:rFonts w:ascii="Times New Roman" w:hAnsi="Times New Roman"/>
                <w:color w:val="auto"/>
                <w:sz w:val="21"/>
                <w:szCs w:val="21"/>
                <w:highlight w:val="none"/>
              </w:rPr>
            </w:pPr>
            <w:r>
              <w:rPr>
                <w:rFonts w:ascii="Times New Roman" w:hAnsi="Times New Roman"/>
                <w:color w:val="auto"/>
                <w:sz w:val="21"/>
                <w:szCs w:val="21"/>
                <w:highlight w:val="none"/>
              </w:rPr>
              <w:t>1</w:t>
            </w:r>
            <w:r>
              <w:rPr>
                <w:rFonts w:hint="eastAsia" w:ascii="Times New Roman" w:hAnsi="Times New Roman"/>
                <w:color w:val="auto"/>
                <w:sz w:val="21"/>
                <w:szCs w:val="21"/>
                <w:highlight w:val="none"/>
                <w:lang w:val="en-US" w:eastAsia="zh-CN"/>
              </w:rPr>
              <w:t>5</w:t>
            </w:r>
            <w:r>
              <w:rPr>
                <w:rFonts w:ascii="Times New Roman" w:hAnsi="Times New Roman"/>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3667" w:type="dxa"/>
            <w:tcBorders>
              <w:tl2br w:val="nil"/>
              <w:tr2bl w:val="nil"/>
            </w:tcBorders>
            <w:noWrap w:val="0"/>
            <w:vAlign w:val="center"/>
          </w:tcPr>
          <w:p>
            <w:pPr>
              <w:pStyle w:val="19"/>
              <w:spacing w:line="300" w:lineRule="exact"/>
              <w:jc w:val="center"/>
              <w:rPr>
                <w:rFonts w:ascii="Times New Roman" w:hAnsi="Times New Roman"/>
                <w:color w:val="auto"/>
                <w:sz w:val="21"/>
                <w:szCs w:val="21"/>
                <w:highlight w:val="none"/>
              </w:rPr>
            </w:pPr>
            <w:r>
              <w:rPr>
                <w:rFonts w:ascii="Times New Roman" w:hAnsi="Times New Roman"/>
                <w:color w:val="auto"/>
                <w:sz w:val="21"/>
                <w:szCs w:val="21"/>
                <w:highlight w:val="none"/>
              </w:rPr>
              <w:t>氯化镍</w:t>
            </w:r>
            <w:r>
              <w:rPr>
                <w:rFonts w:hint="eastAsia" w:ascii="Times New Roman" w:hAnsi="Times New Roman"/>
                <w:color w:val="auto"/>
                <w:sz w:val="21"/>
                <w:szCs w:val="21"/>
                <w:highlight w:val="none"/>
                <w:lang w:val="en-US" w:eastAsia="zh-CN"/>
              </w:rPr>
              <w:t>3</w:t>
            </w:r>
            <w:r>
              <w:rPr>
                <w:rFonts w:ascii="Times New Roman" w:hAnsi="Times New Roman"/>
                <w:color w:val="auto"/>
                <w:sz w:val="21"/>
                <w:szCs w:val="21"/>
                <w:highlight w:val="none"/>
              </w:rPr>
              <w:t>00NiCl</w:t>
            </w:r>
            <w:r>
              <w:rPr>
                <w:rFonts w:ascii="Times New Roman" w:hAnsi="Times New Roman"/>
                <w:color w:val="auto"/>
                <w:sz w:val="21"/>
                <w:szCs w:val="21"/>
                <w:highlight w:val="none"/>
                <w:vertAlign w:val="subscript"/>
              </w:rPr>
              <w:t>2</w:t>
            </w:r>
            <w:r>
              <w:rPr>
                <w:rFonts w:ascii="Times New Roman" w:hAnsi="Times New Roman"/>
                <w:color w:val="auto"/>
                <w:sz w:val="21"/>
                <w:szCs w:val="21"/>
                <w:highlight w:val="none"/>
              </w:rPr>
              <w:t>·6H</w:t>
            </w:r>
            <w:r>
              <w:rPr>
                <w:rFonts w:ascii="Times New Roman" w:hAnsi="Times New Roman"/>
                <w:color w:val="auto"/>
                <w:sz w:val="21"/>
                <w:szCs w:val="21"/>
                <w:highlight w:val="none"/>
                <w:vertAlign w:val="subscript"/>
              </w:rPr>
              <w:t>2</w:t>
            </w:r>
            <w:r>
              <w:rPr>
                <w:rFonts w:ascii="Times New Roman" w:hAnsi="Times New Roman"/>
                <w:color w:val="auto"/>
                <w:sz w:val="21"/>
                <w:szCs w:val="21"/>
                <w:highlight w:val="none"/>
              </w:rPr>
              <w:t>O，纯度98%</w:t>
            </w:r>
          </w:p>
        </w:tc>
        <w:tc>
          <w:tcPr>
            <w:tcW w:w="1234" w:type="dxa"/>
            <w:tcBorders>
              <w:tl2br w:val="nil"/>
              <w:tr2bl w:val="nil"/>
            </w:tcBorders>
            <w:noWrap w:val="0"/>
            <w:vAlign w:val="center"/>
          </w:tcPr>
          <w:p>
            <w:pPr>
              <w:spacing w:line="300" w:lineRule="exact"/>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72.9</w:t>
            </w:r>
          </w:p>
        </w:tc>
        <w:tc>
          <w:tcPr>
            <w:tcW w:w="2083" w:type="dxa"/>
            <w:tcBorders>
              <w:tl2br w:val="nil"/>
              <w:tr2bl w:val="nil"/>
            </w:tcBorders>
            <w:noWrap w:val="0"/>
            <w:vAlign w:val="center"/>
          </w:tcPr>
          <w:p>
            <w:pPr>
              <w:pStyle w:val="19"/>
              <w:spacing w:line="300" w:lineRule="exact"/>
              <w:jc w:val="center"/>
              <w:rPr>
                <w:rFonts w:ascii="Times New Roman" w:hAnsi="Times New Roman"/>
                <w:strike/>
                <w:color w:val="auto"/>
                <w:sz w:val="21"/>
                <w:szCs w:val="21"/>
                <w:highlight w:val="none"/>
              </w:rPr>
            </w:pPr>
            <w:r>
              <w:rPr>
                <w:rFonts w:ascii="Times New Roman" w:hAnsi="Times New Roman"/>
                <w:color w:val="auto"/>
                <w:sz w:val="21"/>
                <w:szCs w:val="21"/>
                <w:highlight w:val="none"/>
              </w:rPr>
              <w:t>带出液进入废水</w:t>
            </w:r>
          </w:p>
        </w:tc>
        <w:tc>
          <w:tcPr>
            <w:tcW w:w="1417" w:type="dxa"/>
            <w:tcBorders>
              <w:tl2br w:val="nil"/>
              <w:tr2bl w:val="nil"/>
            </w:tcBorders>
            <w:noWrap w:val="0"/>
            <w:vAlign w:val="center"/>
          </w:tcPr>
          <w:p>
            <w:pPr>
              <w:pStyle w:val="19"/>
              <w:spacing w:line="300" w:lineRule="exact"/>
              <w:jc w:val="center"/>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14</w:t>
            </w:r>
          </w:p>
        </w:tc>
        <w:tc>
          <w:tcPr>
            <w:tcW w:w="885" w:type="dxa"/>
            <w:tcBorders>
              <w:tl2br w:val="nil"/>
              <w:tr2bl w:val="nil"/>
            </w:tcBorders>
            <w:noWrap w:val="0"/>
            <w:vAlign w:val="center"/>
          </w:tcPr>
          <w:p>
            <w:pPr>
              <w:pStyle w:val="19"/>
              <w:spacing w:line="300" w:lineRule="exact"/>
              <w:jc w:val="center"/>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3667" w:type="dxa"/>
            <w:tcBorders>
              <w:tl2br w:val="nil"/>
              <w:tr2bl w:val="nil"/>
            </w:tcBorders>
            <w:noWrap w:val="0"/>
            <w:vAlign w:val="center"/>
          </w:tcPr>
          <w:p>
            <w:pPr>
              <w:pStyle w:val="19"/>
              <w:spacing w:line="300" w:lineRule="exact"/>
              <w:jc w:val="center"/>
              <w:rPr>
                <w:rFonts w:ascii="Times New Roman" w:hAnsi="Times New Roman"/>
                <w:color w:val="auto"/>
                <w:sz w:val="21"/>
                <w:szCs w:val="21"/>
                <w:highlight w:val="none"/>
              </w:rPr>
            </w:pPr>
            <w:r>
              <w:rPr>
                <w:rFonts w:ascii="Times New Roman" w:hAnsi="Times New Roman"/>
                <w:color w:val="auto"/>
                <w:sz w:val="21"/>
                <w:szCs w:val="21"/>
                <w:highlight w:val="none"/>
              </w:rPr>
              <w:t>合计</w:t>
            </w:r>
          </w:p>
        </w:tc>
        <w:tc>
          <w:tcPr>
            <w:tcW w:w="1234" w:type="dxa"/>
            <w:tcBorders>
              <w:tl2br w:val="nil"/>
              <w:tr2bl w:val="nil"/>
            </w:tcBorders>
            <w:noWrap w:val="0"/>
            <w:vAlign w:val="center"/>
          </w:tcPr>
          <w:p>
            <w:pPr>
              <w:spacing w:line="30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2227.3</w:t>
            </w:r>
          </w:p>
        </w:tc>
        <w:tc>
          <w:tcPr>
            <w:tcW w:w="2083" w:type="dxa"/>
            <w:tcBorders>
              <w:tl2br w:val="nil"/>
              <w:tr2bl w:val="nil"/>
            </w:tcBorders>
            <w:noWrap w:val="0"/>
            <w:vAlign w:val="center"/>
          </w:tcPr>
          <w:p>
            <w:pPr>
              <w:pStyle w:val="19"/>
              <w:spacing w:line="300" w:lineRule="exact"/>
              <w:jc w:val="center"/>
              <w:rPr>
                <w:rFonts w:ascii="Times New Roman" w:hAnsi="Times New Roman"/>
                <w:color w:val="auto"/>
                <w:sz w:val="21"/>
                <w:szCs w:val="21"/>
                <w:highlight w:val="none"/>
              </w:rPr>
            </w:pPr>
            <w:r>
              <w:rPr>
                <w:rFonts w:ascii="Times New Roman" w:hAnsi="Times New Roman"/>
                <w:color w:val="auto"/>
                <w:sz w:val="21"/>
                <w:szCs w:val="21"/>
                <w:highlight w:val="none"/>
              </w:rPr>
              <w:t>合计</w:t>
            </w:r>
          </w:p>
        </w:tc>
        <w:tc>
          <w:tcPr>
            <w:tcW w:w="1417" w:type="dxa"/>
            <w:tcBorders>
              <w:tl2br w:val="nil"/>
              <w:tr2bl w:val="nil"/>
            </w:tcBorders>
            <w:noWrap w:val="0"/>
            <w:vAlign w:val="center"/>
          </w:tcPr>
          <w:p>
            <w:pPr>
              <w:spacing w:line="30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2227.3</w:t>
            </w:r>
          </w:p>
        </w:tc>
        <w:tc>
          <w:tcPr>
            <w:tcW w:w="885" w:type="dxa"/>
            <w:tcBorders>
              <w:tl2br w:val="nil"/>
              <w:tr2bl w:val="nil"/>
            </w:tcBorders>
            <w:noWrap w:val="0"/>
            <w:vAlign w:val="center"/>
          </w:tcPr>
          <w:p>
            <w:pPr>
              <w:spacing w:line="300" w:lineRule="exact"/>
              <w:jc w:val="center"/>
              <w:rPr>
                <w:color w:val="auto"/>
                <w:sz w:val="21"/>
                <w:szCs w:val="21"/>
                <w:highlight w:val="none"/>
              </w:rPr>
            </w:pPr>
            <w:r>
              <w:rPr>
                <w:color w:val="auto"/>
                <w:sz w:val="21"/>
                <w:szCs w:val="21"/>
                <w:highlight w:val="none"/>
              </w:rPr>
              <w:t>100%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9286" w:type="dxa"/>
            <w:gridSpan w:val="5"/>
            <w:tcBorders>
              <w:tl2br w:val="nil"/>
              <w:tr2bl w:val="nil"/>
            </w:tcBorders>
            <w:noWrap w:val="0"/>
            <w:vAlign w:val="center"/>
          </w:tcPr>
          <w:p>
            <w:pPr>
              <w:spacing w:line="300" w:lineRule="exact"/>
              <w:rPr>
                <w:color w:val="auto"/>
                <w:sz w:val="21"/>
                <w:szCs w:val="21"/>
                <w:highlight w:val="none"/>
              </w:rPr>
            </w:pPr>
            <w:r>
              <w:rPr>
                <w:color w:val="auto"/>
                <w:sz w:val="18"/>
                <w:szCs w:val="18"/>
                <w:highlight w:val="none"/>
              </w:rPr>
              <w:t>备注:镍镀层密度8.9g/cm</w:t>
            </w:r>
            <w:r>
              <w:rPr>
                <w:color w:val="auto"/>
                <w:sz w:val="18"/>
                <w:szCs w:val="18"/>
                <w:highlight w:val="none"/>
                <w:vertAlign w:val="superscript"/>
              </w:rPr>
              <w:t>3</w:t>
            </w:r>
            <w:r>
              <w:rPr>
                <w:color w:val="auto"/>
                <w:sz w:val="18"/>
                <w:szCs w:val="18"/>
                <w:highlight w:val="none"/>
              </w:rPr>
              <w:t>。来源《电镀手册 第三版》</w:t>
            </w:r>
          </w:p>
        </w:tc>
      </w:tr>
    </w:tbl>
    <w:p>
      <w:pPr>
        <w:pStyle w:val="19"/>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ascii="Times New Roman" w:hAnsi="Times New Roman"/>
          <w:color w:val="auto"/>
          <w:szCs w:val="21"/>
          <w:highlight w:val="none"/>
        </w:rPr>
      </w:pPr>
      <w:r>
        <w:rPr>
          <w:color w:val="auto"/>
          <w:sz w:val="24"/>
          <w:highlight w:val="none"/>
        </w:rPr>
        <w:pict>
          <v:group id="_x0000_s2103" o:spid="_x0000_s2103" o:spt="203" style="height:212.75pt;width:470.2pt;" coordorigin="1418,2510" coordsize="9404,4255" editas="canvas">
            <o:lock v:ext="edit"/>
            <v:shape id="_x0000_s2104" o:spid="_x0000_s2104" o:spt="75" type="#_x0000_t75" style="position:absolute;left:1418;top:2510;height:4255;width:9404;" filled="f" stroked="f" coordsize="21600,21600">
              <v:path/>
              <v:fill on="f" focussize="0,0"/>
              <v:stroke on="f"/>
              <v:imagedata o:title=""/>
              <o:lock v:ext="edit" rotation="t" text="t" aspectratio="t"/>
            </v:shape>
            <v:rect id="_x0000_s2107" o:spid="_x0000_s2107" o:spt="1" style="position:absolute;left:4806;top:2545;height:955;width:1691;" fillcolor="#FFFFFF" filled="t" stroked="t" coordsize="21600,21600">
              <v:path/>
              <v:fill on="t" color2="#FFFFFF" focussize="0,0"/>
              <v:stroke color="#000000" joinstyle="miter"/>
              <v:imagedata o:title=""/>
              <o:lock v:ext="edit" aspectratio="f"/>
              <v:textbox>
                <w:txbxContent>
                  <w:p>
                    <w:pPr>
                      <w:jc w:val="center"/>
                      <w:rPr>
                        <w:rFonts w:hint="eastAsia"/>
                        <w:color w:val="auto"/>
                        <w:sz w:val="21"/>
                        <w:szCs w:val="21"/>
                      </w:rPr>
                    </w:pPr>
                    <w:r>
                      <w:rPr>
                        <w:color w:val="auto"/>
                        <w:sz w:val="21"/>
                        <w:szCs w:val="21"/>
                      </w:rPr>
                      <w:t>镍</w:t>
                    </w:r>
                    <w:r>
                      <w:rPr>
                        <w:rFonts w:hint="eastAsia"/>
                        <w:color w:val="auto"/>
                        <w:sz w:val="21"/>
                        <w:szCs w:val="21"/>
                      </w:rPr>
                      <w:t>饼</w:t>
                    </w:r>
                    <w:r>
                      <w:rPr>
                        <w:rFonts w:hint="eastAsia"/>
                        <w:color w:val="auto"/>
                        <w:sz w:val="21"/>
                        <w:szCs w:val="21"/>
                        <w:lang w:val="en-US" w:eastAsia="zh-CN"/>
                      </w:rPr>
                      <w:t>2000</w:t>
                    </w:r>
                    <w:r>
                      <w:rPr>
                        <w:rFonts w:hint="eastAsia"/>
                        <w:color w:val="auto"/>
                        <w:sz w:val="21"/>
                        <w:szCs w:val="21"/>
                      </w:rPr>
                      <w:t>、</w:t>
                    </w:r>
                  </w:p>
                  <w:p>
                    <w:pPr>
                      <w:pStyle w:val="19"/>
                      <w:jc w:val="center"/>
                      <w:rPr>
                        <w:rFonts w:hint="eastAsia"/>
                        <w:color w:val="auto"/>
                        <w:sz w:val="21"/>
                        <w:szCs w:val="21"/>
                      </w:rPr>
                    </w:pPr>
                    <w:r>
                      <w:rPr>
                        <w:rFonts w:ascii="Times New Roman" w:hAnsi="Times New Roman"/>
                        <w:color w:val="auto"/>
                        <w:sz w:val="21"/>
                        <w:szCs w:val="21"/>
                      </w:rPr>
                      <w:t>硫酸镍</w:t>
                    </w:r>
                    <w:r>
                      <w:rPr>
                        <w:rFonts w:hint="eastAsia" w:ascii="Times New Roman" w:hAnsi="Times New Roman"/>
                        <w:color w:val="auto"/>
                        <w:sz w:val="21"/>
                        <w:szCs w:val="21"/>
                        <w:lang w:val="en-US" w:eastAsia="zh-CN"/>
                      </w:rPr>
                      <w:t>700</w:t>
                    </w:r>
                    <w:r>
                      <w:rPr>
                        <w:rFonts w:hint="eastAsia"/>
                        <w:color w:val="auto"/>
                        <w:sz w:val="21"/>
                        <w:szCs w:val="21"/>
                      </w:rPr>
                      <w:t>、</w:t>
                    </w:r>
                  </w:p>
                  <w:p>
                    <w:pPr>
                      <w:pStyle w:val="19"/>
                      <w:jc w:val="center"/>
                      <w:rPr>
                        <w:rFonts w:hint="eastAsia" w:eastAsia="宋体"/>
                        <w:color w:val="auto"/>
                        <w:sz w:val="21"/>
                        <w:szCs w:val="21"/>
                        <w:lang w:val="en-US" w:eastAsia="zh-CN"/>
                      </w:rPr>
                    </w:pPr>
                    <w:r>
                      <w:rPr>
                        <w:rFonts w:ascii="Times New Roman" w:hAnsi="Times New Roman"/>
                        <w:color w:val="auto"/>
                        <w:sz w:val="21"/>
                        <w:szCs w:val="21"/>
                      </w:rPr>
                      <w:t>氯化镍</w:t>
                    </w:r>
                    <w:r>
                      <w:rPr>
                        <w:rFonts w:hint="eastAsia" w:ascii="Times New Roman" w:hAnsi="Times New Roman"/>
                        <w:color w:val="auto"/>
                        <w:sz w:val="21"/>
                        <w:szCs w:val="21"/>
                        <w:lang w:val="en-US" w:eastAsia="zh-CN"/>
                      </w:rPr>
                      <w:t>300</w:t>
                    </w:r>
                  </w:p>
                  <w:p/>
                </w:txbxContent>
              </v:textbox>
            </v:rect>
            <v:shape id="_x0000_s2115" o:spid="_x0000_s2115" o:spt="32" type="#_x0000_t32" style="position:absolute;left:5652;top:3383;height:351;width:8;" filled="f" stroked="t" coordsize="21600,21600">
              <v:path arrowok="t"/>
              <v:fill on="f" focussize="0,0"/>
              <v:stroke color="#000000" endarrow="block"/>
              <v:imagedata o:title=""/>
              <o:lock v:ext="edit" aspectratio="f"/>
            </v:shape>
            <v:rect id="_x0000_s2675" o:spid="_x0000_s2675" o:spt="1" style="position:absolute;left:4807;top:3748;height:486;width:1933;" fillcolor="#FFFFFF" filled="t" stroked="t" coordsize="21600,21600">
              <v:path/>
              <v:fill on="t" color2="#FFFFFF" focussize="0,0"/>
              <v:stroke color="#000000" joinstyle="miter"/>
              <v:imagedata o:title=""/>
              <o:lock v:ext="edit" aspectratio="f"/>
              <v:textbox>
                <w:txbxContent>
                  <w:p>
                    <w:pPr>
                      <w:rPr>
                        <w:rFonts w:hint="eastAsia" w:eastAsia="宋体"/>
                        <w:lang w:val="en-US" w:eastAsia="zh-CN"/>
                      </w:rPr>
                    </w:pPr>
                    <w:r>
                      <w:rPr>
                        <w:rFonts w:hint="eastAsia"/>
                      </w:rPr>
                      <w:t>折合</w:t>
                    </w:r>
                    <w:r>
                      <w:rPr>
                        <w:rFonts w:hint="eastAsia"/>
                        <w:lang w:val="en-US" w:eastAsia="zh-CN"/>
                      </w:rPr>
                      <w:t>镍</w:t>
                    </w:r>
                    <w:r>
                      <w:rPr>
                        <w:rFonts w:hint="eastAsia"/>
                      </w:rPr>
                      <w:t>：</w:t>
                    </w:r>
                    <w:r>
                      <w:rPr>
                        <w:rFonts w:hint="eastAsia"/>
                        <w:lang w:val="en-US" w:eastAsia="zh-CN"/>
                      </w:rPr>
                      <w:t>1727.8</w:t>
                    </w:r>
                  </w:p>
                </w:txbxContent>
              </v:textbox>
            </v:rect>
            <v:shape id="_x0000_s2676" o:spid="_x0000_s2676" o:spt="32" type="#_x0000_t32" style="position:absolute;left:5642;top:4234;height:672;width:1;" filled="f" stroked="t" coordsize="21600,21600">
              <v:path arrowok="t"/>
              <v:fill on="f" focussize="0,0"/>
              <v:stroke color="#000000" endarrow="block"/>
              <v:imagedata o:title=""/>
              <o:lock v:ext="edit" aspectratio="f"/>
            </v:shape>
            <v:shape id="_x0000_s2677" o:spid="_x0000_s2677" o:spt="32" type="#_x0000_t32" style="position:absolute;left:3214;top:4535;height:2;width:4689;" filled="f" stroked="t" coordsize="21600,21600">
              <v:path arrowok="t"/>
              <v:fill on="f" focussize="0,0"/>
              <v:stroke color="#000000"/>
              <v:imagedata o:title=""/>
              <o:lock v:ext="edit" aspectratio="f"/>
            </v:shape>
            <v:shape id="_x0000_s2678" o:spid="_x0000_s2678" o:spt="32" type="#_x0000_t32" style="position:absolute;left:3214;top:4555;height:351;width:8;" filled="f" stroked="t" coordsize="21600,21600">
              <v:path arrowok="t"/>
              <v:fill on="f" focussize="0,0"/>
              <v:stroke color="#000000" endarrow="block"/>
              <v:imagedata o:title=""/>
              <o:lock v:ext="edit" aspectratio="f"/>
            </v:shape>
            <v:shape id="_x0000_s2679" o:spid="_x0000_s2679" o:spt="32" type="#_x0000_t32" style="position:absolute;left:7895;top:4535;height:351;width:8;" filled="f" stroked="t" coordsize="21600,21600">
              <v:path arrowok="t"/>
              <v:fill on="f" focussize="0,0"/>
              <v:stroke color="#000000" endarrow="block"/>
              <v:imagedata o:title=""/>
              <o:lock v:ext="edit" aspectratio="f"/>
            </v:shape>
            <v:rect id="_x0000_s2680" o:spid="_x0000_s2680" o:spt="1" style="position:absolute;left:2049;top:4906;height:486;width:1975;" fillcolor="#FFFFFF" filled="t" stroked="t" coordsize="21600,21600">
              <v:path/>
              <v:fill on="t" color2="#FFFFFF" focussize="0,0"/>
              <v:stroke color="#000000" joinstyle="miter"/>
              <v:imagedata o:title=""/>
              <o:lock v:ext="edit" aspectratio="f"/>
              <v:textbox>
                <w:txbxContent>
                  <w:p>
                    <w:pPr>
                      <w:rPr>
                        <w:rFonts w:hint="default" w:eastAsia="宋体"/>
                        <w:lang w:val="en-US" w:eastAsia="zh-CN"/>
                      </w:rPr>
                    </w:pPr>
                    <w:r>
                      <w:rPr>
                        <w:rFonts w:hint="eastAsia"/>
                      </w:rPr>
                      <w:t>进入镀层：</w:t>
                    </w:r>
                    <w:r>
                      <w:rPr>
                        <w:rFonts w:hint="eastAsia"/>
                        <w:lang w:val="en-US" w:eastAsia="zh-CN"/>
                      </w:rPr>
                      <w:t>1869</w:t>
                    </w:r>
                  </w:p>
                </w:txbxContent>
              </v:textbox>
            </v:rect>
            <v:rect id="_x0000_s2681" o:spid="_x0000_s2681" o:spt="1" style="position:absolute;left:4806;top:4886;height:486;width:1690;" fillcolor="#FFFFFF" filled="t" stroked="t" coordsize="21600,21600">
              <v:path/>
              <v:fill on="t" color2="#FFFFFF" focussize="0,0"/>
              <v:stroke color="#000000" joinstyle="miter"/>
              <v:imagedata o:title=""/>
              <o:lock v:ext="edit" aspectratio="f"/>
              <v:textbox>
                <w:txbxContent>
                  <w:p>
                    <w:pPr>
                      <w:rPr>
                        <w:rFonts w:hint="eastAsia" w:eastAsia="宋体"/>
                        <w:lang w:val="en-US" w:eastAsia="zh-CN"/>
                      </w:rPr>
                    </w:pPr>
                    <w:r>
                      <w:rPr>
                        <w:rFonts w:hint="eastAsia"/>
                      </w:rPr>
                      <w:t>进入废水：</w:t>
                    </w:r>
                    <w:r>
                      <w:rPr>
                        <w:rFonts w:hint="eastAsia"/>
                        <w:lang w:val="en-US" w:eastAsia="zh-CN"/>
                      </w:rPr>
                      <w:t>14</w:t>
                    </w:r>
                  </w:p>
                </w:txbxContent>
              </v:textbox>
            </v:rect>
            <v:rect id="_x0000_s2682" o:spid="_x0000_s2682" o:spt="1" style="position:absolute;left:7190;top:4886;height:486;width:2455;" fillcolor="#FFFFFF" filled="t" stroked="t" coordsize="21600,21600">
              <v:path/>
              <v:fill on="t" color2="#FFFFFF" focussize="0,0"/>
              <v:stroke color="#000000" joinstyle="miter"/>
              <v:imagedata o:title=""/>
              <o:lock v:ext="edit" aspectratio="f"/>
              <v:textbox>
                <w:txbxContent>
                  <w:p>
                    <w:pPr>
                      <w:rPr>
                        <w:rFonts w:hint="default" w:eastAsia="宋体"/>
                        <w:lang w:val="en-US" w:eastAsia="zh-CN"/>
                      </w:rPr>
                    </w:pPr>
                    <w:r>
                      <w:rPr>
                        <w:rFonts w:hint="eastAsia"/>
                      </w:rPr>
                      <w:t>进入镀液/损失：</w:t>
                    </w:r>
                    <w:r>
                      <w:rPr>
                        <w:rFonts w:hint="eastAsia"/>
                        <w:lang w:val="en-US" w:eastAsia="zh-CN"/>
                      </w:rPr>
                      <w:t>344.3</w:t>
                    </w:r>
                  </w:p>
                </w:txbxContent>
              </v:textbox>
            </v:rect>
            <v:shape id="_x0000_s2683" o:spid="_x0000_s2683" o:spt="32" type="#_x0000_t32" style="position:absolute;left:5643;top:5392;height:351;width:8;" filled="f" stroked="t" coordsize="21600,21600">
              <v:path arrowok="t"/>
              <v:fill on="f" focussize="0,0"/>
              <v:stroke color="#000000" endarrow="block"/>
              <v:imagedata o:title=""/>
              <o:lock v:ext="edit" aspectratio="f"/>
            </v:shape>
            <v:shape id="_x0000_s2684" o:spid="_x0000_s2684" o:spt="32" type="#_x0000_t32" style="position:absolute;left:4806;top:5741;height:2;width:1691;" filled="f" stroked="t" coordsize="21600,21600">
              <v:path arrowok="t"/>
              <v:fill on="f" focussize="0,0"/>
              <v:stroke color="#000000"/>
              <v:imagedata o:title=""/>
              <o:lock v:ext="edit" aspectratio="f"/>
            </v:shape>
            <v:shape id="_x0000_s2685" o:spid="_x0000_s2685" o:spt="32" type="#_x0000_t32" style="position:absolute;left:4806;top:5743;height:351;width:8;" filled="f" stroked="t" coordsize="21600,21600">
              <v:path arrowok="t"/>
              <v:fill on="f" focussize="0,0"/>
              <v:stroke color="#000000" endarrow="block"/>
              <v:imagedata o:title=""/>
              <o:lock v:ext="edit" aspectratio="f"/>
            </v:shape>
            <v:shape id="_x0000_s2686" o:spid="_x0000_s2686" o:spt="32" type="#_x0000_t32" style="position:absolute;left:6497;top:5743;height:351;width:8;" filled="f" stroked="t" coordsize="21600,21600">
              <v:path arrowok="t"/>
              <v:fill on="f" focussize="0,0"/>
              <v:stroke color="#000000" endarrow="block"/>
              <v:imagedata o:title=""/>
              <o:lock v:ext="edit" aspectratio="f"/>
            </v:shape>
            <v:rect id="_x0000_s2687" o:spid="_x0000_s2687" o:spt="1" style="position:absolute;left:3439;top:6094;height:486;width:1958;" fillcolor="#FFFFFF" filled="t" stroked="t" coordsize="21600,21600">
              <v:path/>
              <v:fill on="t" color2="#FFFFFF" focussize="0,0"/>
              <v:stroke color="#000000" joinstyle="miter"/>
              <v:imagedata o:title=""/>
              <o:lock v:ext="edit" aspectratio="f"/>
              <v:textbox>
                <w:txbxContent>
                  <w:p>
                    <w:pPr>
                      <w:rPr>
                        <w:rFonts w:hint="default" w:eastAsia="宋体"/>
                        <w:lang w:val="en-US" w:eastAsia="zh-CN"/>
                      </w:rPr>
                    </w:pPr>
                    <w:r>
                      <w:rPr>
                        <w:rFonts w:hint="eastAsia"/>
                      </w:rPr>
                      <w:t>污水站去除：</w:t>
                    </w:r>
                    <w:r>
                      <w:rPr>
                        <w:rFonts w:hint="eastAsia"/>
                        <w:lang w:val="en-US" w:eastAsia="zh-CN"/>
                      </w:rPr>
                      <w:t>13.95</w:t>
                    </w:r>
                  </w:p>
                </w:txbxContent>
              </v:textbox>
            </v:rect>
            <v:rect id="_x0000_s2688" o:spid="_x0000_s2688" o:spt="1" style="position:absolute;left:5883;top:6094;height:486;width:1690;" fillcolor="#FFFFFF" filled="t" stroked="t" coordsize="21600,21600">
              <v:path/>
              <v:fill on="t" color2="#FFFFFF" focussize="0,0"/>
              <v:stroke color="#000000" joinstyle="miter"/>
              <v:imagedata o:title=""/>
              <o:lock v:ext="edit" aspectratio="f"/>
              <v:textbox>
                <w:txbxContent>
                  <w:p>
                    <w:pPr>
                      <w:rPr>
                        <w:rFonts w:hint="default" w:eastAsia="宋体"/>
                        <w:lang w:val="en-US" w:eastAsia="zh-CN"/>
                      </w:rPr>
                    </w:pPr>
                    <w:r>
                      <w:rPr>
                        <w:rFonts w:hint="eastAsia"/>
                      </w:rPr>
                      <w:t>外排：</w:t>
                    </w:r>
                    <w:r>
                      <w:rPr>
                        <w:rFonts w:hint="eastAsia"/>
                        <w:lang w:val="en-US" w:eastAsia="zh-CN"/>
                      </w:rPr>
                      <w:t>0.05</w:t>
                    </w:r>
                  </w:p>
                </w:txbxContent>
              </v:textbox>
            </v:rect>
            <w10:wrap type="none"/>
            <w10:anchorlock/>
          </v:group>
        </w:pict>
      </w:r>
    </w:p>
    <w:p>
      <w:pPr>
        <w:spacing w:line="440" w:lineRule="exact"/>
        <w:ind w:firstLine="480"/>
        <w:jc w:val="center"/>
        <w:rPr>
          <w:rFonts w:eastAsia="黑体"/>
          <w:color w:val="auto"/>
          <w:sz w:val="24"/>
          <w:highlight w:val="none"/>
        </w:rPr>
      </w:pPr>
      <w:r>
        <w:rPr>
          <w:rFonts w:eastAsia="黑体"/>
          <w:color w:val="auto"/>
          <w:sz w:val="24"/>
          <w:highlight w:val="none"/>
        </w:rPr>
        <w:t>图</w:t>
      </w:r>
      <w:r>
        <w:rPr>
          <w:rFonts w:hint="eastAsia" w:eastAsia="黑体"/>
          <w:color w:val="auto"/>
          <w:sz w:val="24"/>
          <w:highlight w:val="none"/>
          <w:lang w:val="en-US" w:eastAsia="zh-CN"/>
        </w:rPr>
        <w:t>2.3</w:t>
      </w:r>
      <w:r>
        <w:rPr>
          <w:rFonts w:eastAsia="黑体"/>
          <w:color w:val="auto"/>
          <w:sz w:val="24"/>
          <w:highlight w:val="none"/>
        </w:rPr>
        <w:t>-3  镍平衡图    单位：kg/a</w:t>
      </w:r>
    </w:p>
    <w:p>
      <w:pPr>
        <w:spacing w:line="440" w:lineRule="exact"/>
        <w:ind w:firstLine="480"/>
        <w:rPr>
          <w:color w:val="auto"/>
          <w:sz w:val="24"/>
          <w:highlight w:val="none"/>
        </w:rPr>
      </w:pPr>
      <w:r>
        <w:rPr>
          <w:color w:val="auto"/>
          <w:sz w:val="24"/>
          <w:highlight w:val="none"/>
        </w:rPr>
        <w:t>4、铬平衡</w:t>
      </w:r>
    </w:p>
    <w:p>
      <w:pPr>
        <w:pStyle w:val="14"/>
        <w:keepNext w:val="0"/>
        <w:keepLines w:val="0"/>
        <w:pageBreakBefore w:val="0"/>
        <w:widowControl w:val="0"/>
        <w:pBdr>
          <w:bottom w:val="dotted" w:color="000000" w:sz="4" w:space="0"/>
        </w:pBdr>
        <w:kinsoku/>
        <w:wordWrap/>
        <w:overflowPunct/>
        <w:topLinePunct w:val="0"/>
        <w:autoSpaceDE/>
        <w:autoSpaceDN/>
        <w:bidi w:val="0"/>
        <w:adjustRightInd/>
        <w:snapToGrid/>
        <w:spacing w:after="0" w:line="240" w:lineRule="auto"/>
        <w:ind w:firstLine="0"/>
        <w:jc w:val="center"/>
        <w:textAlignment w:val="auto"/>
        <w:outlineLvl w:val="9"/>
        <w:rPr>
          <w:rFonts w:eastAsia="黑体"/>
          <w:color w:val="auto"/>
          <w:sz w:val="24"/>
          <w:szCs w:val="24"/>
          <w:highlight w:val="none"/>
        </w:rPr>
      </w:pPr>
      <w:r>
        <w:rPr>
          <w:rFonts w:eastAsia="黑体"/>
          <w:color w:val="auto"/>
          <w:sz w:val="24"/>
          <w:szCs w:val="24"/>
          <w:highlight w:val="none"/>
        </w:rPr>
        <w:t>表</w:t>
      </w:r>
      <w:r>
        <w:rPr>
          <w:rFonts w:hint="eastAsia" w:eastAsia="黑体"/>
          <w:color w:val="auto"/>
          <w:sz w:val="24"/>
          <w:szCs w:val="24"/>
          <w:highlight w:val="none"/>
          <w:lang w:val="en-US" w:eastAsia="zh-CN"/>
        </w:rPr>
        <w:t>2.3</w:t>
      </w:r>
      <w:r>
        <w:rPr>
          <w:rFonts w:eastAsia="黑体"/>
          <w:color w:val="auto"/>
          <w:sz w:val="24"/>
          <w:szCs w:val="24"/>
          <w:highlight w:val="none"/>
        </w:rPr>
        <w:t>-4  铬平衡表</w:t>
      </w:r>
    </w:p>
    <w:tbl>
      <w:tblPr>
        <w:tblStyle w:val="36"/>
        <w:tblW w:w="9286" w:type="dxa"/>
        <w:jc w:val="center"/>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2359"/>
        <w:gridCol w:w="1372"/>
        <w:gridCol w:w="2381"/>
        <w:gridCol w:w="1367"/>
        <w:gridCol w:w="1807"/>
      </w:tblGrid>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jc w:val="center"/>
        </w:trPr>
        <w:tc>
          <w:tcPr>
            <w:tcW w:w="3731" w:type="dxa"/>
            <w:gridSpan w:val="2"/>
            <w:tcBorders>
              <w:tl2br w:val="nil"/>
              <w:tr2bl w:val="nil"/>
            </w:tcBorders>
            <w:noWrap w:val="0"/>
            <w:vAlign w:val="center"/>
          </w:tcPr>
          <w:p>
            <w:pPr>
              <w:pStyle w:val="19"/>
              <w:spacing w:line="300" w:lineRule="exact"/>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输入kg/a</w:t>
            </w:r>
          </w:p>
        </w:tc>
        <w:tc>
          <w:tcPr>
            <w:tcW w:w="5555" w:type="dxa"/>
            <w:gridSpan w:val="3"/>
            <w:tcBorders>
              <w:tl2br w:val="nil"/>
              <w:tr2bl w:val="nil"/>
            </w:tcBorders>
            <w:noWrap w:val="0"/>
            <w:vAlign w:val="center"/>
          </w:tcPr>
          <w:p>
            <w:pPr>
              <w:pStyle w:val="19"/>
              <w:spacing w:line="300" w:lineRule="exact"/>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输出kg/a</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jc w:val="center"/>
        </w:trPr>
        <w:tc>
          <w:tcPr>
            <w:tcW w:w="2359" w:type="dxa"/>
            <w:tcBorders>
              <w:tl2br w:val="nil"/>
              <w:tr2bl w:val="nil"/>
            </w:tcBorders>
            <w:noWrap w:val="0"/>
            <w:vAlign w:val="center"/>
          </w:tcPr>
          <w:p>
            <w:pPr>
              <w:pStyle w:val="19"/>
              <w:spacing w:line="300" w:lineRule="exact"/>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物料</w:t>
            </w:r>
          </w:p>
        </w:tc>
        <w:tc>
          <w:tcPr>
            <w:tcW w:w="1372" w:type="dxa"/>
            <w:tcBorders>
              <w:tl2br w:val="nil"/>
              <w:tr2bl w:val="nil"/>
            </w:tcBorders>
            <w:noWrap w:val="0"/>
            <w:vAlign w:val="center"/>
          </w:tcPr>
          <w:p>
            <w:pPr>
              <w:pStyle w:val="19"/>
              <w:spacing w:line="300" w:lineRule="exact"/>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折合成铬</w:t>
            </w:r>
          </w:p>
        </w:tc>
        <w:tc>
          <w:tcPr>
            <w:tcW w:w="2381" w:type="dxa"/>
            <w:tcBorders>
              <w:tl2br w:val="nil"/>
              <w:tr2bl w:val="nil"/>
            </w:tcBorders>
            <w:noWrap w:val="0"/>
            <w:vAlign w:val="center"/>
          </w:tcPr>
          <w:p>
            <w:pPr>
              <w:pStyle w:val="19"/>
              <w:spacing w:line="300" w:lineRule="exact"/>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产出物</w:t>
            </w:r>
          </w:p>
        </w:tc>
        <w:tc>
          <w:tcPr>
            <w:tcW w:w="1367" w:type="dxa"/>
            <w:tcBorders>
              <w:tl2br w:val="nil"/>
              <w:tr2bl w:val="nil"/>
            </w:tcBorders>
            <w:noWrap w:val="0"/>
            <w:vAlign w:val="center"/>
          </w:tcPr>
          <w:p>
            <w:pPr>
              <w:pStyle w:val="19"/>
              <w:spacing w:line="300" w:lineRule="exact"/>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折合成铬</w:t>
            </w:r>
          </w:p>
        </w:tc>
        <w:tc>
          <w:tcPr>
            <w:tcW w:w="1807" w:type="dxa"/>
            <w:tcBorders>
              <w:tl2br w:val="nil"/>
              <w:tr2bl w:val="nil"/>
            </w:tcBorders>
            <w:noWrap w:val="0"/>
            <w:vAlign w:val="center"/>
          </w:tcPr>
          <w:p>
            <w:pPr>
              <w:pStyle w:val="19"/>
              <w:spacing w:line="300" w:lineRule="exact"/>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比例</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jc w:val="center"/>
        </w:trPr>
        <w:tc>
          <w:tcPr>
            <w:tcW w:w="2359" w:type="dxa"/>
            <w:vMerge w:val="restart"/>
            <w:tcBorders>
              <w:tl2br w:val="nil"/>
              <w:tr2bl w:val="nil"/>
            </w:tcBorders>
            <w:noWrap w:val="0"/>
            <w:vAlign w:val="center"/>
          </w:tcPr>
          <w:p>
            <w:pPr>
              <w:pStyle w:val="19"/>
              <w:spacing w:line="30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铬酐</w:t>
            </w:r>
            <w:r>
              <w:rPr>
                <w:rFonts w:hint="eastAsia" w:ascii="Times New Roman" w:hAnsi="Times New Roman" w:cs="Times New Roman"/>
                <w:color w:val="auto"/>
                <w:sz w:val="21"/>
                <w:szCs w:val="21"/>
                <w:highlight w:val="none"/>
                <w:lang w:val="en-US" w:eastAsia="zh-CN"/>
              </w:rPr>
              <w:t>20</w:t>
            </w:r>
            <w:r>
              <w:rPr>
                <w:rFonts w:hint="default" w:ascii="Times New Roman" w:hAnsi="Times New Roman" w:cs="Times New Roman"/>
                <w:color w:val="auto"/>
                <w:sz w:val="21"/>
                <w:szCs w:val="21"/>
                <w:highlight w:val="none"/>
              </w:rPr>
              <w:t>0</w:t>
            </w:r>
          </w:p>
          <w:p>
            <w:pPr>
              <w:pStyle w:val="19"/>
              <w:spacing w:line="30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CrO</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rPr>
              <w:t>，铬52%</w:t>
            </w:r>
          </w:p>
        </w:tc>
        <w:tc>
          <w:tcPr>
            <w:tcW w:w="1372" w:type="dxa"/>
            <w:vMerge w:val="restart"/>
            <w:tcBorders>
              <w:tl2br w:val="nil"/>
              <w:tr2bl w:val="nil"/>
            </w:tcBorders>
            <w:noWrap w:val="0"/>
            <w:vAlign w:val="center"/>
          </w:tcPr>
          <w:p>
            <w:pPr>
              <w:pStyle w:val="19"/>
              <w:spacing w:line="300" w:lineRule="exact"/>
              <w:jc w:val="center"/>
              <w:rPr>
                <w:rFonts w:hint="default" w:ascii="Times New Roman" w:hAnsi="Times New Roman" w:cs="Times New Roman"/>
                <w:color w:val="auto"/>
                <w:sz w:val="21"/>
                <w:szCs w:val="21"/>
                <w:highlight w:val="none"/>
                <w:lang w:val="en-US"/>
              </w:rPr>
            </w:pPr>
            <w:r>
              <w:rPr>
                <w:rFonts w:hint="eastAsia" w:ascii="Times New Roman" w:hAnsi="Times New Roman" w:cs="Times New Roman"/>
                <w:color w:val="auto"/>
                <w:sz w:val="21"/>
                <w:szCs w:val="21"/>
                <w:highlight w:val="none"/>
                <w:lang w:val="en-US" w:eastAsia="zh-CN"/>
              </w:rPr>
              <w:t>104</w:t>
            </w:r>
          </w:p>
        </w:tc>
        <w:tc>
          <w:tcPr>
            <w:tcW w:w="2381" w:type="dxa"/>
            <w:tcBorders>
              <w:tl2br w:val="nil"/>
              <w:tr2bl w:val="nil"/>
            </w:tcBorders>
            <w:noWrap w:val="0"/>
            <w:vAlign w:val="center"/>
          </w:tcPr>
          <w:p>
            <w:pPr>
              <w:pStyle w:val="19"/>
              <w:spacing w:line="30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进入铬镀层</w:t>
            </w:r>
          </w:p>
        </w:tc>
        <w:tc>
          <w:tcPr>
            <w:tcW w:w="1367" w:type="dxa"/>
            <w:tcBorders>
              <w:tl2br w:val="nil"/>
              <w:tr2bl w:val="nil"/>
            </w:tcBorders>
            <w:noWrap w:val="0"/>
            <w:vAlign w:val="bottom"/>
          </w:tcPr>
          <w:p>
            <w:pPr>
              <w:keepNext w:val="0"/>
              <w:keepLines w:val="0"/>
              <w:widowControl/>
              <w:suppressLineNumbers w:val="0"/>
              <w:jc w:val="center"/>
              <w:textAlignment w:val="bottom"/>
              <w:rPr>
                <w:rFonts w:hint="default" w:ascii="Times New Roman" w:hAnsi="Times New Roman" w:cs="Times New Roman"/>
                <w:color w:val="auto"/>
                <w:sz w:val="21"/>
                <w:szCs w:val="21"/>
                <w:highlight w:val="none"/>
                <w:lang w:val="en-US"/>
              </w:rPr>
            </w:pPr>
            <w:r>
              <w:rPr>
                <w:rFonts w:hint="eastAsia" w:cs="Times New Roman"/>
                <w:i w:val="0"/>
                <w:color w:val="auto"/>
                <w:kern w:val="0"/>
                <w:sz w:val="21"/>
                <w:szCs w:val="21"/>
                <w:highlight w:val="none"/>
                <w:u w:val="none"/>
                <w:lang w:val="en-US" w:eastAsia="zh-CN" w:bidi="ar"/>
              </w:rPr>
              <w:t>108.3</w:t>
            </w:r>
          </w:p>
        </w:tc>
        <w:tc>
          <w:tcPr>
            <w:tcW w:w="1807" w:type="dxa"/>
            <w:tcBorders>
              <w:tl2br w:val="nil"/>
              <w:tr2bl w:val="nil"/>
            </w:tcBorders>
            <w:noWrap w:val="0"/>
            <w:vAlign w:val="bottom"/>
          </w:tcPr>
          <w:p>
            <w:pPr>
              <w:keepNext w:val="0"/>
              <w:keepLines w:val="0"/>
              <w:widowControl/>
              <w:suppressLineNumbers w:val="0"/>
              <w:jc w:val="center"/>
              <w:textAlignment w:val="bottom"/>
              <w:rPr>
                <w:rFonts w:hint="default" w:ascii="Times New Roman" w:hAnsi="Times New Roman" w:cs="Times New Roman"/>
                <w:strike/>
                <w:color w:val="auto"/>
                <w:sz w:val="21"/>
                <w:szCs w:val="21"/>
                <w:highlight w:val="none"/>
              </w:rPr>
            </w:pPr>
            <w:r>
              <w:rPr>
                <w:rFonts w:hint="eastAsia" w:cs="Times New Roman"/>
                <w:i w:val="0"/>
                <w:color w:val="auto"/>
                <w:kern w:val="0"/>
                <w:sz w:val="21"/>
                <w:szCs w:val="21"/>
                <w:highlight w:val="none"/>
                <w:u w:val="none"/>
                <w:lang w:val="en-US" w:eastAsia="zh-CN" w:bidi="ar"/>
              </w:rPr>
              <w:t>40</w:t>
            </w:r>
            <w:r>
              <w:rPr>
                <w:rFonts w:hint="default" w:ascii="Times New Roman" w:hAnsi="Times New Roman" w:eastAsia="宋体" w:cs="Times New Roman"/>
                <w:i w:val="0"/>
                <w:color w:val="auto"/>
                <w:kern w:val="0"/>
                <w:sz w:val="21"/>
                <w:szCs w:val="21"/>
                <w:highlight w:val="none"/>
                <w:u w:val="none"/>
                <w:lang w:val="en-US" w:eastAsia="zh-CN" w:bidi="ar"/>
              </w:rPr>
              <w:t>%</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jc w:val="center"/>
        </w:trPr>
        <w:tc>
          <w:tcPr>
            <w:tcW w:w="2359" w:type="dxa"/>
            <w:vMerge w:val="continue"/>
            <w:tcBorders>
              <w:tl2br w:val="nil"/>
              <w:tr2bl w:val="nil"/>
            </w:tcBorders>
            <w:noWrap w:val="0"/>
            <w:vAlign w:val="center"/>
          </w:tcPr>
          <w:p>
            <w:pPr>
              <w:pStyle w:val="19"/>
              <w:spacing w:line="300" w:lineRule="exact"/>
              <w:jc w:val="center"/>
              <w:rPr>
                <w:rFonts w:hint="default" w:ascii="Times New Roman" w:hAnsi="Times New Roman" w:cs="Times New Roman"/>
                <w:color w:val="auto"/>
                <w:sz w:val="21"/>
                <w:szCs w:val="21"/>
                <w:highlight w:val="none"/>
              </w:rPr>
            </w:pPr>
          </w:p>
        </w:tc>
        <w:tc>
          <w:tcPr>
            <w:tcW w:w="1372" w:type="dxa"/>
            <w:vMerge w:val="continue"/>
            <w:tcBorders>
              <w:tl2br w:val="nil"/>
              <w:tr2bl w:val="nil"/>
            </w:tcBorders>
            <w:noWrap w:val="0"/>
            <w:vAlign w:val="center"/>
          </w:tcPr>
          <w:p>
            <w:pPr>
              <w:pStyle w:val="19"/>
              <w:spacing w:line="300" w:lineRule="exact"/>
              <w:jc w:val="center"/>
              <w:rPr>
                <w:rFonts w:hint="default" w:ascii="Times New Roman" w:hAnsi="Times New Roman" w:cs="Times New Roman"/>
                <w:color w:val="auto"/>
                <w:sz w:val="21"/>
                <w:szCs w:val="21"/>
                <w:highlight w:val="none"/>
              </w:rPr>
            </w:pPr>
          </w:p>
        </w:tc>
        <w:tc>
          <w:tcPr>
            <w:tcW w:w="2381" w:type="dxa"/>
            <w:tcBorders>
              <w:tl2br w:val="nil"/>
              <w:tr2bl w:val="nil"/>
            </w:tcBorders>
            <w:noWrap w:val="0"/>
            <w:vAlign w:val="center"/>
          </w:tcPr>
          <w:p>
            <w:pPr>
              <w:pStyle w:val="19"/>
              <w:spacing w:line="300" w:lineRule="exact"/>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进入废气</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铬酸雾</w:t>
            </w:r>
            <w:r>
              <w:rPr>
                <w:rFonts w:hint="eastAsia" w:ascii="Times New Roman" w:hAnsi="Times New Roman" w:cs="Times New Roman"/>
                <w:color w:val="auto"/>
                <w:sz w:val="21"/>
                <w:szCs w:val="21"/>
                <w:highlight w:val="none"/>
                <w:lang w:eastAsia="zh-CN"/>
              </w:rPr>
              <w:t>)</w:t>
            </w:r>
          </w:p>
        </w:tc>
        <w:tc>
          <w:tcPr>
            <w:tcW w:w="1367" w:type="dxa"/>
            <w:tcBorders>
              <w:tl2br w:val="nil"/>
              <w:tr2bl w:val="nil"/>
            </w:tcBorders>
            <w:noWrap w:val="0"/>
            <w:vAlign w:val="bottom"/>
          </w:tcPr>
          <w:p>
            <w:pPr>
              <w:keepNext w:val="0"/>
              <w:keepLines w:val="0"/>
              <w:widowControl/>
              <w:suppressLineNumbers w:val="0"/>
              <w:jc w:val="center"/>
              <w:textAlignment w:val="bottom"/>
              <w:rPr>
                <w:rFonts w:hint="default" w:ascii="Times New Roman" w:hAnsi="Times New Roman" w:cs="Times New Roman"/>
                <w:color w:val="auto"/>
                <w:sz w:val="21"/>
                <w:szCs w:val="21"/>
                <w:highlight w:val="none"/>
                <w:lang w:val="en-US"/>
              </w:rPr>
            </w:pPr>
            <w:r>
              <w:rPr>
                <w:rFonts w:hint="eastAsia" w:cs="Times New Roman"/>
                <w:i w:val="0"/>
                <w:color w:val="auto"/>
                <w:kern w:val="0"/>
                <w:sz w:val="21"/>
                <w:szCs w:val="21"/>
                <w:highlight w:val="none"/>
                <w:u w:val="none"/>
                <w:lang w:val="en-US" w:eastAsia="zh-CN" w:bidi="ar"/>
              </w:rPr>
              <w:t>5.4</w:t>
            </w:r>
          </w:p>
        </w:tc>
        <w:tc>
          <w:tcPr>
            <w:tcW w:w="1807" w:type="dxa"/>
            <w:tcBorders>
              <w:tl2br w:val="nil"/>
              <w:tr2bl w:val="nil"/>
            </w:tcBorders>
            <w:noWrap w:val="0"/>
            <w:vAlign w:val="bottom"/>
          </w:tcPr>
          <w:p>
            <w:pPr>
              <w:keepNext w:val="0"/>
              <w:keepLines w:val="0"/>
              <w:widowControl/>
              <w:suppressLineNumbers w:val="0"/>
              <w:jc w:val="center"/>
              <w:textAlignment w:val="bottom"/>
              <w:rPr>
                <w:rFonts w:hint="default" w:ascii="Times New Roman" w:hAnsi="Times New Roman" w:cs="Times New Roman"/>
                <w:color w:val="auto"/>
                <w:sz w:val="21"/>
                <w:szCs w:val="21"/>
                <w:highlight w:val="none"/>
              </w:rPr>
            </w:pPr>
            <w:r>
              <w:rPr>
                <w:rFonts w:hint="eastAsia" w:cs="Times New Roman"/>
                <w:i w:val="0"/>
                <w:color w:val="auto"/>
                <w:kern w:val="0"/>
                <w:sz w:val="21"/>
                <w:szCs w:val="21"/>
                <w:highlight w:val="none"/>
                <w:u w:val="none"/>
                <w:lang w:val="en-US" w:eastAsia="zh-CN" w:bidi="ar"/>
              </w:rPr>
              <w:t>2.01</w:t>
            </w:r>
            <w:r>
              <w:rPr>
                <w:rFonts w:hint="default" w:ascii="Times New Roman" w:hAnsi="Times New Roman" w:eastAsia="宋体" w:cs="Times New Roman"/>
                <w:i w:val="0"/>
                <w:color w:val="auto"/>
                <w:kern w:val="0"/>
                <w:sz w:val="21"/>
                <w:szCs w:val="21"/>
                <w:highlight w:val="none"/>
                <w:u w:val="none"/>
                <w:lang w:val="en-US" w:eastAsia="zh-CN" w:bidi="ar"/>
              </w:rPr>
              <w:t>%</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jc w:val="center"/>
        </w:trPr>
        <w:tc>
          <w:tcPr>
            <w:tcW w:w="2359" w:type="dxa"/>
            <w:vMerge w:val="restart"/>
            <w:tcBorders>
              <w:tl2br w:val="nil"/>
              <w:tr2bl w:val="nil"/>
            </w:tcBorders>
            <w:noWrap w:val="0"/>
            <w:vAlign w:val="center"/>
          </w:tcPr>
          <w:p>
            <w:pPr>
              <w:pStyle w:val="19"/>
              <w:spacing w:line="300" w:lineRule="exact"/>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三价铬钝化液2000</w:t>
            </w:r>
            <w:r>
              <w:rPr>
                <w:rFonts w:hint="default"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lang w:val="en-US" w:eastAsia="zh-CN"/>
              </w:rPr>
              <w:t>氯化铬0.25，</w:t>
            </w:r>
            <w:r>
              <w:rPr>
                <w:rFonts w:hint="default" w:ascii="Times New Roman" w:hAnsi="Times New Roman" w:cs="Times New Roman"/>
                <w:color w:val="auto"/>
                <w:sz w:val="21"/>
                <w:szCs w:val="21"/>
                <w:highlight w:val="none"/>
              </w:rPr>
              <w:t>铬</w:t>
            </w:r>
            <w:r>
              <w:rPr>
                <w:rFonts w:hint="eastAsia" w:ascii="Times New Roman" w:hAnsi="Times New Roman" w:cs="Times New Roman"/>
                <w:color w:val="auto"/>
                <w:sz w:val="21"/>
                <w:szCs w:val="21"/>
                <w:highlight w:val="none"/>
                <w:lang w:val="en-US" w:eastAsia="zh-CN"/>
              </w:rPr>
              <w:t>33</w:t>
            </w:r>
            <w:r>
              <w:rPr>
                <w:rFonts w:hint="default" w:ascii="Times New Roman" w:hAnsi="Times New Roman" w:cs="Times New Roman"/>
                <w:color w:val="auto"/>
                <w:sz w:val="21"/>
                <w:szCs w:val="21"/>
                <w:highlight w:val="none"/>
              </w:rPr>
              <w:t>%</w:t>
            </w:r>
          </w:p>
        </w:tc>
        <w:tc>
          <w:tcPr>
            <w:tcW w:w="1372" w:type="dxa"/>
            <w:vMerge w:val="restart"/>
            <w:tcBorders>
              <w:tl2br w:val="nil"/>
              <w:tr2bl w:val="nil"/>
            </w:tcBorders>
            <w:noWrap w:val="0"/>
            <w:vAlign w:val="center"/>
          </w:tcPr>
          <w:p>
            <w:pPr>
              <w:pStyle w:val="19"/>
              <w:spacing w:line="30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165</w:t>
            </w:r>
          </w:p>
        </w:tc>
        <w:tc>
          <w:tcPr>
            <w:tcW w:w="2381" w:type="dxa"/>
            <w:tcBorders>
              <w:tl2br w:val="nil"/>
              <w:tr2bl w:val="nil"/>
            </w:tcBorders>
            <w:noWrap w:val="0"/>
            <w:vAlign w:val="center"/>
          </w:tcPr>
          <w:p>
            <w:pPr>
              <w:pStyle w:val="19"/>
              <w:spacing w:line="30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进入废渣、过滤损失</w:t>
            </w:r>
          </w:p>
        </w:tc>
        <w:tc>
          <w:tcPr>
            <w:tcW w:w="1367" w:type="dxa"/>
            <w:tcBorders>
              <w:tl2br w:val="nil"/>
              <w:tr2bl w:val="nil"/>
            </w:tcBorders>
            <w:noWrap w:val="0"/>
            <w:vAlign w:val="bottom"/>
          </w:tcPr>
          <w:p>
            <w:pPr>
              <w:keepNext w:val="0"/>
              <w:keepLines w:val="0"/>
              <w:widowControl/>
              <w:suppressLineNumbers w:val="0"/>
              <w:jc w:val="center"/>
              <w:textAlignment w:val="bottom"/>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49.3</w:t>
            </w:r>
          </w:p>
        </w:tc>
        <w:tc>
          <w:tcPr>
            <w:tcW w:w="1807" w:type="dxa"/>
            <w:tcBorders>
              <w:tl2br w:val="nil"/>
              <w:tr2bl w:val="nil"/>
            </w:tcBorders>
            <w:noWrap w:val="0"/>
            <w:vAlign w:val="bottom"/>
          </w:tcPr>
          <w:p>
            <w:pPr>
              <w:keepNext w:val="0"/>
              <w:keepLines w:val="0"/>
              <w:widowControl/>
              <w:suppressLineNumbers w:val="0"/>
              <w:jc w:val="center"/>
              <w:textAlignment w:val="bottom"/>
              <w:rPr>
                <w:rFonts w:hint="default" w:ascii="Times New Roman" w:hAnsi="Times New Roman" w:cs="Times New Roman"/>
                <w:color w:val="auto"/>
                <w:sz w:val="21"/>
                <w:szCs w:val="21"/>
                <w:highlight w:val="none"/>
              </w:rPr>
            </w:pPr>
            <w:r>
              <w:rPr>
                <w:rFonts w:hint="eastAsia" w:cs="Times New Roman"/>
                <w:i w:val="0"/>
                <w:color w:val="auto"/>
                <w:kern w:val="0"/>
                <w:sz w:val="21"/>
                <w:szCs w:val="21"/>
                <w:highlight w:val="none"/>
                <w:u w:val="none"/>
                <w:lang w:val="en-US" w:eastAsia="zh-CN" w:bidi="ar"/>
              </w:rPr>
              <w:t>18</w:t>
            </w:r>
            <w:r>
              <w:rPr>
                <w:rFonts w:hint="default" w:ascii="Times New Roman" w:hAnsi="Times New Roman" w:eastAsia="宋体" w:cs="Times New Roman"/>
                <w:i w:val="0"/>
                <w:color w:val="auto"/>
                <w:kern w:val="0"/>
                <w:sz w:val="21"/>
                <w:szCs w:val="21"/>
                <w:highlight w:val="none"/>
                <w:u w:val="none"/>
                <w:lang w:val="en-US" w:eastAsia="zh-CN" w:bidi="ar"/>
              </w:rPr>
              <w:t>%</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jc w:val="center"/>
        </w:trPr>
        <w:tc>
          <w:tcPr>
            <w:tcW w:w="2359" w:type="dxa"/>
            <w:vMerge w:val="continue"/>
            <w:tcBorders>
              <w:tl2br w:val="nil"/>
              <w:tr2bl w:val="nil"/>
            </w:tcBorders>
            <w:noWrap w:val="0"/>
            <w:vAlign w:val="center"/>
          </w:tcPr>
          <w:p>
            <w:pPr>
              <w:pStyle w:val="19"/>
              <w:spacing w:line="300" w:lineRule="exact"/>
              <w:jc w:val="center"/>
              <w:rPr>
                <w:rFonts w:hint="default" w:ascii="Times New Roman" w:hAnsi="Times New Roman" w:cs="Times New Roman"/>
                <w:color w:val="auto"/>
                <w:sz w:val="21"/>
                <w:szCs w:val="21"/>
                <w:highlight w:val="none"/>
              </w:rPr>
            </w:pPr>
          </w:p>
        </w:tc>
        <w:tc>
          <w:tcPr>
            <w:tcW w:w="1372" w:type="dxa"/>
            <w:vMerge w:val="continue"/>
            <w:tcBorders>
              <w:tl2br w:val="nil"/>
              <w:tr2bl w:val="nil"/>
            </w:tcBorders>
            <w:noWrap w:val="0"/>
            <w:vAlign w:val="center"/>
          </w:tcPr>
          <w:p>
            <w:pPr>
              <w:pStyle w:val="19"/>
              <w:spacing w:line="300" w:lineRule="exact"/>
              <w:jc w:val="center"/>
              <w:rPr>
                <w:rFonts w:hint="default" w:ascii="Times New Roman" w:hAnsi="Times New Roman" w:cs="Times New Roman"/>
                <w:color w:val="auto"/>
                <w:sz w:val="21"/>
                <w:szCs w:val="21"/>
                <w:highlight w:val="none"/>
              </w:rPr>
            </w:pPr>
          </w:p>
        </w:tc>
        <w:tc>
          <w:tcPr>
            <w:tcW w:w="2381" w:type="dxa"/>
            <w:tcBorders>
              <w:tl2br w:val="nil"/>
              <w:tr2bl w:val="nil"/>
            </w:tcBorders>
            <w:noWrap w:val="0"/>
            <w:vAlign w:val="center"/>
          </w:tcPr>
          <w:p>
            <w:pPr>
              <w:pStyle w:val="19"/>
              <w:spacing w:line="30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带出液进入废水</w:t>
            </w:r>
          </w:p>
        </w:tc>
        <w:tc>
          <w:tcPr>
            <w:tcW w:w="1367" w:type="dxa"/>
            <w:tcBorders>
              <w:tl2br w:val="nil"/>
              <w:tr2bl w:val="nil"/>
            </w:tcBorders>
            <w:noWrap w:val="0"/>
            <w:vAlign w:val="center"/>
          </w:tcPr>
          <w:p>
            <w:pPr>
              <w:keepNext w:val="0"/>
              <w:keepLines w:val="0"/>
              <w:widowControl/>
              <w:suppressLineNumbers w:val="0"/>
              <w:jc w:val="center"/>
              <w:textAlignment w:val="bottom"/>
              <w:rPr>
                <w:rFonts w:hint="default" w:ascii="Times New Roman" w:hAnsi="Times New Roman" w:cs="Times New Roman"/>
                <w:color w:val="auto"/>
                <w:sz w:val="21"/>
                <w:szCs w:val="21"/>
                <w:highlight w:val="none"/>
                <w:lang w:val="en-US"/>
              </w:rPr>
            </w:pPr>
            <w:r>
              <w:rPr>
                <w:rFonts w:hint="eastAsia" w:cs="Times New Roman"/>
                <w:i w:val="0"/>
                <w:color w:val="auto"/>
                <w:kern w:val="0"/>
                <w:sz w:val="21"/>
                <w:szCs w:val="21"/>
                <w:highlight w:val="none"/>
                <w:u w:val="none"/>
                <w:lang w:val="en-US" w:eastAsia="zh-CN" w:bidi="ar"/>
              </w:rPr>
              <w:t>106</w:t>
            </w:r>
          </w:p>
        </w:tc>
        <w:tc>
          <w:tcPr>
            <w:tcW w:w="180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eastAsia" w:cs="Times New Roman"/>
                <w:i w:val="0"/>
                <w:color w:val="auto"/>
                <w:kern w:val="0"/>
                <w:sz w:val="21"/>
                <w:szCs w:val="21"/>
                <w:highlight w:val="none"/>
                <w:u w:val="none"/>
                <w:lang w:val="en-US" w:eastAsia="zh-CN" w:bidi="ar"/>
              </w:rPr>
              <w:t>39</w:t>
            </w:r>
            <w:r>
              <w:rPr>
                <w:rFonts w:hint="default" w:ascii="Times New Roman" w:hAnsi="Times New Roman" w:eastAsia="宋体" w:cs="Times New Roman"/>
                <w:i w:val="0"/>
                <w:color w:val="auto"/>
                <w:kern w:val="0"/>
                <w:sz w:val="21"/>
                <w:szCs w:val="21"/>
                <w:highlight w:val="none"/>
                <w:u w:val="none"/>
                <w:lang w:val="en-US" w:eastAsia="zh-CN" w:bidi="ar"/>
              </w:rPr>
              <w:t>%</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jc w:val="center"/>
        </w:trPr>
        <w:tc>
          <w:tcPr>
            <w:tcW w:w="2359" w:type="dxa"/>
            <w:tcBorders>
              <w:tl2br w:val="nil"/>
              <w:tr2bl w:val="nil"/>
            </w:tcBorders>
            <w:noWrap w:val="0"/>
            <w:vAlign w:val="center"/>
          </w:tcPr>
          <w:p>
            <w:pPr>
              <w:pStyle w:val="19"/>
              <w:spacing w:line="30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合计</w:t>
            </w:r>
          </w:p>
        </w:tc>
        <w:tc>
          <w:tcPr>
            <w:tcW w:w="1372" w:type="dxa"/>
            <w:tcBorders>
              <w:tl2br w:val="nil"/>
              <w:tr2bl w:val="nil"/>
            </w:tcBorders>
            <w:noWrap w:val="0"/>
            <w:vAlign w:val="center"/>
          </w:tcPr>
          <w:p>
            <w:pPr>
              <w:pStyle w:val="19"/>
              <w:spacing w:line="30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269</w:t>
            </w:r>
          </w:p>
        </w:tc>
        <w:tc>
          <w:tcPr>
            <w:tcW w:w="2381" w:type="dxa"/>
            <w:tcBorders>
              <w:tl2br w:val="nil"/>
              <w:tr2bl w:val="nil"/>
            </w:tcBorders>
            <w:noWrap w:val="0"/>
            <w:vAlign w:val="center"/>
          </w:tcPr>
          <w:p>
            <w:pPr>
              <w:pStyle w:val="19"/>
              <w:spacing w:line="30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合计</w:t>
            </w:r>
          </w:p>
        </w:tc>
        <w:tc>
          <w:tcPr>
            <w:tcW w:w="1367" w:type="dxa"/>
            <w:tcBorders>
              <w:tl2br w:val="nil"/>
              <w:tr2bl w:val="nil"/>
            </w:tcBorders>
            <w:noWrap w:val="0"/>
            <w:vAlign w:val="center"/>
          </w:tcPr>
          <w:p>
            <w:pPr>
              <w:pStyle w:val="19"/>
              <w:spacing w:line="30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269</w:t>
            </w:r>
          </w:p>
        </w:tc>
        <w:tc>
          <w:tcPr>
            <w:tcW w:w="1807" w:type="dxa"/>
            <w:tcBorders>
              <w:tl2br w:val="nil"/>
              <w:tr2bl w:val="nil"/>
            </w:tcBorders>
            <w:noWrap w:val="0"/>
            <w:vAlign w:val="center"/>
          </w:tcPr>
          <w:p>
            <w:pPr>
              <w:pStyle w:val="19"/>
              <w:spacing w:line="30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100%</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jc w:val="center"/>
        </w:trPr>
        <w:tc>
          <w:tcPr>
            <w:tcW w:w="9286" w:type="dxa"/>
            <w:gridSpan w:val="5"/>
            <w:tcBorders>
              <w:tl2br w:val="nil"/>
              <w:tr2bl w:val="nil"/>
            </w:tcBorders>
            <w:noWrap w:val="0"/>
            <w:vAlign w:val="center"/>
          </w:tcPr>
          <w:p>
            <w:pPr>
              <w:pStyle w:val="19"/>
              <w:spacing w:line="300" w:lineRule="exac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备注:铬镀层密度7.22g/cm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。来源《电镀手册 第三版》</w:t>
            </w:r>
          </w:p>
        </w:tc>
      </w:tr>
    </w:tbl>
    <w:p>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b/>
          <w:color w:val="auto"/>
          <w:sz w:val="24"/>
          <w:highlight w:val="none"/>
        </w:rPr>
      </w:pPr>
      <w:r>
        <w:rPr>
          <w:color w:val="auto"/>
          <w:sz w:val="24"/>
          <w:highlight w:val="none"/>
        </w:rPr>
        <w:pict>
          <v:group id="_x0000_s2689" o:spid="_x0000_s2689" o:spt="203" style="height:201.15pt;width:470.2pt;" coordorigin="1418,2510" coordsize="9404,4023" editas="canvas">
            <o:lock v:ext="edit"/>
            <v:shape id="_x0000_s2690" o:spid="_x0000_s2690" o:spt="75" type="#_x0000_t75" style="position:absolute;left:1418;top:2510;height:4023;width:9404;" filled="f" stroked="f" coordsize="21600,21600">
              <v:path/>
              <v:fill on="f" focussize="0,0"/>
              <v:stroke on="f"/>
              <v:imagedata o:title=""/>
              <o:lock v:ext="edit" rotation="t" text="t" aspectratio="t"/>
            </v:shape>
            <v:rect id="_x0000_s2691" o:spid="_x0000_s2691" o:spt="1" style="position:absolute;left:4722;top:2662;height:805;width:2040;" fillcolor="#FFFFFF" filled="t" stroked="t" coordsize="21600,21600">
              <v:path/>
              <v:fill on="t" color2="#FFFFFF" focussize="0,0"/>
              <v:stroke color="#000000" joinstyle="miter"/>
              <v:imagedata o:title=""/>
              <o:lock v:ext="edit" aspectratio="f"/>
              <v:textbox>
                <w:txbxContent>
                  <w:p>
                    <w:pPr>
                      <w:pStyle w:val="19"/>
                      <w:jc w:val="center"/>
                      <w:rPr>
                        <w:rFonts w:hint="eastAsia" w:ascii="Times New Roman" w:hAnsi="Times New Roman"/>
                        <w:color w:val="auto"/>
                        <w:sz w:val="21"/>
                        <w:szCs w:val="21"/>
                        <w:lang w:val="en-US" w:eastAsia="zh-CN"/>
                      </w:rPr>
                    </w:pPr>
                    <w:r>
                      <w:rPr>
                        <w:rFonts w:hint="eastAsia"/>
                        <w:color w:val="auto"/>
                        <w:sz w:val="21"/>
                        <w:szCs w:val="21"/>
                        <w:lang w:val="en-US" w:eastAsia="zh-CN"/>
                      </w:rPr>
                      <w:t>铬酐</w:t>
                    </w:r>
                    <w:r>
                      <w:rPr>
                        <w:rFonts w:hint="eastAsia" w:ascii="Times New Roman" w:hAnsi="Times New Roman"/>
                        <w:color w:val="auto"/>
                        <w:sz w:val="21"/>
                        <w:szCs w:val="21"/>
                        <w:lang w:val="en-US" w:eastAsia="zh-CN"/>
                      </w:rPr>
                      <w:t>200</w:t>
                    </w:r>
                  </w:p>
                  <w:p>
                    <w:pPr>
                      <w:pStyle w:val="19"/>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三价铬钝化液2000</w:t>
                    </w:r>
                  </w:p>
                </w:txbxContent>
              </v:textbox>
            </v:rect>
            <v:shape id="_x0000_s2692" o:spid="_x0000_s2692" o:spt="32" type="#_x0000_t32" style="position:absolute;left:5652;top:3383;height:351;width:8;" filled="f" stroked="t" coordsize="21600,21600">
              <v:path arrowok="t"/>
              <v:fill on="f" focussize="0,0"/>
              <v:stroke color="#000000" endarrow="block"/>
              <v:imagedata o:title=""/>
              <o:lock v:ext="edit" aspectratio="f"/>
            </v:shape>
            <v:rect id="_x0000_s2718" o:spid="_x0000_s2718" o:spt="1" style="position:absolute;left:4807;top:3748;height:486;width:1933;" fillcolor="#FFFFFF" filled="t" stroked="t" coordsize="21600,21600">
              <v:path/>
              <v:fill on="t" color2="#FFFFFF" focussize="0,0"/>
              <v:stroke color="#000000" joinstyle="miter"/>
              <v:imagedata o:title=""/>
              <o:lock v:ext="edit" aspectratio="f"/>
              <v:textbox>
                <w:txbxContent>
                  <w:p>
                    <w:pPr>
                      <w:rPr>
                        <w:rFonts w:hint="default" w:eastAsia="宋体"/>
                        <w:lang w:val="en-US" w:eastAsia="zh-CN"/>
                      </w:rPr>
                    </w:pPr>
                    <w:r>
                      <w:rPr>
                        <w:rFonts w:hint="eastAsia"/>
                      </w:rPr>
                      <w:t>折合</w:t>
                    </w:r>
                    <w:r>
                      <w:rPr>
                        <w:rFonts w:hint="eastAsia"/>
                        <w:lang w:val="en-US" w:eastAsia="zh-CN"/>
                      </w:rPr>
                      <w:t>铬</w:t>
                    </w:r>
                    <w:r>
                      <w:rPr>
                        <w:rFonts w:hint="eastAsia"/>
                      </w:rPr>
                      <w:t>：</w:t>
                    </w:r>
                    <w:r>
                      <w:rPr>
                        <w:rFonts w:hint="eastAsia"/>
                        <w:lang w:val="en-US" w:eastAsia="zh-CN"/>
                      </w:rPr>
                      <w:t>269</w:t>
                    </w:r>
                  </w:p>
                </w:txbxContent>
              </v:textbox>
            </v:rect>
            <v:shape id="_x0000_s2737" o:spid="_x0000_s2737" o:spt="32" type="#_x0000_t32" style="position:absolute;left:5642;top:4234;height:296;width:19;" filled="f" stroked="t" coordsize="21600,21600">
              <v:path arrowok="t"/>
              <v:fill on="f" focussize="0,0"/>
              <v:stroke color="#000000" endarrow="block"/>
              <v:imagedata o:title=""/>
              <o:lock v:ext="edit" aspectratio="f"/>
            </v:shape>
            <v:shape id="_x0000_s2738" o:spid="_x0000_s2738" o:spt="32" type="#_x0000_t32" style="position:absolute;left:3214;top:4535;height:2;width:4689;" filled="f" stroked="t" coordsize="21600,21600">
              <v:path arrowok="t"/>
              <v:fill on="f" focussize="0,0"/>
              <v:stroke color="#000000"/>
              <v:imagedata o:title=""/>
              <o:lock v:ext="edit" aspectratio="f"/>
            </v:shape>
            <v:shape id="_x0000_s2739" o:spid="_x0000_s2739" o:spt="32" type="#_x0000_t32" style="position:absolute;left:3214;top:4555;height:351;width:8;" filled="f" stroked="t" coordsize="21600,21600">
              <v:path arrowok="t"/>
              <v:fill on="f" focussize="0,0"/>
              <v:stroke color="#000000" endarrow="block"/>
              <v:imagedata o:title=""/>
              <o:lock v:ext="edit" aspectratio="f"/>
            </v:shape>
            <v:shape id="_x0000_s2740" o:spid="_x0000_s2740" o:spt="32" type="#_x0000_t32" style="position:absolute;left:7895;top:4535;height:351;width:8;" filled="f" stroked="t" coordsize="21600,21600">
              <v:path arrowok="t"/>
              <v:fill on="f" focussize="0,0"/>
              <v:stroke color="#000000" endarrow="block"/>
              <v:imagedata o:title=""/>
              <o:lock v:ext="edit" aspectratio="f"/>
            </v:shape>
            <v:rect id="_x0000_s2741" o:spid="_x0000_s2741" o:spt="1" style="position:absolute;left:1650;top:4906;height:486;width:2040;" fillcolor="#FFFFFF" filled="t" stroked="t" coordsize="21600,21600">
              <v:path/>
              <v:fill on="t" color2="#FFFFFF" focussize="0,0"/>
              <v:stroke color="#000000" joinstyle="miter"/>
              <v:imagedata o:title=""/>
              <o:lock v:ext="edit" aspectratio="f"/>
              <v:textbox>
                <w:txbxContent>
                  <w:p>
                    <w:pPr>
                      <w:rPr>
                        <w:rFonts w:hint="default" w:eastAsia="宋体"/>
                        <w:lang w:val="en-US" w:eastAsia="zh-CN"/>
                      </w:rPr>
                    </w:pPr>
                    <w:r>
                      <w:rPr>
                        <w:rFonts w:hint="eastAsia"/>
                      </w:rPr>
                      <w:t>进入镀层：</w:t>
                    </w:r>
                    <w:r>
                      <w:rPr>
                        <w:rFonts w:hint="eastAsia"/>
                        <w:lang w:val="en-US" w:eastAsia="zh-CN"/>
                      </w:rPr>
                      <w:t>108.3</w:t>
                    </w:r>
                  </w:p>
                </w:txbxContent>
              </v:textbox>
            </v:rect>
            <v:rect id="_x0000_s2742" o:spid="_x0000_s2742" o:spt="1" style="position:absolute;left:3989;top:4902;height:486;width:1690;" fillcolor="#FFFFFF" filled="t" stroked="t" coordsize="21600,21600">
              <v:path/>
              <v:fill on="t" color2="#FFFFFF" focussize="0,0"/>
              <v:stroke color="#000000" joinstyle="miter"/>
              <v:imagedata o:title=""/>
              <o:lock v:ext="edit" aspectratio="f"/>
              <v:textbox>
                <w:txbxContent>
                  <w:p>
                    <w:pPr>
                      <w:rPr>
                        <w:rFonts w:hint="default" w:eastAsia="宋体"/>
                        <w:lang w:val="en-US" w:eastAsia="zh-CN"/>
                      </w:rPr>
                    </w:pPr>
                    <w:r>
                      <w:rPr>
                        <w:rFonts w:hint="eastAsia"/>
                      </w:rPr>
                      <w:t>进入废水：</w:t>
                    </w:r>
                    <w:r>
                      <w:rPr>
                        <w:rFonts w:hint="eastAsia"/>
                        <w:lang w:val="en-US" w:eastAsia="zh-CN"/>
                      </w:rPr>
                      <w:t>106</w:t>
                    </w:r>
                  </w:p>
                </w:txbxContent>
              </v:textbox>
            </v:rect>
            <v:rect id="_x0000_s2743" o:spid="_x0000_s2743" o:spt="1" style="position:absolute;left:7638;top:4886;height:486;width:2954;" fillcolor="#FFFFFF" filled="t" stroked="t" coordsize="21600,21600">
              <v:path/>
              <v:fill on="t" color2="#FFFFFF" focussize="0,0"/>
              <v:stroke color="#000000" joinstyle="miter"/>
              <v:imagedata o:title=""/>
              <o:lock v:ext="edit" aspectratio="f"/>
              <v:textbox>
                <w:txbxContent>
                  <w:p>
                    <w:pPr>
                      <w:rPr>
                        <w:rFonts w:hint="default" w:eastAsia="宋体"/>
                        <w:lang w:val="en-US" w:eastAsia="zh-CN"/>
                      </w:rPr>
                    </w:pPr>
                    <w:r>
                      <w:rPr>
                        <w:rFonts w:hint="eastAsia"/>
                      </w:rPr>
                      <w:t>进入</w:t>
                    </w:r>
                    <w:r>
                      <w:rPr>
                        <w:rFonts w:hint="default" w:ascii="Times New Roman" w:hAnsi="Times New Roman" w:cs="Times New Roman"/>
                        <w:sz w:val="21"/>
                        <w:szCs w:val="21"/>
                      </w:rPr>
                      <w:t>废渣、过滤</w:t>
                    </w:r>
                    <w:r>
                      <w:rPr>
                        <w:rFonts w:hint="eastAsia"/>
                      </w:rPr>
                      <w:t>损失：</w:t>
                    </w:r>
                    <w:r>
                      <w:rPr>
                        <w:rFonts w:hint="eastAsia"/>
                        <w:lang w:val="en-US" w:eastAsia="zh-CN"/>
                      </w:rPr>
                      <w:t>49.3</w:t>
                    </w:r>
                  </w:p>
                </w:txbxContent>
              </v:textbox>
            </v:rect>
            <v:shape id="_x0000_s2744" o:spid="_x0000_s2744" o:spt="32" type="#_x0000_t32" style="position:absolute;left:5451;top:5392;height:351;width:8;" filled="f" stroked="t" coordsize="21600,21600">
              <v:path arrowok="t"/>
              <v:fill on="f" focussize="0,0"/>
              <v:stroke color="#000000" endarrow="block"/>
              <v:imagedata o:title=""/>
              <o:lock v:ext="edit" aspectratio="f"/>
            </v:shape>
            <v:shape id="_x0000_s2745" o:spid="_x0000_s2745" o:spt="32" type="#_x0000_t32" style="position:absolute;left:4806;top:5741;height:2;width:1691;" filled="f" stroked="t" coordsize="21600,21600">
              <v:path arrowok="t"/>
              <v:fill on="f" focussize="0,0"/>
              <v:stroke color="#000000"/>
              <v:imagedata o:title=""/>
              <o:lock v:ext="edit" aspectratio="f"/>
            </v:shape>
            <v:shape id="_x0000_s2746" o:spid="_x0000_s2746" o:spt="32" type="#_x0000_t32" style="position:absolute;left:4806;top:5743;height:351;width:8;" filled="f" stroked="t" coordsize="21600,21600">
              <v:path arrowok="t"/>
              <v:fill on="f" focussize="0,0"/>
              <v:stroke color="#000000" endarrow="block"/>
              <v:imagedata o:title=""/>
              <o:lock v:ext="edit" aspectratio="f"/>
            </v:shape>
            <v:shape id="_x0000_s2747" o:spid="_x0000_s2747" o:spt="32" type="#_x0000_t32" style="position:absolute;left:6497;top:5743;height:351;width:8;" filled="f" stroked="t" coordsize="21600,21600">
              <v:path arrowok="t"/>
              <v:fill on="f" focussize="0,0"/>
              <v:stroke color="#000000" endarrow="block"/>
              <v:imagedata o:title=""/>
              <o:lock v:ext="edit" aspectratio="f"/>
            </v:shape>
            <v:rect id="_x0000_s2748" o:spid="_x0000_s2748" o:spt="1" style="position:absolute;left:3439;top:6094;height:486;width:1958;" fillcolor="#FFFFFF" filled="t" stroked="t" coordsize="21600,21600">
              <v:path/>
              <v:fill on="t" color2="#FFFFFF" focussize="0,0"/>
              <v:stroke color="#000000" joinstyle="miter"/>
              <v:imagedata o:title=""/>
              <o:lock v:ext="edit" aspectratio="f"/>
              <v:textbox>
                <w:txbxContent>
                  <w:p>
                    <w:pPr>
                      <w:rPr>
                        <w:rFonts w:hint="default" w:eastAsia="宋体"/>
                        <w:lang w:val="en-US" w:eastAsia="zh-CN"/>
                      </w:rPr>
                    </w:pPr>
                    <w:r>
                      <w:rPr>
                        <w:rFonts w:hint="eastAsia"/>
                      </w:rPr>
                      <w:t>污水站去除：</w:t>
                    </w:r>
                    <w:r>
                      <w:rPr>
                        <w:rFonts w:hint="eastAsia"/>
                        <w:lang w:val="en-US" w:eastAsia="zh-CN"/>
                      </w:rPr>
                      <w:t>105.6</w:t>
                    </w:r>
                  </w:p>
                </w:txbxContent>
              </v:textbox>
            </v:rect>
            <v:rect id="_x0000_s2749" o:spid="_x0000_s2749" o:spt="1" style="position:absolute;left:5883;top:6094;height:486;width:1690;" fillcolor="#FFFFFF" filled="t" stroked="t" coordsize="21600,21600">
              <v:path/>
              <v:fill on="t" color2="#FFFFFF" focussize="0,0"/>
              <v:stroke color="#000000" joinstyle="miter"/>
              <v:imagedata o:title=""/>
              <o:lock v:ext="edit" aspectratio="f"/>
              <v:textbox>
                <w:txbxContent>
                  <w:p>
                    <w:pPr>
                      <w:rPr>
                        <w:rFonts w:hint="default" w:eastAsia="宋体"/>
                        <w:lang w:val="en-US" w:eastAsia="zh-CN"/>
                      </w:rPr>
                    </w:pPr>
                    <w:r>
                      <w:rPr>
                        <w:rFonts w:hint="eastAsia"/>
                      </w:rPr>
                      <w:t>外排：</w:t>
                    </w:r>
                    <w:r>
                      <w:rPr>
                        <w:rFonts w:hint="eastAsia"/>
                        <w:lang w:val="en-US" w:eastAsia="zh-CN"/>
                      </w:rPr>
                      <w:t>0.4</w:t>
                    </w:r>
                  </w:p>
                </w:txbxContent>
              </v:textbox>
            </v:rect>
            <v:shape id="_x0000_s2750" o:spid="_x0000_s2750" o:spt="32" type="#_x0000_t32" style="position:absolute;left:4468;top:4526;height:340;width:0;" filled="f" stroked="t" coordsize="21600,21600">
              <v:path arrowok="t"/>
              <v:fill on="f" focussize="0,0"/>
              <v:stroke color="#000000" endarrow="block"/>
              <v:imagedata o:title=""/>
              <o:lock v:ext="edit" aspectratio="f"/>
            </v:shape>
            <v:shape id="_x0000_s2751" o:spid="_x0000_s2751" o:spt="32" type="#_x0000_t32" style="position:absolute;left:6451;top:4527;height:340;width:0;" filled="f" stroked="t" coordsize="21600,21600">
              <v:path arrowok="t"/>
              <v:fill on="f" focussize="0,0"/>
              <v:stroke color="#000000" endarrow="block"/>
              <v:imagedata o:title=""/>
              <o:lock v:ext="edit" aspectratio="f"/>
            </v:shape>
            <v:rect id="_x0000_s2752" o:spid="_x0000_s2752" o:spt="1" style="position:absolute;left:5763;top:4892;height:480;width:1680;" fillcolor="#FFFFFF" filled="t" stroked="t" coordsize="21600,21600">
              <v:path/>
              <v:fill on="t" color2="#FFFFFF" focussize="0,0"/>
              <v:stroke color="#000000" joinstyle="miter"/>
              <v:imagedata o:title=""/>
              <o:lock v:ext="edit" aspectratio="f"/>
              <v:textbox>
                <w:txbxContent>
                  <w:p>
                    <w:pPr>
                      <w:rPr>
                        <w:rFonts w:hint="default" w:eastAsia="宋体"/>
                        <w:lang w:val="en-US" w:eastAsia="zh-CN"/>
                      </w:rPr>
                    </w:pPr>
                    <w:r>
                      <w:rPr>
                        <w:rFonts w:hint="eastAsia"/>
                      </w:rPr>
                      <w:t>进入废</w:t>
                    </w:r>
                    <w:r>
                      <w:rPr>
                        <w:rFonts w:hint="eastAsia"/>
                        <w:lang w:val="en-US" w:eastAsia="zh-CN"/>
                      </w:rPr>
                      <w:t>气</w:t>
                    </w:r>
                    <w:r>
                      <w:rPr>
                        <w:rFonts w:hint="eastAsia"/>
                      </w:rPr>
                      <w:t>：</w:t>
                    </w:r>
                    <w:r>
                      <w:rPr>
                        <w:rFonts w:hint="eastAsia"/>
                        <w:lang w:val="en-US" w:eastAsia="zh-CN"/>
                      </w:rPr>
                      <w:t>5.4</w:t>
                    </w:r>
                  </w:p>
                </w:txbxContent>
              </v:textbox>
            </v:rect>
            <w10:wrap type="none"/>
            <w10:anchorlock/>
          </v:group>
        </w:pict>
      </w:r>
    </w:p>
    <w:p>
      <w:pPr>
        <w:spacing w:line="440" w:lineRule="exact"/>
        <w:ind w:firstLine="480"/>
        <w:jc w:val="center"/>
        <w:rPr>
          <w:rFonts w:eastAsia="黑体"/>
          <w:color w:val="auto"/>
          <w:sz w:val="24"/>
          <w:highlight w:val="none"/>
        </w:rPr>
      </w:pPr>
      <w:r>
        <w:rPr>
          <w:rFonts w:eastAsia="黑体"/>
          <w:color w:val="auto"/>
          <w:sz w:val="24"/>
          <w:highlight w:val="none"/>
        </w:rPr>
        <w:t>图</w:t>
      </w:r>
      <w:r>
        <w:rPr>
          <w:rFonts w:hint="eastAsia" w:eastAsia="黑体"/>
          <w:color w:val="auto"/>
          <w:sz w:val="24"/>
          <w:highlight w:val="none"/>
          <w:lang w:val="en-US" w:eastAsia="zh-CN"/>
        </w:rPr>
        <w:t>2.3</w:t>
      </w:r>
      <w:r>
        <w:rPr>
          <w:rFonts w:eastAsia="黑体"/>
          <w:color w:val="auto"/>
          <w:sz w:val="24"/>
          <w:highlight w:val="none"/>
        </w:rPr>
        <w:t>-4  铬平衡图    单位：kg/a</w:t>
      </w:r>
    </w:p>
    <w:p>
      <w:pPr>
        <w:spacing w:line="440" w:lineRule="exact"/>
        <w:ind w:firstLine="480"/>
        <w:rPr>
          <w:rFonts w:hint="eastAsia" w:eastAsia="宋体"/>
          <w:color w:val="auto"/>
          <w:sz w:val="24"/>
          <w:highlight w:val="none"/>
          <w:lang w:eastAsia="zh-CN"/>
        </w:rPr>
      </w:pPr>
      <w:r>
        <w:rPr>
          <w:rFonts w:hint="eastAsia"/>
          <w:color w:val="auto"/>
          <w:sz w:val="24"/>
          <w:highlight w:val="none"/>
        </w:rPr>
        <w:t>5、</w:t>
      </w:r>
      <w:r>
        <w:rPr>
          <w:rFonts w:hint="eastAsia"/>
          <w:color w:val="auto"/>
          <w:sz w:val="24"/>
          <w:highlight w:val="none"/>
          <w:lang w:val="en-US" w:eastAsia="zh-CN"/>
        </w:rPr>
        <w:t>银平衡</w:t>
      </w:r>
    </w:p>
    <w:p>
      <w:pPr>
        <w:pStyle w:val="14"/>
        <w:keepNext w:val="0"/>
        <w:keepLines w:val="0"/>
        <w:pageBreakBefore w:val="0"/>
        <w:widowControl w:val="0"/>
        <w:pBdr>
          <w:bottom w:val="dotted" w:color="000000" w:sz="4" w:space="0"/>
        </w:pBdr>
        <w:kinsoku/>
        <w:wordWrap/>
        <w:overflowPunct/>
        <w:topLinePunct w:val="0"/>
        <w:autoSpaceDE/>
        <w:autoSpaceDN/>
        <w:bidi w:val="0"/>
        <w:adjustRightInd/>
        <w:snapToGrid/>
        <w:spacing w:after="0" w:line="240" w:lineRule="auto"/>
        <w:ind w:firstLine="0"/>
        <w:jc w:val="center"/>
        <w:textAlignment w:val="auto"/>
        <w:outlineLvl w:val="9"/>
        <w:rPr>
          <w:rFonts w:eastAsia="黑体"/>
          <w:color w:val="auto"/>
          <w:sz w:val="24"/>
          <w:szCs w:val="24"/>
          <w:highlight w:val="none"/>
        </w:rPr>
      </w:pPr>
      <w:r>
        <w:rPr>
          <w:rFonts w:eastAsia="黑体"/>
          <w:color w:val="auto"/>
          <w:sz w:val="24"/>
          <w:szCs w:val="24"/>
          <w:highlight w:val="none"/>
        </w:rPr>
        <w:t>表</w:t>
      </w:r>
      <w:r>
        <w:rPr>
          <w:rFonts w:hint="eastAsia" w:eastAsia="黑体"/>
          <w:color w:val="auto"/>
          <w:sz w:val="24"/>
          <w:szCs w:val="24"/>
          <w:highlight w:val="none"/>
          <w:lang w:val="en-US" w:eastAsia="zh-CN"/>
        </w:rPr>
        <w:t>2.3</w:t>
      </w:r>
      <w:r>
        <w:rPr>
          <w:rFonts w:eastAsia="黑体"/>
          <w:color w:val="auto"/>
          <w:sz w:val="24"/>
          <w:szCs w:val="24"/>
          <w:highlight w:val="none"/>
        </w:rPr>
        <w:t xml:space="preserve">-5 </w:t>
      </w:r>
      <w:r>
        <w:rPr>
          <w:rFonts w:hint="eastAsia" w:eastAsia="黑体"/>
          <w:color w:val="auto"/>
          <w:sz w:val="24"/>
          <w:szCs w:val="24"/>
          <w:highlight w:val="none"/>
          <w:lang w:val="en-US" w:eastAsia="zh-CN"/>
        </w:rPr>
        <w:t xml:space="preserve"> 银</w:t>
      </w:r>
      <w:r>
        <w:rPr>
          <w:rFonts w:eastAsia="黑体"/>
          <w:color w:val="auto"/>
          <w:sz w:val="24"/>
          <w:szCs w:val="24"/>
          <w:highlight w:val="none"/>
        </w:rPr>
        <w:t>平衡表</w:t>
      </w:r>
    </w:p>
    <w:tbl>
      <w:tblPr>
        <w:tblStyle w:val="36"/>
        <w:tblW w:w="9286" w:type="dxa"/>
        <w:tblInd w:w="0"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2401"/>
        <w:gridCol w:w="1266"/>
        <w:gridCol w:w="2484"/>
        <w:gridCol w:w="1595"/>
        <w:gridCol w:w="1540"/>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90" w:hRule="atLeast"/>
        </w:trPr>
        <w:tc>
          <w:tcPr>
            <w:tcW w:w="3667" w:type="dxa"/>
            <w:gridSpan w:val="2"/>
            <w:tcBorders>
              <w:tl2br w:val="nil"/>
              <w:tr2bl w:val="nil"/>
            </w:tcBorders>
            <w:noWrap w:val="0"/>
            <w:vAlign w:val="center"/>
          </w:tcPr>
          <w:p>
            <w:pPr>
              <w:pStyle w:val="19"/>
              <w:spacing w:line="300" w:lineRule="exact"/>
              <w:jc w:val="center"/>
              <w:rPr>
                <w:rFonts w:ascii="Times New Roman" w:hAnsi="Times New Roman"/>
                <w:b/>
                <w:color w:val="auto"/>
                <w:sz w:val="21"/>
                <w:szCs w:val="21"/>
                <w:highlight w:val="none"/>
              </w:rPr>
            </w:pPr>
            <w:r>
              <w:rPr>
                <w:rFonts w:ascii="Times New Roman" w:hAnsi="Times New Roman"/>
                <w:b/>
                <w:color w:val="auto"/>
                <w:sz w:val="21"/>
                <w:szCs w:val="21"/>
                <w:highlight w:val="none"/>
              </w:rPr>
              <w:t>输入kg/a</w:t>
            </w:r>
          </w:p>
        </w:tc>
        <w:tc>
          <w:tcPr>
            <w:tcW w:w="5619" w:type="dxa"/>
            <w:gridSpan w:val="3"/>
            <w:tcBorders>
              <w:tl2br w:val="nil"/>
              <w:tr2bl w:val="nil"/>
            </w:tcBorders>
            <w:noWrap w:val="0"/>
            <w:vAlign w:val="center"/>
          </w:tcPr>
          <w:p>
            <w:pPr>
              <w:pStyle w:val="19"/>
              <w:spacing w:line="300" w:lineRule="exact"/>
              <w:jc w:val="center"/>
              <w:rPr>
                <w:rFonts w:ascii="Times New Roman" w:hAnsi="Times New Roman"/>
                <w:b/>
                <w:color w:val="auto"/>
                <w:sz w:val="21"/>
                <w:szCs w:val="21"/>
                <w:highlight w:val="none"/>
              </w:rPr>
            </w:pPr>
            <w:r>
              <w:rPr>
                <w:rFonts w:ascii="Times New Roman" w:hAnsi="Times New Roman"/>
                <w:b/>
                <w:color w:val="auto"/>
                <w:sz w:val="21"/>
                <w:szCs w:val="21"/>
                <w:highlight w:val="none"/>
              </w:rPr>
              <w:t>输出kg/a</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2401" w:type="dxa"/>
            <w:tcBorders>
              <w:tl2br w:val="nil"/>
              <w:tr2bl w:val="nil"/>
            </w:tcBorders>
            <w:noWrap w:val="0"/>
            <w:vAlign w:val="center"/>
          </w:tcPr>
          <w:p>
            <w:pPr>
              <w:pStyle w:val="19"/>
              <w:spacing w:line="300" w:lineRule="exact"/>
              <w:jc w:val="center"/>
              <w:rPr>
                <w:rFonts w:ascii="Times New Roman" w:hAnsi="Times New Roman"/>
                <w:b/>
                <w:color w:val="auto"/>
                <w:sz w:val="21"/>
                <w:szCs w:val="21"/>
                <w:highlight w:val="none"/>
              </w:rPr>
            </w:pPr>
            <w:r>
              <w:rPr>
                <w:rFonts w:ascii="Times New Roman" w:hAnsi="Times New Roman"/>
                <w:b/>
                <w:color w:val="auto"/>
                <w:sz w:val="21"/>
                <w:szCs w:val="21"/>
                <w:highlight w:val="none"/>
              </w:rPr>
              <w:t>物料</w:t>
            </w:r>
          </w:p>
        </w:tc>
        <w:tc>
          <w:tcPr>
            <w:tcW w:w="1266" w:type="dxa"/>
            <w:tcBorders>
              <w:tl2br w:val="nil"/>
              <w:tr2bl w:val="nil"/>
            </w:tcBorders>
            <w:noWrap w:val="0"/>
            <w:vAlign w:val="center"/>
          </w:tcPr>
          <w:p>
            <w:pPr>
              <w:pStyle w:val="19"/>
              <w:spacing w:line="300" w:lineRule="exact"/>
              <w:rPr>
                <w:rFonts w:ascii="Times New Roman" w:hAnsi="Times New Roman"/>
                <w:b/>
                <w:color w:val="auto"/>
                <w:sz w:val="21"/>
                <w:szCs w:val="21"/>
                <w:highlight w:val="none"/>
              </w:rPr>
            </w:pPr>
            <w:r>
              <w:rPr>
                <w:rFonts w:ascii="Times New Roman" w:hAnsi="Times New Roman"/>
                <w:b/>
                <w:color w:val="auto"/>
                <w:sz w:val="21"/>
                <w:szCs w:val="21"/>
                <w:highlight w:val="none"/>
              </w:rPr>
              <w:t>折合成</w:t>
            </w:r>
            <w:r>
              <w:rPr>
                <w:rFonts w:hint="eastAsia" w:ascii="Times New Roman" w:hAnsi="Times New Roman"/>
                <w:b/>
                <w:color w:val="auto"/>
                <w:sz w:val="21"/>
                <w:szCs w:val="21"/>
                <w:highlight w:val="none"/>
                <w:lang w:val="en-US" w:eastAsia="zh-CN"/>
              </w:rPr>
              <w:t>银</w:t>
            </w:r>
          </w:p>
        </w:tc>
        <w:tc>
          <w:tcPr>
            <w:tcW w:w="2484" w:type="dxa"/>
            <w:tcBorders>
              <w:tl2br w:val="nil"/>
              <w:tr2bl w:val="nil"/>
            </w:tcBorders>
            <w:noWrap w:val="0"/>
            <w:vAlign w:val="center"/>
          </w:tcPr>
          <w:p>
            <w:pPr>
              <w:pStyle w:val="19"/>
              <w:spacing w:line="300" w:lineRule="exact"/>
              <w:jc w:val="center"/>
              <w:rPr>
                <w:rFonts w:ascii="Times New Roman" w:hAnsi="Times New Roman"/>
                <w:b/>
                <w:color w:val="auto"/>
                <w:sz w:val="21"/>
                <w:szCs w:val="21"/>
                <w:highlight w:val="none"/>
              </w:rPr>
            </w:pPr>
            <w:r>
              <w:rPr>
                <w:rFonts w:ascii="Times New Roman" w:hAnsi="Times New Roman"/>
                <w:b/>
                <w:color w:val="auto"/>
                <w:sz w:val="21"/>
                <w:szCs w:val="21"/>
                <w:highlight w:val="none"/>
              </w:rPr>
              <w:t>产出物</w:t>
            </w:r>
          </w:p>
        </w:tc>
        <w:tc>
          <w:tcPr>
            <w:tcW w:w="1595" w:type="dxa"/>
            <w:tcBorders>
              <w:tl2br w:val="nil"/>
              <w:tr2bl w:val="nil"/>
            </w:tcBorders>
            <w:noWrap w:val="0"/>
            <w:vAlign w:val="center"/>
          </w:tcPr>
          <w:p>
            <w:pPr>
              <w:pStyle w:val="19"/>
              <w:spacing w:line="300" w:lineRule="exact"/>
              <w:jc w:val="center"/>
              <w:rPr>
                <w:rFonts w:hint="eastAsia" w:ascii="Times New Roman" w:hAnsi="Times New Roman" w:eastAsia="宋体"/>
                <w:b/>
                <w:color w:val="auto"/>
                <w:sz w:val="21"/>
                <w:szCs w:val="21"/>
                <w:highlight w:val="none"/>
                <w:lang w:val="en-US" w:eastAsia="zh-CN"/>
              </w:rPr>
            </w:pPr>
            <w:r>
              <w:rPr>
                <w:rFonts w:ascii="Times New Roman" w:hAnsi="Times New Roman"/>
                <w:b/>
                <w:color w:val="auto"/>
                <w:sz w:val="21"/>
                <w:szCs w:val="21"/>
                <w:highlight w:val="none"/>
              </w:rPr>
              <w:t>折合成</w:t>
            </w:r>
            <w:r>
              <w:rPr>
                <w:rFonts w:hint="eastAsia" w:ascii="Times New Roman" w:hAnsi="Times New Roman"/>
                <w:b/>
                <w:color w:val="auto"/>
                <w:sz w:val="21"/>
                <w:szCs w:val="21"/>
                <w:highlight w:val="none"/>
                <w:lang w:val="en-US" w:eastAsia="zh-CN"/>
              </w:rPr>
              <w:t>银</w:t>
            </w:r>
          </w:p>
        </w:tc>
        <w:tc>
          <w:tcPr>
            <w:tcW w:w="1540" w:type="dxa"/>
            <w:tcBorders>
              <w:tl2br w:val="nil"/>
              <w:tr2bl w:val="nil"/>
            </w:tcBorders>
            <w:noWrap w:val="0"/>
            <w:vAlign w:val="center"/>
          </w:tcPr>
          <w:p>
            <w:pPr>
              <w:pStyle w:val="19"/>
              <w:spacing w:line="300" w:lineRule="exact"/>
              <w:jc w:val="center"/>
              <w:rPr>
                <w:rFonts w:ascii="Times New Roman" w:hAnsi="Times New Roman"/>
                <w:b/>
                <w:color w:val="auto"/>
                <w:sz w:val="21"/>
                <w:szCs w:val="21"/>
                <w:highlight w:val="none"/>
              </w:rPr>
            </w:pPr>
            <w:r>
              <w:rPr>
                <w:rFonts w:ascii="Times New Roman" w:hAnsi="Times New Roman"/>
                <w:b/>
                <w:color w:val="auto"/>
                <w:sz w:val="21"/>
                <w:szCs w:val="21"/>
                <w:highlight w:val="none"/>
              </w:rPr>
              <w:t>比例%</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2401" w:type="dxa"/>
            <w:tcBorders>
              <w:tl2br w:val="nil"/>
              <w:tr2bl w:val="nil"/>
            </w:tcBorders>
            <w:noWrap w:val="0"/>
            <w:vAlign w:val="center"/>
          </w:tcPr>
          <w:p>
            <w:pPr>
              <w:pStyle w:val="19"/>
              <w:spacing w:line="300" w:lineRule="exact"/>
              <w:jc w:val="center"/>
              <w:rPr>
                <w:rFonts w:hint="eastAsia" w:ascii="Times New Roman" w:hAnsi="Times New Roman" w:eastAsia="宋体"/>
                <w:color w:val="auto"/>
                <w:sz w:val="21"/>
                <w:szCs w:val="21"/>
                <w:highlight w:val="none"/>
                <w:lang w:val="en-US" w:eastAsia="zh-CN"/>
              </w:rPr>
            </w:pPr>
            <w:r>
              <w:rPr>
                <w:rFonts w:hint="eastAsia"/>
                <w:color w:val="auto"/>
                <w:kern w:val="0"/>
                <w:sz w:val="21"/>
                <w:szCs w:val="21"/>
                <w:highlight w:val="none"/>
              </w:rPr>
              <w:t>硝酸银</w:t>
            </w:r>
            <w:r>
              <w:rPr>
                <w:rFonts w:hint="eastAsia" w:ascii="Times New Roman" w:hAnsi="Times New Roman"/>
                <w:color w:val="auto"/>
                <w:sz w:val="21"/>
                <w:szCs w:val="21"/>
                <w:highlight w:val="none"/>
                <w:lang w:val="en-US" w:eastAsia="zh-CN"/>
              </w:rPr>
              <w:t>180，银</w:t>
            </w:r>
            <w:r>
              <w:rPr>
                <w:rFonts w:hint="eastAsia" w:ascii="Times New Roman" w:hAnsi="Times New Roman" w:cs="Times New Roman"/>
                <w:color w:val="auto"/>
                <w:sz w:val="21"/>
                <w:szCs w:val="21"/>
                <w:highlight w:val="none"/>
                <w:lang w:val="en-US" w:eastAsia="zh-CN"/>
              </w:rPr>
              <w:t>63.5</w:t>
            </w:r>
            <w:r>
              <w:rPr>
                <w:rFonts w:hint="default" w:ascii="Times New Roman" w:hAnsi="Times New Roman" w:cs="Times New Roman"/>
                <w:color w:val="auto"/>
                <w:sz w:val="21"/>
                <w:szCs w:val="21"/>
                <w:highlight w:val="none"/>
              </w:rPr>
              <w:t>%</w:t>
            </w:r>
          </w:p>
        </w:tc>
        <w:tc>
          <w:tcPr>
            <w:tcW w:w="1266" w:type="dxa"/>
            <w:tcBorders>
              <w:tl2br w:val="nil"/>
              <w:tr2bl w:val="nil"/>
            </w:tcBorders>
            <w:noWrap w:val="0"/>
            <w:vAlign w:val="center"/>
          </w:tcPr>
          <w:p>
            <w:pPr>
              <w:pStyle w:val="19"/>
              <w:spacing w:line="300" w:lineRule="exact"/>
              <w:jc w:val="center"/>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114.3</w:t>
            </w:r>
          </w:p>
        </w:tc>
        <w:tc>
          <w:tcPr>
            <w:tcW w:w="2484" w:type="dxa"/>
            <w:tcBorders>
              <w:tl2br w:val="nil"/>
              <w:tr2bl w:val="nil"/>
            </w:tcBorders>
            <w:noWrap w:val="0"/>
            <w:vAlign w:val="center"/>
          </w:tcPr>
          <w:p>
            <w:pPr>
              <w:pStyle w:val="19"/>
              <w:spacing w:line="300" w:lineRule="exact"/>
              <w:jc w:val="center"/>
              <w:rPr>
                <w:rFonts w:ascii="Times New Roman" w:hAnsi="Times New Roman"/>
                <w:color w:val="auto"/>
                <w:sz w:val="21"/>
                <w:szCs w:val="21"/>
                <w:highlight w:val="none"/>
              </w:rPr>
            </w:pPr>
            <w:r>
              <w:rPr>
                <w:rFonts w:ascii="Times New Roman" w:hAnsi="Times New Roman"/>
                <w:color w:val="auto"/>
                <w:sz w:val="21"/>
                <w:szCs w:val="21"/>
                <w:highlight w:val="none"/>
              </w:rPr>
              <w:t>进入</w:t>
            </w:r>
            <w:r>
              <w:rPr>
                <w:rFonts w:hint="eastAsia" w:ascii="Times New Roman" w:hAnsi="Times New Roman"/>
                <w:color w:val="auto"/>
                <w:sz w:val="21"/>
                <w:szCs w:val="21"/>
                <w:highlight w:val="none"/>
                <w:lang w:val="en-US" w:eastAsia="zh-CN"/>
              </w:rPr>
              <w:t>银</w:t>
            </w:r>
            <w:r>
              <w:rPr>
                <w:rFonts w:ascii="Times New Roman" w:hAnsi="Times New Roman"/>
                <w:color w:val="auto"/>
                <w:sz w:val="21"/>
                <w:szCs w:val="21"/>
                <w:highlight w:val="none"/>
              </w:rPr>
              <w:t>镀层</w:t>
            </w:r>
          </w:p>
        </w:tc>
        <w:tc>
          <w:tcPr>
            <w:tcW w:w="1595" w:type="dxa"/>
            <w:tcBorders>
              <w:tl2br w:val="nil"/>
              <w:tr2bl w:val="nil"/>
            </w:tcBorders>
            <w:noWrap w:val="0"/>
            <w:vAlign w:val="center"/>
          </w:tcPr>
          <w:p>
            <w:pPr>
              <w:spacing w:line="30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109.35</w:t>
            </w:r>
          </w:p>
        </w:tc>
        <w:tc>
          <w:tcPr>
            <w:tcW w:w="1540" w:type="dxa"/>
            <w:tcBorders>
              <w:tl2br w:val="nil"/>
              <w:tr2bl w:val="nil"/>
            </w:tcBorders>
            <w:noWrap w:val="0"/>
            <w:vAlign w:val="center"/>
          </w:tcPr>
          <w:p>
            <w:pPr>
              <w:spacing w:line="300" w:lineRule="exact"/>
              <w:jc w:val="center"/>
              <w:rPr>
                <w:color w:val="auto"/>
                <w:sz w:val="21"/>
                <w:szCs w:val="21"/>
                <w:highlight w:val="none"/>
              </w:rPr>
            </w:pPr>
            <w:r>
              <w:rPr>
                <w:rFonts w:hint="eastAsia"/>
                <w:color w:val="auto"/>
                <w:sz w:val="21"/>
                <w:szCs w:val="21"/>
                <w:highlight w:val="none"/>
                <w:lang w:val="en-US" w:eastAsia="zh-CN"/>
              </w:rPr>
              <w:t>96</w:t>
            </w:r>
            <w:r>
              <w:rPr>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2401" w:type="dxa"/>
            <w:tcBorders>
              <w:tl2br w:val="nil"/>
              <w:tr2bl w:val="nil"/>
            </w:tcBorders>
            <w:noWrap w:val="0"/>
            <w:vAlign w:val="center"/>
          </w:tcPr>
          <w:p>
            <w:pPr>
              <w:pStyle w:val="19"/>
              <w:spacing w:line="300" w:lineRule="exact"/>
              <w:jc w:val="center"/>
              <w:rPr>
                <w:rFonts w:ascii="Times New Roman" w:hAnsi="Times New Roman"/>
                <w:color w:val="auto"/>
                <w:sz w:val="21"/>
                <w:szCs w:val="21"/>
                <w:highlight w:val="none"/>
              </w:rPr>
            </w:pPr>
          </w:p>
        </w:tc>
        <w:tc>
          <w:tcPr>
            <w:tcW w:w="1266" w:type="dxa"/>
            <w:tcBorders>
              <w:tl2br w:val="nil"/>
              <w:tr2bl w:val="nil"/>
            </w:tcBorders>
            <w:noWrap w:val="0"/>
            <w:vAlign w:val="center"/>
          </w:tcPr>
          <w:p>
            <w:pPr>
              <w:pStyle w:val="19"/>
              <w:spacing w:line="300" w:lineRule="exact"/>
              <w:jc w:val="center"/>
              <w:rPr>
                <w:rFonts w:ascii="Times New Roman" w:hAnsi="Times New Roman"/>
                <w:color w:val="auto"/>
                <w:sz w:val="21"/>
                <w:szCs w:val="21"/>
                <w:highlight w:val="none"/>
              </w:rPr>
            </w:pPr>
          </w:p>
        </w:tc>
        <w:tc>
          <w:tcPr>
            <w:tcW w:w="2484" w:type="dxa"/>
            <w:tcBorders>
              <w:tl2br w:val="nil"/>
              <w:tr2bl w:val="nil"/>
            </w:tcBorders>
            <w:noWrap w:val="0"/>
            <w:vAlign w:val="center"/>
          </w:tcPr>
          <w:p>
            <w:pPr>
              <w:pStyle w:val="19"/>
              <w:spacing w:line="300" w:lineRule="exact"/>
              <w:jc w:val="center"/>
              <w:rPr>
                <w:rFonts w:ascii="Times New Roman" w:hAnsi="Times New Roman"/>
                <w:color w:val="auto"/>
                <w:sz w:val="21"/>
                <w:szCs w:val="21"/>
                <w:highlight w:val="none"/>
              </w:rPr>
            </w:pPr>
            <w:r>
              <w:rPr>
                <w:rFonts w:ascii="Times New Roman" w:hAnsi="Times New Roman"/>
                <w:color w:val="auto"/>
                <w:sz w:val="21"/>
                <w:szCs w:val="21"/>
                <w:highlight w:val="none"/>
              </w:rPr>
              <w:t>进入废液</w:t>
            </w:r>
            <w:r>
              <w:rPr>
                <w:rFonts w:hint="eastAsia" w:ascii="Times New Roman" w:hAnsi="Times New Roman"/>
                <w:color w:val="auto"/>
                <w:sz w:val="21"/>
                <w:szCs w:val="21"/>
                <w:highlight w:val="none"/>
                <w:lang w:eastAsia="zh-CN"/>
              </w:rPr>
              <w:t>，</w:t>
            </w:r>
            <w:r>
              <w:rPr>
                <w:rFonts w:ascii="Times New Roman" w:hAnsi="Times New Roman"/>
                <w:color w:val="auto"/>
                <w:sz w:val="21"/>
                <w:szCs w:val="21"/>
                <w:highlight w:val="none"/>
              </w:rPr>
              <w:t>过滤损失</w:t>
            </w:r>
          </w:p>
          <w:p>
            <w:pPr>
              <w:pStyle w:val="19"/>
              <w:spacing w:line="300" w:lineRule="exact"/>
              <w:jc w:val="center"/>
              <w:rPr>
                <w:rFonts w:ascii="Times New Roman" w:hAnsi="Times New Roman"/>
                <w:color w:val="auto"/>
                <w:sz w:val="21"/>
                <w:szCs w:val="21"/>
                <w:highlight w:val="none"/>
              </w:rPr>
            </w:pPr>
            <w:r>
              <w:rPr>
                <w:rFonts w:hint="eastAsia" w:ascii="Times New Roman" w:hAnsi="Times New Roman"/>
                <w:color w:val="auto"/>
                <w:sz w:val="21"/>
                <w:szCs w:val="21"/>
                <w:highlight w:val="none"/>
                <w:lang w:eastAsia="zh-CN"/>
              </w:rPr>
              <w:t>(</w:t>
            </w:r>
            <w:r>
              <w:rPr>
                <w:rFonts w:ascii="Times New Roman" w:hAnsi="Times New Roman"/>
                <w:color w:val="auto"/>
                <w:sz w:val="21"/>
                <w:szCs w:val="21"/>
                <w:highlight w:val="none"/>
              </w:rPr>
              <w:t>进入废渣固废</w:t>
            </w:r>
            <w:r>
              <w:rPr>
                <w:rFonts w:hint="eastAsia" w:ascii="Times New Roman" w:hAnsi="Times New Roman"/>
                <w:color w:val="auto"/>
                <w:sz w:val="21"/>
                <w:szCs w:val="21"/>
                <w:highlight w:val="none"/>
                <w:lang w:eastAsia="zh-CN"/>
              </w:rPr>
              <w:t>)</w:t>
            </w:r>
          </w:p>
        </w:tc>
        <w:tc>
          <w:tcPr>
            <w:tcW w:w="1595" w:type="dxa"/>
            <w:tcBorders>
              <w:tl2br w:val="nil"/>
              <w:tr2bl w:val="nil"/>
            </w:tcBorders>
            <w:noWrap w:val="0"/>
            <w:vAlign w:val="center"/>
          </w:tcPr>
          <w:p>
            <w:pPr>
              <w:spacing w:line="300" w:lineRule="exact"/>
              <w:jc w:val="center"/>
              <w:rPr>
                <w:rFonts w:hint="default"/>
                <w:color w:val="auto"/>
                <w:sz w:val="21"/>
                <w:szCs w:val="21"/>
                <w:highlight w:val="none"/>
                <w:lang w:val="en-US"/>
              </w:rPr>
            </w:pPr>
            <w:r>
              <w:rPr>
                <w:rFonts w:hint="eastAsia"/>
                <w:color w:val="auto"/>
                <w:sz w:val="21"/>
                <w:szCs w:val="21"/>
                <w:highlight w:val="none"/>
                <w:lang w:val="en-US" w:eastAsia="zh-CN"/>
              </w:rPr>
              <w:t>3.45</w:t>
            </w:r>
          </w:p>
        </w:tc>
        <w:tc>
          <w:tcPr>
            <w:tcW w:w="1540" w:type="dxa"/>
            <w:tcBorders>
              <w:tl2br w:val="nil"/>
              <w:tr2bl w:val="nil"/>
            </w:tcBorders>
            <w:noWrap w:val="0"/>
            <w:vAlign w:val="center"/>
          </w:tcPr>
          <w:p>
            <w:pPr>
              <w:spacing w:line="300" w:lineRule="exact"/>
              <w:jc w:val="center"/>
              <w:rPr>
                <w:color w:val="auto"/>
                <w:sz w:val="21"/>
                <w:szCs w:val="21"/>
                <w:highlight w:val="none"/>
              </w:rPr>
            </w:pPr>
            <w:r>
              <w:rPr>
                <w:rFonts w:hint="eastAsia"/>
                <w:color w:val="auto"/>
                <w:sz w:val="21"/>
                <w:szCs w:val="21"/>
                <w:highlight w:val="none"/>
                <w:lang w:val="en-US" w:eastAsia="zh-CN"/>
              </w:rPr>
              <w:t>3</w:t>
            </w:r>
            <w:r>
              <w:rPr>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2401" w:type="dxa"/>
            <w:tcBorders>
              <w:tl2br w:val="nil"/>
              <w:tr2bl w:val="nil"/>
            </w:tcBorders>
            <w:noWrap w:val="0"/>
            <w:vAlign w:val="center"/>
          </w:tcPr>
          <w:p>
            <w:pPr>
              <w:pStyle w:val="19"/>
              <w:spacing w:line="300" w:lineRule="exact"/>
              <w:jc w:val="center"/>
              <w:rPr>
                <w:rFonts w:ascii="Times New Roman" w:hAnsi="Times New Roman"/>
                <w:color w:val="auto"/>
                <w:sz w:val="21"/>
                <w:szCs w:val="21"/>
                <w:highlight w:val="none"/>
              </w:rPr>
            </w:pPr>
          </w:p>
        </w:tc>
        <w:tc>
          <w:tcPr>
            <w:tcW w:w="1266" w:type="dxa"/>
            <w:tcBorders>
              <w:tl2br w:val="nil"/>
              <w:tr2bl w:val="nil"/>
            </w:tcBorders>
            <w:noWrap w:val="0"/>
            <w:vAlign w:val="center"/>
          </w:tcPr>
          <w:p>
            <w:pPr>
              <w:pStyle w:val="19"/>
              <w:spacing w:line="300" w:lineRule="exact"/>
              <w:jc w:val="center"/>
              <w:rPr>
                <w:rFonts w:ascii="Times New Roman" w:hAnsi="Times New Roman"/>
                <w:color w:val="auto"/>
                <w:sz w:val="21"/>
                <w:szCs w:val="21"/>
                <w:highlight w:val="none"/>
              </w:rPr>
            </w:pPr>
          </w:p>
        </w:tc>
        <w:tc>
          <w:tcPr>
            <w:tcW w:w="2484" w:type="dxa"/>
            <w:tcBorders>
              <w:tl2br w:val="nil"/>
              <w:tr2bl w:val="nil"/>
            </w:tcBorders>
            <w:noWrap w:val="0"/>
            <w:vAlign w:val="center"/>
          </w:tcPr>
          <w:p>
            <w:pPr>
              <w:pStyle w:val="19"/>
              <w:spacing w:line="300" w:lineRule="exact"/>
              <w:jc w:val="center"/>
              <w:rPr>
                <w:rFonts w:hint="eastAsia" w:ascii="Times New Roman" w:hAnsi="Times New Roman"/>
                <w:color w:val="auto"/>
                <w:sz w:val="21"/>
                <w:szCs w:val="21"/>
                <w:highlight w:val="none"/>
                <w:lang w:eastAsia="zh-CN"/>
              </w:rPr>
            </w:pPr>
            <w:r>
              <w:rPr>
                <w:rFonts w:hint="default" w:ascii="Times New Roman" w:hAnsi="Times New Roman" w:cs="Times New Roman"/>
                <w:color w:val="auto"/>
                <w:sz w:val="21"/>
                <w:szCs w:val="21"/>
                <w:highlight w:val="none"/>
              </w:rPr>
              <w:t>带出液进入废水</w:t>
            </w:r>
          </w:p>
        </w:tc>
        <w:tc>
          <w:tcPr>
            <w:tcW w:w="1595" w:type="dxa"/>
            <w:tcBorders>
              <w:tl2br w:val="nil"/>
              <w:tr2bl w:val="nil"/>
            </w:tcBorders>
            <w:noWrap w:val="0"/>
            <w:vAlign w:val="center"/>
          </w:tcPr>
          <w:p>
            <w:pPr>
              <w:keepNext w:val="0"/>
              <w:keepLines w:val="0"/>
              <w:widowControl/>
              <w:suppressLineNumbers w:val="0"/>
              <w:jc w:val="center"/>
              <w:textAlignment w:val="bottom"/>
              <w:rPr>
                <w:rFonts w:hint="default"/>
                <w:color w:val="auto"/>
                <w:sz w:val="21"/>
                <w:szCs w:val="21"/>
                <w:highlight w:val="none"/>
                <w:lang w:val="en-US" w:eastAsia="zh-CN"/>
              </w:rPr>
            </w:pPr>
            <w:r>
              <w:rPr>
                <w:rFonts w:hint="eastAsia" w:cs="Times New Roman"/>
                <w:i w:val="0"/>
                <w:color w:val="auto"/>
                <w:kern w:val="0"/>
                <w:sz w:val="21"/>
                <w:szCs w:val="21"/>
                <w:highlight w:val="none"/>
                <w:u w:val="none"/>
                <w:lang w:val="en-US" w:eastAsia="zh-CN" w:bidi="ar"/>
              </w:rPr>
              <w:t>1.5</w:t>
            </w:r>
          </w:p>
        </w:tc>
        <w:tc>
          <w:tcPr>
            <w:tcW w:w="1540" w:type="dxa"/>
            <w:tcBorders>
              <w:tl2br w:val="nil"/>
              <w:tr2bl w:val="nil"/>
            </w:tcBorders>
            <w:noWrap w:val="0"/>
            <w:vAlign w:val="center"/>
          </w:tcPr>
          <w:p>
            <w:pPr>
              <w:keepNext w:val="0"/>
              <w:keepLines w:val="0"/>
              <w:widowControl/>
              <w:suppressLineNumbers w:val="0"/>
              <w:jc w:val="center"/>
              <w:textAlignment w:val="center"/>
              <w:rPr>
                <w:rFonts w:hint="eastAsia"/>
                <w:color w:val="auto"/>
                <w:sz w:val="21"/>
                <w:szCs w:val="21"/>
                <w:highlight w:val="none"/>
                <w:lang w:val="en-US" w:eastAsia="zh-CN"/>
              </w:rPr>
            </w:pPr>
            <w:r>
              <w:rPr>
                <w:rFonts w:hint="eastAsia" w:cs="Times New Roman"/>
                <w:i w:val="0"/>
                <w:color w:val="auto"/>
                <w:kern w:val="0"/>
                <w:sz w:val="21"/>
                <w:szCs w:val="21"/>
                <w:highlight w:val="none"/>
                <w:u w:val="none"/>
                <w:lang w:val="en-US" w:eastAsia="zh-CN" w:bidi="ar"/>
              </w:rPr>
              <w:t>1</w:t>
            </w:r>
            <w:r>
              <w:rPr>
                <w:rFonts w:hint="default" w:ascii="Times New Roman" w:hAnsi="Times New Roman" w:eastAsia="宋体" w:cs="Times New Roman"/>
                <w:i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2401" w:type="dxa"/>
            <w:tcBorders>
              <w:tl2br w:val="nil"/>
              <w:tr2bl w:val="nil"/>
            </w:tcBorders>
            <w:noWrap w:val="0"/>
            <w:vAlign w:val="center"/>
          </w:tcPr>
          <w:p>
            <w:pPr>
              <w:pStyle w:val="19"/>
              <w:spacing w:line="300" w:lineRule="exact"/>
              <w:jc w:val="center"/>
              <w:rPr>
                <w:rFonts w:ascii="Times New Roman" w:hAnsi="Times New Roman"/>
                <w:color w:val="auto"/>
                <w:sz w:val="21"/>
                <w:szCs w:val="21"/>
                <w:highlight w:val="none"/>
              </w:rPr>
            </w:pPr>
            <w:r>
              <w:rPr>
                <w:rFonts w:ascii="Times New Roman" w:hAnsi="Times New Roman"/>
                <w:color w:val="auto"/>
                <w:sz w:val="21"/>
                <w:szCs w:val="21"/>
                <w:highlight w:val="none"/>
              </w:rPr>
              <w:t>合计</w:t>
            </w:r>
          </w:p>
        </w:tc>
        <w:tc>
          <w:tcPr>
            <w:tcW w:w="1266" w:type="dxa"/>
            <w:tcBorders>
              <w:tl2br w:val="nil"/>
              <w:tr2bl w:val="nil"/>
            </w:tcBorders>
            <w:noWrap w:val="0"/>
            <w:vAlign w:val="center"/>
          </w:tcPr>
          <w:p>
            <w:pPr>
              <w:pStyle w:val="19"/>
              <w:spacing w:line="300" w:lineRule="exact"/>
              <w:jc w:val="center"/>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114.3</w:t>
            </w:r>
          </w:p>
        </w:tc>
        <w:tc>
          <w:tcPr>
            <w:tcW w:w="2484" w:type="dxa"/>
            <w:tcBorders>
              <w:tl2br w:val="nil"/>
              <w:tr2bl w:val="nil"/>
            </w:tcBorders>
            <w:noWrap w:val="0"/>
            <w:vAlign w:val="center"/>
          </w:tcPr>
          <w:p>
            <w:pPr>
              <w:pStyle w:val="19"/>
              <w:spacing w:line="300" w:lineRule="exact"/>
              <w:jc w:val="center"/>
              <w:rPr>
                <w:rFonts w:ascii="Times New Roman" w:hAnsi="Times New Roman"/>
                <w:color w:val="auto"/>
                <w:sz w:val="21"/>
                <w:szCs w:val="21"/>
                <w:highlight w:val="none"/>
              </w:rPr>
            </w:pPr>
            <w:r>
              <w:rPr>
                <w:rFonts w:ascii="Times New Roman" w:hAnsi="Times New Roman"/>
                <w:color w:val="auto"/>
                <w:sz w:val="21"/>
                <w:szCs w:val="21"/>
                <w:highlight w:val="none"/>
              </w:rPr>
              <w:t>合计</w:t>
            </w:r>
          </w:p>
        </w:tc>
        <w:tc>
          <w:tcPr>
            <w:tcW w:w="1595" w:type="dxa"/>
            <w:tcBorders>
              <w:tl2br w:val="nil"/>
              <w:tr2bl w:val="nil"/>
            </w:tcBorders>
            <w:noWrap w:val="0"/>
            <w:vAlign w:val="center"/>
          </w:tcPr>
          <w:p>
            <w:pPr>
              <w:spacing w:line="30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114.3</w:t>
            </w:r>
          </w:p>
        </w:tc>
        <w:tc>
          <w:tcPr>
            <w:tcW w:w="1540" w:type="dxa"/>
            <w:tcBorders>
              <w:tl2br w:val="nil"/>
              <w:tr2bl w:val="nil"/>
            </w:tcBorders>
            <w:noWrap w:val="0"/>
            <w:vAlign w:val="center"/>
          </w:tcPr>
          <w:p>
            <w:pPr>
              <w:spacing w:line="300" w:lineRule="exact"/>
              <w:jc w:val="center"/>
              <w:rPr>
                <w:color w:val="auto"/>
                <w:sz w:val="21"/>
                <w:szCs w:val="21"/>
                <w:highlight w:val="none"/>
              </w:rPr>
            </w:pPr>
            <w:r>
              <w:rPr>
                <w:color w:val="auto"/>
                <w:sz w:val="21"/>
                <w:szCs w:val="21"/>
                <w:highlight w:val="none"/>
              </w:rPr>
              <w:t>100%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9286" w:type="dxa"/>
            <w:gridSpan w:val="5"/>
            <w:tcBorders>
              <w:tl2br w:val="nil"/>
              <w:tr2bl w:val="nil"/>
            </w:tcBorders>
            <w:noWrap w:val="0"/>
            <w:vAlign w:val="center"/>
          </w:tcPr>
          <w:p>
            <w:pPr>
              <w:spacing w:line="300" w:lineRule="exact"/>
              <w:jc w:val="left"/>
              <w:rPr>
                <w:color w:val="auto"/>
                <w:sz w:val="21"/>
                <w:szCs w:val="21"/>
                <w:highlight w:val="none"/>
              </w:rPr>
            </w:pPr>
            <w:r>
              <w:rPr>
                <w:rFonts w:hint="default" w:ascii="Times New Roman" w:hAnsi="Times New Roman" w:cs="Times New Roman"/>
                <w:color w:val="auto"/>
                <w:sz w:val="20"/>
                <w:szCs w:val="20"/>
                <w:highlight w:val="none"/>
              </w:rPr>
              <w:t>备注:</w:t>
            </w:r>
            <w:r>
              <w:rPr>
                <w:rFonts w:hint="eastAsia" w:cs="Times New Roman"/>
                <w:color w:val="auto"/>
                <w:sz w:val="20"/>
                <w:szCs w:val="20"/>
                <w:highlight w:val="none"/>
                <w:lang w:val="en-US" w:eastAsia="zh-CN"/>
              </w:rPr>
              <w:t>银</w:t>
            </w:r>
            <w:r>
              <w:rPr>
                <w:rFonts w:hint="default" w:ascii="Times New Roman" w:hAnsi="Times New Roman" w:cs="Times New Roman"/>
                <w:color w:val="auto"/>
                <w:sz w:val="20"/>
                <w:szCs w:val="20"/>
                <w:highlight w:val="none"/>
              </w:rPr>
              <w:t>镀层密度</w:t>
            </w:r>
            <w:r>
              <w:rPr>
                <w:rFonts w:hint="eastAsia" w:cs="Times New Roman"/>
                <w:color w:val="auto"/>
                <w:sz w:val="20"/>
                <w:szCs w:val="20"/>
                <w:highlight w:val="none"/>
                <w:lang w:val="en-US" w:eastAsia="zh-CN"/>
              </w:rPr>
              <w:t>10.49</w:t>
            </w:r>
            <w:r>
              <w:rPr>
                <w:rFonts w:hint="default" w:ascii="Times New Roman" w:hAnsi="Times New Roman" w:cs="Times New Roman"/>
                <w:color w:val="auto"/>
                <w:sz w:val="20"/>
                <w:szCs w:val="20"/>
                <w:highlight w:val="none"/>
              </w:rPr>
              <w:t>g/cm</w:t>
            </w:r>
            <w:r>
              <w:rPr>
                <w:rFonts w:hint="default" w:ascii="Times New Roman" w:hAnsi="Times New Roman" w:cs="Times New Roman"/>
                <w:color w:val="auto"/>
                <w:sz w:val="20"/>
                <w:szCs w:val="20"/>
                <w:highlight w:val="none"/>
                <w:vertAlign w:val="superscript"/>
              </w:rPr>
              <w:t>3</w:t>
            </w:r>
            <w:r>
              <w:rPr>
                <w:rFonts w:hint="default" w:ascii="Times New Roman" w:hAnsi="Times New Roman" w:cs="Times New Roman"/>
                <w:color w:val="auto"/>
                <w:sz w:val="20"/>
                <w:szCs w:val="20"/>
                <w:highlight w:val="none"/>
              </w:rPr>
              <w:t>。来源《电镀手册 第三版》</w:t>
            </w:r>
          </w:p>
        </w:tc>
      </w:tr>
    </w:tbl>
    <w:p>
      <w:pPr>
        <w:jc w:val="center"/>
        <w:rPr>
          <w:color w:val="auto"/>
          <w:sz w:val="24"/>
          <w:highlight w:val="none"/>
        </w:rPr>
      </w:pPr>
      <w:r>
        <w:rPr>
          <w:color w:val="auto"/>
          <w:sz w:val="24"/>
          <w:highlight w:val="none"/>
        </w:rPr>
        <w:pict>
          <v:group id="_x0000_s2753" o:spid="_x0000_s2753" o:spt="203" style="height:176.95pt;width:431.05pt;" coordorigin="1418,2510" coordsize="8620,3538" editas="canvas">
            <o:lock v:ext="edit"/>
            <v:shape id="_x0000_s2754" o:spid="_x0000_s2754" o:spt="75" type="#_x0000_t75" style="position:absolute;left:1418;top:2510;height:3538;width:8620;" filled="f" stroked="f" coordsize="21600,21600">
              <v:path/>
              <v:fill on="f" focussize="0,0"/>
              <v:stroke on="f"/>
              <v:imagedata o:title=""/>
              <o:lock v:ext="edit" rotation="t" text="t" aspectratio="t"/>
            </v:shape>
            <v:rect id="_x0000_s2755" o:spid="_x0000_s2755" o:spt="1" style="position:absolute;left:4806;top:2545;height:455;width:1691;" fillcolor="#FFFFFF" filled="t" stroked="t" coordsize="21600,21600">
              <v:path/>
              <v:fill on="t" color2="#FFFFFF" focussize="0,0"/>
              <v:stroke color="#000000" joinstyle="miter"/>
              <v:imagedata o:title=""/>
              <o:lock v:ext="edit" aspectratio="f"/>
              <v:textbox>
                <w:txbxContent>
                  <w:p>
                    <w:pPr>
                      <w:jc w:val="center"/>
                      <w:rPr>
                        <w:lang w:val="en-US"/>
                      </w:rPr>
                    </w:pPr>
                    <w:r>
                      <w:rPr>
                        <w:rFonts w:hint="eastAsia"/>
                        <w:color w:val="auto"/>
                        <w:sz w:val="21"/>
                        <w:szCs w:val="21"/>
                        <w:lang w:val="en-US" w:eastAsia="zh-CN"/>
                      </w:rPr>
                      <w:t>硝酸银180</w:t>
                    </w:r>
                  </w:p>
                </w:txbxContent>
              </v:textbox>
            </v:rect>
            <v:shape id="_x0000_s2756" o:spid="_x0000_s2756" o:spt="32" type="#_x0000_t32" style="position:absolute;left:5652;top:3033;height:351;width:8;" filled="f" stroked="t" coordsize="21600,21600">
              <v:path arrowok="t"/>
              <v:fill on="f" focussize="0,0"/>
              <v:stroke color="#000000" endarrow="block"/>
              <v:imagedata o:title=""/>
              <o:lock v:ext="edit" aspectratio="f"/>
            </v:shape>
            <v:rect id="_x0000_s2757" o:spid="_x0000_s2757" o:spt="1" style="position:absolute;left:4757;top:3398;height:486;width:1933;" fillcolor="#FFFFFF" filled="t" stroked="t" coordsize="21600,21600">
              <v:path/>
              <v:fill on="t" color2="#FFFFFF" focussize="0,0"/>
              <v:stroke color="#000000" joinstyle="miter"/>
              <v:imagedata o:title=""/>
              <o:lock v:ext="edit" aspectratio="f"/>
              <v:textbox>
                <w:txbxContent>
                  <w:p>
                    <w:pPr>
                      <w:rPr>
                        <w:rFonts w:hint="eastAsia" w:eastAsia="宋体"/>
                        <w:lang w:val="en-US" w:eastAsia="zh-CN"/>
                      </w:rPr>
                    </w:pPr>
                    <w:r>
                      <w:rPr>
                        <w:rFonts w:hint="eastAsia"/>
                      </w:rPr>
                      <w:t>折合</w:t>
                    </w:r>
                    <w:r>
                      <w:rPr>
                        <w:rFonts w:hint="eastAsia"/>
                        <w:lang w:val="en-US" w:eastAsia="zh-CN"/>
                      </w:rPr>
                      <w:t>银</w:t>
                    </w:r>
                    <w:r>
                      <w:rPr>
                        <w:rFonts w:hint="eastAsia"/>
                      </w:rPr>
                      <w:t>：</w:t>
                    </w:r>
                    <w:r>
                      <w:rPr>
                        <w:rFonts w:hint="eastAsia"/>
                        <w:lang w:val="en-US" w:eastAsia="zh-CN"/>
                      </w:rPr>
                      <w:t>114.3</w:t>
                    </w:r>
                  </w:p>
                </w:txbxContent>
              </v:textbox>
            </v:rect>
            <v:shape id="_x0000_s2759" o:spid="_x0000_s2759" o:spt="32" type="#_x0000_t32" style="position:absolute;left:3214;top:4252;height:2;width:4689;" filled="f" stroked="t" coordsize="21600,21600">
              <v:path arrowok="t"/>
              <v:fill on="f" focussize="0,0"/>
              <v:stroke color="#000000"/>
              <v:imagedata o:title=""/>
              <o:lock v:ext="edit" aspectratio="f"/>
            </v:shape>
            <v:shape id="_x0000_s2760" o:spid="_x0000_s2760" o:spt="32" type="#_x0000_t32" style="position:absolute;left:3231;top:4255;height:351;width:8;" filled="f" stroked="t" coordsize="21600,21600">
              <v:path arrowok="t"/>
              <v:fill on="f" focussize="0,0"/>
              <v:stroke color="#000000" endarrow="block"/>
              <v:imagedata o:title=""/>
              <o:lock v:ext="edit" aspectratio="f"/>
            </v:shape>
            <v:shape id="_x0000_s2761" o:spid="_x0000_s2761" o:spt="32" type="#_x0000_t32" style="position:absolute;left:7912;top:4233;height:351;width:8;" filled="f" stroked="t" coordsize="21600,21600">
              <v:path arrowok="t"/>
              <v:fill on="f" focussize="0,0"/>
              <v:stroke color="#000000" endarrow="block"/>
              <v:imagedata o:title=""/>
              <o:lock v:ext="edit" aspectratio="f"/>
            </v:shape>
            <v:rect id="_x0000_s2762" o:spid="_x0000_s2762" o:spt="1" style="position:absolute;left:2083;top:4590;height:486;width:1975;" fillcolor="#FFFFFF" filled="t" stroked="t" coordsize="21600,21600">
              <v:path/>
              <v:fill on="t" color2="#FFFFFF" focussize="0,0"/>
              <v:stroke color="#000000" joinstyle="miter"/>
              <v:imagedata o:title=""/>
              <o:lock v:ext="edit" aspectratio="f"/>
              <v:textbox>
                <w:txbxContent>
                  <w:p>
                    <w:pPr>
                      <w:rPr>
                        <w:rFonts w:hint="default" w:eastAsia="宋体"/>
                        <w:lang w:val="en-US" w:eastAsia="zh-CN"/>
                      </w:rPr>
                    </w:pPr>
                    <w:r>
                      <w:rPr>
                        <w:rFonts w:hint="eastAsia"/>
                      </w:rPr>
                      <w:t>进入镀层：</w:t>
                    </w:r>
                    <w:r>
                      <w:rPr>
                        <w:rFonts w:hint="eastAsia"/>
                        <w:lang w:val="en-US" w:eastAsia="zh-CN"/>
                      </w:rPr>
                      <w:t>109.35</w:t>
                    </w:r>
                  </w:p>
                </w:txbxContent>
              </v:textbox>
            </v:rect>
            <v:rect id="_x0000_s2764" o:spid="_x0000_s2764" o:spt="1" style="position:absolute;left:7173;top:4553;height:486;width:2455;" fillcolor="#FFFFFF" filled="t" stroked="t" coordsize="21600,21600">
              <v:path/>
              <v:fill on="t" color2="#FFFFFF" focussize="0,0"/>
              <v:stroke color="#000000" joinstyle="miter"/>
              <v:imagedata o:title=""/>
              <o:lock v:ext="edit" aspectratio="f"/>
              <v:textbox>
                <w:txbxContent>
                  <w:p>
                    <w:pPr>
                      <w:rPr>
                        <w:rFonts w:hint="default" w:eastAsia="宋体"/>
                        <w:lang w:val="en-US" w:eastAsia="zh-CN"/>
                      </w:rPr>
                    </w:pPr>
                    <w:r>
                      <w:rPr>
                        <w:rFonts w:hint="eastAsia"/>
                      </w:rPr>
                      <w:t>进入镀液/损失：</w:t>
                    </w:r>
                    <w:r>
                      <w:rPr>
                        <w:rFonts w:hint="eastAsia"/>
                        <w:lang w:val="en-US" w:eastAsia="zh-CN"/>
                      </w:rPr>
                      <w:t>3.45</w:t>
                    </w:r>
                  </w:p>
                </w:txbxContent>
              </v:textbox>
            </v:rect>
            <v:shape id="_x0000_s2765" o:spid="_x0000_s2765" o:spt="32" type="#_x0000_t32" style="position:absolute;left:5676;top:3892;height:351;width:8;" filled="f" stroked="t" coordsize="21600,21600">
              <v:path arrowok="t"/>
              <v:fill on="f" focussize="0,0"/>
              <v:stroke color="#000000" endarrow="block"/>
              <v:imagedata o:title=""/>
              <o:lock v:ext="edit" aspectratio="f"/>
            </v:shape>
            <v:rect id="_x0000_s2904" o:spid="_x0000_s2904" o:spt="1" style="position:absolute;left:4674;top:4606;height:480;width:1680;" fillcolor="#FFFFFF" filled="t" stroked="t" coordsize="21600,21600">
              <v:path/>
              <v:fill on="t" color2="#FFFFFF" focussize="0,0"/>
              <v:stroke color="#000000" joinstyle="miter"/>
              <v:imagedata o:title=""/>
              <o:lock v:ext="edit" aspectratio="f"/>
              <v:textbox>
                <w:txbxContent>
                  <w:p>
                    <w:pPr>
                      <w:rPr>
                        <w:rFonts w:hint="default" w:eastAsia="宋体"/>
                        <w:lang w:val="en-US" w:eastAsia="zh-CN"/>
                      </w:rPr>
                    </w:pPr>
                    <w:r>
                      <w:rPr>
                        <w:rFonts w:hint="eastAsia"/>
                      </w:rPr>
                      <w:t>进入废水：</w:t>
                    </w:r>
                    <w:r>
                      <w:rPr>
                        <w:rFonts w:hint="eastAsia"/>
                        <w:lang w:val="en-US" w:eastAsia="zh-CN"/>
                      </w:rPr>
                      <w:t>1.5</w:t>
                    </w:r>
                  </w:p>
                </w:txbxContent>
              </v:textbox>
            </v:rect>
            <v:shape id="_x0000_s2906" o:spid="_x0000_s2906" o:spt="32" type="#_x0000_t32" style="position:absolute;left:5561;top:5079;height:340;width:0;" filled="f" stroked="t" coordsize="21600,21600">
              <v:path arrowok="t"/>
              <v:fill on="f" focussize="0,0"/>
              <v:stroke color="#000000" endarrow="block"/>
              <v:imagedata o:title=""/>
              <o:lock v:ext="edit" aspectratio="f"/>
            </v:shape>
            <v:rect id="_x0000_s2908" o:spid="_x0000_s2908" o:spt="1" style="position:absolute;left:4551;top:5390;height:480;width:1940;" fillcolor="#FFFFFF" filled="t" stroked="t" coordsize="21600,21600">
              <v:path/>
              <v:fill on="t" color2="#FFFFFF" focussize="0,0"/>
              <v:stroke color="#000000" joinstyle="miter"/>
              <v:imagedata o:title=""/>
              <o:lock v:ext="edit" aspectratio="f"/>
              <v:textbox>
                <w:txbxContent>
                  <w:p>
                    <w:pPr>
                      <w:rPr>
                        <w:rFonts w:hint="default" w:eastAsia="宋体"/>
                        <w:lang w:val="en-US" w:eastAsia="zh-CN"/>
                      </w:rPr>
                    </w:pPr>
                    <w:r>
                      <w:rPr>
                        <w:rFonts w:hint="eastAsia"/>
                      </w:rPr>
                      <w:t>污水站去除：</w:t>
                    </w:r>
                    <w:r>
                      <w:rPr>
                        <w:rFonts w:hint="eastAsia"/>
                        <w:lang w:val="en-US" w:eastAsia="zh-CN"/>
                      </w:rPr>
                      <w:t>1.5</w:t>
                    </w:r>
                  </w:p>
                </w:txbxContent>
              </v:textbox>
            </v:rect>
            <v:shape id="_x0000_s2910" o:spid="_x0000_s2910" o:spt="32" type="#_x0000_t32" style="position:absolute;left:5521;top:4276;height:340;width:0;" filled="f" stroked="t" coordsize="21600,21600">
              <v:path arrowok="t"/>
              <v:fill on="f" focussize="0,0"/>
              <v:stroke color="#000000" endarrow="block"/>
              <v:imagedata o:title=""/>
              <o:lock v:ext="edit" aspectratio="f"/>
            </v:shape>
            <w10:wrap type="none"/>
            <w10:anchorlock/>
          </v:group>
        </w:pict>
      </w:r>
    </w:p>
    <w:p>
      <w:pPr>
        <w:spacing w:line="440" w:lineRule="exact"/>
        <w:ind w:firstLine="480"/>
        <w:jc w:val="center"/>
        <w:rPr>
          <w:color w:val="auto"/>
          <w:highlight w:val="none"/>
        </w:rPr>
      </w:pPr>
      <w:r>
        <w:rPr>
          <w:rFonts w:eastAsia="黑体"/>
          <w:color w:val="auto"/>
          <w:sz w:val="24"/>
          <w:highlight w:val="none"/>
        </w:rPr>
        <w:t>图</w:t>
      </w:r>
      <w:r>
        <w:rPr>
          <w:rFonts w:hint="eastAsia" w:eastAsia="黑体"/>
          <w:color w:val="auto"/>
          <w:sz w:val="24"/>
          <w:highlight w:val="none"/>
          <w:lang w:val="en-US" w:eastAsia="zh-CN"/>
        </w:rPr>
        <w:t>2.3</w:t>
      </w:r>
      <w:r>
        <w:rPr>
          <w:rFonts w:eastAsia="黑体"/>
          <w:color w:val="auto"/>
          <w:sz w:val="24"/>
          <w:highlight w:val="none"/>
        </w:rPr>
        <w:t>-</w:t>
      </w:r>
      <w:r>
        <w:rPr>
          <w:rFonts w:hint="eastAsia" w:eastAsia="黑体"/>
          <w:color w:val="auto"/>
          <w:sz w:val="24"/>
          <w:highlight w:val="none"/>
          <w:lang w:val="en-US" w:eastAsia="zh-CN"/>
        </w:rPr>
        <w:t>5</w:t>
      </w:r>
      <w:r>
        <w:rPr>
          <w:rFonts w:eastAsia="黑体"/>
          <w:color w:val="auto"/>
          <w:sz w:val="24"/>
          <w:highlight w:val="none"/>
        </w:rPr>
        <w:t xml:space="preserve">  </w:t>
      </w:r>
      <w:r>
        <w:rPr>
          <w:rFonts w:hint="eastAsia" w:eastAsia="黑体"/>
          <w:color w:val="auto"/>
          <w:sz w:val="24"/>
          <w:highlight w:val="none"/>
          <w:lang w:val="en-US" w:eastAsia="zh-CN"/>
        </w:rPr>
        <w:t>银</w:t>
      </w:r>
      <w:r>
        <w:rPr>
          <w:rFonts w:eastAsia="黑体"/>
          <w:color w:val="auto"/>
          <w:sz w:val="24"/>
          <w:highlight w:val="none"/>
        </w:rPr>
        <w:t xml:space="preserve">平衡图  </w:t>
      </w:r>
      <w:r>
        <w:rPr>
          <w:rFonts w:eastAsia="黑体"/>
          <w:color w:val="auto"/>
          <w:sz w:val="24"/>
          <w:highlight w:val="none"/>
        </w:rPr>
        <w:t xml:space="preserve">  单位：kg/a</w:t>
      </w:r>
    </w:p>
    <w:p>
      <w:pPr>
        <w:spacing w:line="440" w:lineRule="exact"/>
        <w:ind w:firstLine="480"/>
        <w:rPr>
          <w:b/>
          <w:color w:val="auto"/>
          <w:sz w:val="24"/>
          <w:highlight w:val="none"/>
        </w:rPr>
      </w:pPr>
      <w:r>
        <w:rPr>
          <w:rFonts w:hint="eastAsia"/>
          <w:color w:val="auto"/>
          <w:sz w:val="24"/>
          <w:highlight w:val="none"/>
          <w:lang w:val="en-US" w:eastAsia="zh-CN"/>
        </w:rPr>
        <w:t>6</w:t>
      </w:r>
      <w:r>
        <w:rPr>
          <w:color w:val="auto"/>
          <w:sz w:val="24"/>
          <w:highlight w:val="none"/>
        </w:rPr>
        <w:t>、</w:t>
      </w:r>
      <w:r>
        <w:rPr>
          <w:rFonts w:hint="eastAsia"/>
          <w:color w:val="auto"/>
          <w:sz w:val="24"/>
          <w:highlight w:val="none"/>
          <w:lang w:val="en-US" w:eastAsia="zh-CN"/>
        </w:rPr>
        <w:t>锡</w:t>
      </w:r>
      <w:r>
        <w:rPr>
          <w:color w:val="auto"/>
          <w:sz w:val="24"/>
          <w:highlight w:val="none"/>
        </w:rPr>
        <w:t>平衡</w:t>
      </w:r>
    </w:p>
    <w:p>
      <w:pPr>
        <w:pStyle w:val="14"/>
        <w:keepNext w:val="0"/>
        <w:keepLines w:val="0"/>
        <w:pageBreakBefore w:val="0"/>
        <w:widowControl w:val="0"/>
        <w:kinsoku/>
        <w:wordWrap/>
        <w:overflowPunct/>
        <w:topLinePunct w:val="0"/>
        <w:autoSpaceDE/>
        <w:autoSpaceDN/>
        <w:bidi w:val="0"/>
        <w:adjustRightInd/>
        <w:snapToGrid w:val="0"/>
        <w:spacing w:after="0" w:line="240" w:lineRule="auto"/>
        <w:ind w:firstLine="0"/>
        <w:jc w:val="center"/>
        <w:textAlignment w:val="auto"/>
        <w:outlineLvl w:val="9"/>
        <w:rPr>
          <w:rFonts w:hint="eastAsia" w:eastAsia="黑体"/>
          <w:color w:val="auto"/>
          <w:sz w:val="24"/>
          <w:szCs w:val="24"/>
          <w:highlight w:val="none"/>
          <w:lang w:val="en-US" w:eastAsia="zh-CN"/>
        </w:rPr>
      </w:pPr>
      <w:r>
        <w:rPr>
          <w:rFonts w:hint="eastAsia" w:eastAsia="黑体"/>
          <w:color w:val="auto"/>
          <w:sz w:val="24"/>
          <w:szCs w:val="24"/>
          <w:highlight w:val="none"/>
          <w:lang w:val="en-US" w:eastAsia="zh-CN"/>
        </w:rPr>
        <w:t>表2.3-6  锡平衡表</w:t>
      </w:r>
    </w:p>
    <w:tbl>
      <w:tblPr>
        <w:tblStyle w:val="36"/>
        <w:tblW w:w="9286" w:type="dxa"/>
        <w:tblInd w:w="0"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3737"/>
        <w:gridCol w:w="1164"/>
        <w:gridCol w:w="2083"/>
        <w:gridCol w:w="1417"/>
        <w:gridCol w:w="885"/>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4901" w:type="dxa"/>
            <w:gridSpan w:val="2"/>
            <w:tcBorders>
              <w:tl2br w:val="nil"/>
              <w:tr2bl w:val="nil"/>
            </w:tcBorders>
            <w:noWrap w:val="0"/>
            <w:vAlign w:val="center"/>
          </w:tcPr>
          <w:p>
            <w:pPr>
              <w:pStyle w:val="19"/>
              <w:spacing w:line="300" w:lineRule="exact"/>
              <w:jc w:val="center"/>
              <w:rPr>
                <w:rFonts w:ascii="Times New Roman" w:hAnsi="Times New Roman"/>
                <w:b/>
                <w:color w:val="auto"/>
                <w:sz w:val="21"/>
                <w:szCs w:val="21"/>
                <w:highlight w:val="none"/>
              </w:rPr>
            </w:pPr>
            <w:r>
              <w:rPr>
                <w:rFonts w:ascii="Times New Roman" w:hAnsi="Times New Roman"/>
                <w:b/>
                <w:color w:val="auto"/>
                <w:sz w:val="21"/>
                <w:szCs w:val="21"/>
                <w:highlight w:val="none"/>
              </w:rPr>
              <w:t>输入kg/a</w:t>
            </w:r>
          </w:p>
        </w:tc>
        <w:tc>
          <w:tcPr>
            <w:tcW w:w="4385" w:type="dxa"/>
            <w:gridSpan w:val="3"/>
            <w:tcBorders>
              <w:tl2br w:val="nil"/>
              <w:tr2bl w:val="nil"/>
            </w:tcBorders>
            <w:noWrap w:val="0"/>
            <w:vAlign w:val="center"/>
          </w:tcPr>
          <w:p>
            <w:pPr>
              <w:pStyle w:val="19"/>
              <w:spacing w:line="300" w:lineRule="exact"/>
              <w:jc w:val="center"/>
              <w:rPr>
                <w:rFonts w:ascii="Times New Roman" w:hAnsi="Times New Roman"/>
                <w:b/>
                <w:color w:val="auto"/>
                <w:sz w:val="21"/>
                <w:szCs w:val="21"/>
                <w:highlight w:val="none"/>
              </w:rPr>
            </w:pPr>
            <w:r>
              <w:rPr>
                <w:rFonts w:ascii="Times New Roman" w:hAnsi="Times New Roman"/>
                <w:b/>
                <w:color w:val="auto"/>
                <w:sz w:val="21"/>
                <w:szCs w:val="21"/>
                <w:highlight w:val="none"/>
              </w:rPr>
              <w:t>输出kg/a</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3737" w:type="dxa"/>
            <w:tcBorders>
              <w:tl2br w:val="nil"/>
              <w:tr2bl w:val="nil"/>
            </w:tcBorders>
            <w:noWrap w:val="0"/>
            <w:vAlign w:val="center"/>
          </w:tcPr>
          <w:p>
            <w:pPr>
              <w:pStyle w:val="19"/>
              <w:spacing w:line="300" w:lineRule="exact"/>
              <w:jc w:val="center"/>
              <w:rPr>
                <w:rFonts w:ascii="Times New Roman" w:hAnsi="Times New Roman"/>
                <w:b/>
                <w:color w:val="auto"/>
                <w:sz w:val="21"/>
                <w:szCs w:val="21"/>
                <w:highlight w:val="none"/>
              </w:rPr>
            </w:pPr>
            <w:r>
              <w:rPr>
                <w:rFonts w:ascii="Times New Roman" w:hAnsi="Times New Roman"/>
                <w:b/>
                <w:color w:val="auto"/>
                <w:sz w:val="21"/>
                <w:szCs w:val="21"/>
                <w:highlight w:val="none"/>
              </w:rPr>
              <w:t>物料</w:t>
            </w:r>
          </w:p>
        </w:tc>
        <w:tc>
          <w:tcPr>
            <w:tcW w:w="1164" w:type="dxa"/>
            <w:tcBorders>
              <w:tl2br w:val="nil"/>
              <w:tr2bl w:val="nil"/>
            </w:tcBorders>
            <w:noWrap w:val="0"/>
            <w:vAlign w:val="center"/>
          </w:tcPr>
          <w:p>
            <w:pPr>
              <w:pStyle w:val="19"/>
              <w:spacing w:line="300" w:lineRule="exact"/>
              <w:jc w:val="center"/>
              <w:rPr>
                <w:rFonts w:hint="eastAsia" w:ascii="Times New Roman" w:hAnsi="Times New Roman" w:eastAsia="宋体"/>
                <w:b/>
                <w:color w:val="auto"/>
                <w:sz w:val="21"/>
                <w:szCs w:val="21"/>
                <w:highlight w:val="none"/>
                <w:lang w:val="en-US" w:eastAsia="zh-CN"/>
              </w:rPr>
            </w:pPr>
            <w:r>
              <w:rPr>
                <w:rFonts w:ascii="Times New Roman" w:hAnsi="Times New Roman"/>
                <w:b/>
                <w:color w:val="auto"/>
                <w:sz w:val="21"/>
                <w:szCs w:val="21"/>
                <w:highlight w:val="none"/>
              </w:rPr>
              <w:t>折合成</w:t>
            </w:r>
            <w:r>
              <w:rPr>
                <w:rFonts w:hint="eastAsia" w:ascii="Times New Roman" w:hAnsi="Times New Roman"/>
                <w:b/>
                <w:color w:val="auto"/>
                <w:sz w:val="21"/>
                <w:szCs w:val="21"/>
                <w:highlight w:val="none"/>
                <w:lang w:val="en-US" w:eastAsia="zh-CN"/>
              </w:rPr>
              <w:t>锡</w:t>
            </w:r>
          </w:p>
        </w:tc>
        <w:tc>
          <w:tcPr>
            <w:tcW w:w="2083" w:type="dxa"/>
            <w:tcBorders>
              <w:tl2br w:val="nil"/>
              <w:tr2bl w:val="nil"/>
            </w:tcBorders>
            <w:noWrap w:val="0"/>
            <w:vAlign w:val="center"/>
          </w:tcPr>
          <w:p>
            <w:pPr>
              <w:pStyle w:val="19"/>
              <w:spacing w:line="300" w:lineRule="exact"/>
              <w:jc w:val="center"/>
              <w:rPr>
                <w:rFonts w:ascii="Times New Roman" w:hAnsi="Times New Roman"/>
                <w:b/>
                <w:color w:val="auto"/>
                <w:sz w:val="21"/>
                <w:szCs w:val="21"/>
                <w:highlight w:val="none"/>
              </w:rPr>
            </w:pPr>
            <w:r>
              <w:rPr>
                <w:rFonts w:ascii="Times New Roman" w:hAnsi="Times New Roman"/>
                <w:b/>
                <w:color w:val="auto"/>
                <w:sz w:val="21"/>
                <w:szCs w:val="21"/>
                <w:highlight w:val="none"/>
              </w:rPr>
              <w:t>产出物</w:t>
            </w:r>
          </w:p>
        </w:tc>
        <w:tc>
          <w:tcPr>
            <w:tcW w:w="1417" w:type="dxa"/>
            <w:tcBorders>
              <w:tl2br w:val="nil"/>
              <w:tr2bl w:val="nil"/>
            </w:tcBorders>
            <w:noWrap w:val="0"/>
            <w:vAlign w:val="center"/>
          </w:tcPr>
          <w:p>
            <w:pPr>
              <w:pStyle w:val="19"/>
              <w:spacing w:line="300" w:lineRule="exact"/>
              <w:jc w:val="center"/>
              <w:rPr>
                <w:rFonts w:hint="eastAsia" w:ascii="Times New Roman" w:hAnsi="Times New Roman" w:eastAsia="宋体"/>
                <w:b/>
                <w:color w:val="auto"/>
                <w:sz w:val="21"/>
                <w:szCs w:val="21"/>
                <w:highlight w:val="none"/>
                <w:lang w:val="en-US" w:eastAsia="zh-CN"/>
              </w:rPr>
            </w:pPr>
            <w:r>
              <w:rPr>
                <w:rFonts w:ascii="Times New Roman" w:hAnsi="Times New Roman"/>
                <w:b/>
                <w:color w:val="auto"/>
                <w:sz w:val="21"/>
                <w:szCs w:val="21"/>
                <w:highlight w:val="none"/>
              </w:rPr>
              <w:t>折合成</w:t>
            </w:r>
            <w:r>
              <w:rPr>
                <w:rFonts w:hint="eastAsia" w:ascii="Times New Roman" w:hAnsi="Times New Roman"/>
                <w:b/>
                <w:color w:val="auto"/>
                <w:sz w:val="21"/>
                <w:szCs w:val="21"/>
                <w:highlight w:val="none"/>
                <w:lang w:val="en-US" w:eastAsia="zh-CN"/>
              </w:rPr>
              <w:t>锡</w:t>
            </w:r>
          </w:p>
        </w:tc>
        <w:tc>
          <w:tcPr>
            <w:tcW w:w="885" w:type="dxa"/>
            <w:tcBorders>
              <w:tl2br w:val="nil"/>
              <w:tr2bl w:val="nil"/>
            </w:tcBorders>
            <w:noWrap w:val="0"/>
            <w:vAlign w:val="center"/>
          </w:tcPr>
          <w:p>
            <w:pPr>
              <w:pStyle w:val="19"/>
              <w:spacing w:line="300" w:lineRule="exact"/>
              <w:jc w:val="center"/>
              <w:rPr>
                <w:rFonts w:ascii="Times New Roman" w:hAnsi="Times New Roman"/>
                <w:b/>
                <w:color w:val="auto"/>
                <w:sz w:val="21"/>
                <w:szCs w:val="21"/>
                <w:highlight w:val="none"/>
              </w:rPr>
            </w:pPr>
            <w:r>
              <w:rPr>
                <w:rFonts w:ascii="Times New Roman" w:hAnsi="Times New Roman"/>
                <w:b/>
                <w:color w:val="auto"/>
                <w:sz w:val="21"/>
                <w:szCs w:val="21"/>
                <w:highlight w:val="none"/>
              </w:rPr>
              <w:t>比例</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3737" w:type="dxa"/>
            <w:tcBorders>
              <w:tl2br w:val="nil"/>
              <w:tr2bl w:val="nil"/>
            </w:tcBorders>
            <w:noWrap w:val="0"/>
            <w:vAlign w:val="center"/>
          </w:tcPr>
          <w:p>
            <w:pPr>
              <w:pStyle w:val="19"/>
              <w:spacing w:line="300" w:lineRule="exact"/>
              <w:jc w:val="center"/>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锡板15</w:t>
            </w:r>
            <w:r>
              <w:rPr>
                <w:rFonts w:ascii="Times New Roman" w:hAnsi="Times New Roman"/>
                <w:color w:val="auto"/>
                <w:sz w:val="21"/>
                <w:szCs w:val="21"/>
                <w:highlight w:val="none"/>
              </w:rPr>
              <w:t>00</w:t>
            </w:r>
            <w:r>
              <w:rPr>
                <w:rFonts w:hint="eastAsia" w:ascii="Times New Roman" w:hAnsi="Times New Roman"/>
                <w:color w:val="auto"/>
                <w:sz w:val="21"/>
                <w:szCs w:val="21"/>
                <w:highlight w:val="none"/>
                <w:lang w:val="en-US" w:eastAsia="zh-CN"/>
              </w:rPr>
              <w:t>0</w:t>
            </w:r>
            <w:r>
              <w:rPr>
                <w:rFonts w:ascii="Times New Roman" w:hAnsi="Times New Roman"/>
                <w:color w:val="auto"/>
                <w:sz w:val="21"/>
                <w:szCs w:val="21"/>
                <w:highlight w:val="none"/>
              </w:rPr>
              <w:t>，纯度99.9%</w:t>
            </w:r>
          </w:p>
        </w:tc>
        <w:tc>
          <w:tcPr>
            <w:tcW w:w="1164" w:type="dxa"/>
            <w:tcBorders>
              <w:tl2br w:val="nil"/>
              <w:tr2bl w:val="nil"/>
            </w:tcBorders>
            <w:noWrap w:val="0"/>
            <w:vAlign w:val="center"/>
          </w:tcPr>
          <w:p>
            <w:pPr>
              <w:spacing w:line="300" w:lineRule="exact"/>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14985</w:t>
            </w:r>
          </w:p>
        </w:tc>
        <w:tc>
          <w:tcPr>
            <w:tcW w:w="2083" w:type="dxa"/>
            <w:tcBorders>
              <w:tl2br w:val="nil"/>
              <w:tr2bl w:val="nil"/>
            </w:tcBorders>
            <w:noWrap w:val="0"/>
            <w:vAlign w:val="center"/>
          </w:tcPr>
          <w:p>
            <w:pPr>
              <w:pStyle w:val="19"/>
              <w:spacing w:line="300" w:lineRule="exact"/>
              <w:jc w:val="center"/>
              <w:rPr>
                <w:rFonts w:ascii="Times New Roman" w:hAnsi="Times New Roman"/>
                <w:color w:val="auto"/>
                <w:sz w:val="21"/>
                <w:szCs w:val="21"/>
                <w:highlight w:val="none"/>
              </w:rPr>
            </w:pPr>
            <w:r>
              <w:rPr>
                <w:rFonts w:ascii="Times New Roman" w:hAnsi="Times New Roman"/>
                <w:color w:val="auto"/>
                <w:sz w:val="21"/>
                <w:szCs w:val="21"/>
                <w:highlight w:val="none"/>
              </w:rPr>
              <w:t>进入</w:t>
            </w:r>
            <w:r>
              <w:rPr>
                <w:rFonts w:hint="eastAsia" w:ascii="Times New Roman" w:hAnsi="Times New Roman"/>
                <w:color w:val="auto"/>
                <w:sz w:val="21"/>
                <w:szCs w:val="21"/>
                <w:highlight w:val="none"/>
                <w:lang w:val="en-US" w:eastAsia="zh-CN"/>
              </w:rPr>
              <w:t>锡</w:t>
            </w:r>
            <w:r>
              <w:rPr>
                <w:rFonts w:ascii="Times New Roman" w:hAnsi="Times New Roman"/>
                <w:color w:val="auto"/>
                <w:sz w:val="21"/>
                <w:szCs w:val="21"/>
                <w:highlight w:val="none"/>
              </w:rPr>
              <w:t>镀层</w:t>
            </w:r>
          </w:p>
        </w:tc>
        <w:tc>
          <w:tcPr>
            <w:tcW w:w="1417" w:type="dxa"/>
            <w:tcBorders>
              <w:tl2br w:val="nil"/>
              <w:tr2bl w:val="nil"/>
            </w:tcBorders>
            <w:noWrap w:val="0"/>
            <w:vAlign w:val="center"/>
          </w:tcPr>
          <w:p>
            <w:pPr>
              <w:pStyle w:val="19"/>
              <w:spacing w:line="300" w:lineRule="exact"/>
              <w:jc w:val="center"/>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13122</w:t>
            </w:r>
          </w:p>
        </w:tc>
        <w:tc>
          <w:tcPr>
            <w:tcW w:w="885" w:type="dxa"/>
            <w:tcBorders>
              <w:tl2br w:val="nil"/>
              <w:tr2bl w:val="nil"/>
            </w:tcBorders>
            <w:noWrap w:val="0"/>
            <w:vAlign w:val="center"/>
          </w:tcPr>
          <w:p>
            <w:pPr>
              <w:pStyle w:val="19"/>
              <w:spacing w:line="300" w:lineRule="exact"/>
              <w:jc w:val="center"/>
              <w:rPr>
                <w:rFonts w:ascii="Times New Roman" w:hAnsi="Times New Roman"/>
                <w:color w:val="auto"/>
                <w:sz w:val="21"/>
                <w:szCs w:val="21"/>
                <w:highlight w:val="none"/>
              </w:rPr>
            </w:pPr>
            <w:r>
              <w:rPr>
                <w:rFonts w:ascii="Times New Roman" w:hAnsi="Times New Roman"/>
                <w:color w:val="auto"/>
                <w:sz w:val="21"/>
                <w:szCs w:val="21"/>
                <w:highlight w:val="none"/>
              </w:rPr>
              <w:t>8</w:t>
            </w:r>
            <w:r>
              <w:rPr>
                <w:rFonts w:hint="eastAsia" w:ascii="Times New Roman" w:hAnsi="Times New Roman"/>
                <w:color w:val="auto"/>
                <w:sz w:val="21"/>
                <w:szCs w:val="21"/>
                <w:highlight w:val="none"/>
                <w:lang w:val="en-US" w:eastAsia="zh-CN"/>
              </w:rPr>
              <w:t>3</w:t>
            </w:r>
            <w:r>
              <w:rPr>
                <w:rFonts w:ascii="Times New Roman" w:hAnsi="Times New Roman"/>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660" w:hRule="atLeast"/>
        </w:trPr>
        <w:tc>
          <w:tcPr>
            <w:tcW w:w="3737" w:type="dxa"/>
            <w:tcBorders>
              <w:tl2br w:val="nil"/>
              <w:tr2bl w:val="nil"/>
            </w:tcBorders>
            <w:noWrap w:val="0"/>
            <w:vAlign w:val="center"/>
          </w:tcPr>
          <w:p>
            <w:pPr>
              <w:pStyle w:val="19"/>
              <w:spacing w:line="300" w:lineRule="exact"/>
              <w:jc w:val="center"/>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甲基磺酸锡2</w:t>
            </w:r>
            <w:r>
              <w:rPr>
                <w:rFonts w:ascii="Times New Roman" w:hAnsi="Times New Roman"/>
                <w:color w:val="auto"/>
                <w:sz w:val="21"/>
                <w:szCs w:val="21"/>
                <w:highlight w:val="none"/>
              </w:rPr>
              <w:t>00</w:t>
            </w:r>
            <w:r>
              <w:rPr>
                <w:rFonts w:hint="eastAsia" w:ascii="Times New Roman" w:hAnsi="Times New Roman"/>
                <w:color w:val="auto"/>
                <w:sz w:val="21"/>
                <w:szCs w:val="21"/>
                <w:highlight w:val="none"/>
                <w:lang w:val="en-US" w:eastAsia="zh-CN"/>
              </w:rPr>
              <w:t>0</w:t>
            </w:r>
            <w:r>
              <w:rPr>
                <w:rFonts w:hint="eastAsia" w:ascii="Times New Roman" w:hAnsi="Times New Roman"/>
                <w:color w:val="auto"/>
                <w:sz w:val="21"/>
                <w:szCs w:val="21"/>
                <w:highlight w:val="none"/>
                <w:lang w:eastAsia="zh-CN"/>
              </w:rPr>
              <w:t>，(CH</w:t>
            </w:r>
            <w:r>
              <w:rPr>
                <w:rFonts w:hint="eastAsia" w:ascii="Times New Roman" w:hAnsi="Times New Roman"/>
                <w:color w:val="auto"/>
                <w:sz w:val="21"/>
                <w:szCs w:val="21"/>
                <w:highlight w:val="none"/>
                <w:vertAlign w:val="subscript"/>
                <w:lang w:eastAsia="zh-CN"/>
              </w:rPr>
              <w:t>3</w:t>
            </w:r>
            <w:r>
              <w:rPr>
                <w:rFonts w:hint="eastAsia" w:ascii="Times New Roman" w:hAnsi="Times New Roman"/>
                <w:color w:val="auto"/>
                <w:sz w:val="21"/>
                <w:szCs w:val="21"/>
                <w:highlight w:val="none"/>
                <w:lang w:eastAsia="zh-CN"/>
              </w:rPr>
              <w:t>SO</w:t>
            </w:r>
            <w:r>
              <w:rPr>
                <w:rFonts w:hint="eastAsia" w:ascii="Times New Roman" w:hAnsi="Times New Roman"/>
                <w:color w:val="auto"/>
                <w:sz w:val="21"/>
                <w:szCs w:val="21"/>
                <w:highlight w:val="none"/>
                <w:vertAlign w:val="subscript"/>
                <w:lang w:eastAsia="zh-CN"/>
              </w:rPr>
              <w:t>3</w:t>
            </w:r>
            <w:r>
              <w:rPr>
                <w:rFonts w:hint="eastAsia" w:ascii="Times New Roman" w:hAnsi="Times New Roman"/>
                <w:color w:val="auto"/>
                <w:sz w:val="21"/>
                <w:szCs w:val="21"/>
                <w:highlight w:val="none"/>
                <w:lang w:eastAsia="zh-CN"/>
              </w:rPr>
              <w:t>)</w:t>
            </w:r>
            <w:r>
              <w:rPr>
                <w:rFonts w:hint="eastAsia" w:ascii="Times New Roman" w:hAnsi="Times New Roman"/>
                <w:color w:val="auto"/>
                <w:sz w:val="21"/>
                <w:szCs w:val="21"/>
                <w:highlight w:val="none"/>
                <w:vertAlign w:val="subscript"/>
                <w:lang w:eastAsia="zh-CN"/>
              </w:rPr>
              <w:t>2</w:t>
            </w:r>
            <w:r>
              <w:rPr>
                <w:rFonts w:hint="eastAsia" w:ascii="Times New Roman" w:hAnsi="Times New Roman"/>
                <w:color w:val="auto"/>
                <w:sz w:val="21"/>
                <w:szCs w:val="21"/>
                <w:highlight w:val="none"/>
                <w:lang w:eastAsia="zh-CN"/>
              </w:rPr>
              <w:t>Sn</w:t>
            </w:r>
            <w:r>
              <w:rPr>
                <w:rFonts w:ascii="Times New Roman" w:hAnsi="Times New Roman"/>
                <w:color w:val="auto"/>
                <w:sz w:val="21"/>
                <w:szCs w:val="21"/>
                <w:highlight w:val="none"/>
              </w:rPr>
              <w:t>，</w:t>
            </w:r>
            <w:r>
              <w:rPr>
                <w:rFonts w:hint="eastAsia" w:ascii="Times New Roman" w:hAnsi="Times New Roman"/>
                <w:color w:val="auto"/>
                <w:sz w:val="21"/>
                <w:szCs w:val="21"/>
                <w:highlight w:val="none"/>
                <w:lang w:val="en-US" w:eastAsia="zh-CN"/>
              </w:rPr>
              <w:t>锡38.4</w:t>
            </w:r>
            <w:r>
              <w:rPr>
                <w:rFonts w:ascii="Times New Roman" w:hAnsi="Times New Roman"/>
                <w:color w:val="auto"/>
                <w:sz w:val="21"/>
                <w:szCs w:val="21"/>
                <w:highlight w:val="none"/>
              </w:rPr>
              <w:t>%</w:t>
            </w:r>
          </w:p>
        </w:tc>
        <w:tc>
          <w:tcPr>
            <w:tcW w:w="1164" w:type="dxa"/>
            <w:tcBorders>
              <w:tl2br w:val="nil"/>
              <w:tr2bl w:val="nil"/>
            </w:tcBorders>
            <w:noWrap w:val="0"/>
            <w:vAlign w:val="center"/>
          </w:tcPr>
          <w:p>
            <w:pPr>
              <w:spacing w:line="300" w:lineRule="exact"/>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768</w:t>
            </w:r>
          </w:p>
        </w:tc>
        <w:tc>
          <w:tcPr>
            <w:tcW w:w="2083" w:type="dxa"/>
            <w:tcBorders>
              <w:tl2br w:val="nil"/>
              <w:tr2bl w:val="nil"/>
            </w:tcBorders>
            <w:noWrap w:val="0"/>
            <w:vAlign w:val="center"/>
          </w:tcPr>
          <w:p>
            <w:pPr>
              <w:pStyle w:val="19"/>
              <w:spacing w:line="300" w:lineRule="exact"/>
              <w:jc w:val="center"/>
              <w:rPr>
                <w:rFonts w:ascii="Times New Roman" w:hAnsi="Times New Roman"/>
                <w:color w:val="auto"/>
                <w:sz w:val="21"/>
                <w:szCs w:val="21"/>
                <w:highlight w:val="none"/>
              </w:rPr>
            </w:pPr>
            <w:r>
              <w:rPr>
                <w:rFonts w:ascii="Times New Roman" w:hAnsi="Times New Roman"/>
                <w:color w:val="auto"/>
                <w:sz w:val="21"/>
                <w:szCs w:val="21"/>
                <w:highlight w:val="none"/>
              </w:rPr>
              <w:t>进入废液</w:t>
            </w:r>
            <w:r>
              <w:rPr>
                <w:rFonts w:hint="eastAsia" w:ascii="Times New Roman" w:hAnsi="Times New Roman"/>
                <w:color w:val="auto"/>
                <w:sz w:val="21"/>
                <w:szCs w:val="21"/>
                <w:highlight w:val="none"/>
                <w:lang w:eastAsia="zh-CN"/>
              </w:rPr>
              <w:t>，</w:t>
            </w:r>
            <w:r>
              <w:rPr>
                <w:rFonts w:ascii="Times New Roman" w:hAnsi="Times New Roman"/>
                <w:color w:val="auto"/>
                <w:sz w:val="21"/>
                <w:szCs w:val="21"/>
                <w:highlight w:val="none"/>
              </w:rPr>
              <w:t>过滤损失</w:t>
            </w:r>
          </w:p>
          <w:p>
            <w:pPr>
              <w:pStyle w:val="19"/>
              <w:spacing w:line="300" w:lineRule="exact"/>
              <w:jc w:val="center"/>
              <w:rPr>
                <w:rFonts w:hint="eastAsia" w:ascii="Times New Roman" w:hAnsi="Times New Roman" w:eastAsia="宋体"/>
                <w:color w:val="auto"/>
                <w:sz w:val="21"/>
                <w:szCs w:val="21"/>
                <w:highlight w:val="none"/>
                <w:lang w:eastAsia="zh-CN"/>
              </w:rPr>
            </w:pPr>
            <w:r>
              <w:rPr>
                <w:rFonts w:hint="eastAsia" w:ascii="Times New Roman" w:hAnsi="Times New Roman"/>
                <w:color w:val="auto"/>
                <w:sz w:val="21"/>
                <w:szCs w:val="21"/>
                <w:highlight w:val="none"/>
                <w:lang w:eastAsia="zh-CN"/>
              </w:rPr>
              <w:t>(</w:t>
            </w:r>
            <w:r>
              <w:rPr>
                <w:rFonts w:ascii="Times New Roman" w:hAnsi="Times New Roman"/>
                <w:color w:val="auto"/>
                <w:sz w:val="21"/>
                <w:szCs w:val="21"/>
                <w:highlight w:val="none"/>
              </w:rPr>
              <w:t>进入废渣固废</w:t>
            </w:r>
            <w:r>
              <w:rPr>
                <w:rFonts w:hint="eastAsia" w:ascii="Times New Roman" w:hAnsi="Times New Roman"/>
                <w:color w:val="auto"/>
                <w:sz w:val="21"/>
                <w:szCs w:val="21"/>
                <w:highlight w:val="none"/>
                <w:lang w:eastAsia="zh-CN"/>
              </w:rPr>
              <w:t>)</w:t>
            </w:r>
          </w:p>
        </w:tc>
        <w:tc>
          <w:tcPr>
            <w:tcW w:w="1417" w:type="dxa"/>
            <w:tcBorders>
              <w:tl2br w:val="nil"/>
              <w:tr2bl w:val="nil"/>
            </w:tcBorders>
            <w:noWrap w:val="0"/>
            <w:vAlign w:val="center"/>
          </w:tcPr>
          <w:p>
            <w:pPr>
              <w:pStyle w:val="19"/>
              <w:spacing w:line="300" w:lineRule="exact"/>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2551.6</w:t>
            </w:r>
          </w:p>
        </w:tc>
        <w:tc>
          <w:tcPr>
            <w:tcW w:w="885" w:type="dxa"/>
            <w:tcBorders>
              <w:tl2br w:val="nil"/>
              <w:tr2bl w:val="nil"/>
            </w:tcBorders>
            <w:noWrap w:val="0"/>
            <w:vAlign w:val="center"/>
          </w:tcPr>
          <w:p>
            <w:pPr>
              <w:pStyle w:val="19"/>
              <w:spacing w:line="300" w:lineRule="exact"/>
              <w:jc w:val="center"/>
              <w:rPr>
                <w:rFonts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16</w:t>
            </w:r>
            <w:r>
              <w:rPr>
                <w:rFonts w:ascii="Times New Roman" w:hAnsi="Times New Roman"/>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3737" w:type="dxa"/>
            <w:tcBorders>
              <w:tl2br w:val="nil"/>
              <w:tr2bl w:val="nil"/>
            </w:tcBorders>
            <w:noWrap w:val="0"/>
            <w:vAlign w:val="center"/>
          </w:tcPr>
          <w:p>
            <w:pPr>
              <w:pStyle w:val="19"/>
              <w:spacing w:line="300" w:lineRule="exact"/>
              <w:jc w:val="center"/>
              <w:rPr>
                <w:rFonts w:ascii="Times New Roman" w:hAnsi="Times New Roman"/>
                <w:color w:val="auto"/>
                <w:sz w:val="21"/>
                <w:szCs w:val="21"/>
                <w:highlight w:val="none"/>
              </w:rPr>
            </w:pPr>
            <w:r>
              <w:rPr>
                <w:rFonts w:hint="eastAsia"/>
                <w:color w:val="auto"/>
                <w:kern w:val="0"/>
                <w:sz w:val="21"/>
                <w:szCs w:val="21"/>
                <w:highlight w:val="none"/>
              </w:rPr>
              <w:t>氯化亚锡</w:t>
            </w:r>
            <w:r>
              <w:rPr>
                <w:rFonts w:hint="eastAsia" w:ascii="Times New Roman" w:hAnsi="Times New Roman"/>
                <w:color w:val="auto"/>
                <w:sz w:val="21"/>
                <w:szCs w:val="21"/>
                <w:highlight w:val="none"/>
                <w:lang w:val="en-US" w:eastAsia="zh-CN"/>
              </w:rPr>
              <w:t>1</w:t>
            </w:r>
            <w:r>
              <w:rPr>
                <w:rFonts w:ascii="Times New Roman" w:hAnsi="Times New Roman"/>
                <w:color w:val="auto"/>
                <w:sz w:val="21"/>
                <w:szCs w:val="21"/>
                <w:highlight w:val="none"/>
              </w:rPr>
              <w:t>00</w:t>
            </w:r>
            <w:r>
              <w:rPr>
                <w:rFonts w:hint="eastAsia" w:ascii="Times New Roman" w:hAnsi="Times New Roman"/>
                <w:color w:val="auto"/>
                <w:sz w:val="21"/>
                <w:szCs w:val="21"/>
                <w:highlight w:val="none"/>
                <w:lang w:val="en-US" w:eastAsia="zh-CN"/>
              </w:rPr>
              <w:t>Sl</w:t>
            </w:r>
            <w:r>
              <w:rPr>
                <w:rFonts w:ascii="Times New Roman" w:hAnsi="Times New Roman"/>
                <w:color w:val="auto"/>
                <w:sz w:val="21"/>
                <w:szCs w:val="21"/>
                <w:highlight w:val="none"/>
              </w:rPr>
              <w:t>Cl</w:t>
            </w:r>
            <w:r>
              <w:rPr>
                <w:rFonts w:ascii="Times New Roman" w:hAnsi="Times New Roman"/>
                <w:color w:val="auto"/>
                <w:sz w:val="21"/>
                <w:szCs w:val="21"/>
                <w:highlight w:val="none"/>
                <w:vertAlign w:val="subscript"/>
              </w:rPr>
              <w:t>2</w:t>
            </w:r>
            <w:r>
              <w:rPr>
                <w:rFonts w:ascii="Times New Roman" w:hAnsi="Times New Roman"/>
                <w:color w:val="auto"/>
                <w:sz w:val="21"/>
                <w:szCs w:val="21"/>
                <w:highlight w:val="none"/>
              </w:rPr>
              <w:t>，</w:t>
            </w:r>
            <w:r>
              <w:rPr>
                <w:rFonts w:hint="eastAsia" w:ascii="Times New Roman" w:hAnsi="Times New Roman"/>
                <w:color w:val="auto"/>
                <w:sz w:val="21"/>
                <w:szCs w:val="21"/>
                <w:highlight w:val="none"/>
                <w:lang w:val="en-US" w:eastAsia="zh-CN"/>
              </w:rPr>
              <w:t>锡52.6</w:t>
            </w:r>
            <w:r>
              <w:rPr>
                <w:rFonts w:ascii="Times New Roman" w:hAnsi="Times New Roman"/>
                <w:color w:val="auto"/>
                <w:sz w:val="21"/>
                <w:szCs w:val="21"/>
                <w:highlight w:val="none"/>
              </w:rPr>
              <w:t>%</w:t>
            </w:r>
          </w:p>
        </w:tc>
        <w:tc>
          <w:tcPr>
            <w:tcW w:w="1164" w:type="dxa"/>
            <w:tcBorders>
              <w:tl2br w:val="nil"/>
              <w:tr2bl w:val="nil"/>
            </w:tcBorders>
            <w:noWrap w:val="0"/>
            <w:vAlign w:val="center"/>
          </w:tcPr>
          <w:p>
            <w:pPr>
              <w:spacing w:line="300" w:lineRule="exact"/>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52.6</w:t>
            </w:r>
          </w:p>
        </w:tc>
        <w:tc>
          <w:tcPr>
            <w:tcW w:w="2083" w:type="dxa"/>
            <w:tcBorders>
              <w:tl2br w:val="nil"/>
              <w:tr2bl w:val="nil"/>
            </w:tcBorders>
            <w:noWrap w:val="0"/>
            <w:vAlign w:val="center"/>
          </w:tcPr>
          <w:p>
            <w:pPr>
              <w:pStyle w:val="19"/>
              <w:spacing w:line="300" w:lineRule="exact"/>
              <w:jc w:val="center"/>
              <w:rPr>
                <w:rFonts w:ascii="Times New Roman" w:hAnsi="Times New Roman"/>
                <w:strike/>
                <w:color w:val="auto"/>
                <w:sz w:val="21"/>
                <w:szCs w:val="21"/>
                <w:highlight w:val="none"/>
              </w:rPr>
            </w:pPr>
            <w:r>
              <w:rPr>
                <w:rFonts w:ascii="Times New Roman" w:hAnsi="Times New Roman"/>
                <w:color w:val="auto"/>
                <w:sz w:val="21"/>
                <w:szCs w:val="21"/>
                <w:highlight w:val="none"/>
              </w:rPr>
              <w:t>带出液进入废水</w:t>
            </w:r>
          </w:p>
        </w:tc>
        <w:tc>
          <w:tcPr>
            <w:tcW w:w="1417" w:type="dxa"/>
            <w:tcBorders>
              <w:tl2br w:val="nil"/>
              <w:tr2bl w:val="nil"/>
            </w:tcBorders>
            <w:noWrap w:val="0"/>
            <w:vAlign w:val="center"/>
          </w:tcPr>
          <w:p>
            <w:pPr>
              <w:pStyle w:val="19"/>
              <w:spacing w:line="300" w:lineRule="exact"/>
              <w:jc w:val="center"/>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132</w:t>
            </w:r>
          </w:p>
        </w:tc>
        <w:tc>
          <w:tcPr>
            <w:tcW w:w="885" w:type="dxa"/>
            <w:tcBorders>
              <w:tl2br w:val="nil"/>
              <w:tr2bl w:val="nil"/>
            </w:tcBorders>
            <w:noWrap w:val="0"/>
            <w:vAlign w:val="center"/>
          </w:tcPr>
          <w:p>
            <w:pPr>
              <w:pStyle w:val="19"/>
              <w:spacing w:line="300" w:lineRule="exact"/>
              <w:jc w:val="center"/>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3737" w:type="dxa"/>
            <w:tcBorders>
              <w:tl2br w:val="nil"/>
              <w:tr2bl w:val="nil"/>
            </w:tcBorders>
            <w:noWrap w:val="0"/>
            <w:vAlign w:val="center"/>
          </w:tcPr>
          <w:p>
            <w:pPr>
              <w:pStyle w:val="19"/>
              <w:spacing w:line="300" w:lineRule="exact"/>
              <w:jc w:val="center"/>
              <w:rPr>
                <w:rFonts w:ascii="Times New Roman" w:hAnsi="Times New Roman"/>
                <w:color w:val="auto"/>
                <w:sz w:val="21"/>
                <w:szCs w:val="21"/>
                <w:highlight w:val="none"/>
              </w:rPr>
            </w:pPr>
            <w:r>
              <w:rPr>
                <w:rFonts w:ascii="Times New Roman" w:hAnsi="Times New Roman"/>
                <w:color w:val="auto"/>
                <w:sz w:val="21"/>
                <w:szCs w:val="21"/>
                <w:highlight w:val="none"/>
              </w:rPr>
              <w:t>合计</w:t>
            </w:r>
          </w:p>
        </w:tc>
        <w:tc>
          <w:tcPr>
            <w:tcW w:w="1164" w:type="dxa"/>
            <w:tcBorders>
              <w:tl2br w:val="nil"/>
              <w:tr2bl w:val="nil"/>
            </w:tcBorders>
            <w:noWrap w:val="0"/>
            <w:vAlign w:val="center"/>
          </w:tcPr>
          <w:p>
            <w:pPr>
              <w:spacing w:line="300" w:lineRule="exact"/>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15805.6</w:t>
            </w:r>
          </w:p>
        </w:tc>
        <w:tc>
          <w:tcPr>
            <w:tcW w:w="2083" w:type="dxa"/>
            <w:tcBorders>
              <w:tl2br w:val="nil"/>
              <w:tr2bl w:val="nil"/>
            </w:tcBorders>
            <w:noWrap w:val="0"/>
            <w:vAlign w:val="center"/>
          </w:tcPr>
          <w:p>
            <w:pPr>
              <w:pStyle w:val="19"/>
              <w:spacing w:line="300" w:lineRule="exact"/>
              <w:jc w:val="center"/>
              <w:rPr>
                <w:rFonts w:ascii="Times New Roman" w:hAnsi="Times New Roman"/>
                <w:color w:val="auto"/>
                <w:sz w:val="21"/>
                <w:szCs w:val="21"/>
                <w:highlight w:val="none"/>
              </w:rPr>
            </w:pPr>
            <w:r>
              <w:rPr>
                <w:rFonts w:ascii="Times New Roman" w:hAnsi="Times New Roman"/>
                <w:color w:val="auto"/>
                <w:sz w:val="21"/>
                <w:szCs w:val="21"/>
                <w:highlight w:val="none"/>
              </w:rPr>
              <w:t>合计</w:t>
            </w:r>
          </w:p>
        </w:tc>
        <w:tc>
          <w:tcPr>
            <w:tcW w:w="1417" w:type="dxa"/>
            <w:tcBorders>
              <w:tl2br w:val="nil"/>
              <w:tr2bl w:val="nil"/>
            </w:tcBorders>
            <w:noWrap w:val="0"/>
            <w:vAlign w:val="center"/>
          </w:tcPr>
          <w:p>
            <w:pPr>
              <w:spacing w:line="300" w:lineRule="exact"/>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15805.6</w:t>
            </w:r>
          </w:p>
        </w:tc>
        <w:tc>
          <w:tcPr>
            <w:tcW w:w="885" w:type="dxa"/>
            <w:tcBorders>
              <w:tl2br w:val="nil"/>
              <w:tr2bl w:val="nil"/>
            </w:tcBorders>
            <w:noWrap w:val="0"/>
            <w:vAlign w:val="center"/>
          </w:tcPr>
          <w:p>
            <w:pPr>
              <w:spacing w:line="300" w:lineRule="exact"/>
              <w:jc w:val="center"/>
              <w:rPr>
                <w:color w:val="auto"/>
                <w:sz w:val="21"/>
                <w:szCs w:val="21"/>
                <w:highlight w:val="none"/>
              </w:rPr>
            </w:pPr>
            <w:r>
              <w:rPr>
                <w:color w:val="auto"/>
                <w:sz w:val="21"/>
                <w:szCs w:val="21"/>
                <w:highlight w:val="none"/>
              </w:rPr>
              <w:t>100%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9286" w:type="dxa"/>
            <w:gridSpan w:val="5"/>
            <w:tcBorders>
              <w:tl2br w:val="nil"/>
              <w:tr2bl w:val="nil"/>
            </w:tcBorders>
            <w:noWrap w:val="0"/>
            <w:vAlign w:val="center"/>
          </w:tcPr>
          <w:p>
            <w:pPr>
              <w:spacing w:line="300" w:lineRule="exact"/>
              <w:rPr>
                <w:color w:val="auto"/>
                <w:sz w:val="21"/>
                <w:szCs w:val="21"/>
                <w:highlight w:val="none"/>
              </w:rPr>
            </w:pPr>
            <w:r>
              <w:rPr>
                <w:color w:val="auto"/>
                <w:sz w:val="18"/>
                <w:szCs w:val="18"/>
                <w:highlight w:val="none"/>
              </w:rPr>
              <w:t>备注:</w:t>
            </w:r>
            <w:r>
              <w:rPr>
                <w:rFonts w:hint="eastAsia"/>
                <w:color w:val="auto"/>
                <w:sz w:val="18"/>
                <w:szCs w:val="18"/>
                <w:highlight w:val="none"/>
                <w:lang w:val="en-US" w:eastAsia="zh-CN"/>
              </w:rPr>
              <w:t>锡</w:t>
            </w:r>
            <w:r>
              <w:rPr>
                <w:color w:val="auto"/>
                <w:sz w:val="18"/>
                <w:szCs w:val="18"/>
                <w:highlight w:val="none"/>
              </w:rPr>
              <w:t>镀层密度</w:t>
            </w:r>
            <w:r>
              <w:rPr>
                <w:rFonts w:hint="eastAsia"/>
                <w:color w:val="auto"/>
                <w:sz w:val="18"/>
                <w:szCs w:val="18"/>
                <w:highlight w:val="none"/>
                <w:lang w:val="en-US" w:eastAsia="zh-CN"/>
              </w:rPr>
              <w:t>7.29</w:t>
            </w:r>
            <w:r>
              <w:rPr>
                <w:color w:val="auto"/>
                <w:sz w:val="18"/>
                <w:szCs w:val="18"/>
                <w:highlight w:val="none"/>
              </w:rPr>
              <w:t>g/cm</w:t>
            </w:r>
            <w:r>
              <w:rPr>
                <w:color w:val="auto"/>
                <w:sz w:val="18"/>
                <w:szCs w:val="18"/>
                <w:highlight w:val="none"/>
                <w:vertAlign w:val="superscript"/>
              </w:rPr>
              <w:t>3</w:t>
            </w:r>
            <w:r>
              <w:rPr>
                <w:color w:val="auto"/>
                <w:sz w:val="18"/>
                <w:szCs w:val="18"/>
                <w:highlight w:val="none"/>
              </w:rPr>
              <w:t>。来源《电镀手册 第三版》</w:t>
            </w:r>
          </w:p>
        </w:tc>
      </w:tr>
    </w:tbl>
    <w:p>
      <w:pPr>
        <w:rPr>
          <w:rFonts w:hint="eastAsia"/>
          <w:color w:val="auto"/>
          <w:highlight w:val="none"/>
        </w:rPr>
      </w:pPr>
      <w:r>
        <w:rPr>
          <w:color w:val="auto"/>
          <w:sz w:val="24"/>
          <w:highlight w:val="none"/>
        </w:rPr>
        <w:pict>
          <v:group id="_x0000_s2771" o:spid="_x0000_s2771" o:spt="203" style="height:204.4pt;width:470.2pt;" coordorigin="1418,2510" coordsize="9404,4088" editas="canvas">
            <o:lock v:ext="edit"/>
            <v:shape id="_x0000_s2772" o:spid="_x0000_s2772" o:spt="75" type="#_x0000_t75" style="position:absolute;left:1418;top:2510;height:4088;width:9404;" filled="f" stroked="f" coordsize="21600,21600">
              <v:path/>
              <v:fill on="f" focussize="0,0"/>
              <v:stroke on="f"/>
              <v:imagedata o:title=""/>
              <o:lock v:ext="edit" rotation="t" text="t" aspectratio="t"/>
            </v:shape>
            <v:rect id="_x0000_s2773" o:spid="_x0000_s2773" o:spt="1" style="position:absolute;left:4502;top:2545;height:955;width:2224;" fillcolor="#FFFFFF" filled="t" stroked="t" coordsize="21600,21600">
              <v:path/>
              <v:fill on="t" color2="#FFFFFF" focussize="0,0"/>
              <v:stroke color="#000000" joinstyle="miter"/>
              <v:imagedata o:title=""/>
              <o:lock v:ext="edit" aspectratio="f"/>
              <v:textbox>
                <w:txbxContent>
                  <w:p>
                    <w:pPr>
                      <w:jc w:val="center"/>
                      <w:rPr>
                        <w:rFonts w:hint="eastAsia"/>
                        <w:color w:val="auto"/>
                        <w:sz w:val="21"/>
                        <w:szCs w:val="21"/>
                      </w:rPr>
                    </w:pPr>
                    <w:r>
                      <w:rPr>
                        <w:rFonts w:hint="eastAsia"/>
                        <w:color w:val="auto"/>
                        <w:sz w:val="21"/>
                        <w:szCs w:val="21"/>
                        <w:lang w:val="en-US" w:eastAsia="zh-CN"/>
                      </w:rPr>
                      <w:t>锡板15000</w:t>
                    </w:r>
                    <w:r>
                      <w:rPr>
                        <w:rFonts w:hint="eastAsia"/>
                        <w:color w:val="auto"/>
                        <w:sz w:val="21"/>
                        <w:szCs w:val="21"/>
                      </w:rPr>
                      <w:t>、</w:t>
                    </w:r>
                  </w:p>
                  <w:p>
                    <w:pPr>
                      <w:pStyle w:val="19"/>
                      <w:jc w:val="center"/>
                      <w:rPr>
                        <w:rFonts w:hint="eastAsia"/>
                        <w:color w:val="auto"/>
                        <w:sz w:val="21"/>
                        <w:szCs w:val="21"/>
                      </w:rPr>
                    </w:pPr>
                    <w:r>
                      <w:rPr>
                        <w:rFonts w:hint="eastAsia" w:ascii="Times New Roman" w:hAnsi="Times New Roman"/>
                        <w:sz w:val="21"/>
                        <w:szCs w:val="21"/>
                        <w:lang w:val="en-US" w:eastAsia="zh-CN"/>
                      </w:rPr>
                      <w:t>甲基磺酸锡</w:t>
                    </w:r>
                    <w:r>
                      <w:rPr>
                        <w:rFonts w:hint="eastAsia" w:ascii="Times New Roman" w:hAnsi="Times New Roman"/>
                        <w:color w:val="auto"/>
                        <w:sz w:val="21"/>
                        <w:szCs w:val="21"/>
                        <w:lang w:val="en-US" w:eastAsia="zh-CN"/>
                      </w:rPr>
                      <w:t>2000</w:t>
                    </w:r>
                    <w:r>
                      <w:rPr>
                        <w:rFonts w:hint="eastAsia"/>
                        <w:color w:val="auto"/>
                        <w:sz w:val="21"/>
                        <w:szCs w:val="21"/>
                      </w:rPr>
                      <w:t>、</w:t>
                    </w:r>
                  </w:p>
                  <w:p>
                    <w:pPr>
                      <w:pStyle w:val="19"/>
                      <w:jc w:val="center"/>
                      <w:rPr>
                        <w:rFonts w:hint="eastAsia" w:eastAsia="宋体"/>
                        <w:color w:val="auto"/>
                        <w:sz w:val="21"/>
                        <w:szCs w:val="21"/>
                        <w:lang w:val="en-US" w:eastAsia="zh-CN"/>
                      </w:rPr>
                    </w:pPr>
                    <w:r>
                      <w:rPr>
                        <w:rFonts w:hint="eastAsia"/>
                        <w:kern w:val="0"/>
                        <w:sz w:val="21"/>
                        <w:szCs w:val="21"/>
                      </w:rPr>
                      <w:t>氯化亚锡</w:t>
                    </w:r>
                    <w:r>
                      <w:rPr>
                        <w:rFonts w:hint="eastAsia" w:ascii="Times New Roman" w:hAnsi="Times New Roman"/>
                        <w:color w:val="auto"/>
                        <w:sz w:val="21"/>
                        <w:szCs w:val="21"/>
                        <w:lang w:val="en-US" w:eastAsia="zh-CN"/>
                      </w:rPr>
                      <w:t>100</w:t>
                    </w:r>
                  </w:p>
                  <w:p/>
                </w:txbxContent>
              </v:textbox>
            </v:rect>
            <v:shape id="_x0000_s2774" o:spid="_x0000_s2774" o:spt="32" type="#_x0000_t32" style="position:absolute;left:5652;top:3383;height:351;width:8;" filled="f" stroked="t" coordsize="21600,21600">
              <v:path arrowok="t"/>
              <v:fill on="f" focussize="0,0"/>
              <v:stroke color="#000000" endarrow="block"/>
              <v:imagedata o:title=""/>
              <o:lock v:ext="edit" aspectratio="f"/>
            </v:shape>
            <v:rect id="_x0000_s2775" o:spid="_x0000_s2775" o:spt="1" style="position:absolute;left:4807;top:3748;height:486;width:1933;" fillcolor="#FFFFFF" filled="t" stroked="t" coordsize="21600,21600">
              <v:path/>
              <v:fill on="t" color2="#FFFFFF" focussize="0,0"/>
              <v:stroke color="#000000" joinstyle="miter"/>
              <v:imagedata o:title=""/>
              <o:lock v:ext="edit" aspectratio="f"/>
              <v:textbox>
                <w:txbxContent>
                  <w:p>
                    <w:pPr>
                      <w:rPr>
                        <w:rFonts w:hint="eastAsia" w:eastAsia="宋体"/>
                        <w:lang w:val="en-US" w:eastAsia="zh-CN"/>
                      </w:rPr>
                    </w:pPr>
                    <w:r>
                      <w:rPr>
                        <w:rFonts w:hint="eastAsia"/>
                      </w:rPr>
                      <w:t>折合</w:t>
                    </w:r>
                    <w:r>
                      <w:rPr>
                        <w:rFonts w:hint="eastAsia"/>
                        <w:lang w:val="en-US" w:eastAsia="zh-CN"/>
                      </w:rPr>
                      <w:t>锡</w:t>
                    </w:r>
                    <w:r>
                      <w:rPr>
                        <w:rFonts w:hint="eastAsia"/>
                      </w:rPr>
                      <w:t>：</w:t>
                    </w:r>
                    <w:r>
                      <w:rPr>
                        <w:rFonts w:hint="eastAsia"/>
                        <w:lang w:val="en-US" w:eastAsia="zh-CN"/>
                      </w:rPr>
                      <w:t>15805.6</w:t>
                    </w:r>
                  </w:p>
                </w:txbxContent>
              </v:textbox>
            </v:rect>
            <v:shape id="_x0000_s2776" o:spid="_x0000_s2776" o:spt="32" type="#_x0000_t32" style="position:absolute;left:5642;top:4234;height:672;width:1;" filled="f" stroked="t" coordsize="21600,21600">
              <v:path arrowok="t"/>
              <v:fill on="f" focussize="0,0"/>
              <v:stroke color="#000000" endarrow="block"/>
              <v:imagedata o:title=""/>
              <o:lock v:ext="edit" aspectratio="f"/>
            </v:shape>
            <v:shape id="_x0000_s2777" o:spid="_x0000_s2777" o:spt="32" type="#_x0000_t32" style="position:absolute;left:3214;top:4535;height:2;width:4689;" filled="f" stroked="t" coordsize="21600,21600">
              <v:path arrowok="t"/>
              <v:fill on="f" focussize="0,0"/>
              <v:stroke color="#000000"/>
              <v:imagedata o:title=""/>
              <o:lock v:ext="edit" aspectratio="f"/>
            </v:shape>
            <v:shape id="_x0000_s2778" o:spid="_x0000_s2778" o:spt="32" type="#_x0000_t32" style="position:absolute;left:3214;top:4555;height:351;width:8;" filled="f" stroked="t" coordsize="21600,21600">
              <v:path arrowok="t"/>
              <v:fill on="f" focussize="0,0"/>
              <v:stroke color="#000000" endarrow="block"/>
              <v:imagedata o:title=""/>
              <o:lock v:ext="edit" aspectratio="f"/>
            </v:shape>
            <v:shape id="_x0000_s2779" o:spid="_x0000_s2779" o:spt="32" type="#_x0000_t32" style="position:absolute;left:7895;top:4535;height:351;width:8;" filled="f" stroked="t" coordsize="21600,21600">
              <v:path arrowok="t"/>
              <v:fill on="f" focussize="0,0"/>
              <v:stroke color="#000000" endarrow="block"/>
              <v:imagedata o:title=""/>
              <o:lock v:ext="edit" aspectratio="f"/>
            </v:shape>
            <v:rect id="_x0000_s2780" o:spid="_x0000_s2780" o:spt="1" style="position:absolute;left:2049;top:4906;height:486;width:1975;" fillcolor="#FFFFFF" filled="t" stroked="t" coordsize="21600,21600">
              <v:path/>
              <v:fill on="t" color2="#FFFFFF" focussize="0,0"/>
              <v:stroke color="#000000" joinstyle="miter"/>
              <v:imagedata o:title=""/>
              <o:lock v:ext="edit" aspectratio="f"/>
              <v:textbox>
                <w:txbxContent>
                  <w:p>
                    <w:pPr>
                      <w:rPr>
                        <w:rFonts w:hint="eastAsia" w:eastAsia="宋体"/>
                        <w:lang w:val="en-US" w:eastAsia="zh-CN"/>
                      </w:rPr>
                    </w:pPr>
                    <w:r>
                      <w:rPr>
                        <w:rFonts w:hint="eastAsia"/>
                      </w:rPr>
                      <w:t>进入镀层：</w:t>
                    </w:r>
                    <w:r>
                      <w:rPr>
                        <w:rFonts w:hint="eastAsia"/>
                        <w:lang w:val="en-US" w:eastAsia="zh-CN"/>
                      </w:rPr>
                      <w:t>13122</w:t>
                    </w:r>
                  </w:p>
                </w:txbxContent>
              </v:textbox>
            </v:rect>
            <v:rect id="_x0000_s2781" o:spid="_x0000_s2781" o:spt="1" style="position:absolute;left:4806;top:4886;height:486;width:1690;" fillcolor="#FFFFFF" filled="t" stroked="t" coordsize="21600,21600">
              <v:path/>
              <v:fill on="t" color2="#FFFFFF" focussize="0,0"/>
              <v:stroke color="#000000" joinstyle="miter"/>
              <v:imagedata o:title=""/>
              <o:lock v:ext="edit" aspectratio="f"/>
              <v:textbox>
                <w:txbxContent>
                  <w:p>
                    <w:pPr>
                      <w:rPr>
                        <w:rFonts w:hint="default" w:eastAsia="宋体"/>
                        <w:lang w:val="en-US" w:eastAsia="zh-CN"/>
                      </w:rPr>
                    </w:pPr>
                    <w:r>
                      <w:rPr>
                        <w:rFonts w:hint="eastAsia"/>
                      </w:rPr>
                      <w:t>进入废水：</w:t>
                    </w:r>
                    <w:r>
                      <w:rPr>
                        <w:rFonts w:hint="eastAsia"/>
                        <w:lang w:val="en-US" w:eastAsia="zh-CN"/>
                      </w:rPr>
                      <w:t>132</w:t>
                    </w:r>
                  </w:p>
                </w:txbxContent>
              </v:textbox>
            </v:rect>
            <v:rect id="_x0000_s2782" o:spid="_x0000_s2782" o:spt="1" style="position:absolute;left:7190;top:4886;height:486;width:2455;" fillcolor="#FFFFFF" filled="t" stroked="t" coordsize="21600,21600">
              <v:path/>
              <v:fill on="t" color2="#FFFFFF" focussize="0,0"/>
              <v:stroke color="#000000" joinstyle="miter"/>
              <v:imagedata o:title=""/>
              <o:lock v:ext="edit" aspectratio="f"/>
              <v:textbox>
                <w:txbxContent>
                  <w:p>
                    <w:pPr>
                      <w:rPr>
                        <w:rFonts w:hint="eastAsia" w:eastAsia="宋体"/>
                        <w:lang w:val="en-US" w:eastAsia="zh-CN"/>
                      </w:rPr>
                    </w:pPr>
                    <w:r>
                      <w:rPr>
                        <w:rFonts w:hint="eastAsia"/>
                      </w:rPr>
                      <w:t>进入镀液/损失：</w:t>
                    </w:r>
                    <w:r>
                      <w:rPr>
                        <w:rFonts w:hint="eastAsia"/>
                        <w:lang w:val="en-US" w:eastAsia="zh-CN"/>
                      </w:rPr>
                      <w:t>2583.6</w:t>
                    </w:r>
                  </w:p>
                </w:txbxContent>
              </v:textbox>
            </v:rect>
            <v:shape id="_x0000_s2783" o:spid="_x0000_s2783" o:spt="32" type="#_x0000_t32" style="position:absolute;left:5643;top:5392;height:351;width:8;" filled="f" stroked="t" coordsize="21600,21600">
              <v:path arrowok="t"/>
              <v:fill on="f" focussize="0,0"/>
              <v:stroke color="#000000" endarrow="block"/>
              <v:imagedata o:title=""/>
              <o:lock v:ext="edit" aspectratio="f"/>
            </v:shape>
            <v:shape id="_x0000_s2784" o:spid="_x0000_s2784" o:spt="32" type="#_x0000_t32" style="position:absolute;left:4806;top:5741;height:2;width:1691;" filled="f" stroked="t" coordsize="21600,21600">
              <v:path arrowok="t"/>
              <v:fill on="f" focussize="0,0"/>
              <v:stroke color="#000000"/>
              <v:imagedata o:title=""/>
              <o:lock v:ext="edit" aspectratio="f"/>
            </v:shape>
            <v:shape id="_x0000_s2785" o:spid="_x0000_s2785" o:spt="32" type="#_x0000_t32" style="position:absolute;left:4806;top:5743;height:351;width:8;" filled="f" stroked="t" coordsize="21600,21600">
              <v:path arrowok="t"/>
              <v:fill on="f" focussize="0,0"/>
              <v:stroke color="#000000" endarrow="block"/>
              <v:imagedata o:title=""/>
              <o:lock v:ext="edit" aspectratio="f"/>
            </v:shape>
            <v:shape id="_x0000_s2786" o:spid="_x0000_s2786" o:spt="32" type="#_x0000_t32" style="position:absolute;left:6497;top:5743;height:351;width:8;" filled="f" stroked="t" coordsize="21600,21600">
              <v:path arrowok="t"/>
              <v:fill on="f" focussize="0,0"/>
              <v:stroke color="#000000" endarrow="block"/>
              <v:imagedata o:title=""/>
              <o:lock v:ext="edit" aspectratio="f"/>
            </v:shape>
            <v:rect id="_x0000_s2787" o:spid="_x0000_s2787" o:spt="1" style="position:absolute;left:3439;top:6094;height:486;width:1958;" fillcolor="#FFFFFF" filled="t" stroked="t" coordsize="21600,21600">
              <v:path/>
              <v:fill on="t" color2="#FFFFFF" focussize="0,0"/>
              <v:stroke color="#000000" joinstyle="miter"/>
              <v:imagedata o:title=""/>
              <o:lock v:ext="edit" aspectratio="f"/>
              <v:textbox>
                <w:txbxContent>
                  <w:p>
                    <w:pPr>
                      <w:rPr>
                        <w:rFonts w:hint="default" w:eastAsia="宋体"/>
                        <w:lang w:val="en-US" w:eastAsia="zh-CN"/>
                      </w:rPr>
                    </w:pPr>
                    <w:r>
                      <w:rPr>
                        <w:rFonts w:hint="eastAsia"/>
                      </w:rPr>
                      <w:t>污水站去除：</w:t>
                    </w:r>
                    <w:r>
                      <w:rPr>
                        <w:rFonts w:hint="eastAsia"/>
                        <w:lang w:val="en-US" w:eastAsia="zh-CN"/>
                      </w:rPr>
                      <w:t>130.1</w:t>
                    </w:r>
                  </w:p>
                </w:txbxContent>
              </v:textbox>
            </v:rect>
            <v:rect id="_x0000_s2788" o:spid="_x0000_s2788" o:spt="1" style="position:absolute;left:5883;top:6094;height:486;width:1690;" fillcolor="#FFFFFF" filled="t" stroked="t" coordsize="21600,21600">
              <v:path/>
              <v:fill on="t" color2="#FFFFFF" focussize="0,0"/>
              <v:stroke color="#000000" joinstyle="miter"/>
              <v:imagedata o:title=""/>
              <o:lock v:ext="edit" aspectratio="f"/>
              <v:textbox>
                <w:txbxContent>
                  <w:p>
                    <w:pPr>
                      <w:rPr>
                        <w:rFonts w:hint="default" w:eastAsia="宋体"/>
                        <w:lang w:val="en-US" w:eastAsia="zh-CN"/>
                      </w:rPr>
                    </w:pPr>
                    <w:r>
                      <w:rPr>
                        <w:rFonts w:hint="eastAsia"/>
                      </w:rPr>
                      <w:t>外排：</w:t>
                    </w:r>
                    <w:r>
                      <w:rPr>
                        <w:rFonts w:hint="eastAsia"/>
                        <w:lang w:val="en-US" w:eastAsia="zh-CN"/>
                      </w:rPr>
                      <w:t>1.9</w:t>
                    </w:r>
                  </w:p>
                </w:txbxContent>
              </v:textbox>
            </v:rect>
            <w10:wrap type="none"/>
            <w10:anchorlock/>
          </v:group>
        </w:pict>
      </w:r>
    </w:p>
    <w:p>
      <w:pPr>
        <w:spacing w:line="440" w:lineRule="exact"/>
        <w:ind w:firstLine="480"/>
        <w:jc w:val="center"/>
        <w:rPr>
          <w:rFonts w:eastAsia="黑体"/>
          <w:color w:val="auto"/>
          <w:sz w:val="24"/>
          <w:highlight w:val="none"/>
        </w:rPr>
      </w:pPr>
      <w:r>
        <w:rPr>
          <w:rFonts w:eastAsia="黑体"/>
          <w:color w:val="auto"/>
          <w:sz w:val="24"/>
          <w:highlight w:val="none"/>
        </w:rPr>
        <w:t>图</w:t>
      </w:r>
      <w:r>
        <w:rPr>
          <w:rFonts w:hint="eastAsia" w:eastAsia="黑体"/>
          <w:color w:val="auto"/>
          <w:sz w:val="24"/>
          <w:highlight w:val="none"/>
          <w:lang w:val="en-US" w:eastAsia="zh-CN"/>
        </w:rPr>
        <w:t>2.3</w:t>
      </w:r>
      <w:r>
        <w:rPr>
          <w:rFonts w:eastAsia="黑体"/>
          <w:color w:val="auto"/>
          <w:sz w:val="24"/>
          <w:highlight w:val="none"/>
        </w:rPr>
        <w:t>-</w:t>
      </w:r>
      <w:r>
        <w:rPr>
          <w:rFonts w:hint="eastAsia" w:eastAsia="黑体"/>
          <w:color w:val="auto"/>
          <w:sz w:val="24"/>
          <w:highlight w:val="none"/>
          <w:lang w:val="en-US" w:eastAsia="zh-CN"/>
        </w:rPr>
        <w:t>6</w:t>
      </w:r>
      <w:r>
        <w:rPr>
          <w:rFonts w:eastAsia="黑体"/>
          <w:color w:val="auto"/>
          <w:sz w:val="24"/>
          <w:highlight w:val="none"/>
        </w:rPr>
        <w:t xml:space="preserve">  </w:t>
      </w:r>
      <w:r>
        <w:rPr>
          <w:rFonts w:hint="eastAsia" w:eastAsia="黑体"/>
          <w:color w:val="auto"/>
          <w:sz w:val="24"/>
          <w:highlight w:val="none"/>
          <w:lang w:val="en-US" w:eastAsia="zh-CN"/>
        </w:rPr>
        <w:t>锡</w:t>
      </w:r>
      <w:r>
        <w:rPr>
          <w:rFonts w:eastAsia="黑体"/>
          <w:color w:val="auto"/>
          <w:sz w:val="24"/>
          <w:highlight w:val="none"/>
        </w:rPr>
        <w:t>平衡图  单位：kg/a</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2"/>
        <w:rPr>
          <w:rFonts w:hint="eastAsia" w:eastAsia="宋体"/>
          <w:color w:val="auto"/>
          <w:highlight w:val="none"/>
          <w:lang w:val="en-US" w:eastAsia="zh-CN"/>
        </w:rPr>
      </w:pPr>
      <w:r>
        <w:rPr>
          <w:rFonts w:hint="eastAsia" w:ascii="黑体" w:hAnsi="黑体" w:eastAsia="黑体"/>
          <w:color w:val="auto"/>
          <w:sz w:val="24"/>
          <w:highlight w:val="none"/>
          <w:lang w:val="en-US" w:eastAsia="zh-CN"/>
        </w:rPr>
        <w:t>2.3.2水</w:t>
      </w:r>
      <w:r>
        <w:rPr>
          <w:rFonts w:ascii="黑体" w:hAnsi="黑体" w:eastAsia="黑体"/>
          <w:color w:val="auto"/>
          <w:sz w:val="24"/>
          <w:highlight w:val="none"/>
        </w:rPr>
        <w:t>平衡分析</w:t>
      </w:r>
    </w:p>
    <w:p>
      <w:pPr>
        <w:pStyle w:val="104"/>
        <w:ind w:firstLine="472"/>
        <w:rPr>
          <w:color w:val="auto"/>
          <w:highlight w:val="none"/>
        </w:rPr>
      </w:pPr>
      <w:r>
        <w:rPr>
          <w:rFonts w:hint="eastAsia"/>
          <w:color w:val="auto"/>
          <w:highlight w:val="none"/>
        </w:rPr>
        <w:t>(1)给水</w:t>
      </w:r>
    </w:p>
    <w:p>
      <w:pPr>
        <w:pStyle w:val="104"/>
        <w:ind w:firstLine="472"/>
        <w:rPr>
          <w:color w:val="auto"/>
          <w:highlight w:val="none"/>
        </w:rPr>
      </w:pPr>
      <w:r>
        <w:rPr>
          <w:rFonts w:hint="eastAsia"/>
          <w:color w:val="auto"/>
          <w:highlight w:val="none"/>
        </w:rPr>
        <w:t>根据项目实际运行经验，项目用水主要为生产用水、生活用水。给水由</w:t>
      </w:r>
      <w:r>
        <w:rPr>
          <w:rFonts w:hint="eastAsia"/>
          <w:color w:val="auto"/>
          <w:highlight w:val="none"/>
          <w:lang w:val="en-US" w:eastAsia="zh-CN"/>
        </w:rPr>
        <w:t>西海岸新</w:t>
      </w:r>
      <w:r>
        <w:rPr>
          <w:rFonts w:hint="eastAsia"/>
          <w:color w:val="auto"/>
          <w:highlight w:val="none"/>
        </w:rPr>
        <w:t>区供水管网直接供给。</w:t>
      </w:r>
    </w:p>
    <w:p>
      <w:pPr>
        <w:pStyle w:val="104"/>
        <w:ind w:firstLine="480"/>
        <w:rPr>
          <w:color w:val="auto"/>
          <w:highlight w:val="none"/>
        </w:rPr>
      </w:pPr>
      <w:r>
        <w:rPr>
          <w:color w:val="auto"/>
          <w:highlight w:val="none"/>
        </w:rPr>
        <w:fldChar w:fldCharType="begin"/>
      </w:r>
      <w:r>
        <w:rPr>
          <w:color w:val="auto"/>
          <w:highlight w:val="none"/>
        </w:rPr>
        <w:instrText xml:space="preserve"> </w:instrText>
      </w:r>
      <w:r>
        <w:rPr>
          <w:rFonts w:hint="eastAsia"/>
          <w:color w:val="auto"/>
          <w:highlight w:val="none"/>
        </w:rPr>
        <w:instrText xml:space="preserve">= 1 \* GB3</w:instrText>
      </w:r>
      <w:r>
        <w:rPr>
          <w:color w:val="auto"/>
          <w:highlight w:val="none"/>
        </w:rPr>
        <w:instrText xml:space="preserve"> </w:instrText>
      </w:r>
      <w:r>
        <w:rPr>
          <w:color w:val="auto"/>
          <w:highlight w:val="none"/>
        </w:rPr>
        <w:fldChar w:fldCharType="separate"/>
      </w:r>
      <w:r>
        <w:rPr>
          <w:rFonts w:hint="eastAsia"/>
          <w:color w:val="auto"/>
          <w:highlight w:val="none"/>
        </w:rPr>
        <w:t>①</w:t>
      </w:r>
      <w:r>
        <w:rPr>
          <w:color w:val="auto"/>
          <w:highlight w:val="none"/>
        </w:rPr>
        <w:fldChar w:fldCharType="end"/>
      </w:r>
      <w:r>
        <w:rPr>
          <w:rFonts w:hint="eastAsia"/>
          <w:color w:val="auto"/>
          <w:highlight w:val="none"/>
        </w:rPr>
        <w:t>生产用水：根据企业实际运行经验，</w:t>
      </w:r>
      <w:r>
        <w:rPr>
          <w:bCs/>
          <w:color w:val="auto"/>
          <w:sz w:val="24"/>
          <w:highlight w:val="none"/>
        </w:rPr>
        <w:t>生产用水采用自来水和纯水，</w:t>
      </w:r>
      <w:r>
        <w:rPr>
          <w:rFonts w:hint="eastAsia"/>
          <w:bCs/>
          <w:color w:val="auto"/>
          <w:sz w:val="24"/>
          <w:highlight w:val="none"/>
        </w:rPr>
        <w:t>自来水</w:t>
      </w:r>
      <w:r>
        <w:rPr>
          <w:rFonts w:hint="eastAsia"/>
          <w:bCs/>
          <w:color w:val="auto"/>
          <w:sz w:val="24"/>
          <w:highlight w:val="none"/>
          <w:lang w:eastAsia="zh-CN"/>
        </w:rPr>
        <w:t>、</w:t>
      </w:r>
      <w:r>
        <w:rPr>
          <w:rFonts w:hint="eastAsia"/>
          <w:bCs/>
          <w:color w:val="auto"/>
          <w:sz w:val="24"/>
          <w:highlight w:val="none"/>
        </w:rPr>
        <w:t>纯水</w:t>
      </w:r>
      <w:r>
        <w:rPr>
          <w:rFonts w:hint="eastAsia"/>
          <w:bCs/>
          <w:color w:val="auto"/>
          <w:sz w:val="24"/>
          <w:highlight w:val="none"/>
          <w:lang w:val="en-US" w:eastAsia="zh-CN"/>
        </w:rPr>
        <w:t>均</w:t>
      </w:r>
      <w:r>
        <w:rPr>
          <w:bCs/>
          <w:color w:val="auto"/>
          <w:sz w:val="24"/>
          <w:highlight w:val="none"/>
        </w:rPr>
        <w:t>由</w:t>
      </w:r>
      <w:r>
        <w:rPr>
          <w:rFonts w:hint="eastAsia"/>
          <w:bCs/>
          <w:color w:val="auto"/>
          <w:sz w:val="24"/>
          <w:highlight w:val="none"/>
          <w:lang w:val="en-US" w:eastAsia="zh-CN"/>
        </w:rPr>
        <w:t>园区</w:t>
      </w:r>
      <w:r>
        <w:rPr>
          <w:bCs/>
          <w:color w:val="auto"/>
          <w:sz w:val="24"/>
          <w:highlight w:val="none"/>
        </w:rPr>
        <w:t>统一管道供给，生产用水用于槽液配制、水洗工序、废气处理补充用水</w:t>
      </w:r>
      <w:r>
        <w:rPr>
          <w:rFonts w:hint="eastAsia"/>
          <w:bCs/>
          <w:color w:val="auto"/>
          <w:sz w:val="24"/>
          <w:highlight w:val="none"/>
        </w:rPr>
        <w:t>、锅炉补充水</w:t>
      </w:r>
      <w:r>
        <w:rPr>
          <w:bCs/>
          <w:color w:val="auto"/>
          <w:sz w:val="24"/>
          <w:highlight w:val="none"/>
        </w:rPr>
        <w:t>等</w:t>
      </w:r>
      <w:r>
        <w:rPr>
          <w:rFonts w:hint="eastAsia"/>
          <w:bCs/>
          <w:color w:val="auto"/>
          <w:sz w:val="24"/>
          <w:highlight w:val="none"/>
        </w:rPr>
        <w:t>。项目生产线均为自动线或半自动线，水洗工序采用逆流水洗，且水洗用水重复利用多次</w:t>
      </w:r>
      <w:r>
        <w:rPr>
          <w:rFonts w:hint="eastAsia"/>
          <w:bCs/>
          <w:color w:val="auto"/>
          <w:sz w:val="24"/>
          <w:highlight w:val="none"/>
          <w:lang w:eastAsia="zh-CN"/>
        </w:rPr>
        <w:t>(</w:t>
      </w:r>
      <w:r>
        <w:rPr>
          <w:rFonts w:hint="eastAsia"/>
          <w:bCs/>
          <w:color w:val="auto"/>
          <w:sz w:val="24"/>
          <w:highlight w:val="none"/>
        </w:rPr>
        <w:t>7-10天</w:t>
      </w:r>
      <w:r>
        <w:rPr>
          <w:rFonts w:hint="eastAsia"/>
          <w:bCs/>
          <w:color w:val="auto"/>
          <w:sz w:val="24"/>
          <w:highlight w:val="none"/>
          <w:lang w:eastAsia="zh-CN"/>
        </w:rPr>
        <w:t>)</w:t>
      </w:r>
      <w:r>
        <w:rPr>
          <w:rFonts w:hint="eastAsia"/>
          <w:bCs/>
          <w:color w:val="auto"/>
          <w:sz w:val="24"/>
          <w:highlight w:val="none"/>
        </w:rPr>
        <w:t>，因此，项目</w:t>
      </w:r>
      <w:r>
        <w:rPr>
          <w:rFonts w:hint="eastAsia"/>
          <w:bCs/>
          <w:color w:val="auto"/>
          <w:sz w:val="24"/>
          <w:highlight w:val="none"/>
          <w:lang w:val="en-US" w:eastAsia="zh-CN"/>
        </w:rPr>
        <w:t>生产</w:t>
      </w:r>
      <w:r>
        <w:rPr>
          <w:rFonts w:hint="eastAsia"/>
          <w:color w:val="auto"/>
          <w:highlight w:val="none"/>
        </w:rPr>
        <w:t>总用水量为</w:t>
      </w:r>
      <w:r>
        <w:rPr>
          <w:rFonts w:hint="eastAsia"/>
          <w:color w:val="auto"/>
          <w:highlight w:val="none"/>
          <w:lang w:val="en-US" w:eastAsia="zh-CN"/>
        </w:rPr>
        <w:t>13060</w:t>
      </w:r>
      <w:r>
        <w:rPr>
          <w:rFonts w:hint="eastAsia" w:hAnsi="宋体"/>
          <w:color w:val="auto"/>
          <w:highlight w:val="none"/>
        </w:rPr>
        <w:t>m</w:t>
      </w:r>
      <w:r>
        <w:rPr>
          <w:rFonts w:hint="eastAsia" w:hAnsi="宋体"/>
          <w:color w:val="auto"/>
          <w:highlight w:val="none"/>
          <w:vertAlign w:val="superscript"/>
        </w:rPr>
        <w:t>3</w:t>
      </w:r>
      <w:r>
        <w:rPr>
          <w:rFonts w:hint="eastAsia"/>
          <w:color w:val="auto"/>
          <w:highlight w:val="none"/>
        </w:rPr>
        <w:t>/a(</w:t>
      </w:r>
      <w:r>
        <w:rPr>
          <w:rFonts w:hint="eastAsia"/>
          <w:color w:val="auto"/>
          <w:highlight w:val="none"/>
          <w:lang w:val="en-US" w:eastAsia="zh-CN"/>
        </w:rPr>
        <w:t>43.5</w:t>
      </w:r>
      <w:r>
        <w:rPr>
          <w:rFonts w:hint="eastAsia" w:hAnsi="宋体"/>
          <w:color w:val="auto"/>
          <w:highlight w:val="none"/>
        </w:rPr>
        <w:t>m</w:t>
      </w:r>
      <w:r>
        <w:rPr>
          <w:rFonts w:hint="eastAsia" w:hAnsi="宋体"/>
          <w:color w:val="auto"/>
          <w:highlight w:val="none"/>
          <w:vertAlign w:val="superscript"/>
        </w:rPr>
        <w:t>3</w:t>
      </w:r>
      <w:r>
        <w:rPr>
          <w:rFonts w:hint="eastAsia"/>
          <w:color w:val="auto"/>
          <w:highlight w:val="none"/>
        </w:rPr>
        <w:t>/d)。</w:t>
      </w:r>
    </w:p>
    <w:p>
      <w:pPr>
        <w:pStyle w:val="104"/>
        <w:ind w:firstLine="480"/>
        <w:rPr>
          <w:color w:val="auto"/>
          <w:highlight w:val="none"/>
        </w:rPr>
      </w:pPr>
      <w:r>
        <w:rPr>
          <w:color w:val="auto"/>
          <w:highlight w:val="none"/>
        </w:rPr>
        <w:fldChar w:fldCharType="begin"/>
      </w:r>
      <w:r>
        <w:rPr>
          <w:color w:val="auto"/>
          <w:highlight w:val="none"/>
        </w:rPr>
        <w:instrText xml:space="preserve"> </w:instrText>
      </w:r>
      <w:r>
        <w:rPr>
          <w:rFonts w:hint="eastAsia"/>
          <w:color w:val="auto"/>
          <w:highlight w:val="none"/>
        </w:rPr>
        <w:instrText xml:space="preserve">= 2 \* GB3</w:instrText>
      </w:r>
      <w:r>
        <w:rPr>
          <w:color w:val="auto"/>
          <w:highlight w:val="none"/>
        </w:rPr>
        <w:instrText xml:space="preserve"> </w:instrText>
      </w:r>
      <w:r>
        <w:rPr>
          <w:color w:val="auto"/>
          <w:highlight w:val="none"/>
        </w:rPr>
        <w:fldChar w:fldCharType="separate"/>
      </w:r>
      <w:r>
        <w:rPr>
          <w:rFonts w:hint="eastAsia"/>
          <w:color w:val="auto"/>
          <w:highlight w:val="none"/>
        </w:rPr>
        <w:t>②</w:t>
      </w:r>
      <w:r>
        <w:rPr>
          <w:color w:val="auto"/>
          <w:highlight w:val="none"/>
        </w:rPr>
        <w:fldChar w:fldCharType="end"/>
      </w:r>
      <w:r>
        <w:rPr>
          <w:rFonts w:hint="eastAsia"/>
          <w:color w:val="auto"/>
          <w:highlight w:val="none"/>
        </w:rPr>
        <w:t>生活用水：项目劳动定员</w:t>
      </w:r>
      <w:r>
        <w:rPr>
          <w:rFonts w:hint="eastAsia"/>
          <w:color w:val="auto"/>
          <w:highlight w:val="none"/>
          <w:lang w:val="en-US" w:eastAsia="zh-CN"/>
        </w:rPr>
        <w:t>5</w:t>
      </w:r>
      <w:r>
        <w:rPr>
          <w:rFonts w:hint="eastAsia"/>
          <w:color w:val="auto"/>
          <w:highlight w:val="none"/>
        </w:rPr>
        <w:t>0人，无住宿人员，用水标准</w:t>
      </w:r>
      <w:r>
        <w:rPr>
          <w:rFonts w:hint="eastAsia"/>
          <w:color w:val="auto"/>
          <w:highlight w:val="none"/>
          <w:lang w:val="en-US" w:eastAsia="zh-CN"/>
        </w:rPr>
        <w:t>按</w:t>
      </w:r>
      <w:r>
        <w:rPr>
          <w:rFonts w:hint="eastAsia"/>
          <w:color w:val="auto"/>
          <w:highlight w:val="none"/>
        </w:rPr>
        <w:t>50L/人•d，则生活用水量为</w:t>
      </w:r>
      <w:r>
        <w:rPr>
          <w:rFonts w:hint="eastAsia"/>
          <w:color w:val="auto"/>
          <w:highlight w:val="none"/>
          <w:lang w:val="en-US" w:eastAsia="zh-CN"/>
        </w:rPr>
        <w:t>75</w:t>
      </w:r>
      <w:r>
        <w:rPr>
          <w:rFonts w:hint="eastAsia"/>
          <w:color w:val="auto"/>
          <w:highlight w:val="none"/>
        </w:rPr>
        <w:t>0</w:t>
      </w:r>
      <w:r>
        <w:rPr>
          <w:rFonts w:hint="eastAsia" w:hAnsi="宋体"/>
          <w:color w:val="auto"/>
          <w:highlight w:val="none"/>
        </w:rPr>
        <w:t>m</w:t>
      </w:r>
      <w:r>
        <w:rPr>
          <w:rFonts w:hint="eastAsia" w:hAnsi="宋体"/>
          <w:color w:val="auto"/>
          <w:highlight w:val="none"/>
          <w:vertAlign w:val="superscript"/>
        </w:rPr>
        <w:t>3</w:t>
      </w:r>
      <w:r>
        <w:rPr>
          <w:rFonts w:hint="eastAsia"/>
          <w:color w:val="auto"/>
          <w:highlight w:val="none"/>
        </w:rPr>
        <w:t>/a(</w:t>
      </w:r>
      <w:r>
        <w:rPr>
          <w:rFonts w:hint="eastAsia"/>
          <w:color w:val="auto"/>
          <w:highlight w:val="none"/>
          <w:lang w:val="en-US" w:eastAsia="zh-CN"/>
        </w:rPr>
        <w:t>2</w:t>
      </w:r>
      <w:r>
        <w:rPr>
          <w:rFonts w:hint="eastAsia"/>
          <w:color w:val="auto"/>
          <w:highlight w:val="none"/>
        </w:rPr>
        <w:t>.5</w:t>
      </w:r>
      <w:r>
        <w:rPr>
          <w:rFonts w:hint="eastAsia" w:hAnsi="宋体"/>
          <w:color w:val="auto"/>
          <w:highlight w:val="none"/>
        </w:rPr>
        <w:t>m</w:t>
      </w:r>
      <w:r>
        <w:rPr>
          <w:rFonts w:hint="eastAsia" w:hAnsi="宋体"/>
          <w:color w:val="auto"/>
          <w:highlight w:val="none"/>
          <w:vertAlign w:val="superscript"/>
        </w:rPr>
        <w:t>3</w:t>
      </w:r>
      <w:r>
        <w:rPr>
          <w:rFonts w:hint="eastAsia"/>
          <w:color w:val="auto"/>
          <w:highlight w:val="none"/>
        </w:rPr>
        <w:t xml:space="preserve">/d)。 </w:t>
      </w:r>
    </w:p>
    <w:p>
      <w:pPr>
        <w:pStyle w:val="104"/>
        <w:ind w:firstLine="472"/>
        <w:rPr>
          <w:color w:val="auto"/>
          <w:highlight w:val="none"/>
        </w:rPr>
      </w:pPr>
      <w:r>
        <w:rPr>
          <w:rFonts w:hint="eastAsia"/>
          <w:color w:val="auto"/>
          <w:highlight w:val="none"/>
        </w:rPr>
        <w:t>综上所述，项目</w:t>
      </w:r>
      <w:r>
        <w:rPr>
          <w:rFonts w:hint="eastAsia"/>
          <w:color w:val="auto"/>
          <w:highlight w:val="none"/>
          <w:lang w:val="en-US" w:eastAsia="zh-CN"/>
        </w:rPr>
        <w:t>新鲜</w:t>
      </w:r>
      <w:r>
        <w:rPr>
          <w:rFonts w:hint="eastAsia"/>
          <w:color w:val="auto"/>
          <w:highlight w:val="none"/>
        </w:rPr>
        <w:t>用水消耗量为</w:t>
      </w:r>
      <w:r>
        <w:rPr>
          <w:rFonts w:hint="eastAsia"/>
          <w:color w:val="auto"/>
          <w:highlight w:val="none"/>
          <w:lang w:val="en-US" w:eastAsia="zh-CN"/>
        </w:rPr>
        <w:t>13810</w:t>
      </w:r>
      <w:r>
        <w:rPr>
          <w:rFonts w:hint="eastAsia" w:hAnsi="宋体"/>
          <w:color w:val="auto"/>
          <w:highlight w:val="none"/>
        </w:rPr>
        <w:t>m</w:t>
      </w:r>
      <w:r>
        <w:rPr>
          <w:rFonts w:hint="eastAsia" w:hAnsi="宋体"/>
          <w:color w:val="auto"/>
          <w:highlight w:val="none"/>
          <w:vertAlign w:val="superscript"/>
        </w:rPr>
        <w:t>3</w:t>
      </w:r>
      <w:r>
        <w:rPr>
          <w:rFonts w:hint="eastAsia"/>
          <w:color w:val="auto"/>
          <w:highlight w:val="none"/>
        </w:rPr>
        <w:t>/a。</w:t>
      </w:r>
    </w:p>
    <w:p>
      <w:pPr>
        <w:adjustRightInd w:val="0"/>
        <w:snapToGrid w:val="0"/>
        <w:spacing w:line="360" w:lineRule="auto"/>
        <w:ind w:firstLine="480" w:firstLineChars="200"/>
        <w:rPr>
          <w:rFonts w:hAnsi="宋体"/>
          <w:color w:val="auto"/>
          <w:sz w:val="24"/>
          <w:highlight w:val="none"/>
        </w:rPr>
      </w:pPr>
      <w:r>
        <w:rPr>
          <w:rFonts w:hint="eastAsia" w:hAnsi="宋体"/>
          <w:color w:val="auto"/>
          <w:sz w:val="24"/>
          <w:highlight w:val="none"/>
        </w:rPr>
        <w:t>(2)排水</w:t>
      </w:r>
    </w:p>
    <w:p>
      <w:pPr>
        <w:adjustRightInd w:val="0"/>
        <w:snapToGrid w:val="0"/>
        <w:spacing w:line="360" w:lineRule="auto"/>
        <w:ind w:firstLine="480" w:firstLineChars="200"/>
        <w:rPr>
          <w:rFonts w:hAnsi="宋体"/>
          <w:color w:val="auto"/>
          <w:sz w:val="24"/>
          <w:highlight w:val="none"/>
        </w:rPr>
      </w:pPr>
      <w:r>
        <w:rPr>
          <w:rFonts w:hint="eastAsia" w:hAnsi="宋体"/>
          <w:color w:val="auto"/>
          <w:sz w:val="24"/>
          <w:highlight w:val="none"/>
        </w:rPr>
        <w:t>厂区废水实行雨污分流、清污分流，分质收集，分类处理。</w:t>
      </w:r>
    </w:p>
    <w:p>
      <w:pPr>
        <w:adjustRightInd w:val="0"/>
        <w:snapToGrid w:val="0"/>
        <w:spacing w:line="360" w:lineRule="auto"/>
        <w:ind w:firstLine="480" w:firstLineChars="200"/>
        <w:rPr>
          <w:rFonts w:hint="eastAsia" w:hAnsi="宋体"/>
          <w:color w:val="auto"/>
          <w:sz w:val="24"/>
          <w:highlight w:val="none"/>
        </w:rPr>
      </w:pPr>
      <w:r>
        <w:rPr>
          <w:rFonts w:hint="eastAsia" w:hAnsi="宋体"/>
          <w:color w:val="auto"/>
          <w:sz w:val="24"/>
          <w:highlight w:val="none"/>
        </w:rPr>
        <w:t>根据企业实际生产过程统计，该项目废水产生量为</w:t>
      </w:r>
      <w:r>
        <w:rPr>
          <w:rFonts w:hint="eastAsia" w:hAnsi="宋体"/>
          <w:color w:val="auto"/>
          <w:sz w:val="24"/>
          <w:highlight w:val="none"/>
          <w:lang w:val="en-US" w:eastAsia="zh-CN"/>
        </w:rPr>
        <w:t>12073.5</w:t>
      </w:r>
      <w:r>
        <w:rPr>
          <w:rFonts w:hAnsi="宋体"/>
          <w:color w:val="auto"/>
          <w:sz w:val="24"/>
          <w:highlight w:val="none"/>
        </w:rPr>
        <w:t>m</w:t>
      </w:r>
      <w:r>
        <w:rPr>
          <w:rFonts w:hAnsi="宋体"/>
          <w:color w:val="auto"/>
          <w:sz w:val="24"/>
          <w:highlight w:val="none"/>
          <w:vertAlign w:val="superscript"/>
        </w:rPr>
        <w:t>3</w:t>
      </w:r>
      <w:r>
        <w:rPr>
          <w:rFonts w:hint="eastAsia" w:hAnsi="宋体"/>
          <w:color w:val="auto"/>
          <w:sz w:val="24"/>
          <w:highlight w:val="none"/>
        </w:rPr>
        <w:t>/a(</w:t>
      </w:r>
      <w:r>
        <w:rPr>
          <w:rFonts w:hint="eastAsia" w:hAnsi="宋体"/>
          <w:color w:val="auto"/>
          <w:sz w:val="24"/>
          <w:highlight w:val="none"/>
          <w:lang w:val="en-US" w:eastAsia="zh-CN"/>
        </w:rPr>
        <w:t>40.245</w:t>
      </w:r>
      <w:r>
        <w:rPr>
          <w:rFonts w:hint="eastAsia" w:hAnsi="宋体"/>
          <w:color w:val="auto"/>
          <w:sz w:val="24"/>
          <w:highlight w:val="none"/>
        </w:rPr>
        <w:t>m</w:t>
      </w:r>
      <w:r>
        <w:rPr>
          <w:rFonts w:hint="eastAsia" w:hAnsi="宋体"/>
          <w:color w:val="auto"/>
          <w:sz w:val="24"/>
          <w:highlight w:val="none"/>
          <w:vertAlign w:val="superscript"/>
        </w:rPr>
        <w:t>3</w:t>
      </w:r>
      <w:r>
        <w:rPr>
          <w:rFonts w:hint="eastAsia" w:hAnsi="宋体"/>
          <w:color w:val="auto"/>
          <w:sz w:val="24"/>
          <w:highlight w:val="none"/>
        </w:rPr>
        <w:t>/d)，其中生产工序废水</w:t>
      </w:r>
      <w:r>
        <w:rPr>
          <w:rFonts w:hint="eastAsia" w:hAnsi="宋体"/>
          <w:color w:val="auto"/>
          <w:sz w:val="24"/>
          <w:highlight w:val="none"/>
          <w:lang w:val="en-US" w:eastAsia="zh-CN"/>
        </w:rPr>
        <w:t>11436</w:t>
      </w:r>
      <w:r>
        <w:rPr>
          <w:rFonts w:hint="eastAsia" w:hAnsi="宋体"/>
          <w:color w:val="auto"/>
          <w:sz w:val="24"/>
          <w:highlight w:val="none"/>
        </w:rPr>
        <w:t>m</w:t>
      </w:r>
      <w:r>
        <w:rPr>
          <w:rFonts w:hint="eastAsia" w:hAnsi="宋体"/>
          <w:color w:val="auto"/>
          <w:sz w:val="24"/>
          <w:highlight w:val="none"/>
          <w:vertAlign w:val="superscript"/>
        </w:rPr>
        <w:t>3</w:t>
      </w:r>
      <w:r>
        <w:rPr>
          <w:rFonts w:hint="eastAsia" w:hAnsi="宋体"/>
          <w:color w:val="auto"/>
          <w:sz w:val="24"/>
          <w:highlight w:val="none"/>
        </w:rPr>
        <w:t>/a(</w:t>
      </w:r>
      <w:r>
        <w:rPr>
          <w:rFonts w:hint="eastAsia" w:hAnsi="宋体"/>
          <w:color w:val="auto"/>
          <w:sz w:val="24"/>
          <w:highlight w:val="none"/>
          <w:lang w:val="en-US" w:eastAsia="zh-CN"/>
        </w:rPr>
        <w:t>38.12</w:t>
      </w:r>
      <w:r>
        <w:rPr>
          <w:rFonts w:hint="eastAsia" w:hAnsi="宋体"/>
          <w:color w:val="auto"/>
          <w:sz w:val="24"/>
          <w:highlight w:val="none"/>
        </w:rPr>
        <w:t>m</w:t>
      </w:r>
      <w:r>
        <w:rPr>
          <w:rFonts w:hint="eastAsia" w:hAnsi="宋体"/>
          <w:color w:val="auto"/>
          <w:sz w:val="24"/>
          <w:highlight w:val="none"/>
          <w:vertAlign w:val="superscript"/>
        </w:rPr>
        <w:t>3</w:t>
      </w:r>
      <w:r>
        <w:rPr>
          <w:rFonts w:hint="eastAsia" w:hAnsi="宋体"/>
          <w:color w:val="auto"/>
          <w:sz w:val="24"/>
          <w:highlight w:val="none"/>
        </w:rPr>
        <w:t>/d)，生活污水产生量按用水量的8</w:t>
      </w:r>
      <w:r>
        <w:rPr>
          <w:rFonts w:hint="eastAsia" w:hAnsi="宋体"/>
          <w:color w:val="auto"/>
          <w:sz w:val="24"/>
          <w:highlight w:val="none"/>
          <w:lang w:val="en-US" w:eastAsia="zh-CN"/>
        </w:rPr>
        <w:t>5</w:t>
      </w:r>
      <w:r>
        <w:rPr>
          <w:rFonts w:hint="eastAsia" w:hAnsi="宋体"/>
          <w:color w:val="auto"/>
          <w:sz w:val="24"/>
          <w:highlight w:val="none"/>
        </w:rPr>
        <w:t>%计算，则项目生活污水产生量</w:t>
      </w:r>
      <w:r>
        <w:rPr>
          <w:rFonts w:hint="eastAsia" w:hAnsi="宋体"/>
          <w:color w:val="auto"/>
          <w:sz w:val="24"/>
          <w:highlight w:val="none"/>
          <w:lang w:val="en-US" w:eastAsia="zh-CN"/>
        </w:rPr>
        <w:t>637.5</w:t>
      </w:r>
      <w:r>
        <w:rPr>
          <w:rFonts w:hint="eastAsia" w:hAnsi="宋体"/>
          <w:color w:val="auto"/>
          <w:sz w:val="24"/>
          <w:highlight w:val="none"/>
        </w:rPr>
        <w:t>m</w:t>
      </w:r>
      <w:r>
        <w:rPr>
          <w:rFonts w:hint="eastAsia" w:hAnsi="宋体"/>
          <w:color w:val="auto"/>
          <w:sz w:val="24"/>
          <w:highlight w:val="none"/>
          <w:vertAlign w:val="superscript"/>
        </w:rPr>
        <w:t>3</w:t>
      </w:r>
      <w:r>
        <w:rPr>
          <w:rFonts w:hint="eastAsia" w:hAnsi="宋体"/>
          <w:color w:val="auto"/>
          <w:sz w:val="24"/>
          <w:highlight w:val="none"/>
        </w:rPr>
        <w:t>/a(</w:t>
      </w:r>
      <w:r>
        <w:rPr>
          <w:rFonts w:hint="eastAsia" w:hAnsi="宋体"/>
          <w:color w:val="auto"/>
          <w:sz w:val="24"/>
          <w:highlight w:val="none"/>
          <w:lang w:val="en-US" w:eastAsia="zh-CN"/>
        </w:rPr>
        <w:t>2.125</w:t>
      </w:r>
      <w:r>
        <w:rPr>
          <w:rFonts w:hint="eastAsia" w:hAnsi="宋体"/>
          <w:color w:val="auto"/>
          <w:sz w:val="24"/>
          <w:highlight w:val="none"/>
        </w:rPr>
        <w:t>m</w:t>
      </w:r>
      <w:r>
        <w:rPr>
          <w:rFonts w:hint="eastAsia" w:hAnsi="宋体"/>
          <w:color w:val="auto"/>
          <w:sz w:val="24"/>
          <w:highlight w:val="none"/>
          <w:vertAlign w:val="superscript"/>
        </w:rPr>
        <w:t>3</w:t>
      </w:r>
      <w:r>
        <w:rPr>
          <w:rFonts w:hint="eastAsia" w:hAnsi="宋体"/>
          <w:color w:val="auto"/>
          <w:sz w:val="24"/>
          <w:highlight w:val="none"/>
        </w:rPr>
        <w:t>/d)。该项目产生的生产废水经各自管道收集进入电镀</w:t>
      </w:r>
      <w:r>
        <w:rPr>
          <w:rFonts w:hint="eastAsia" w:hAnsi="宋体"/>
          <w:color w:val="auto"/>
          <w:sz w:val="24"/>
          <w:highlight w:val="none"/>
          <w:lang w:eastAsia="zh-CN"/>
        </w:rPr>
        <w:t>园区</w:t>
      </w:r>
      <w:r>
        <w:rPr>
          <w:rFonts w:hint="eastAsia" w:hAnsi="宋体"/>
          <w:color w:val="auto"/>
          <w:sz w:val="24"/>
          <w:highlight w:val="none"/>
        </w:rPr>
        <w:t>污水站，生产废水经处理达到相关标准后，与生活废水一起排入市政污水管网排入</w:t>
      </w:r>
      <w:r>
        <w:rPr>
          <w:rFonts w:hint="eastAsia" w:hAnsi="宋体"/>
          <w:color w:val="auto"/>
          <w:sz w:val="24"/>
          <w:highlight w:val="none"/>
          <w:lang w:eastAsia="zh-CN"/>
        </w:rPr>
        <w:t>镰湾河水质净化厂</w:t>
      </w:r>
      <w:r>
        <w:rPr>
          <w:rFonts w:hint="eastAsia" w:hAnsi="宋体"/>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eastAsia="黑体"/>
          <w:color w:val="auto"/>
          <w:sz w:val="24"/>
          <w:szCs w:val="24"/>
          <w:highlight w:val="none"/>
        </w:rPr>
      </w:pPr>
      <w:r>
        <w:rPr>
          <w:rFonts w:hint="eastAsia" w:eastAsia="黑体"/>
          <w:color w:val="auto"/>
          <w:sz w:val="24"/>
          <w:szCs w:val="24"/>
          <w:highlight w:val="none"/>
        </w:rPr>
        <w:t>表</w:t>
      </w:r>
      <w:r>
        <w:rPr>
          <w:rFonts w:hint="eastAsia" w:eastAsia="黑体"/>
          <w:color w:val="auto"/>
          <w:sz w:val="24"/>
          <w:szCs w:val="24"/>
          <w:highlight w:val="none"/>
          <w:lang w:val="en-US" w:eastAsia="zh-CN"/>
        </w:rPr>
        <w:t>2</w:t>
      </w:r>
      <w:r>
        <w:rPr>
          <w:rFonts w:hint="eastAsia" w:eastAsia="黑体"/>
          <w:color w:val="auto"/>
          <w:sz w:val="24"/>
          <w:szCs w:val="24"/>
          <w:highlight w:val="none"/>
        </w:rPr>
        <w:t>.</w:t>
      </w:r>
      <w:r>
        <w:rPr>
          <w:rFonts w:hint="eastAsia" w:eastAsia="黑体"/>
          <w:color w:val="auto"/>
          <w:sz w:val="24"/>
          <w:szCs w:val="24"/>
          <w:highlight w:val="none"/>
          <w:lang w:val="en-US" w:eastAsia="zh-CN"/>
        </w:rPr>
        <w:t>3</w:t>
      </w:r>
      <w:r>
        <w:rPr>
          <w:rFonts w:hint="eastAsia" w:eastAsia="黑体"/>
          <w:color w:val="auto"/>
          <w:sz w:val="24"/>
          <w:szCs w:val="24"/>
          <w:highlight w:val="none"/>
        </w:rPr>
        <w:t>-</w:t>
      </w:r>
      <w:r>
        <w:rPr>
          <w:rFonts w:hint="eastAsia" w:eastAsia="黑体"/>
          <w:color w:val="auto"/>
          <w:sz w:val="24"/>
          <w:szCs w:val="24"/>
          <w:highlight w:val="none"/>
          <w:lang w:val="en-US" w:eastAsia="zh-CN"/>
        </w:rPr>
        <w:t>7</w:t>
      </w:r>
      <w:r>
        <w:rPr>
          <w:rFonts w:hint="eastAsia" w:eastAsia="黑体"/>
          <w:color w:val="auto"/>
          <w:sz w:val="24"/>
          <w:szCs w:val="24"/>
          <w:highlight w:val="none"/>
        </w:rPr>
        <w:t xml:space="preserve">  项目用水及废水</w:t>
      </w:r>
      <w:r>
        <w:rPr>
          <w:rFonts w:hint="eastAsia" w:eastAsia="黑体"/>
          <w:color w:val="auto"/>
          <w:sz w:val="24"/>
          <w:szCs w:val="24"/>
          <w:highlight w:val="none"/>
        </w:rPr>
        <w:t>产生情况列表</w:t>
      </w:r>
    </w:p>
    <w:tbl>
      <w:tblPr>
        <w:tblStyle w:val="36"/>
        <w:tblW w:w="9286" w:type="dxa"/>
        <w:jc w:val="center"/>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101"/>
        <w:gridCol w:w="2134"/>
        <w:gridCol w:w="1371"/>
        <w:gridCol w:w="1458"/>
        <w:gridCol w:w="2002"/>
        <w:gridCol w:w="1220"/>
      </w:tblGrid>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jc w:val="center"/>
        </w:trPr>
        <w:tc>
          <w:tcPr>
            <w:tcW w:w="4606" w:type="dxa"/>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b/>
                <w:color w:val="auto"/>
                <w:sz w:val="21"/>
                <w:szCs w:val="21"/>
                <w:highlight w:val="none"/>
              </w:rPr>
            </w:pPr>
            <w:r>
              <w:rPr>
                <w:b/>
                <w:color w:val="auto"/>
                <w:kern w:val="0"/>
                <w:sz w:val="21"/>
                <w:szCs w:val="21"/>
                <w:highlight w:val="none"/>
              </w:rPr>
              <w:t>用水情况</w:t>
            </w:r>
          </w:p>
        </w:tc>
        <w:tc>
          <w:tcPr>
            <w:tcW w:w="4680" w:type="dxa"/>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b/>
                <w:color w:val="auto"/>
                <w:sz w:val="21"/>
                <w:szCs w:val="21"/>
                <w:highlight w:val="none"/>
              </w:rPr>
            </w:pPr>
            <w:r>
              <w:rPr>
                <w:b/>
                <w:color w:val="auto"/>
                <w:kern w:val="0"/>
                <w:sz w:val="21"/>
                <w:szCs w:val="21"/>
                <w:highlight w:val="none"/>
              </w:rPr>
              <w:t>排水情况</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jc w:val="center"/>
        </w:trPr>
        <w:tc>
          <w:tcPr>
            <w:tcW w:w="3235"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b/>
                <w:color w:val="auto"/>
                <w:sz w:val="21"/>
                <w:szCs w:val="21"/>
                <w:highlight w:val="none"/>
              </w:rPr>
            </w:pPr>
            <w:r>
              <w:rPr>
                <w:b/>
                <w:color w:val="auto"/>
                <w:sz w:val="21"/>
                <w:szCs w:val="21"/>
                <w:highlight w:val="none"/>
              </w:rPr>
              <w:t>类型</w:t>
            </w:r>
          </w:p>
        </w:tc>
        <w:tc>
          <w:tcPr>
            <w:tcW w:w="13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b/>
                <w:color w:val="auto"/>
                <w:sz w:val="21"/>
                <w:szCs w:val="21"/>
                <w:highlight w:val="none"/>
              </w:rPr>
            </w:pPr>
            <w:r>
              <w:rPr>
                <w:b/>
                <w:color w:val="auto"/>
                <w:kern w:val="0"/>
                <w:sz w:val="21"/>
                <w:szCs w:val="21"/>
                <w:highlight w:val="none"/>
              </w:rPr>
              <w:t>m</w:t>
            </w:r>
            <w:r>
              <w:rPr>
                <w:b/>
                <w:color w:val="auto"/>
                <w:kern w:val="0"/>
                <w:sz w:val="21"/>
                <w:szCs w:val="21"/>
                <w:highlight w:val="none"/>
                <w:vertAlign w:val="superscript"/>
              </w:rPr>
              <w:t>3</w:t>
            </w:r>
            <w:r>
              <w:rPr>
                <w:b/>
                <w:color w:val="auto"/>
                <w:kern w:val="0"/>
                <w:sz w:val="21"/>
                <w:szCs w:val="21"/>
                <w:highlight w:val="none"/>
              </w:rPr>
              <w:t>/a</w:t>
            </w:r>
          </w:p>
        </w:tc>
        <w:tc>
          <w:tcPr>
            <w:tcW w:w="3460"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b/>
                <w:color w:val="auto"/>
                <w:sz w:val="21"/>
                <w:szCs w:val="21"/>
                <w:highlight w:val="none"/>
              </w:rPr>
            </w:pPr>
            <w:r>
              <w:rPr>
                <w:b/>
                <w:color w:val="auto"/>
                <w:sz w:val="21"/>
                <w:szCs w:val="21"/>
                <w:highlight w:val="none"/>
              </w:rPr>
              <w:t>类型</w:t>
            </w:r>
          </w:p>
        </w:tc>
        <w:tc>
          <w:tcPr>
            <w:tcW w:w="12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b/>
                <w:color w:val="auto"/>
                <w:sz w:val="21"/>
                <w:szCs w:val="21"/>
                <w:highlight w:val="none"/>
              </w:rPr>
            </w:pPr>
            <w:r>
              <w:rPr>
                <w:b/>
                <w:color w:val="auto"/>
                <w:kern w:val="0"/>
                <w:sz w:val="21"/>
                <w:szCs w:val="21"/>
                <w:highlight w:val="none"/>
              </w:rPr>
              <w:t>m</w:t>
            </w:r>
            <w:r>
              <w:rPr>
                <w:b/>
                <w:color w:val="auto"/>
                <w:kern w:val="0"/>
                <w:sz w:val="21"/>
                <w:szCs w:val="21"/>
                <w:highlight w:val="none"/>
                <w:vertAlign w:val="superscript"/>
              </w:rPr>
              <w:t>3</w:t>
            </w:r>
            <w:r>
              <w:rPr>
                <w:b/>
                <w:color w:val="auto"/>
                <w:kern w:val="0"/>
                <w:sz w:val="21"/>
                <w:szCs w:val="21"/>
                <w:highlight w:val="none"/>
              </w:rPr>
              <w:t>/a</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jc w:val="center"/>
        </w:trPr>
        <w:tc>
          <w:tcPr>
            <w:tcW w:w="1101"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color w:val="auto"/>
                <w:kern w:val="0"/>
                <w:sz w:val="21"/>
                <w:szCs w:val="21"/>
                <w:highlight w:val="none"/>
              </w:rPr>
            </w:pPr>
            <w:r>
              <w:rPr>
                <w:color w:val="auto"/>
                <w:kern w:val="0"/>
                <w:sz w:val="21"/>
                <w:szCs w:val="21"/>
                <w:highlight w:val="none"/>
              </w:rPr>
              <w:t>生产用水</w:t>
            </w:r>
          </w:p>
        </w:tc>
        <w:tc>
          <w:tcPr>
            <w:tcW w:w="2134"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eastAsia="宋体"/>
                <w:color w:val="auto"/>
                <w:kern w:val="0"/>
                <w:sz w:val="21"/>
                <w:szCs w:val="21"/>
                <w:highlight w:val="none"/>
                <w:lang w:val="en-US" w:eastAsia="zh-CN"/>
              </w:rPr>
            </w:pPr>
            <w:r>
              <w:rPr>
                <w:color w:val="auto"/>
                <w:kern w:val="0"/>
                <w:sz w:val="21"/>
                <w:szCs w:val="21"/>
                <w:highlight w:val="none"/>
              </w:rPr>
              <w:t>自来水</w:t>
            </w:r>
            <w:r>
              <w:rPr>
                <w:rFonts w:hint="eastAsia"/>
                <w:color w:val="auto"/>
                <w:kern w:val="0"/>
                <w:sz w:val="21"/>
                <w:szCs w:val="21"/>
                <w:highlight w:val="none"/>
                <w:lang w:val="en-US" w:eastAsia="zh-CN"/>
              </w:rPr>
              <w:t>/纯水</w:t>
            </w:r>
          </w:p>
        </w:tc>
        <w:tc>
          <w:tcPr>
            <w:tcW w:w="1371"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eastAsia="宋体"/>
                <w:color w:val="auto"/>
                <w:kern w:val="0"/>
                <w:sz w:val="21"/>
                <w:szCs w:val="21"/>
                <w:highlight w:val="none"/>
                <w:lang w:val="en-US" w:eastAsia="zh-CN"/>
              </w:rPr>
            </w:pPr>
            <w:r>
              <w:rPr>
                <w:rFonts w:hint="eastAsia"/>
                <w:color w:val="auto"/>
                <w:kern w:val="0"/>
                <w:sz w:val="21"/>
                <w:szCs w:val="21"/>
                <w:highlight w:val="none"/>
                <w:lang w:val="en-US" w:eastAsia="zh-CN"/>
              </w:rPr>
              <w:t>13060</w:t>
            </w:r>
          </w:p>
        </w:tc>
        <w:tc>
          <w:tcPr>
            <w:tcW w:w="1458"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color w:val="auto"/>
                <w:sz w:val="21"/>
                <w:szCs w:val="21"/>
                <w:highlight w:val="none"/>
              </w:rPr>
            </w:pPr>
            <w:r>
              <w:rPr>
                <w:color w:val="auto"/>
                <w:kern w:val="0"/>
                <w:sz w:val="21"/>
                <w:szCs w:val="21"/>
                <w:highlight w:val="none"/>
              </w:rPr>
              <w:t>自来水</w:t>
            </w:r>
            <w:r>
              <w:rPr>
                <w:rFonts w:hint="eastAsia"/>
                <w:color w:val="auto"/>
                <w:kern w:val="0"/>
                <w:sz w:val="21"/>
                <w:szCs w:val="21"/>
                <w:highlight w:val="none"/>
                <w:lang w:val="en-US" w:eastAsia="zh-CN"/>
              </w:rPr>
              <w:t>/纯水</w:t>
            </w:r>
          </w:p>
        </w:tc>
        <w:tc>
          <w:tcPr>
            <w:tcW w:w="200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color w:val="auto"/>
                <w:sz w:val="21"/>
                <w:szCs w:val="21"/>
                <w:highlight w:val="none"/>
              </w:rPr>
            </w:pPr>
            <w:r>
              <w:rPr>
                <w:color w:val="auto"/>
                <w:sz w:val="21"/>
                <w:szCs w:val="21"/>
                <w:highlight w:val="none"/>
              </w:rPr>
              <w:t>综合废水</w:t>
            </w:r>
          </w:p>
        </w:tc>
        <w:tc>
          <w:tcPr>
            <w:tcW w:w="12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eastAsia="宋体"/>
                <w:color w:val="auto"/>
                <w:sz w:val="21"/>
                <w:szCs w:val="21"/>
                <w:highlight w:val="none"/>
                <w:lang w:val="en-US" w:eastAsia="zh-CN"/>
              </w:rPr>
            </w:pPr>
            <w:r>
              <w:rPr>
                <w:rFonts w:hint="eastAsia"/>
                <w:color w:val="auto"/>
                <w:sz w:val="21"/>
                <w:szCs w:val="21"/>
                <w:highlight w:val="none"/>
                <w:lang w:val="en-US" w:eastAsia="zh-CN"/>
              </w:rPr>
              <w:t>9573</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jc w:val="center"/>
        </w:trPr>
        <w:tc>
          <w:tcPr>
            <w:tcW w:w="110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color w:val="auto"/>
                <w:kern w:val="0"/>
                <w:sz w:val="21"/>
                <w:szCs w:val="21"/>
                <w:highlight w:val="none"/>
              </w:rPr>
            </w:pPr>
          </w:p>
        </w:tc>
        <w:tc>
          <w:tcPr>
            <w:tcW w:w="213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color w:val="auto"/>
                <w:kern w:val="0"/>
                <w:sz w:val="21"/>
                <w:szCs w:val="21"/>
                <w:highlight w:val="none"/>
              </w:rPr>
            </w:pPr>
          </w:p>
        </w:tc>
        <w:tc>
          <w:tcPr>
            <w:tcW w:w="137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color w:val="auto"/>
                <w:kern w:val="0"/>
                <w:sz w:val="21"/>
                <w:szCs w:val="21"/>
                <w:highlight w:val="none"/>
              </w:rPr>
            </w:pPr>
          </w:p>
        </w:tc>
        <w:tc>
          <w:tcPr>
            <w:tcW w:w="145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color w:val="auto"/>
                <w:sz w:val="21"/>
                <w:szCs w:val="21"/>
                <w:highlight w:val="none"/>
              </w:rPr>
            </w:pPr>
          </w:p>
        </w:tc>
        <w:tc>
          <w:tcPr>
            <w:tcW w:w="200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color w:val="auto"/>
                <w:sz w:val="21"/>
                <w:szCs w:val="21"/>
                <w:highlight w:val="none"/>
              </w:rPr>
            </w:pPr>
            <w:r>
              <w:rPr>
                <w:color w:val="auto"/>
                <w:sz w:val="21"/>
                <w:szCs w:val="21"/>
                <w:highlight w:val="none"/>
              </w:rPr>
              <w:t>含镍废水</w:t>
            </w:r>
          </w:p>
        </w:tc>
        <w:tc>
          <w:tcPr>
            <w:tcW w:w="12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eastAsia="宋体"/>
                <w:color w:val="auto"/>
                <w:sz w:val="21"/>
                <w:szCs w:val="21"/>
                <w:highlight w:val="none"/>
                <w:lang w:val="en-US" w:eastAsia="zh-CN"/>
              </w:rPr>
            </w:pPr>
            <w:r>
              <w:rPr>
                <w:rFonts w:hint="eastAsia"/>
                <w:color w:val="auto"/>
                <w:sz w:val="21"/>
                <w:szCs w:val="21"/>
                <w:highlight w:val="none"/>
                <w:lang w:val="en-US" w:eastAsia="zh-CN"/>
              </w:rPr>
              <w:t>257</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jc w:val="center"/>
        </w:trPr>
        <w:tc>
          <w:tcPr>
            <w:tcW w:w="110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color w:val="auto"/>
                <w:kern w:val="0"/>
                <w:sz w:val="21"/>
                <w:szCs w:val="21"/>
                <w:highlight w:val="none"/>
              </w:rPr>
            </w:pPr>
          </w:p>
        </w:tc>
        <w:tc>
          <w:tcPr>
            <w:tcW w:w="213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color w:val="auto"/>
                <w:kern w:val="0"/>
                <w:sz w:val="21"/>
                <w:szCs w:val="21"/>
                <w:highlight w:val="none"/>
              </w:rPr>
            </w:pPr>
          </w:p>
        </w:tc>
        <w:tc>
          <w:tcPr>
            <w:tcW w:w="137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color w:val="auto"/>
                <w:kern w:val="0"/>
                <w:sz w:val="21"/>
                <w:szCs w:val="21"/>
                <w:highlight w:val="none"/>
              </w:rPr>
            </w:pPr>
          </w:p>
        </w:tc>
        <w:tc>
          <w:tcPr>
            <w:tcW w:w="145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color w:val="auto"/>
                <w:sz w:val="21"/>
                <w:szCs w:val="21"/>
                <w:highlight w:val="none"/>
              </w:rPr>
            </w:pPr>
          </w:p>
        </w:tc>
        <w:tc>
          <w:tcPr>
            <w:tcW w:w="200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color w:val="auto"/>
                <w:sz w:val="21"/>
                <w:szCs w:val="21"/>
                <w:highlight w:val="none"/>
              </w:rPr>
            </w:pPr>
            <w:r>
              <w:rPr>
                <w:color w:val="auto"/>
                <w:sz w:val="21"/>
                <w:szCs w:val="21"/>
                <w:highlight w:val="none"/>
              </w:rPr>
              <w:t>含铬废水</w:t>
            </w:r>
          </w:p>
        </w:tc>
        <w:tc>
          <w:tcPr>
            <w:tcW w:w="12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eastAsia="宋体"/>
                <w:color w:val="auto"/>
                <w:kern w:val="0"/>
                <w:sz w:val="21"/>
                <w:szCs w:val="21"/>
                <w:highlight w:val="none"/>
                <w:lang w:val="en-US" w:eastAsia="zh-CN"/>
              </w:rPr>
            </w:pPr>
            <w:r>
              <w:rPr>
                <w:rFonts w:hint="eastAsia"/>
                <w:color w:val="auto"/>
                <w:kern w:val="0"/>
                <w:sz w:val="21"/>
                <w:szCs w:val="21"/>
                <w:highlight w:val="none"/>
                <w:lang w:val="en-US" w:eastAsia="zh-CN"/>
              </w:rPr>
              <w:t>1564</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jc w:val="center"/>
        </w:trPr>
        <w:tc>
          <w:tcPr>
            <w:tcW w:w="110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color w:val="auto"/>
                <w:kern w:val="0"/>
                <w:sz w:val="21"/>
                <w:szCs w:val="21"/>
                <w:highlight w:val="none"/>
              </w:rPr>
            </w:pPr>
          </w:p>
        </w:tc>
        <w:tc>
          <w:tcPr>
            <w:tcW w:w="213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color w:val="auto"/>
                <w:kern w:val="0"/>
                <w:sz w:val="21"/>
                <w:szCs w:val="21"/>
                <w:highlight w:val="none"/>
              </w:rPr>
            </w:pPr>
          </w:p>
        </w:tc>
        <w:tc>
          <w:tcPr>
            <w:tcW w:w="137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color w:val="auto"/>
                <w:kern w:val="0"/>
                <w:sz w:val="21"/>
                <w:szCs w:val="21"/>
                <w:highlight w:val="none"/>
              </w:rPr>
            </w:pPr>
          </w:p>
        </w:tc>
        <w:tc>
          <w:tcPr>
            <w:tcW w:w="145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color w:val="auto"/>
                <w:sz w:val="21"/>
                <w:szCs w:val="21"/>
                <w:highlight w:val="none"/>
              </w:rPr>
            </w:pPr>
          </w:p>
        </w:tc>
        <w:tc>
          <w:tcPr>
            <w:tcW w:w="200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color w:val="auto"/>
                <w:sz w:val="21"/>
                <w:szCs w:val="21"/>
                <w:highlight w:val="none"/>
              </w:rPr>
            </w:pPr>
            <w:r>
              <w:rPr>
                <w:color w:val="auto"/>
                <w:sz w:val="21"/>
                <w:szCs w:val="21"/>
                <w:highlight w:val="none"/>
              </w:rPr>
              <w:t>锅炉排污水</w:t>
            </w:r>
          </w:p>
        </w:tc>
        <w:tc>
          <w:tcPr>
            <w:tcW w:w="12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eastAsia="宋体"/>
                <w:color w:val="auto"/>
                <w:kern w:val="0"/>
                <w:sz w:val="21"/>
                <w:szCs w:val="21"/>
                <w:highlight w:val="none"/>
                <w:lang w:val="en-US" w:eastAsia="zh-CN"/>
              </w:rPr>
            </w:pPr>
            <w:r>
              <w:rPr>
                <w:rFonts w:hint="eastAsia"/>
                <w:color w:val="auto"/>
                <w:kern w:val="0"/>
                <w:sz w:val="21"/>
                <w:szCs w:val="21"/>
                <w:highlight w:val="none"/>
                <w:lang w:val="en-US" w:eastAsia="zh-CN"/>
              </w:rPr>
              <w:t>42</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jc w:val="center"/>
        </w:trPr>
        <w:tc>
          <w:tcPr>
            <w:tcW w:w="110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color w:val="auto"/>
                <w:kern w:val="0"/>
                <w:sz w:val="21"/>
                <w:szCs w:val="21"/>
                <w:highlight w:val="none"/>
              </w:rPr>
            </w:pPr>
          </w:p>
        </w:tc>
        <w:tc>
          <w:tcPr>
            <w:tcW w:w="213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color w:val="auto"/>
                <w:kern w:val="0"/>
                <w:sz w:val="21"/>
                <w:szCs w:val="21"/>
                <w:highlight w:val="none"/>
              </w:rPr>
            </w:pPr>
          </w:p>
        </w:tc>
        <w:tc>
          <w:tcPr>
            <w:tcW w:w="137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color w:val="auto"/>
                <w:kern w:val="0"/>
                <w:sz w:val="21"/>
                <w:szCs w:val="21"/>
                <w:highlight w:val="none"/>
              </w:rPr>
            </w:pPr>
          </w:p>
        </w:tc>
        <w:tc>
          <w:tcPr>
            <w:tcW w:w="145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color w:val="auto"/>
                <w:sz w:val="21"/>
                <w:szCs w:val="21"/>
                <w:highlight w:val="none"/>
              </w:rPr>
            </w:pPr>
          </w:p>
        </w:tc>
        <w:tc>
          <w:tcPr>
            <w:tcW w:w="200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b/>
                <w:color w:val="auto"/>
                <w:sz w:val="21"/>
                <w:szCs w:val="21"/>
                <w:highlight w:val="none"/>
              </w:rPr>
            </w:pPr>
            <w:r>
              <w:rPr>
                <w:color w:val="auto"/>
                <w:kern w:val="0"/>
                <w:sz w:val="21"/>
                <w:szCs w:val="21"/>
                <w:highlight w:val="none"/>
              </w:rPr>
              <w:t>小计</w:t>
            </w:r>
          </w:p>
        </w:tc>
        <w:tc>
          <w:tcPr>
            <w:tcW w:w="12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eastAsia="宋体"/>
                <w:color w:val="auto"/>
                <w:sz w:val="21"/>
                <w:szCs w:val="21"/>
                <w:highlight w:val="none"/>
                <w:lang w:val="en-US" w:eastAsia="zh-CN"/>
              </w:rPr>
            </w:pPr>
            <w:r>
              <w:rPr>
                <w:rFonts w:hint="eastAsia"/>
                <w:color w:val="auto"/>
                <w:sz w:val="21"/>
                <w:szCs w:val="21"/>
                <w:highlight w:val="none"/>
                <w:lang w:val="en-US" w:eastAsia="zh-CN"/>
              </w:rPr>
              <w:t>11436</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jc w:val="center"/>
        </w:trPr>
        <w:tc>
          <w:tcPr>
            <w:tcW w:w="11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color w:val="auto"/>
                <w:kern w:val="0"/>
                <w:sz w:val="21"/>
                <w:szCs w:val="21"/>
                <w:highlight w:val="none"/>
              </w:rPr>
            </w:pPr>
            <w:r>
              <w:rPr>
                <w:color w:val="auto"/>
                <w:kern w:val="0"/>
                <w:sz w:val="21"/>
                <w:szCs w:val="21"/>
                <w:highlight w:val="none"/>
              </w:rPr>
              <w:t>生活用水</w:t>
            </w:r>
          </w:p>
        </w:tc>
        <w:tc>
          <w:tcPr>
            <w:tcW w:w="213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color w:val="auto"/>
                <w:kern w:val="0"/>
                <w:sz w:val="21"/>
                <w:szCs w:val="21"/>
                <w:highlight w:val="none"/>
              </w:rPr>
            </w:pPr>
            <w:r>
              <w:rPr>
                <w:color w:val="auto"/>
                <w:kern w:val="0"/>
                <w:sz w:val="21"/>
                <w:szCs w:val="21"/>
                <w:highlight w:val="none"/>
              </w:rPr>
              <w:t>自来水</w:t>
            </w:r>
          </w:p>
        </w:tc>
        <w:tc>
          <w:tcPr>
            <w:tcW w:w="13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color w:val="auto"/>
                <w:kern w:val="0"/>
                <w:sz w:val="21"/>
                <w:szCs w:val="21"/>
                <w:highlight w:val="none"/>
              </w:rPr>
            </w:pPr>
            <w:r>
              <w:rPr>
                <w:rFonts w:hint="eastAsia"/>
                <w:color w:val="auto"/>
                <w:kern w:val="0"/>
                <w:sz w:val="21"/>
                <w:szCs w:val="21"/>
                <w:highlight w:val="none"/>
                <w:lang w:val="en-US" w:eastAsia="zh-CN"/>
              </w:rPr>
              <w:t>75</w:t>
            </w:r>
            <w:r>
              <w:rPr>
                <w:color w:val="auto"/>
                <w:kern w:val="0"/>
                <w:sz w:val="21"/>
                <w:szCs w:val="21"/>
                <w:highlight w:val="none"/>
              </w:rPr>
              <w:t>0</w:t>
            </w:r>
          </w:p>
        </w:tc>
        <w:tc>
          <w:tcPr>
            <w:tcW w:w="3460"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color w:val="auto"/>
                <w:sz w:val="21"/>
                <w:szCs w:val="21"/>
                <w:highlight w:val="none"/>
              </w:rPr>
            </w:pPr>
            <w:r>
              <w:rPr>
                <w:color w:val="auto"/>
                <w:sz w:val="21"/>
                <w:szCs w:val="21"/>
                <w:highlight w:val="none"/>
              </w:rPr>
              <w:t>生活污水</w:t>
            </w:r>
          </w:p>
        </w:tc>
        <w:tc>
          <w:tcPr>
            <w:tcW w:w="12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color w:val="auto"/>
                <w:sz w:val="21"/>
                <w:szCs w:val="21"/>
                <w:highlight w:val="none"/>
              </w:rPr>
            </w:pPr>
            <w:r>
              <w:rPr>
                <w:rFonts w:hint="eastAsia"/>
                <w:color w:val="auto"/>
                <w:sz w:val="21"/>
                <w:szCs w:val="21"/>
                <w:highlight w:val="none"/>
                <w:lang w:val="en-US" w:eastAsia="zh-CN"/>
              </w:rPr>
              <w:t>637.</w:t>
            </w:r>
            <w:r>
              <w:rPr>
                <w:color w:val="auto"/>
                <w:sz w:val="21"/>
                <w:szCs w:val="21"/>
                <w:highlight w:val="none"/>
              </w:rPr>
              <w:t>5</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jc w:val="center"/>
        </w:trPr>
        <w:tc>
          <w:tcPr>
            <w:tcW w:w="3235"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color w:val="auto"/>
                <w:kern w:val="0"/>
                <w:sz w:val="21"/>
                <w:szCs w:val="21"/>
                <w:highlight w:val="none"/>
              </w:rPr>
            </w:pPr>
            <w:r>
              <w:rPr>
                <w:color w:val="auto"/>
                <w:kern w:val="0"/>
                <w:sz w:val="21"/>
                <w:szCs w:val="21"/>
                <w:highlight w:val="none"/>
              </w:rPr>
              <w:t>合计</w:t>
            </w:r>
          </w:p>
        </w:tc>
        <w:tc>
          <w:tcPr>
            <w:tcW w:w="137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eastAsia="宋体"/>
                <w:color w:val="auto"/>
                <w:kern w:val="0"/>
                <w:sz w:val="21"/>
                <w:szCs w:val="21"/>
                <w:highlight w:val="none"/>
                <w:lang w:val="en-US" w:eastAsia="zh-CN"/>
              </w:rPr>
            </w:pPr>
            <w:r>
              <w:rPr>
                <w:rFonts w:hint="eastAsia"/>
                <w:color w:val="auto"/>
                <w:kern w:val="0"/>
                <w:sz w:val="21"/>
                <w:szCs w:val="21"/>
                <w:highlight w:val="none"/>
                <w:lang w:val="en-US" w:eastAsia="zh-CN"/>
              </w:rPr>
              <w:t>13810</w:t>
            </w:r>
          </w:p>
        </w:tc>
        <w:tc>
          <w:tcPr>
            <w:tcW w:w="3460"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color w:val="auto"/>
                <w:sz w:val="21"/>
                <w:szCs w:val="21"/>
                <w:highlight w:val="none"/>
              </w:rPr>
            </w:pPr>
            <w:r>
              <w:rPr>
                <w:color w:val="auto"/>
                <w:kern w:val="0"/>
                <w:sz w:val="21"/>
                <w:szCs w:val="21"/>
                <w:highlight w:val="none"/>
              </w:rPr>
              <w:t>合计</w:t>
            </w:r>
          </w:p>
        </w:tc>
        <w:tc>
          <w:tcPr>
            <w:tcW w:w="12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eastAsia="宋体"/>
                <w:color w:val="auto"/>
                <w:sz w:val="21"/>
                <w:szCs w:val="21"/>
                <w:highlight w:val="none"/>
                <w:lang w:val="en-US" w:eastAsia="zh-CN"/>
              </w:rPr>
            </w:pPr>
            <w:r>
              <w:rPr>
                <w:rFonts w:hint="eastAsia"/>
                <w:color w:val="auto"/>
                <w:sz w:val="21"/>
                <w:szCs w:val="21"/>
                <w:highlight w:val="none"/>
                <w:lang w:val="en-US" w:eastAsia="zh-CN"/>
              </w:rPr>
              <w:t>12073.5</w:t>
            </w:r>
          </w:p>
        </w:tc>
      </w:tr>
    </w:tbl>
    <w:p>
      <w:pPr>
        <w:adjustRightInd w:val="0"/>
        <w:snapToGrid w:val="0"/>
        <w:spacing w:line="360" w:lineRule="auto"/>
        <w:ind w:firstLine="480" w:firstLineChars="200"/>
        <w:rPr>
          <w:color w:val="auto"/>
          <w:sz w:val="24"/>
          <w:highlight w:val="none"/>
        </w:rPr>
      </w:pPr>
      <w:r>
        <w:rPr>
          <w:rFonts w:hint="eastAsia"/>
          <w:color w:val="auto"/>
          <w:sz w:val="24"/>
          <w:highlight w:val="none"/>
        </w:rPr>
        <w:t>项目的水平衡图见图2.</w:t>
      </w:r>
      <w:r>
        <w:rPr>
          <w:rFonts w:hint="eastAsia"/>
          <w:color w:val="auto"/>
          <w:sz w:val="24"/>
          <w:highlight w:val="none"/>
          <w:lang w:val="en-US" w:eastAsia="zh-CN"/>
        </w:rPr>
        <w:t>3</w:t>
      </w:r>
      <w:r>
        <w:rPr>
          <w:rFonts w:hint="eastAsia"/>
          <w:color w:val="auto"/>
          <w:sz w:val="24"/>
          <w:highlight w:val="none"/>
        </w:rPr>
        <w:t>-</w:t>
      </w:r>
      <w:r>
        <w:rPr>
          <w:rFonts w:hint="eastAsia"/>
          <w:color w:val="auto"/>
          <w:sz w:val="24"/>
          <w:highlight w:val="none"/>
          <w:lang w:val="en-US" w:eastAsia="zh-CN"/>
        </w:rPr>
        <w:t>7</w:t>
      </w:r>
      <w:r>
        <w:rPr>
          <w:rFonts w:hint="eastAsia"/>
          <w:color w:val="auto"/>
          <w:sz w:val="24"/>
          <w:highlight w:val="none"/>
        </w:rPr>
        <w:t>。</w:t>
      </w:r>
    </w:p>
    <w:p>
      <w:pPr>
        <w:adjustRightInd w:val="0"/>
        <w:snapToGrid w:val="0"/>
        <w:spacing w:line="360" w:lineRule="auto"/>
        <w:jc w:val="center"/>
        <w:rPr>
          <w:color w:val="auto"/>
          <w:highlight w:val="none"/>
        </w:rPr>
      </w:pPr>
      <w:r>
        <w:rPr>
          <w:color w:val="auto"/>
          <w:sz w:val="21"/>
          <w:highlight w:val="none"/>
        </w:rPr>
        <w:pict>
          <v:line id="_x0000_s2902" o:spid="_x0000_s2902" o:spt="20" style="position:absolute;left:0pt;flip:y;margin-left:282.55pt;margin-top:133.7pt;height:122.45pt;width:0.05pt;z-index:256747520;mso-width-relative:page;mso-height-relative:page;" fillcolor="#FFFFFF" filled="t" stroked="t" coordsize="21600,21600">
            <v:path arrowok="t"/>
            <v:fill on="t" color2="#FFFFFF" focussize="0,0"/>
            <v:stroke color="#000000" endarrow="block"/>
            <v:imagedata o:title=""/>
            <o:lock v:ext="edit" aspectratio="f"/>
          </v:line>
        </w:pict>
      </w:r>
      <w:r>
        <w:rPr>
          <w:color w:val="auto"/>
          <w:highlight w:val="none"/>
        </w:rPr>
        <w:pict>
          <v:group id="画布 100" o:spid="_x0000_s2541" o:spt="203" style="height:552.9pt;width:467.6pt;" coordorigin="1478,1418" coordsize="9352,11057" editas="canvas">
            <o:lock v:ext="edit"/>
            <v:shape id="画布 100" o:spid="_x0000_s2542" o:spt="75" type="#_x0000_t75" style="position:absolute;left:1478;top:1418;height:11057;width:9352;" filled="f" stroked="f" coordsize="21600,21600">
              <v:path/>
              <v:fill on="f" focussize="0,0"/>
              <v:stroke on="f"/>
              <v:imagedata o:title=""/>
              <o:lock v:ext="edit" aspectratio="t"/>
            </v:shape>
            <v:shape id="文本框 1281" o:spid="_x0000_s2543" o:spt="202" type="#_x0000_t202" style="position:absolute;left:3153;top:3093;height:398;width:2268;"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mHsQA&#10;AADaAAAADwAAAGRycy9kb3ducmV2LnhtbESPT2sCMRTE70K/Q3gFL+Jma0Xt1igitNibVdHrY/P2&#10;D928rEm6br99UxB6HGbmN8xy3ZtGdOR8bVnBU5KCIM6trrlUcDq+jRcgfEDW2FgmBT/kYb16GCwx&#10;0/bGn9QdQikihH2GCqoQ2kxKn1dk0Ce2JY5eYZ3BEKUrpXZ4i3DTyEmazqTBmuNChS1tK8q/Dt9G&#10;wWK66y7+43l/zmdF8xJG8+796pQaPvabVxCB+vAfvrd3WsEE/q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Jh7EAAAA2gAAAA8AAAAAAAAAAAAAAAAAmAIAAGRycy9k&#10;b3ducmV2LnhtbFBLBQYAAAAABAAEAPUAAACJAwAAAAA=&#10;">
              <v:path/>
              <v:fill on="t" color2="#FFFFFF" focussize="0,0"/>
              <v:stroke color="#000000" joinstyle="miter"/>
              <v:imagedata o:title=""/>
              <o:lock v:ext="edit" aspectratio="f"/>
              <v:textbox>
                <w:txbxContent>
                  <w:p>
                    <w:pPr>
                      <w:snapToGrid w:val="0"/>
                      <w:jc w:val="center"/>
                      <w:rPr>
                        <w:sz w:val="18"/>
                        <w:szCs w:val="18"/>
                      </w:rPr>
                    </w:pPr>
                    <w:r>
                      <w:rPr>
                        <w:rFonts w:hint="eastAsia"/>
                        <w:sz w:val="18"/>
                        <w:szCs w:val="18"/>
                      </w:rPr>
                      <w:t>镀锌及水洗</w:t>
                    </w:r>
                  </w:p>
                </w:txbxContent>
              </v:textbox>
            </v:shape>
            <v:shape id="文本框 1284" o:spid="_x0000_s2544" o:spt="202" type="#_x0000_t202" style="position:absolute;left:3162;top:7187;height:464;width:2218;"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path/>
              <v:fill on="t" color2="#FFFFFF" focussize="0,0"/>
              <v:stroke color="#000000" joinstyle="miter"/>
              <v:imagedata o:title=""/>
              <o:lock v:ext="edit" aspectratio="f"/>
              <v:textbox>
                <w:txbxContent>
                  <w:p>
                    <w:pPr>
                      <w:snapToGrid w:val="0"/>
                      <w:jc w:val="center"/>
                      <w:rPr>
                        <w:sz w:val="18"/>
                        <w:szCs w:val="18"/>
                      </w:rPr>
                    </w:pPr>
                    <w:r>
                      <w:rPr>
                        <w:rFonts w:hint="eastAsia"/>
                        <w:sz w:val="18"/>
                        <w:szCs w:val="18"/>
                        <w:lang w:val="en-US" w:eastAsia="zh-CN"/>
                      </w:rPr>
                      <w:t>镀铬、</w:t>
                    </w:r>
                    <w:r>
                      <w:rPr>
                        <w:rFonts w:hint="eastAsia"/>
                        <w:sz w:val="18"/>
                        <w:szCs w:val="18"/>
                      </w:rPr>
                      <w:t>钝化</w:t>
                    </w:r>
                    <w:r>
                      <w:rPr>
                        <w:rFonts w:hint="eastAsia"/>
                        <w:sz w:val="18"/>
                        <w:szCs w:val="18"/>
                        <w:lang w:eastAsia="zh-CN"/>
                      </w:rPr>
                      <w:t>、</w:t>
                    </w:r>
                    <w:r>
                      <w:rPr>
                        <w:rFonts w:hint="eastAsia"/>
                        <w:sz w:val="18"/>
                        <w:szCs w:val="18"/>
                        <w:lang w:val="en-US" w:eastAsia="zh-CN"/>
                      </w:rPr>
                      <w:t>粗化</w:t>
                    </w:r>
                    <w:r>
                      <w:rPr>
                        <w:rFonts w:hint="eastAsia"/>
                        <w:sz w:val="18"/>
                        <w:szCs w:val="18"/>
                      </w:rPr>
                      <w:t>及水洗</w:t>
                    </w:r>
                  </w:p>
                </w:txbxContent>
              </v:textbox>
            </v:shape>
            <v:shape id="文本框 1286" o:spid="_x0000_s2545" o:spt="202" type="#_x0000_t202" style="position:absolute;left:3155;top:3842;height:431;width:2281;"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path/>
              <v:fill on="t" color2="#FFFFFF" focussize="0,0"/>
              <v:stroke color="#000000" joinstyle="miter"/>
              <v:imagedata o:title=""/>
              <o:lock v:ext="edit" aspectratio="f"/>
              <v:textbox>
                <w:txbxContent>
                  <w:p>
                    <w:pPr>
                      <w:snapToGrid w:val="0"/>
                      <w:jc w:val="center"/>
                      <w:rPr>
                        <w:rFonts w:hint="eastAsia" w:eastAsia="宋体"/>
                        <w:sz w:val="18"/>
                        <w:szCs w:val="18"/>
                        <w:lang w:val="en-US" w:eastAsia="zh-CN"/>
                      </w:rPr>
                    </w:pPr>
                    <w:r>
                      <w:rPr>
                        <w:rFonts w:hint="eastAsia"/>
                        <w:sz w:val="18"/>
                        <w:szCs w:val="18"/>
                        <w:lang w:val="en-US" w:eastAsia="zh-CN"/>
                      </w:rPr>
                      <w:t>镀锡及水洗</w:t>
                    </w:r>
                  </w:p>
                </w:txbxContent>
              </v:textbox>
            </v:shape>
            <v:shape id="文本框 1294" o:spid="_x0000_s2546" o:spt="202" type="#_x0000_t202" style="position:absolute;left:3162;top:10468;height:515;width:2117;"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path/>
              <v:fill on="t" color2="#FFFFFF" focussize="0,0"/>
              <v:stroke color="#000000" joinstyle="miter"/>
              <v:imagedata o:title=""/>
              <o:lock v:ext="edit" aspectratio="f"/>
              <v:textbox>
                <w:txbxContent>
                  <w:p>
                    <w:pPr>
                      <w:snapToGrid w:val="0"/>
                      <w:jc w:val="center"/>
                      <w:rPr>
                        <w:sz w:val="18"/>
                        <w:szCs w:val="18"/>
                      </w:rPr>
                    </w:pPr>
                    <w:r>
                      <w:rPr>
                        <w:rFonts w:hint="eastAsia"/>
                        <w:sz w:val="18"/>
                        <w:szCs w:val="18"/>
                      </w:rPr>
                      <w:t>生活办公</w:t>
                    </w:r>
                  </w:p>
                </w:txbxContent>
              </v:textbox>
            </v:shape>
            <v:shape id="自选图形 1296" o:spid="_x0000_s2547" o:spt="32" type="#_x0000_t32" style="position:absolute;left:2373;top:2102;flip:x;height:8682;width:1;" filled="f" stroked="t" coordsize="21600,21600">
              <v:path arrowok="t"/>
              <v:fill on="f" focussize="0,0"/>
              <v:stroke color="#000000"/>
              <v:imagedata o:title=""/>
              <o:lock v:ext="edit" aspectratio="f"/>
            </v:shape>
            <v:shape id="文本框 1297" o:spid="_x0000_s2548" o:spt="202" type="#_x0000_t202" style="position:absolute;left:3153;top:1882;height:881;width:2251;"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path/>
              <v:fill on="t" color2="#FFFFFF" focussize="0,0"/>
              <v:stroke color="#000000" joinstyle="miter"/>
              <v:imagedata o:title=""/>
              <o:lock v:ext="edit" aspectratio="f"/>
              <v:textbox>
                <w:txbxContent>
                  <w:p>
                    <w:pPr>
                      <w:snapToGrid w:val="0"/>
                      <w:jc w:val="center"/>
                      <w:rPr>
                        <w:sz w:val="18"/>
                        <w:szCs w:val="18"/>
                      </w:rPr>
                    </w:pPr>
                    <w:r>
                      <w:rPr>
                        <w:rFonts w:hint="eastAsia"/>
                        <w:sz w:val="18"/>
                        <w:szCs w:val="18"/>
                      </w:rPr>
                      <w:t>去油、酸洗</w:t>
                    </w:r>
                    <w:r>
                      <w:rPr>
                        <w:rFonts w:hint="eastAsia"/>
                        <w:sz w:val="18"/>
                        <w:szCs w:val="18"/>
                        <w:lang w:eastAsia="zh-CN"/>
                      </w:rPr>
                      <w:t>、</w:t>
                    </w:r>
                    <w:r>
                      <w:rPr>
                        <w:rFonts w:hint="eastAsia"/>
                        <w:sz w:val="18"/>
                        <w:szCs w:val="18"/>
                        <w:lang w:val="en-US" w:eastAsia="zh-CN"/>
                      </w:rPr>
                      <w:t>出光、活化、粗化、还原、敏化、氯化、去蜡质、中和</w:t>
                    </w:r>
                    <w:r>
                      <w:rPr>
                        <w:rFonts w:hint="eastAsia"/>
                        <w:sz w:val="18"/>
                        <w:szCs w:val="18"/>
                      </w:rPr>
                      <w:t>及水洗</w:t>
                    </w:r>
                  </w:p>
                </w:txbxContent>
              </v:textbox>
            </v:shape>
            <v:shape id="自选图形 1298" o:spid="_x0000_s2549" o:spt="32" type="#_x0000_t32" style="position:absolute;left:2391;top:2099;flip:y;height:3;width:782;" filled="f" stroked="t" coordsize="21600,21600">
              <v:path arrowok="t"/>
              <v:fill on="f" focussize="0,0"/>
              <v:stroke color="#000000" endarrow="block"/>
              <v:imagedata o:title=""/>
              <o:lock v:ext="edit" aspectratio="f"/>
            </v:shape>
            <v:shape id="自选图形 1299" o:spid="_x0000_s2550" o:spt="32" type="#_x0000_t32" style="position:absolute;left:5243;top:10735;flip:y;height:1;width:5199;" filled="f" stroked="t" coordsize="21600,21600">
              <v:path arrowok="t"/>
              <v:fill on="f" focussize="0,0"/>
              <v:stroke color="#000000" endarrow="block"/>
              <v:imagedata o:title=""/>
              <o:lock v:ext="edit" aspectratio="f"/>
            </v:shape>
            <v:shape id="自选图形 1300" o:spid="_x0000_s2551" o:spt="32" type="#_x0000_t32" style="position:absolute;left:1518;top:6084;height:0;width:856;"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ruesIAAADbAAAADwAAAGRycy9kb3ducmV2LnhtbERPTYvCMBC9C/6HMII3TV1E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ruesIAAADbAAAADwAAAAAAAAAAAAAA&#10;AAChAgAAZHJzL2Rvd25yZXYueG1sUEsFBgAAAAAEAAQA+QAAAJADAAAAAA==&#10;">
              <v:path arrowok="t"/>
              <v:fill on="f" focussize="0,0"/>
              <v:stroke color="#000000" endarrow="block"/>
              <v:imagedata o:title=""/>
              <o:lock v:ext="edit" aspectratio="f"/>
            </v:shape>
            <v:shape id="文本框 1301" o:spid="_x0000_s2552" o:spt="202" type="#_x0000_t202" style="position:absolute;left:1478;top:5445;height:576;width:835;"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v:path/>
              <v:fill on="f" focussize="0,0"/>
              <v:stroke on="f"/>
              <v:imagedata o:title=""/>
              <o:lock v:ext="edit" aspectratio="f"/>
              <v:textbox>
                <w:txbxContent>
                  <w:p>
                    <w:pPr>
                      <w:snapToGrid w:val="0"/>
                      <w:jc w:val="center"/>
                      <w:rPr>
                        <w:rFonts w:hint="eastAsia" w:eastAsia="宋体"/>
                        <w:sz w:val="18"/>
                        <w:szCs w:val="18"/>
                        <w:highlight w:val="none"/>
                        <w:lang w:val="en-US" w:eastAsia="zh-CN"/>
                      </w:rPr>
                    </w:pPr>
                    <w:r>
                      <w:rPr>
                        <w:rFonts w:hint="eastAsia"/>
                        <w:sz w:val="18"/>
                        <w:szCs w:val="18"/>
                        <w:highlight w:val="none"/>
                      </w:rPr>
                      <w:t>自来水</w:t>
                    </w:r>
                    <w:r>
                      <w:rPr>
                        <w:rFonts w:hint="eastAsia"/>
                        <w:sz w:val="18"/>
                        <w:szCs w:val="18"/>
                        <w:highlight w:val="none"/>
                        <w:lang w:val="en-US" w:eastAsia="zh-CN"/>
                      </w:rPr>
                      <w:t>11880</w:t>
                    </w:r>
                  </w:p>
                </w:txbxContent>
              </v:textbox>
            </v:shape>
            <v:shape id="自选图形 1302" o:spid="_x0000_s2553" o:spt="32" type="#_x0000_t32" style="position:absolute;left:5420;top:2333;flip:y;height:1;width:822;"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gHucAAAADbAAAADwAAAGRycy9kb3ducmV2LnhtbERPTYvCMBC9L/gfwgheFk3rQaQaRQRh&#10;8SCs9uBxSMa22ExqEmv335uFhb3N433OejvYVvTkQ+NYQT7LQBBrZxquFJSXw3QJIkRkg61jUvBD&#10;Abab0ccaC+Ne/E39OVYihXAoUEEdY1dIGXRNFsPMdcSJuzlvMSboK2k8vlK4beU8yxbSYsOpocaO&#10;9jXp+/lpFTTH8lT2n4/o9fKYX30eLtdWKzUZD7sViEhD/Bf/ub9Mmr+A31/SAXLz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uoB7nAAAAA2wAAAA8AAAAAAAAAAAAAAAAA&#10;oQIAAGRycy9kb3ducmV2LnhtbFBLBQYAAAAABAAEAPkAAACOAwAAAAA=&#10;">
              <v:path arrowok="t"/>
              <v:fill on="f" focussize="0,0"/>
              <v:stroke color="#000000"/>
              <v:imagedata o:title=""/>
              <o:lock v:ext="edit" aspectratio="f"/>
            </v:shape>
            <v:shape id="自选图形 1303" o:spid="_x0000_s2554" o:spt="32" type="#_x0000_t32" style="position:absolute;left:5437;top:3297;flip:y;height:1;width:822;"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SiIsEAAADbAAAADwAAAGRycy9kb3ducmV2LnhtbERPTYvCMBC9L/gfwgh7WTStB1eqUUQQ&#10;xMPCag8eh2Rsi82kJrF2//1mQdjbPN7nrDaDbUVPPjSOFeTTDASxdqbhSkF53k8WIEJENtg6JgU/&#10;FGCzHr2tsDDuyd/Un2IlUgiHAhXUMXaFlEHXZDFMXUecuKvzFmOCvpLG4zOF21bOsmwuLTacGmrs&#10;aFeTvp0eVkFzLL/K/uMevV4c84vPw/nSaqXex8N2CSLSEP/FL/fBpPmf8PdLOkC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5KIiwQAAANsAAAAPAAAAAAAAAAAAAAAA&#10;AKECAABkcnMvZG93bnJldi54bWxQSwUGAAAAAAQABAD5AAAAjwMAAAAA&#10;">
              <v:path arrowok="t"/>
              <v:fill on="f" focussize="0,0"/>
              <v:stroke color="#000000"/>
              <v:imagedata o:title=""/>
              <o:lock v:ext="edit" aspectratio="f"/>
            </v:shape>
            <v:shape id="自选图形 1304" o:spid="_x0000_s2555" o:spt="32" type="#_x0000_t32" style="position:absolute;left:6245;top:2329;flip:x;height:3323;width:35;" filled="f" stroked="t" coordsize="21600,21600">
              <v:path arrowok="t"/>
              <v:fill on="f" focussize="0,0"/>
              <v:stroke color="#000000"/>
              <v:imagedata o:title=""/>
              <o:lock v:ext="edit" aspectratio="f"/>
            </v:shape>
            <v:shape id="自选图形 1305" o:spid="_x0000_s2556" o:spt="32" type="#_x0000_t32" style="position:absolute;left:5435;top:4079;flip:y;height:1;width:821;"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eTy8EAAADbAAAADwAAAGRycy9kb3ducmV2LnhtbERPTYvCMBC9L/gfwgheFk3rYdFqFFlY&#10;EA8Lqz14HJKxLTaTmsTa/febBcHbPN7nrLeDbUVPPjSOFeSzDASxdqbhSkF5+pouQISIbLB1TAp+&#10;KcB2M3pbY2Hcg3+oP8ZKpBAOBSqoY+wKKYOuyWKYuY44cRfnLcYEfSWNx0cKt62cZ9mHtNhwaqix&#10;o8+a9PV4twqaQ/ld9u+36PXikJ99Hk7nVis1GQ+7FYhIQ3yJn+69SfOX8P9LOkB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N5PLwQAAANsAAAAPAAAAAAAAAAAAAAAA&#10;AKECAABkcnMvZG93bnJldi54bWxQSwUGAAAAAAQABAD5AAAAjwMAAAAA&#10;">
              <v:path arrowok="t"/>
              <v:fill on="f" focussize="0,0"/>
              <v:stroke color="#000000"/>
              <v:imagedata o:title=""/>
              <o:lock v:ext="edit" aspectratio="f"/>
            </v:shape>
            <v:shape id="自选图形 1306" o:spid="_x0000_s2557" o:spt="32" type="#_x0000_t32" style="position:absolute;left:6298;top:3762;height:7;width:663;" filled="f" stroked="t" coordsize="21600,21600">
              <v:path arrowok="t"/>
              <v:fill on="f" focussize="0,0"/>
              <v:stroke color="#000000" endarrow="block"/>
              <v:imagedata o:title=""/>
              <o:lock v:ext="edit" aspectratio="f"/>
            </v:shape>
            <v:shape id="文本框 1307" o:spid="_x0000_s2558" o:spt="202" type="#_x0000_t202" style="position:absolute;left:6960;top:3458;height:651;width:889;"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path/>
              <v:fill on="t" color2="#FFFFFF" focussize="0,0"/>
              <v:stroke color="#000000" joinstyle="miter"/>
              <v:imagedata o:title=""/>
              <o:lock v:ext="edit" aspectratio="f"/>
              <v:textbox>
                <w:txbxContent>
                  <w:p>
                    <w:pPr>
                      <w:snapToGrid w:val="0"/>
                      <w:jc w:val="center"/>
                      <w:rPr>
                        <w:color w:val="00B050"/>
                        <w:sz w:val="18"/>
                        <w:szCs w:val="18"/>
                      </w:rPr>
                    </w:pPr>
                    <w:r>
                      <w:rPr>
                        <w:rFonts w:hint="eastAsia"/>
                        <w:color w:val="00B050"/>
                        <w:sz w:val="18"/>
                        <w:szCs w:val="18"/>
                      </w:rPr>
                      <w:t>综合废水管道</w:t>
                    </w:r>
                  </w:p>
                </w:txbxContent>
              </v:textbox>
            </v:shape>
            <v:shape id="自选图形 1309" o:spid="_x0000_s2559" o:spt="32" type="#_x0000_t32" style="position:absolute;left:7861;top:3769;flip:y;height:6;width:692;" filled="f" stroked="t" coordsize="21600,21600">
              <v:path arrowok="t"/>
              <v:fill on="f" focussize="0,0"/>
              <v:stroke color="#000000" endarrow="block"/>
              <v:imagedata o:title=""/>
              <o:lock v:ext="edit" aspectratio="f"/>
            </v:shape>
            <v:shape id="文本框 1310" o:spid="_x0000_s2560" o:spt="202" type="#_x0000_t202" style="position:absolute;left:8533;top:3443;height:635;width:1074;"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path/>
              <v:fill on="t" color2="#FFFFFF" focussize="0,0"/>
              <v:stroke color="#000000" joinstyle="miter"/>
              <v:imagedata o:title=""/>
              <o:lock v:ext="edit" aspectratio="f"/>
              <v:textbox>
                <w:txbxContent>
                  <w:p>
                    <w:pPr>
                      <w:snapToGrid w:val="0"/>
                      <w:jc w:val="center"/>
                      <w:rPr>
                        <w:color w:val="00B050"/>
                        <w:sz w:val="18"/>
                        <w:szCs w:val="18"/>
                      </w:rPr>
                    </w:pPr>
                    <w:r>
                      <w:rPr>
                        <w:rFonts w:hint="eastAsia"/>
                        <w:color w:val="00B050"/>
                        <w:sz w:val="18"/>
                        <w:szCs w:val="18"/>
                      </w:rPr>
                      <w:t>综合废水处理单元</w:t>
                    </w:r>
                  </w:p>
                </w:txbxContent>
              </v:textbox>
            </v:shape>
            <v:shape id="自选图形 1311" o:spid="_x0000_s2561" o:spt="32" type="#_x0000_t32" style="position:absolute;left:9589;top:3758;flip:y;height:2;width:856;"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r26MMAAADbAAAADwAAAGRycy9kb3ducmV2LnhtbESPQYvCMBSE7wv+h/AEL8uaVhaRrlFk&#10;YWHxIKg9eHwkz7bYvNQkW+u/N8KCx2FmvmGW68G2oicfGscK8mkGglg703CloDz+fCxAhIhssHVM&#10;Cu4UYL0avS2xMO7Ge+oPsRIJwqFABXWMXSFl0DVZDFPXESfv7LzFmKSvpPF4S3DbylmWzaXFhtNC&#10;jR1916Qvhz+roNmWu7J/v0avF9v85PNwPLVaqcl42HyBiDTEV/i//WsUzD7h+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a9ujDAAAA2wAAAA8AAAAAAAAAAAAA&#10;AAAAoQIAAGRycy9kb3ducmV2LnhtbFBLBQYAAAAABAAEAPkAAACRAwAAAAA=&#10;">
              <v:path arrowok="t"/>
              <v:fill on="f" focussize="0,0"/>
              <v:stroke color="#000000"/>
              <v:imagedata o:title=""/>
              <o:lock v:ext="edit" aspectratio="f"/>
            </v:shape>
            <v:shape id="自选图形 1313" o:spid="_x0000_s2562" o:spt="32" type="#_x0000_t32" style="position:absolute;left:5411;top:4827;height:1;width:822;" filled="f" stroked="t" coordsize="21600,21600">
              <v:path arrowok="t"/>
              <v:fill on="f" focussize="0,0"/>
              <v:stroke color="#000000"/>
              <v:imagedata o:title=""/>
              <o:lock v:ext="edit" aspectratio="f"/>
            </v:shape>
            <v:shape id="自选图形 1314" o:spid="_x0000_s2563" o:spt="32" type="#_x0000_t32" style="position:absolute;left:6191;top:7882;height:7;width:764;" filled="f" stroked="t" coordsize="21600,21600">
              <v:path arrowok="t"/>
              <v:fill on="f" focussize="0,0"/>
              <v:stroke color="#000000" endarrow="block"/>
              <v:imagedata o:title=""/>
              <o:lock v:ext="edit" aspectratio="f"/>
            </v:shape>
            <v:shape id="文本框 1315" o:spid="_x0000_s2564" o:spt="202" type="#_x0000_t202" style="position:absolute;left:6971;top:7544;height:619;width:871;"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H8UA&#10;AADbAAAADwAAAGRycy9kb3ducmV2LnhtbESPW2sCMRSE3wv+h3AEX4pmtcXLapQitOhbvaCvh81x&#10;d3Fzsk3Sdf33Rij0cZiZb5jFqjWVaMj50rKC4SABQZxZXXKu4Hj47E9B+ICssbJMCu7kYbXsvCww&#10;1fbGO2r2IRcRwj5FBUUIdSqlzwoy6Ae2Jo7exTqDIUqXS+3wFuGmkqMkGUuDJceFAmtaF5Rd979G&#10;wfR905z99u37lI0v1Sy8TpqvH6dUr9t+zEEEasN/+K+90QpGE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t4fxQAAANsAAAAPAAAAAAAAAAAAAAAAAJgCAABkcnMv&#10;ZG93bnJldi54bWxQSwUGAAAAAAQABAD1AAAAigMAAAAA&#10;">
              <v:path/>
              <v:fill on="t" color2="#FFFFFF" focussize="0,0"/>
              <v:stroke color="#000000" joinstyle="miter"/>
              <v:imagedata o:title=""/>
              <o:lock v:ext="edit" aspectratio="f"/>
              <v:textbox>
                <w:txbxContent>
                  <w:p>
                    <w:pPr>
                      <w:snapToGrid w:val="0"/>
                      <w:jc w:val="center"/>
                      <w:rPr>
                        <w:color w:val="C00000"/>
                        <w:sz w:val="18"/>
                        <w:szCs w:val="18"/>
                      </w:rPr>
                    </w:pPr>
                    <w:r>
                      <w:rPr>
                        <w:rFonts w:hint="eastAsia"/>
                        <w:color w:val="C00000"/>
                        <w:sz w:val="18"/>
                        <w:szCs w:val="18"/>
                      </w:rPr>
                      <w:t>含铬废水管道</w:t>
                    </w:r>
                  </w:p>
                </w:txbxContent>
              </v:textbox>
            </v:shape>
            <v:shape id="文本框 1318" o:spid="_x0000_s2565" o:spt="202" type="#_x0000_t202" style="position:absolute;left:8527;top:7544;height:619;width:1091;"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path/>
              <v:fill on="t" color2="#FFFFFF" focussize="0,0"/>
              <v:stroke color="#000000" joinstyle="miter"/>
              <v:imagedata o:title=""/>
              <o:lock v:ext="edit" aspectratio="f"/>
              <v:textbox>
                <w:txbxContent>
                  <w:p>
                    <w:pPr>
                      <w:snapToGrid w:val="0"/>
                      <w:jc w:val="center"/>
                      <w:rPr>
                        <w:color w:val="C00000"/>
                        <w:sz w:val="18"/>
                        <w:szCs w:val="18"/>
                      </w:rPr>
                    </w:pPr>
                    <w:r>
                      <w:rPr>
                        <w:rFonts w:hint="eastAsia"/>
                        <w:color w:val="C00000"/>
                        <w:sz w:val="18"/>
                        <w:szCs w:val="18"/>
                      </w:rPr>
                      <w:t>含铬废水处理单元</w:t>
                    </w:r>
                  </w:p>
                </w:txbxContent>
              </v:textbox>
            </v:shape>
            <v:shape id="自选图形 1319" o:spid="_x0000_s2566" o:spt="32" type="#_x0000_t32" style="position:absolute;left:9581;top:7865;height:1;width:856;"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zW3cEAAADbAAAADwAAAGRycy9kb3ducmV2LnhtbERPTWsCMRC9C/0PYQpeRLMqlbI1yioI&#10;WvCg1vt0M92EbibrJur675tDwePjfc+XnavFjdpgPSsYjzIQxKXXlisFX6fN8B1EiMgaa8+k4EEB&#10;louX3hxz7e98oNsxViKFcMhRgYmxyaUMpSGHYeQb4sT9+NZhTLCtpG7xnsJdLSdZNpMOLacGgw2t&#10;DZW/x6tTsN+NV8W3sbvPw8Xu3zZFfa0GZ6X6r13xASJSF5/if/dWK5im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vNbdwQAAANsAAAAPAAAAAAAAAAAAAAAA&#10;AKECAABkcnMvZG93bnJldi54bWxQSwUGAAAAAAQABAD5AAAAjwMAAAAA&#10;">
              <v:path arrowok="t"/>
              <v:fill on="f" focussize="0,0"/>
              <v:stroke color="#000000"/>
              <v:imagedata o:title=""/>
              <o:lock v:ext="edit" aspectratio="f"/>
            </v:shape>
            <v:shape id="自选图形 1321" o:spid="_x0000_s2567" o:spt="32" type="#_x0000_t32" style="position:absolute;left:10445;top:3725;flip:x;height:7376;width:32;" filled="f" stroked="t" coordsize="21600,21600">
              <v:path arrowok="t"/>
              <v:fill on="f" focussize="0,0"/>
              <v:stroke color="#000000" endarrow="block"/>
              <v:imagedata o:title=""/>
              <o:lock v:ext="edit" aspectratio="f"/>
            </v:shape>
            <v:rect id="矩形 1323" o:spid="_x0000_s2568" o:spt="1" style="position:absolute;left:8383;top:3209;height:6319;width:1325;" filled="f"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PJRMMA&#10;AADbAAAADwAAAGRycy9kb3ducmV2LnhtbESP0WrCQBRE34X+w3IFX6RuTGmQ1E2woiVPhWo/4JK9&#10;JsHs3SW7avz7bkHwcZiZM8y6HE0vrjT4zrKC5SIBQVxb3XGj4Pe4f12B8AFZY2+ZFNzJQ1m8TNaY&#10;a3vjH7oeQiMihH2OCtoQXC6lr1sy6BfWEUfvZAeDIcqhkXrAW4SbXqZJkkmDHceFFh1tW6rPh4tR&#10;sOm+d2Gps8Z+HfWnq+z7aTV3Ss2m4+YDRKAxPMOPdqUVvKXw/yX+AF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PJRMMAAADbAAAADwAAAAAAAAAAAAAAAACYAgAAZHJzL2Rv&#10;d25yZXYueG1sUEsFBgAAAAAEAAQA9QAAAIgDAAAAAA==&#10;">
              <v:path/>
              <v:fill on="f" focussize="0,0"/>
              <v:stroke color="#000000" joinstyle="miter" dashstyle="longDash"/>
              <v:imagedata o:title=""/>
              <o:lock v:ext="edit" aspectratio="f"/>
            </v:rect>
            <v:shape id="文本框 1324" o:spid="_x0000_s2569" o:spt="202" type="#_x0000_t202" style="position:absolute;left:8416;top:3175;height:347;width:1266;"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v:path/>
              <v:fill on="f" focussize="0,0"/>
              <v:stroke on="f"/>
              <v:imagedata o:title=""/>
              <o:lock v:ext="edit" aspectratio="f"/>
              <v:textbox>
                <w:txbxContent>
                  <w:p>
                    <w:pPr>
                      <w:snapToGrid w:val="0"/>
                      <w:jc w:val="center"/>
                      <w:rPr>
                        <w:sz w:val="16"/>
                        <w:szCs w:val="16"/>
                      </w:rPr>
                    </w:pPr>
                    <w:r>
                      <w:rPr>
                        <w:rFonts w:hint="eastAsia"/>
                        <w:sz w:val="16"/>
                        <w:szCs w:val="16"/>
                        <w:lang w:val="en-US" w:eastAsia="zh-CN"/>
                      </w:rPr>
                      <w:t>园区</w:t>
                    </w:r>
                    <w:r>
                      <w:rPr>
                        <w:rFonts w:hint="eastAsia"/>
                        <w:sz w:val="16"/>
                        <w:szCs w:val="16"/>
                      </w:rPr>
                      <w:t>污水站</w:t>
                    </w:r>
                  </w:p>
                </w:txbxContent>
              </v:textbox>
            </v:shape>
            <v:shape id="文本框 1325" o:spid="_x0000_s2570" o:spt="202" type="#_x0000_t202" style="position:absolute;left:9292;top:11084;height:418;width:1437;"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WtcUA&#10;AADbAAAADwAAAGRycy9kb3ducmV2LnhtbESPW2sCMRSE3wv+h3AEX4pmveBlaxQRKvattaKvh81x&#10;d+nmZE3Sdf33Rij0cZiZb5jlujWVaMj50rKC4SABQZxZXXKu4Pj93p+D8AFZY2WZFNzJw3rVeVli&#10;qu2Nv6g5hFxECPsUFRQh1KmUPivIoB/Ymjh6F+sMhihdLrXDW4SbSo6SZCoNlhwXCqxpW1D2c/g1&#10;CuaTfXP2H+PPUza9VIvwOmt2V6dUr9tu3kAEasN/+K+91wrGE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a1xQAAANsAAAAPAAAAAAAAAAAAAAAAAJgCAABkcnMv&#10;ZG93bnJldi54bWxQSwUGAAAAAAQABAD1AAAAigMAAAAA&#10;">
              <v:path/>
              <v:fill on="t" color2="#FFFFFF" focussize="0,0"/>
              <v:stroke color="#000000" joinstyle="miter"/>
              <v:imagedata o:title=""/>
              <o:lock v:ext="edit" aspectratio="f"/>
              <v:textbox>
                <w:txbxContent>
                  <w:p>
                    <w:pPr>
                      <w:snapToGrid w:val="0"/>
                      <w:jc w:val="center"/>
                      <w:rPr>
                        <w:sz w:val="18"/>
                        <w:szCs w:val="18"/>
                      </w:rPr>
                    </w:pPr>
                    <w:r>
                      <w:rPr>
                        <w:rFonts w:hint="eastAsia"/>
                        <w:sz w:val="18"/>
                        <w:szCs w:val="18"/>
                      </w:rPr>
                      <w:t>市政污水管网</w:t>
                    </w:r>
                  </w:p>
                </w:txbxContent>
              </v:textbox>
            </v:shape>
            <v:shape id="自选图形 1326" o:spid="_x0000_s2571" o:spt="32" type="#_x0000_t32" style="position:absolute;left:10405;top:11518;flip:x;height:365;width:7;" filled="f" stroked="t" coordsize="21600,21600">
              <v:path arrowok="t"/>
              <v:fill on="f" focussize="0,0"/>
              <v:stroke color="#000000" endarrow="block"/>
              <v:imagedata o:title=""/>
              <o:lock v:ext="edit" aspectratio="f"/>
            </v:shape>
            <v:shape id="文本框 1327" o:spid="_x0000_s2572" o:spt="202" type="#_x0000_t202" style="position:absolute;left:9300;top:11867;height:601;width:1376;"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IwsUA&#10;AADbAAAADwAAAGRycy9kb3ducmV2LnhtbESPT2sCMRTE74V+h/CEXopmW0XtdqNIQdFba0Wvj83b&#10;P7h5WZN03X77RhB6HGbmN0y27E0jOnK+tqzgZZSAIM6trrlUcPheD+cgfEDW2FgmBb/kYbl4fMgw&#10;1fbKX9TtQykihH2KCqoQ2lRKn1dk0I9sSxy9wjqDIUpXSu3wGuGmka9JMpUGa44LFbb0UVF+3v8Y&#10;BfPJtjv53fjzmE+L5i08z7rNxSn1NOhX7yAC9eE/fG9vtYLxD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0jCxQAAANsAAAAPAAAAAAAAAAAAAAAAAJgCAABkcnMv&#10;ZG93bnJldi54bWxQSwUGAAAAAAQABAD1AAAAigMAAAAA&#10;">
              <v:path/>
              <v:fill on="t" color2="#FFFFFF" focussize="0,0"/>
              <v:stroke color="#000000" joinstyle="miter"/>
              <v:imagedata o:title=""/>
              <o:lock v:ext="edit" aspectratio="f"/>
              <v:textbox>
                <w:txbxContent>
                  <w:p>
                    <w:pPr>
                      <w:jc w:val="center"/>
                      <w:rPr>
                        <w:rFonts w:hint="eastAsia" w:eastAsia="宋体"/>
                        <w:sz w:val="18"/>
                        <w:szCs w:val="18"/>
                        <w:lang w:eastAsia="zh-CN"/>
                      </w:rPr>
                    </w:pPr>
                    <w:r>
                      <w:rPr>
                        <w:rFonts w:hint="eastAsia"/>
                        <w:sz w:val="18"/>
                        <w:szCs w:val="18"/>
                        <w:lang w:eastAsia="zh-CN"/>
                      </w:rPr>
                      <w:t>镰湾河水质净化厂</w:t>
                    </w:r>
                  </w:p>
                </w:txbxContent>
              </v:textbox>
            </v:shape>
            <v:shape id="自选图形 1328" o:spid="_x0000_s2573" o:spt="32" type="#_x0000_t32" style="position:absolute;left:4089;top:1634;flip:y;height:246;width:230;" filled="f" stroked="t" coordsize="21600,21600">
              <v:path arrowok="t"/>
              <v:fill on="f" focussize="0,0"/>
              <v:stroke color="#000000" dashstyle="longDash" endarrow="block"/>
              <v:imagedata o:title=""/>
              <o:lock v:ext="edit" aspectratio="f"/>
            </v:shape>
            <v:shape id="文本框 1336" o:spid="_x0000_s2574" o:spt="202" type="#_x0000_t202" style="position:absolute;left:1478;top:3623;height:597;width:814;"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v:path/>
              <v:fill on="f" focussize="0,0"/>
              <v:stroke on="f"/>
              <v:imagedata o:title=""/>
              <o:lock v:ext="edit" aspectratio="f"/>
              <v:textbox>
                <w:txbxContent>
                  <w:p>
                    <w:pPr>
                      <w:snapToGrid w:val="0"/>
                      <w:jc w:val="center"/>
                      <w:rPr>
                        <w:sz w:val="18"/>
                        <w:szCs w:val="18"/>
                      </w:rPr>
                    </w:pPr>
                    <w:r>
                      <w:rPr>
                        <w:rFonts w:hint="eastAsia"/>
                        <w:sz w:val="18"/>
                        <w:szCs w:val="18"/>
                        <w:lang w:val="en-US" w:eastAsia="zh-CN"/>
                      </w:rPr>
                      <w:t>纯水19</w:t>
                    </w:r>
                    <w:r>
                      <w:rPr>
                        <w:rFonts w:hint="eastAsia"/>
                        <w:sz w:val="18"/>
                        <w:szCs w:val="18"/>
                      </w:rPr>
                      <w:t>30</w:t>
                    </w:r>
                  </w:p>
                </w:txbxContent>
              </v:textbox>
            </v:shape>
            <v:shape id="文本框 1345" o:spid="_x0000_s2575" o:spt="202" type="#_x0000_t202" style="position:absolute;left:2394;top:6163;height:329;width:714;"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v:path/>
              <v:fill on="f" focussize="0,0"/>
              <v:stroke on="f"/>
              <v:imagedata o:title=""/>
              <o:lock v:ext="edit" aspectratio="f"/>
              <v:textbox>
                <w:txbxContent>
                  <w:p>
                    <w:pPr>
                      <w:snapToGrid w:val="0"/>
                      <w:jc w:val="center"/>
                      <w:rPr>
                        <w:rFonts w:hint="eastAsia" w:eastAsia="宋体"/>
                        <w:sz w:val="18"/>
                        <w:szCs w:val="18"/>
                        <w:lang w:val="en-US" w:eastAsia="zh-CN"/>
                      </w:rPr>
                    </w:pPr>
                    <w:r>
                      <w:rPr>
                        <w:rFonts w:hint="eastAsia"/>
                        <w:sz w:val="18"/>
                        <w:szCs w:val="18"/>
                        <w:lang w:val="en-US" w:eastAsia="zh-CN"/>
                      </w:rPr>
                      <w:t>50</w:t>
                    </w:r>
                  </w:p>
                </w:txbxContent>
              </v:textbox>
            </v:shape>
            <v:shape id="文本框 1346" o:spid="_x0000_s2576" o:spt="202" type="#_x0000_t202" style="position:absolute;left:2383;top:7504;height:311;width:676;"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v:path/>
              <v:fill on="f" focussize="0,0"/>
              <v:stroke on="f"/>
              <v:imagedata o:title=""/>
              <o:lock v:ext="edit" aspectratio="f"/>
              <v:textbox>
                <w:txbxContent>
                  <w:p>
                    <w:pPr>
                      <w:snapToGrid w:val="0"/>
                      <w:jc w:val="center"/>
                      <w:rPr>
                        <w:rFonts w:hint="eastAsia" w:eastAsia="宋体"/>
                        <w:sz w:val="18"/>
                        <w:szCs w:val="18"/>
                        <w:lang w:val="en-US" w:eastAsia="zh-CN"/>
                      </w:rPr>
                    </w:pPr>
                    <w:r>
                      <w:rPr>
                        <w:rFonts w:hint="eastAsia"/>
                        <w:sz w:val="18"/>
                        <w:szCs w:val="18"/>
                        <w:lang w:val="en-US" w:eastAsia="zh-CN"/>
                      </w:rPr>
                      <w:t>700</w:t>
                    </w:r>
                  </w:p>
                </w:txbxContent>
              </v:textbox>
            </v:shape>
            <v:shape id="文本框 1347" o:spid="_x0000_s2577" o:spt="202" type="#_x0000_t202" style="position:absolute;left:3153;top:8035;height:465;width:2261;"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eJMUA&#10;AADbAAAADwAAAGRycy9kb3ducmV2LnhtbESPQWvCQBSE7wX/w/IKXkrdaCXV6CoitOhN09JeH9ln&#10;Epp9G3fXmP77bkHwOMzMN8xy3ZtGdOR8bVnBeJSAIC6srrlU8Pnx9jwD4QOyxsYyKfglD+vV4GGJ&#10;mbZXPlKXh1JECPsMFVQhtJmUvqjIoB/Zljh6J+sMhihdKbXDa4SbRk6SJJUGa44LFba0raj4yS9G&#10;wWy66779/uXwVaSnZh6eXrv3s1Nq+NhvFiAC9eEevrV3WsE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Z4kxQAAANsAAAAPAAAAAAAAAAAAAAAAAJgCAABkcnMv&#10;ZG93bnJldi54bWxQSwUGAAAAAAQABAD1AAAAigMAAAAA&#10;">
              <v:path/>
              <v:fill on="t" color2="#FFFFFF" focussize="0,0"/>
              <v:stroke color="#000000" joinstyle="miter"/>
              <v:imagedata o:title=""/>
              <o:lock v:ext="edit" aspectratio="f"/>
              <v:textbox>
                <w:txbxContent>
                  <w:p>
                    <w:pPr>
                      <w:snapToGrid w:val="0"/>
                      <w:jc w:val="center"/>
                      <w:rPr>
                        <w:rFonts w:hint="eastAsia" w:eastAsia="宋体"/>
                        <w:sz w:val="18"/>
                        <w:szCs w:val="18"/>
                        <w:lang w:val="en-US" w:eastAsia="zh-CN"/>
                      </w:rPr>
                    </w:pPr>
                    <w:r>
                      <w:rPr>
                        <w:rFonts w:hint="eastAsia"/>
                        <w:sz w:val="18"/>
                        <w:szCs w:val="18"/>
                        <w:lang w:val="en-US" w:eastAsia="zh-CN"/>
                      </w:rPr>
                      <w:t>铬酸雾净化塔</w:t>
                    </w:r>
                  </w:p>
                </w:txbxContent>
              </v:textbox>
            </v:shape>
            <v:shape id="文本框 1354" o:spid="_x0000_s2578" o:spt="202" type="#_x0000_t202" style="position:absolute;left:2316;top:1811;height:332;width:806;" filled="f" stroked="f" coordsize="21600,21600">
              <v:path/>
              <v:fill on="f" focussize="0,0"/>
              <v:stroke on="f"/>
              <v:imagedata o:title=""/>
              <o:lock v:ext="edit" aspectratio="f"/>
              <v:textbox>
                <w:txbxContent>
                  <w:p>
                    <w:pPr>
                      <w:snapToGrid w:val="0"/>
                      <w:jc w:val="center"/>
                      <w:rPr>
                        <w:rFonts w:hint="eastAsia" w:eastAsia="宋体"/>
                        <w:sz w:val="18"/>
                        <w:szCs w:val="18"/>
                        <w:lang w:val="en-US" w:eastAsia="zh-CN"/>
                      </w:rPr>
                    </w:pPr>
                    <w:r>
                      <w:rPr>
                        <w:rFonts w:hint="eastAsia"/>
                        <w:sz w:val="18"/>
                        <w:szCs w:val="18"/>
                        <w:lang w:val="en-US" w:eastAsia="zh-CN"/>
                      </w:rPr>
                      <w:t>8600</w:t>
                    </w:r>
                  </w:p>
                </w:txbxContent>
              </v:textbox>
            </v:shape>
            <v:shape id="文本框 1355" o:spid="_x0000_s2579" o:spt="202" type="#_x0000_t202" style="position:absolute;left:2345;top:9155;height:330;width:715;"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v:path/>
              <v:fill on="f" focussize="0,0"/>
              <v:stroke on="f"/>
              <v:imagedata o:title=""/>
              <o:lock v:ext="edit" aspectratio="f"/>
              <v:textbox>
                <w:txbxContent>
                  <w:p>
                    <w:pPr>
                      <w:snapToGrid w:val="0"/>
                      <w:jc w:val="center"/>
                      <w:rPr>
                        <w:rFonts w:hint="eastAsia" w:eastAsia="宋体"/>
                        <w:sz w:val="18"/>
                        <w:szCs w:val="18"/>
                        <w:lang w:val="en-US" w:eastAsia="zh-CN"/>
                      </w:rPr>
                    </w:pPr>
                    <w:r>
                      <w:rPr>
                        <w:rFonts w:hint="eastAsia"/>
                        <w:sz w:val="18"/>
                        <w:szCs w:val="18"/>
                        <w:lang w:val="en-US" w:eastAsia="zh-CN"/>
                      </w:rPr>
                      <w:t>220</w:t>
                    </w:r>
                  </w:p>
                </w:txbxContent>
              </v:textbox>
            </v:shape>
            <v:shape id="文本框 1357" o:spid="_x0000_s2580" o:spt="202" type="#_x0000_t202" style="position:absolute;left:9543;top:10723;height:349;width:922;"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v:path/>
              <v:fill on="f" focussize="0,0"/>
              <v:stroke on="f"/>
              <v:imagedata o:title=""/>
              <o:lock v:ext="edit" aspectratio="f"/>
              <v:textbox>
                <w:txbxContent>
                  <w:p>
                    <w:pPr>
                      <w:snapToGrid w:val="0"/>
                      <w:jc w:val="center"/>
                      <w:rPr>
                        <w:rFonts w:hint="eastAsia" w:eastAsia="宋体"/>
                        <w:sz w:val="18"/>
                        <w:szCs w:val="18"/>
                        <w:lang w:val="en-US" w:eastAsia="zh-CN"/>
                      </w:rPr>
                    </w:pPr>
                    <w:r>
                      <w:rPr>
                        <w:rFonts w:hint="eastAsia"/>
                        <w:sz w:val="18"/>
                        <w:szCs w:val="18"/>
                        <w:lang w:val="en-US" w:eastAsia="zh-CN"/>
                      </w:rPr>
                      <w:t>12073.5</w:t>
                    </w:r>
                  </w:p>
                </w:txbxContent>
              </v:textbox>
            </v:shape>
            <v:shape id="文本框 1363" o:spid="_x0000_s2581" o:spt="202" type="#_x0000_t202" style="position:absolute;left:2378;top:2320;height:396;width:806;"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v:path/>
              <v:fill on="f" focussize="0,0"/>
              <v:stroke on="f"/>
              <v:imagedata o:title=""/>
              <o:lock v:ext="edit" aspectratio="f"/>
              <v:textbox>
                <w:txbxContent>
                  <w:p>
                    <w:pPr>
                      <w:snapToGrid w:val="0"/>
                      <w:jc w:val="center"/>
                      <w:rPr>
                        <w:rFonts w:hint="eastAsia" w:eastAsia="宋体"/>
                        <w:sz w:val="18"/>
                        <w:szCs w:val="18"/>
                        <w:lang w:val="en-US" w:eastAsia="zh-CN"/>
                      </w:rPr>
                    </w:pPr>
                    <w:r>
                      <w:rPr>
                        <w:rFonts w:hint="eastAsia"/>
                        <w:sz w:val="18"/>
                        <w:szCs w:val="18"/>
                        <w:lang w:val="en-US" w:eastAsia="zh-CN"/>
                      </w:rPr>
                      <w:t>500</w:t>
                    </w:r>
                  </w:p>
                </w:txbxContent>
              </v:textbox>
            </v:shape>
            <v:shape id="文本框 1357" o:spid="_x0000_s2582" o:spt="202" type="#_x0000_t202" style="position:absolute;left:2433;top:4083;height:314;width:654;"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PsIA&#10;AADbAAAADwAAAGRycy9kb3ducmV2LnhtbESPQWvCQBSE74L/YXmCN921aDHRVcQieLLUquDtkX0m&#10;wezbkF1N/PfdQqHHYWa+YZbrzlbiSY0vHWuYjBUI4syZknMNp+/daA7CB2SDlWPS8CIP61W/t8TU&#10;uJa/6HkMuYgQ9ilqKEKoUyl9VpBFP3Y1cfRurrEYomxyaRpsI9xW8k2pd2mx5LhQYE3bgrL78WE1&#10;nA+362WqPvMPO6tb1ynJNpFaDwfdZgEiUBf+w3/tvdGQJPD7Jf4A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X8+wgAAANsAAAAPAAAAAAAAAAAAAAAAAJgCAABkcnMvZG93&#10;bnJldi54bWxQSwUGAAAAAAQABAD1AAAAhwMAAAAA&#10;">
              <v:path/>
              <v:fill on="f" focussize="0,0"/>
              <v:stroke on="f"/>
              <v:imagedata o:title=""/>
              <o:lock v:ext="edit" aspectratio="f"/>
              <v:textbox>
                <w:txbxContent>
                  <w:p>
                    <w:pPr>
                      <w:pStyle w:val="34"/>
                      <w:jc w:val="center"/>
                      <w:rPr>
                        <w:rFonts w:hint="eastAsia" w:eastAsiaTheme="minorEastAsia"/>
                        <w:sz w:val="18"/>
                        <w:szCs w:val="18"/>
                        <w:lang w:val="en-US" w:eastAsia="zh-CN"/>
                      </w:rPr>
                    </w:pPr>
                    <w:r>
                      <w:rPr>
                        <w:rFonts w:hint="eastAsia" w:ascii="Times New Roman" w:hAnsi="Times New Roman"/>
                        <w:kern w:val="2"/>
                        <w:sz w:val="18"/>
                        <w:szCs w:val="18"/>
                        <w:lang w:val="en-US" w:eastAsia="zh-CN"/>
                      </w:rPr>
                      <w:t>300</w:t>
                    </w:r>
                  </w:p>
                </w:txbxContent>
              </v:textbox>
            </v:shape>
            <v:shape id="文本框 1286" o:spid="_x0000_s2583" o:spt="202" type="#_x0000_t202" style="position:absolute;left:3119;top:9695;height:420;width:2143;"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path/>
              <v:fill on="t" color2="#FFFFFF" focussize="0,0"/>
              <v:stroke color="#000000" joinstyle="miter"/>
              <v:imagedata o:title=""/>
              <o:lock v:ext="edit" aspectratio="f"/>
              <v:textbox>
                <w:txbxContent>
                  <w:p>
                    <w:pPr>
                      <w:snapToGrid w:val="0"/>
                      <w:jc w:val="center"/>
                      <w:rPr>
                        <w:rFonts w:hint="eastAsia" w:eastAsia="宋体"/>
                        <w:sz w:val="18"/>
                        <w:szCs w:val="18"/>
                        <w:lang w:val="en-US" w:eastAsia="zh-CN"/>
                      </w:rPr>
                    </w:pPr>
                    <w:r>
                      <w:rPr>
                        <w:rFonts w:hint="eastAsia"/>
                        <w:sz w:val="18"/>
                        <w:szCs w:val="18"/>
                        <w:lang w:val="en-US" w:eastAsia="zh-CN"/>
                      </w:rPr>
                      <w:t>锅炉排污水</w:t>
                    </w:r>
                  </w:p>
                </w:txbxContent>
              </v:textbox>
            </v:shape>
            <v:shape id="文本框 1286" o:spid="_x0000_s2584" o:spt="202" type="#_x0000_t202" style="position:absolute;left:3162;top:5417;height:420;width:2244;"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path/>
              <v:fill on="t" color2="#FFFFFF" focussize="0,0"/>
              <v:stroke color="#000000" joinstyle="miter"/>
              <v:imagedata o:title=""/>
              <o:lock v:ext="edit" aspectratio="f"/>
              <v:textbox>
                <w:txbxContent>
                  <w:p>
                    <w:pPr>
                      <w:snapToGrid w:val="0"/>
                      <w:jc w:val="center"/>
                      <w:rPr>
                        <w:sz w:val="18"/>
                        <w:szCs w:val="18"/>
                      </w:rPr>
                    </w:pPr>
                    <w:r>
                      <w:rPr>
                        <w:rFonts w:hint="eastAsia"/>
                        <w:sz w:val="18"/>
                        <w:szCs w:val="18"/>
                      </w:rPr>
                      <w:t>酸性废气净化塔</w:t>
                    </w:r>
                  </w:p>
                </w:txbxContent>
              </v:textbox>
            </v:shape>
            <v:shape id="文本框 1286" o:spid="_x0000_s2585" o:spt="202" type="#_x0000_t202" style="position:absolute;left:3134;top:8878;height:420;width:2143;"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path/>
              <v:fill on="t" color2="#FFFFFF" focussize="0,0"/>
              <v:stroke color="#000000" joinstyle="miter"/>
              <v:imagedata o:title=""/>
              <o:lock v:ext="edit" aspectratio="f"/>
              <v:textbox>
                <w:txbxContent>
                  <w:p>
                    <w:pPr>
                      <w:snapToGrid w:val="0"/>
                      <w:jc w:val="center"/>
                      <w:rPr>
                        <w:rFonts w:hint="eastAsia" w:eastAsia="宋体"/>
                        <w:sz w:val="18"/>
                        <w:szCs w:val="18"/>
                        <w:lang w:val="en-US" w:eastAsia="zh-CN"/>
                      </w:rPr>
                    </w:pPr>
                    <w:r>
                      <w:rPr>
                        <w:rFonts w:hint="eastAsia"/>
                        <w:sz w:val="18"/>
                        <w:szCs w:val="18"/>
                        <w:lang w:val="en-US" w:eastAsia="zh-CN"/>
                      </w:rPr>
                      <w:t>镀镍及水洗</w:t>
                    </w:r>
                  </w:p>
                </w:txbxContent>
              </v:textbox>
            </v:shape>
            <v:shape id="自选图形 1313" o:spid="_x0000_s2586" o:spt="32" type="#_x0000_t32" style="position:absolute;left:5310;top:9081;flip:y;height:7;width:1667;" filled="f" stroked="t" coordsize="21600,21600">
              <v:path arrowok="t"/>
              <v:fill on="f" focussize="0,0"/>
              <v:stroke color="#000000" endarrow="block"/>
              <v:imagedata o:title=""/>
              <o:lock v:ext="edit" aspectratio="f"/>
            </v:shape>
            <v:shape id="自选图形 1313" o:spid="_x0000_s2587" o:spt="32" type="#_x0000_t32" style="position:absolute;left:5397;top:8285;height:0;width:820;" filled="f" stroked="t" coordsize="21600,21600">
              <v:path arrowok="t"/>
              <v:fill on="f" focussize="0,0"/>
              <v:stroke color="#000000"/>
              <v:imagedata o:title=""/>
              <o:lock v:ext="edit" aspectratio="f"/>
            </v:shape>
            <v:shape id="自选图形 1313" o:spid="_x0000_s2588" o:spt="32" type="#_x0000_t32" style="position:absolute;left:5406;top:7443;height:0;width:820;" filled="f" stroked="t" coordsize="21600,21600">
              <v:path arrowok="t"/>
              <v:fill on="f" focussize="0,0"/>
              <v:stroke color="#000000"/>
              <v:imagedata o:title=""/>
              <o:lock v:ext="edit" aspectratio="f"/>
            </v:shape>
            <v:shape id="自选图形 1304" o:spid="_x0000_s2589" o:spt="32" type="#_x0000_t32" style="position:absolute;left:6228;top:7427;height:877;width:3;" filled="f" stroked="t" coordsize="21600,21600">
              <v:path arrowok="t"/>
              <v:fill on="f" focussize="0,0"/>
              <v:stroke color="#000000"/>
              <v:imagedata o:title=""/>
              <o:lock v:ext="edit" aspectratio="f"/>
            </v:shape>
            <v:shape id="文本框 1315" o:spid="_x0000_s2590" o:spt="202" type="#_x0000_t202" style="position:absolute;left:6977;top:8765;height:633;width:860;"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H8UA&#10;AADbAAAADwAAAGRycy9kb3ducmV2LnhtbESPW2sCMRSE3wv+h3AEX4pmtcXLapQitOhbvaCvh81x&#10;d3Fzsk3Sdf33Rij0cZiZb5jFqjWVaMj50rKC4SABQZxZXXKu4Hj47E9B+ICssbJMCu7kYbXsvCww&#10;1fbGO2r2IRcRwj5FBUUIdSqlzwoy6Ae2Jo7exTqDIUqXS+3wFuGmkqMkGUuDJceFAmtaF5Rd979G&#10;wfR905z99u37lI0v1Sy8TpqvH6dUr9t+zEEEasN/+K+90QpGE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t4fxQAAANsAAAAPAAAAAAAAAAAAAAAAAJgCAABkcnMv&#10;ZG93bnJldi54bWxQSwUGAAAAAAQABAD1AAAAigMAAAAA&#10;">
              <v:path/>
              <v:fill on="t" color2="#FFFFFF" focussize="0,0"/>
              <v:stroke color="#000000" joinstyle="miter"/>
              <v:imagedata o:title=""/>
              <o:lock v:ext="edit" aspectratio="f"/>
              <v:textbox>
                <w:txbxContent>
                  <w:p>
                    <w:pPr>
                      <w:snapToGrid w:val="0"/>
                      <w:jc w:val="center"/>
                      <w:rPr>
                        <w:color w:val="0000FF"/>
                        <w:sz w:val="18"/>
                        <w:szCs w:val="18"/>
                      </w:rPr>
                    </w:pPr>
                    <w:r>
                      <w:rPr>
                        <w:rFonts w:hint="eastAsia"/>
                        <w:color w:val="0000FF"/>
                        <w:sz w:val="18"/>
                        <w:szCs w:val="18"/>
                      </w:rPr>
                      <w:t>含</w:t>
                    </w:r>
                    <w:r>
                      <w:rPr>
                        <w:rFonts w:hint="eastAsia"/>
                        <w:color w:val="0000FF"/>
                        <w:sz w:val="18"/>
                        <w:szCs w:val="18"/>
                        <w:lang w:val="en-US" w:eastAsia="zh-CN"/>
                      </w:rPr>
                      <w:t>镍</w:t>
                    </w:r>
                    <w:r>
                      <w:rPr>
                        <w:rFonts w:hint="eastAsia"/>
                        <w:color w:val="0000FF"/>
                        <w:sz w:val="18"/>
                        <w:szCs w:val="18"/>
                      </w:rPr>
                      <w:t>废水管道</w:t>
                    </w:r>
                  </w:p>
                </w:txbxContent>
              </v:textbox>
            </v:shape>
            <v:shape id="自选图形 1298" o:spid="_x0000_s2591" o:spt="32" type="#_x0000_t32" style="position:absolute;left:2361;top:3301;flip:y;height:0;width:780;" filled="f" stroked="t" coordsize="21600,21600">
              <v:path arrowok="t"/>
              <v:fill on="f" focussize="0,0"/>
              <v:stroke color="#000000" endarrow="block"/>
              <v:imagedata o:title=""/>
              <o:lock v:ext="edit" aspectratio="f"/>
            </v:shape>
            <v:shape id="自选图形 1298" o:spid="_x0000_s2592" o:spt="32" type="#_x0000_t32" style="position:absolute;left:2378;top:3988;flip:y;height:0;width:780;" filled="f" stroked="t" coordsize="21600,21600">
              <v:path arrowok="t"/>
              <v:fill on="f" focussize="0,0"/>
              <v:stroke color="#000000" endarrow="block"/>
              <v:imagedata o:title=""/>
              <o:lock v:ext="edit" aspectratio="f"/>
            </v:shape>
            <v:shape id="自选图形 1298" o:spid="_x0000_s2593" o:spt="32" type="#_x0000_t32" style="position:absolute;left:2379;top:4834;flip:y;height:0;width:780;" filled="f" stroked="t" coordsize="21600,21600">
              <v:path arrowok="t"/>
              <v:fill on="f" focussize="0,0"/>
              <v:stroke color="#000000" endarrow="block"/>
              <v:imagedata o:title=""/>
              <o:lock v:ext="edit" aspectratio="f"/>
            </v:shape>
            <v:shape id="自选图形 1298" o:spid="_x0000_s2594" o:spt="32" type="#_x0000_t32" style="position:absolute;left:2393;top:5702;flip:y;height:0;width:780;" filled="f" stroked="t" coordsize="21600,21600">
              <v:path arrowok="t"/>
              <v:fill on="f" focussize="0,0"/>
              <v:stroke color="#000000" endarrow="block"/>
              <v:imagedata o:title=""/>
              <o:lock v:ext="edit" aspectratio="f"/>
            </v:shape>
            <v:shape id="自选图形 1298" o:spid="_x0000_s2595" o:spt="32" type="#_x0000_t32" style="position:absolute;left:2362;top:8216;flip:y;height:0;width:780;" filled="f" stroked="t" coordsize="21600,21600">
              <v:path arrowok="t"/>
              <v:fill on="f" focussize="0,0"/>
              <v:stroke color="#000000" endarrow="block"/>
              <v:imagedata o:title=""/>
              <o:lock v:ext="edit" aspectratio="f"/>
            </v:shape>
            <v:shape id="自选图形 1298" o:spid="_x0000_s2596" o:spt="32" type="#_x0000_t32" style="position:absolute;left:2377;top:7385;flip:y;height:0;width:780;" filled="f" stroked="t" coordsize="21600,21600">
              <v:path arrowok="t"/>
              <v:fill on="f" focussize="0,0"/>
              <v:stroke color="#000000" endarrow="block"/>
              <v:imagedata o:title=""/>
              <o:lock v:ext="edit" aspectratio="f"/>
            </v:shape>
            <v:shape id="自选图形 1298" o:spid="_x0000_s2597" o:spt="32" type="#_x0000_t32" style="position:absolute;left:2384;top:9033;flip:y;height:0;width:780;" filled="f" stroked="t" coordsize="21600,21600">
              <v:path arrowok="t"/>
              <v:fill on="f" focussize="0,0"/>
              <v:stroke color="#000000" endarrow="block"/>
              <v:imagedata o:title=""/>
              <o:lock v:ext="edit" aspectratio="f"/>
            </v:shape>
            <v:shape id="自选图形 1309" o:spid="_x0000_s2598" o:spt="32" type="#_x0000_t32" style="position:absolute;left:7861;top:7836;flip:y;height:0;width:680;" filled="f" stroked="t" coordsize="21600,21600">
              <v:path arrowok="t"/>
              <v:fill on="f" focussize="0,0"/>
              <v:stroke color="#000000" endarrow="block"/>
              <v:imagedata o:title=""/>
              <o:lock v:ext="edit" aspectratio="f"/>
            </v:shape>
            <v:shape id="自选图形 1309" o:spid="_x0000_s2599" o:spt="32" type="#_x0000_t32" style="position:absolute;left:7847;top:9100;flip:y;height:0;width:680;" filled="f" stroked="t" coordsize="21600,21600">
              <v:path arrowok="t"/>
              <v:fill on="f" focussize="0,0"/>
              <v:stroke color="#000000" endarrow="block"/>
              <v:imagedata o:title=""/>
              <o:lock v:ext="edit" aspectratio="f"/>
            </v:shape>
            <v:shape id="文本框 1318" o:spid="_x0000_s2600" o:spt="202" type="#_x0000_t202" style="position:absolute;left:8511;top:8749;height:666;width:1068;"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path/>
              <v:fill on="t" color2="#FFFFFF" focussize="0,0"/>
              <v:stroke color="#000000" joinstyle="miter"/>
              <v:imagedata o:title=""/>
              <o:lock v:ext="edit" aspectratio="f"/>
              <v:textbox>
                <w:txbxContent>
                  <w:p>
                    <w:pPr>
                      <w:snapToGrid w:val="0"/>
                      <w:jc w:val="center"/>
                      <w:rPr>
                        <w:color w:val="0000FF"/>
                        <w:sz w:val="18"/>
                        <w:szCs w:val="18"/>
                      </w:rPr>
                    </w:pPr>
                    <w:r>
                      <w:rPr>
                        <w:rFonts w:hint="eastAsia"/>
                        <w:color w:val="0000FF"/>
                        <w:sz w:val="18"/>
                        <w:szCs w:val="18"/>
                      </w:rPr>
                      <w:t>含</w:t>
                    </w:r>
                    <w:r>
                      <w:rPr>
                        <w:rFonts w:hint="eastAsia"/>
                        <w:color w:val="0000FF"/>
                        <w:sz w:val="18"/>
                        <w:szCs w:val="18"/>
                        <w:lang w:val="en-US" w:eastAsia="zh-CN"/>
                      </w:rPr>
                      <w:t>镍</w:t>
                    </w:r>
                    <w:r>
                      <w:rPr>
                        <w:rFonts w:hint="eastAsia"/>
                        <w:color w:val="0000FF"/>
                        <w:sz w:val="18"/>
                        <w:szCs w:val="18"/>
                      </w:rPr>
                      <w:t>废水处理单元</w:t>
                    </w:r>
                  </w:p>
                </w:txbxContent>
              </v:textbox>
            </v:shape>
            <v:shape id="自选图形 1319" o:spid="_x0000_s2601" o:spt="32" type="#_x0000_t32" style="position:absolute;left:9577;top:9084;height:0;width:84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zW3cEAAADbAAAADwAAAGRycy9kb3ducmV2LnhtbERPTWsCMRC9C/0PYQpeRLMqlbI1yioI&#10;WvCg1vt0M92EbibrJur675tDwePjfc+XnavFjdpgPSsYjzIQxKXXlisFX6fN8B1EiMgaa8+k4EEB&#10;louX3hxz7e98oNsxViKFcMhRgYmxyaUMpSGHYeQb4sT9+NZhTLCtpG7xnsJdLSdZNpMOLacGgw2t&#10;DZW/x6tTsN+NV8W3sbvPw8Xu3zZFfa0GZ6X6r13xASJSF5/if/dWK5im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vNbdwQAAANsAAAAPAAAAAAAAAAAAAAAA&#10;AKECAABkcnMvZG93bnJldi54bWxQSwUGAAAAAAQABAD5AAAAjwMAAAAA&#10;">
              <v:path arrowok="t"/>
              <v:fill on="f" focussize="0,0"/>
              <v:stroke color="#000000"/>
              <v:imagedata o:title=""/>
              <o:lock v:ext="edit" aspectratio="f"/>
            </v:shape>
            <v:shape id="自选图形 1328" o:spid="_x0000_s2602" o:spt="32" type="#_x0000_t32" style="position:absolute;left:4095;top:2851;flip:y;height:240;width:220;" filled="f" stroked="t" coordsize="21600,21600">
              <v:path arrowok="t"/>
              <v:fill on="f" focussize="0,0"/>
              <v:stroke color="#000000" dashstyle="longDash" endarrow="block"/>
              <v:imagedata o:title=""/>
              <o:lock v:ext="edit" aspectratio="f"/>
            </v:shape>
            <v:shape id="自选图形 1328" o:spid="_x0000_s2603" o:spt="32" type="#_x0000_t32" style="position:absolute;left:4094;top:3585;flip:y;height:240;width:220;" filled="f" stroked="t" coordsize="21600,21600">
              <v:path arrowok="t"/>
              <v:fill on="f" focussize="0,0"/>
              <v:stroke color="#000000" dashstyle="longDash" endarrow="block"/>
              <v:imagedata o:title=""/>
              <o:lock v:ext="edit" aspectratio="f"/>
            </v:shape>
            <v:shape id="自选图形 1328" o:spid="_x0000_s2604" o:spt="32" type="#_x0000_t32" style="position:absolute;left:4027;top:4368;flip:y;height:240;width:220;" filled="f" stroked="t" coordsize="21600,21600">
              <v:path arrowok="t"/>
              <v:fill on="f" focussize="0,0"/>
              <v:stroke color="#000000" dashstyle="longDash" endarrow="block"/>
              <v:imagedata o:title=""/>
              <o:lock v:ext="edit" aspectratio="f"/>
            </v:shape>
            <v:shape id="自选图形 1328" o:spid="_x0000_s2605" o:spt="32" type="#_x0000_t32" style="position:absolute;left:3977;top:5167;flip:y;height:240;width:220;" filled="f" stroked="t" coordsize="21600,21600">
              <v:path arrowok="t"/>
              <v:fill on="f" focussize="0,0"/>
              <v:stroke color="#000000" dashstyle="longDash" endarrow="block"/>
              <v:imagedata o:title=""/>
              <o:lock v:ext="edit" aspectratio="f"/>
            </v:shape>
            <v:shape id="自选图形 1328" o:spid="_x0000_s2606" o:spt="32" type="#_x0000_t32" style="position:absolute;left:3944;top:7767;flip:y;height:240;width:220;" filled="f" stroked="t" coordsize="21600,21600">
              <v:path arrowok="t"/>
              <v:fill on="f" focussize="0,0"/>
              <v:stroke color="#000000" dashstyle="longDash" endarrow="block"/>
              <v:imagedata o:title=""/>
              <o:lock v:ext="edit" aspectratio="f"/>
            </v:shape>
            <v:shape id="自选图形 1328" o:spid="_x0000_s2607" o:spt="32" type="#_x0000_t32" style="position:absolute;left:3944;top:6934;flip:y;height:240;width:220;" filled="f" stroked="t" coordsize="21600,21600">
              <v:path arrowok="t"/>
              <v:fill on="f" focussize="0,0"/>
              <v:stroke color="#000000" dashstyle="longDash" endarrow="block"/>
              <v:imagedata o:title=""/>
              <o:lock v:ext="edit" aspectratio="f"/>
            </v:shape>
            <v:shape id="自选图形 1328" o:spid="_x0000_s2608" o:spt="32" type="#_x0000_t32" style="position:absolute;left:3912;top:8648;flip:y;height:240;width:220;" filled="f" stroked="t" coordsize="21600,21600">
              <v:path arrowok="t"/>
              <v:fill on="f" focussize="0,0"/>
              <v:stroke color="#000000" dashstyle="longDash" endarrow="block"/>
              <v:imagedata o:title=""/>
              <o:lock v:ext="edit" aspectratio="f"/>
            </v:shape>
            <v:shape id="自选图形 1328" o:spid="_x0000_s2609" o:spt="32" type="#_x0000_t32" style="position:absolute;left:3926;top:6034;flip:y;height:240;width:220;" filled="f" stroked="t" coordsize="21600,21600">
              <v:path arrowok="t"/>
              <v:fill on="f" focussize="0,0"/>
              <v:stroke color="#000000" dashstyle="longDash" endarrow="block"/>
              <v:imagedata o:title=""/>
              <o:lock v:ext="edit" aspectratio="f"/>
            </v:shape>
            <v:shape id="自选图形 1299" o:spid="_x0000_s2610" o:spt="32" type="#_x0000_t32" style="position:absolute;left:5279;top:9981;flip:y;height:0;width:5180;" filled="f" stroked="t" coordsize="21600,21600">
              <v:path arrowok="t"/>
              <v:fill on="f" focussize="0,0"/>
              <v:stroke color="#000000" endarrow="block"/>
              <v:imagedata o:title=""/>
              <o:lock v:ext="edit" aspectratio="f"/>
            </v:shape>
            <v:shape id="文本框 1345" o:spid="_x0000_s2611" o:spt="202" type="#_x0000_t202" style="position:absolute;left:7078;top:10499;height:320;width:70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v:path/>
              <v:fill on="f" focussize="0,0"/>
              <v:stroke on="f"/>
              <v:imagedata o:title=""/>
              <o:lock v:ext="edit" aspectratio="f"/>
              <v:textbox>
                <w:txbxContent>
                  <w:p>
                    <w:pPr>
                      <w:snapToGrid w:val="0"/>
                      <w:jc w:val="center"/>
                      <w:rPr>
                        <w:rFonts w:hint="eastAsia" w:eastAsia="宋体"/>
                        <w:sz w:val="18"/>
                        <w:szCs w:val="18"/>
                        <w:lang w:val="en-US" w:eastAsia="zh-CN"/>
                      </w:rPr>
                    </w:pPr>
                    <w:r>
                      <w:rPr>
                        <w:rFonts w:hint="eastAsia"/>
                        <w:sz w:val="18"/>
                        <w:szCs w:val="18"/>
                        <w:lang w:val="en-US" w:eastAsia="zh-CN"/>
                      </w:rPr>
                      <w:t>637.5</w:t>
                    </w:r>
                  </w:p>
                </w:txbxContent>
              </v:textbox>
            </v:shape>
            <v:shape id="文本框 1345" o:spid="_x0000_s2612" o:spt="202" type="#_x0000_t202" style="position:absolute;left:4009;top:10183;height:320;width:70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v:path/>
              <v:fill on="f" focussize="0,0"/>
              <v:stroke on="f"/>
              <v:imagedata o:title=""/>
              <o:lock v:ext="edit" aspectratio="f"/>
              <v:textbox>
                <w:txbxContent>
                  <w:p>
                    <w:pPr>
                      <w:snapToGrid w:val="0"/>
                      <w:jc w:val="center"/>
                      <w:rPr>
                        <w:rFonts w:hint="eastAsia" w:eastAsia="宋体"/>
                        <w:sz w:val="18"/>
                        <w:szCs w:val="18"/>
                        <w:lang w:val="en-US" w:eastAsia="zh-CN"/>
                      </w:rPr>
                    </w:pPr>
                    <w:r>
                      <w:rPr>
                        <w:rFonts w:hint="eastAsia"/>
                        <w:sz w:val="18"/>
                        <w:szCs w:val="18"/>
                        <w:lang w:val="en-US" w:eastAsia="zh-CN"/>
                      </w:rPr>
                      <w:t>112.5</w:t>
                    </w:r>
                  </w:p>
                </w:txbxContent>
              </v:textbox>
            </v:shape>
            <v:shape id="自选图形 1300" o:spid="_x0000_s2613" o:spt="32" type="#_x0000_t32" style="position:absolute;left:1528;top:4138;height:0;width:1617;" filled="f" stroked="t" coordsize="21600,21600">
              <v:path arrowok="t"/>
              <v:fill on="f" focussize="0,0"/>
              <v:stroke color="#00B050" endarrow="block"/>
              <v:imagedata o:title=""/>
              <o:lock v:ext="edit" aspectratio="f"/>
            </v:shape>
            <v:shape id="文本框 1286" o:spid="_x0000_s2614" o:spt="202" type="#_x0000_t202" style="position:absolute;left:3144;top:4634;height:420;width:2280;"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path/>
              <v:fill on="t" color2="#FFFFFF" focussize="0,0"/>
              <v:stroke color="#000000" joinstyle="miter"/>
              <v:imagedata o:title=""/>
              <o:lock v:ext="edit" aspectratio="f"/>
              <v:textbox>
                <w:txbxContent>
                  <w:p>
                    <w:pPr>
                      <w:snapToGrid w:val="0"/>
                      <w:jc w:val="center"/>
                      <w:rPr>
                        <w:rFonts w:hint="eastAsia" w:eastAsia="宋体"/>
                        <w:sz w:val="18"/>
                        <w:szCs w:val="18"/>
                        <w:lang w:val="en-US" w:eastAsia="zh-CN"/>
                      </w:rPr>
                    </w:pPr>
                    <w:r>
                      <w:rPr>
                        <w:rFonts w:hint="eastAsia"/>
                        <w:sz w:val="18"/>
                        <w:szCs w:val="18"/>
                        <w:lang w:val="en-US" w:eastAsia="zh-CN"/>
                      </w:rPr>
                      <w:t>镀铜及水洗</w:t>
                    </w:r>
                  </w:p>
                </w:txbxContent>
              </v:textbox>
            </v:shape>
            <v:shape id="文本框 1286" o:spid="_x0000_s2615" o:spt="202" type="#_x0000_t202" style="position:absolute;left:3144;top:6273;height:420;width:2140;"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path/>
              <v:fill on="t" color2="#FFFFFF" focussize="0,0"/>
              <v:stroke color="#000000" joinstyle="miter"/>
              <v:imagedata o:title=""/>
              <o:lock v:ext="edit" aspectratio="f"/>
              <v:textbox>
                <w:txbxContent>
                  <w:p>
                    <w:pPr>
                      <w:snapToGrid w:val="0"/>
                      <w:jc w:val="center"/>
                      <w:rPr>
                        <w:rFonts w:hint="eastAsia" w:eastAsia="宋体"/>
                        <w:sz w:val="18"/>
                        <w:szCs w:val="18"/>
                        <w:lang w:val="en-US" w:eastAsia="zh-CN"/>
                      </w:rPr>
                    </w:pPr>
                    <w:r>
                      <w:rPr>
                        <w:rFonts w:hint="eastAsia"/>
                        <w:sz w:val="18"/>
                        <w:szCs w:val="18"/>
                        <w:lang w:val="en-US" w:eastAsia="zh-CN"/>
                      </w:rPr>
                      <w:t>镀银及水洗</w:t>
                    </w:r>
                  </w:p>
                </w:txbxContent>
              </v:textbox>
            </v:shape>
            <v:shape id="自选图形 1328" o:spid="_x0000_s2616" o:spt="32" type="#_x0000_t32" style="position:absolute;left:3928;top:10233;flip:y;height:240;width:220;" filled="f" stroked="t" coordsize="21600,21600">
              <v:path arrowok="t"/>
              <v:fill on="f" focussize="0,0"/>
              <v:stroke color="#000000" dashstyle="longDash" endarrow="block"/>
              <v:imagedata o:title=""/>
              <o:lock v:ext="edit" aspectratio="f"/>
            </v:shape>
            <v:shape id="自选图形 1298" o:spid="_x0000_s2617" o:spt="32" type="#_x0000_t32" style="position:absolute;left:2411;top:10784;flip:y;height:0;width:780;" filled="f" stroked="t" coordsize="21600,21600">
              <v:path arrowok="t"/>
              <v:fill on="f" focussize="0,0"/>
              <v:stroke color="#000000" endarrow="block"/>
              <v:imagedata o:title=""/>
              <o:lock v:ext="edit" aspectratio="f"/>
            </v:shape>
            <v:shape id="自选图形 1313" o:spid="_x0000_s2618" o:spt="32" type="#_x0000_t32" style="position:absolute;left:5394;top:5634;height:0;width:820;" filled="f" stroked="t" coordsize="21600,21600">
              <v:path arrowok="t"/>
              <v:fill on="f" focussize="0,0"/>
              <v:stroke color="#000000"/>
              <v:imagedata o:title=""/>
              <o:lock v:ext="edit" aspectratio="f"/>
            </v:shape>
            <v:shape id="文本框 1354" o:spid="_x0000_s2619" o:spt="202" type="#_x0000_t202" style="position:absolute;left:4044;top:1601;height:320;width:80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v:path/>
              <v:fill on="f" focussize="0,0"/>
              <v:stroke on="f"/>
              <v:imagedata o:title=""/>
              <o:lock v:ext="edit" aspectratio="f"/>
              <v:textbox>
                <w:txbxContent>
                  <w:p>
                    <w:pPr>
                      <w:snapToGrid w:val="0"/>
                      <w:jc w:val="center"/>
                      <w:rPr>
                        <w:rFonts w:hint="default" w:eastAsia="宋体"/>
                        <w:sz w:val="18"/>
                        <w:szCs w:val="18"/>
                        <w:lang w:val="en-US" w:eastAsia="zh-CN"/>
                      </w:rPr>
                    </w:pPr>
                    <w:r>
                      <w:rPr>
                        <w:rFonts w:hint="eastAsia"/>
                        <w:sz w:val="18"/>
                        <w:szCs w:val="18"/>
                        <w:lang w:val="en-US" w:eastAsia="zh-CN"/>
                      </w:rPr>
                      <w:t>1000</w:t>
                    </w:r>
                  </w:p>
                </w:txbxContent>
              </v:textbox>
            </v:shape>
            <v:shape id="文本框 1354" o:spid="_x0000_s2620" o:spt="202" type="#_x0000_t202" style="position:absolute;left:5444;top:2068;height:320;width:80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v:path/>
              <v:fill on="f" focussize="0,0"/>
              <v:stroke on="f"/>
              <v:imagedata o:title=""/>
              <o:lock v:ext="edit" aspectratio="f"/>
              <v:textbox>
                <w:txbxContent>
                  <w:p>
                    <w:pPr>
                      <w:snapToGrid w:val="0"/>
                      <w:jc w:val="center"/>
                      <w:rPr>
                        <w:rFonts w:hint="default" w:eastAsia="宋体"/>
                        <w:sz w:val="18"/>
                        <w:szCs w:val="18"/>
                        <w:lang w:val="en-US" w:eastAsia="zh-CN"/>
                      </w:rPr>
                    </w:pPr>
                    <w:r>
                      <w:rPr>
                        <w:rFonts w:hint="eastAsia"/>
                        <w:sz w:val="18"/>
                        <w:szCs w:val="18"/>
                        <w:lang w:val="en-US" w:eastAsia="zh-CN"/>
                      </w:rPr>
                      <w:t>8100</w:t>
                    </w:r>
                  </w:p>
                </w:txbxContent>
              </v:textbox>
            </v:shape>
            <v:shape id="文本框 1354" o:spid="_x0000_s2621" o:spt="202" type="#_x0000_t202" style="position:absolute;left:5428;top:3017;height:320;width:718;"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v:path/>
              <v:fill on="f" focussize="0,0"/>
              <v:stroke on="f"/>
              <v:imagedata o:title=""/>
              <o:lock v:ext="edit" aspectratio="f"/>
              <v:textbox>
                <w:txbxContent>
                  <w:p>
                    <w:pPr>
                      <w:snapToGrid w:val="0"/>
                      <w:jc w:val="center"/>
                      <w:rPr>
                        <w:rFonts w:hint="eastAsia" w:eastAsia="宋体"/>
                        <w:sz w:val="18"/>
                        <w:szCs w:val="18"/>
                        <w:lang w:val="en-US" w:eastAsia="zh-CN"/>
                      </w:rPr>
                    </w:pPr>
                    <w:r>
                      <w:rPr>
                        <w:rFonts w:hint="eastAsia"/>
                        <w:sz w:val="18"/>
                        <w:szCs w:val="18"/>
                        <w:lang w:val="en-US" w:eastAsia="zh-CN"/>
                      </w:rPr>
                      <w:t>1235</w:t>
                    </w:r>
                  </w:p>
                </w:txbxContent>
              </v:textbox>
            </v:shape>
            <v:shape id="文本框 1354" o:spid="_x0000_s2622" o:spt="202" type="#_x0000_t202" style="position:absolute;left:5444;top:3801;height:320;width:80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v:path/>
              <v:fill on="f" focussize="0,0"/>
              <v:stroke on="f"/>
              <v:imagedata o:title=""/>
              <o:lock v:ext="edit" aspectratio="f"/>
              <v:textbox>
                <w:txbxContent>
                  <w:p>
                    <w:pPr>
                      <w:snapToGrid w:val="0"/>
                      <w:jc w:val="center"/>
                      <w:rPr>
                        <w:rFonts w:hint="eastAsia" w:eastAsia="宋体"/>
                        <w:sz w:val="18"/>
                        <w:szCs w:val="18"/>
                        <w:lang w:val="en-US" w:eastAsia="zh-CN"/>
                      </w:rPr>
                    </w:pPr>
                    <w:r>
                      <w:rPr>
                        <w:rFonts w:hint="eastAsia"/>
                        <w:sz w:val="18"/>
                        <w:szCs w:val="18"/>
                        <w:lang w:val="en-US" w:eastAsia="zh-CN"/>
                      </w:rPr>
                      <w:t>350</w:t>
                    </w:r>
                  </w:p>
                </w:txbxContent>
              </v:textbox>
            </v:shape>
            <v:shape id="文本框 1354" o:spid="_x0000_s2623" o:spt="202" type="#_x0000_t202" style="position:absolute;left:5428;top:4501;height:320;width:80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v:path/>
              <v:fill on="f" focussize="0,0"/>
              <v:stroke on="f"/>
              <v:imagedata o:title=""/>
              <o:lock v:ext="edit" aspectratio="f"/>
              <v:textbox>
                <w:txbxContent>
                  <w:p>
                    <w:pPr>
                      <w:snapToGrid w:val="0"/>
                      <w:jc w:val="center"/>
                      <w:rPr>
                        <w:rFonts w:hint="default" w:eastAsia="宋体"/>
                        <w:sz w:val="18"/>
                        <w:szCs w:val="18"/>
                        <w:lang w:val="en-US" w:eastAsia="zh-CN"/>
                      </w:rPr>
                    </w:pPr>
                    <w:r>
                      <w:rPr>
                        <w:rFonts w:hint="eastAsia"/>
                        <w:sz w:val="18"/>
                        <w:szCs w:val="18"/>
                        <w:lang w:val="en-US" w:eastAsia="zh-CN"/>
                      </w:rPr>
                      <w:t>123</w:t>
                    </w:r>
                  </w:p>
                </w:txbxContent>
              </v:textbox>
            </v:shape>
            <v:shape id="文本框 1354" o:spid="_x0000_s2624" o:spt="202" type="#_x0000_t202" style="position:absolute;left:5411;top:5367;height:320;width:80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v:path/>
              <v:fill on="f" focussize="0,0"/>
              <v:stroke on="f"/>
              <v:imagedata o:title=""/>
              <o:lock v:ext="edit" aspectratio="f"/>
              <v:textbox>
                <w:txbxContent>
                  <w:p>
                    <w:pPr>
                      <w:snapToGrid w:val="0"/>
                      <w:jc w:val="center"/>
                      <w:rPr>
                        <w:rFonts w:hint="eastAsia" w:eastAsia="宋体"/>
                        <w:sz w:val="18"/>
                        <w:szCs w:val="18"/>
                        <w:lang w:val="en-US" w:eastAsia="zh-CN"/>
                      </w:rPr>
                    </w:pPr>
                    <w:r>
                      <w:rPr>
                        <w:rFonts w:hint="eastAsia"/>
                        <w:sz w:val="18"/>
                        <w:szCs w:val="18"/>
                        <w:lang w:val="en-US" w:eastAsia="zh-CN"/>
                      </w:rPr>
                      <w:t>85</w:t>
                    </w:r>
                  </w:p>
                </w:txbxContent>
              </v:textbox>
            </v:shape>
            <v:shape id="文本框 1354" o:spid="_x0000_s2625" o:spt="202" type="#_x0000_t202" style="position:absolute;left:6211;top:3468;height:320;width:80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v:path/>
              <v:fill on="f" focussize="0,0"/>
              <v:stroke on="f"/>
              <v:imagedata o:title=""/>
              <o:lock v:ext="edit" aspectratio="f"/>
              <v:textbox>
                <w:txbxContent>
                  <w:p>
                    <w:pPr>
                      <w:snapToGrid w:val="0"/>
                      <w:jc w:val="center"/>
                      <w:rPr>
                        <w:rFonts w:hint="default" w:eastAsia="宋体"/>
                        <w:sz w:val="18"/>
                        <w:szCs w:val="18"/>
                        <w:lang w:val="en-US" w:eastAsia="zh-CN"/>
                      </w:rPr>
                    </w:pPr>
                    <w:r>
                      <w:rPr>
                        <w:rFonts w:hint="eastAsia"/>
                        <w:sz w:val="18"/>
                        <w:szCs w:val="18"/>
                        <w:lang w:val="en-US" w:eastAsia="zh-CN"/>
                      </w:rPr>
                      <w:t>9893</w:t>
                    </w:r>
                  </w:p>
                </w:txbxContent>
              </v:textbox>
            </v:shape>
            <v:shape id="文本框 1354" o:spid="_x0000_s2626" o:spt="202" type="#_x0000_t202" style="position:absolute;left:7747;top:3501;height:320;width:80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v:path/>
              <v:fill on="f" focussize="0,0"/>
              <v:stroke on="f"/>
              <v:imagedata o:title=""/>
              <o:lock v:ext="edit" aspectratio="f"/>
              <v:textbox>
                <w:txbxContent>
                  <w:p>
                    <w:pPr>
                      <w:snapToGrid w:val="0"/>
                      <w:jc w:val="center"/>
                      <w:rPr>
                        <w:rFonts w:hint="default" w:eastAsia="宋体"/>
                        <w:sz w:val="18"/>
                        <w:szCs w:val="18"/>
                        <w:lang w:val="en-US" w:eastAsia="zh-CN"/>
                      </w:rPr>
                    </w:pPr>
                    <w:r>
                      <w:rPr>
                        <w:rFonts w:hint="eastAsia"/>
                        <w:sz w:val="18"/>
                        <w:szCs w:val="18"/>
                        <w:lang w:val="en-US" w:eastAsia="zh-CN"/>
                      </w:rPr>
                      <w:t>9923</w:t>
                    </w:r>
                  </w:p>
                </w:txbxContent>
              </v:textbox>
            </v:shape>
            <v:shape id="文本框 1354" o:spid="_x0000_s2627" o:spt="202" type="#_x0000_t202" style="position:absolute;left:9661;top:3467;height:320;width:80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v:path/>
              <v:fill on="f" focussize="0,0"/>
              <v:stroke on="f"/>
              <v:imagedata o:title=""/>
              <o:lock v:ext="edit" aspectratio="f"/>
              <v:textbox>
                <w:txbxContent>
                  <w:p>
                    <w:pPr>
                      <w:snapToGrid w:val="0"/>
                      <w:jc w:val="center"/>
                      <w:rPr>
                        <w:rFonts w:hint="default" w:eastAsia="宋体"/>
                        <w:sz w:val="18"/>
                        <w:szCs w:val="18"/>
                        <w:lang w:val="en-US" w:eastAsia="zh-CN"/>
                      </w:rPr>
                    </w:pPr>
                    <w:r>
                      <w:rPr>
                        <w:rFonts w:hint="eastAsia"/>
                        <w:sz w:val="18"/>
                        <w:szCs w:val="18"/>
                        <w:lang w:val="en-US" w:eastAsia="zh-CN"/>
                      </w:rPr>
                      <w:t>9923</w:t>
                    </w:r>
                  </w:p>
                </w:txbxContent>
              </v:textbox>
            </v:shape>
            <v:shape id="文本框 1354" o:spid="_x0000_s2628" o:spt="202" type="#_x0000_t202" style="position:absolute;left:5426;top:7148;height:320;width:666;"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v:path/>
              <v:fill on="f" focussize="0,0"/>
              <v:stroke on="f"/>
              <v:imagedata o:title=""/>
              <o:lock v:ext="edit" aspectratio="f"/>
              <v:textbox>
                <w:txbxContent>
                  <w:p>
                    <w:pPr>
                      <w:snapToGrid w:val="0"/>
                      <w:jc w:val="center"/>
                      <w:rPr>
                        <w:rFonts w:hint="eastAsia" w:eastAsia="宋体"/>
                        <w:sz w:val="18"/>
                        <w:szCs w:val="18"/>
                        <w:lang w:val="en-US" w:eastAsia="zh-CN"/>
                      </w:rPr>
                    </w:pPr>
                    <w:r>
                      <w:rPr>
                        <w:rFonts w:hint="eastAsia"/>
                        <w:sz w:val="18"/>
                        <w:szCs w:val="18"/>
                        <w:lang w:val="en-US" w:eastAsia="zh-CN"/>
                      </w:rPr>
                      <w:t>1539</w:t>
                    </w:r>
                  </w:p>
                </w:txbxContent>
              </v:textbox>
            </v:shape>
            <v:shape id="文本框 1354" o:spid="_x0000_s2629" o:spt="202" type="#_x0000_t202" style="position:absolute;left:5476;top:8032;height:320;width:567;"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v:path/>
              <v:fill on="f" focussize="0,0"/>
              <v:stroke on="f"/>
              <v:imagedata o:title=""/>
              <o:lock v:ext="edit" aspectratio="f"/>
              <v:textbox>
                <w:txbxContent>
                  <w:p>
                    <w:pPr>
                      <w:snapToGrid w:val="0"/>
                      <w:jc w:val="center"/>
                      <w:rPr>
                        <w:rFonts w:hint="eastAsia" w:eastAsia="宋体"/>
                        <w:sz w:val="18"/>
                        <w:szCs w:val="18"/>
                        <w:lang w:val="en-US" w:eastAsia="zh-CN"/>
                      </w:rPr>
                    </w:pPr>
                    <w:r>
                      <w:rPr>
                        <w:rFonts w:hint="eastAsia"/>
                        <w:sz w:val="18"/>
                        <w:szCs w:val="18"/>
                        <w:lang w:val="en-US" w:eastAsia="zh-CN"/>
                      </w:rPr>
                      <w:t>25</w:t>
                    </w:r>
                  </w:p>
                </w:txbxContent>
              </v:textbox>
            </v:shape>
            <v:shape id="文本框 1354" o:spid="_x0000_s2630" o:spt="202" type="#_x0000_t202" style="position:absolute;left:6194;top:7630;height:320;width:80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v:path/>
              <v:fill on="f" focussize="0,0"/>
              <v:stroke on="f"/>
              <v:imagedata o:title=""/>
              <o:lock v:ext="edit" aspectratio="f"/>
              <v:textbox>
                <w:txbxContent>
                  <w:p>
                    <w:pPr>
                      <w:snapToGrid w:val="0"/>
                      <w:jc w:val="center"/>
                      <w:rPr>
                        <w:rFonts w:hint="eastAsia" w:eastAsia="宋体"/>
                        <w:sz w:val="18"/>
                        <w:szCs w:val="18"/>
                        <w:lang w:val="en-US" w:eastAsia="zh-CN"/>
                      </w:rPr>
                    </w:pPr>
                    <w:r>
                      <w:rPr>
                        <w:rFonts w:hint="eastAsia"/>
                        <w:sz w:val="18"/>
                        <w:szCs w:val="18"/>
                        <w:lang w:val="en-US" w:eastAsia="zh-CN"/>
                      </w:rPr>
                      <w:t>1564</w:t>
                    </w:r>
                  </w:p>
                </w:txbxContent>
              </v:textbox>
            </v:shape>
            <v:shape id="文本框 1354" o:spid="_x0000_s2631" o:spt="202" type="#_x0000_t202" style="position:absolute;left:7778;top:7564;height:320;width:80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v:path/>
              <v:fill on="f" focussize="0,0"/>
              <v:stroke on="f"/>
              <v:imagedata o:title=""/>
              <o:lock v:ext="edit" aspectratio="f"/>
              <v:textbox>
                <w:txbxContent>
                  <w:p>
                    <w:pPr>
                      <w:snapToGrid w:val="0"/>
                      <w:jc w:val="center"/>
                      <w:rPr>
                        <w:rFonts w:hint="eastAsia" w:eastAsia="宋体"/>
                        <w:sz w:val="18"/>
                        <w:szCs w:val="18"/>
                        <w:lang w:val="en-US" w:eastAsia="zh-CN"/>
                      </w:rPr>
                    </w:pPr>
                    <w:r>
                      <w:rPr>
                        <w:rFonts w:hint="eastAsia"/>
                        <w:sz w:val="18"/>
                        <w:szCs w:val="18"/>
                        <w:lang w:val="en-US" w:eastAsia="zh-CN"/>
                      </w:rPr>
                      <w:t>1564</w:t>
                    </w:r>
                  </w:p>
                </w:txbxContent>
              </v:textbox>
            </v:shape>
            <v:shape id="文本框 1354" o:spid="_x0000_s2632" o:spt="202" type="#_x0000_t202" style="position:absolute;left:9645;top:7548;height:320;width:80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v:path/>
              <v:fill on="f" focussize="0,0"/>
              <v:stroke on="f"/>
              <v:imagedata o:title=""/>
              <o:lock v:ext="edit" aspectratio="f"/>
              <v:textbox>
                <w:txbxContent>
                  <w:p>
                    <w:pPr>
                      <w:snapToGrid w:val="0"/>
                      <w:jc w:val="center"/>
                      <w:rPr>
                        <w:rFonts w:hint="eastAsia" w:eastAsia="宋体"/>
                        <w:sz w:val="18"/>
                        <w:szCs w:val="18"/>
                        <w:lang w:val="en-US" w:eastAsia="zh-CN"/>
                      </w:rPr>
                    </w:pPr>
                    <w:r>
                      <w:rPr>
                        <w:rFonts w:hint="eastAsia"/>
                        <w:sz w:val="18"/>
                        <w:szCs w:val="18"/>
                        <w:lang w:val="en-US" w:eastAsia="zh-CN"/>
                      </w:rPr>
                      <w:t>1564</w:t>
                    </w:r>
                  </w:p>
                </w:txbxContent>
              </v:textbox>
            </v:shape>
            <v:shape id="文本框 1354" o:spid="_x0000_s2633" o:spt="202" type="#_x0000_t202" style="position:absolute;left:5645;top:8816;height:320;width:80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v:path/>
              <v:fill on="f" focussize="0,0"/>
              <v:stroke on="f"/>
              <v:imagedata o:title=""/>
              <o:lock v:ext="edit" aspectratio="f"/>
              <v:textbox>
                <w:txbxContent>
                  <w:p>
                    <w:pPr>
                      <w:snapToGrid w:val="0"/>
                      <w:jc w:val="center"/>
                      <w:rPr>
                        <w:rFonts w:hint="default" w:eastAsia="宋体"/>
                        <w:sz w:val="18"/>
                        <w:szCs w:val="18"/>
                        <w:lang w:val="en-US" w:eastAsia="zh-CN"/>
                      </w:rPr>
                    </w:pPr>
                    <w:r>
                      <w:rPr>
                        <w:rFonts w:hint="eastAsia"/>
                        <w:sz w:val="18"/>
                        <w:szCs w:val="18"/>
                        <w:lang w:val="en-US" w:eastAsia="zh-CN"/>
                      </w:rPr>
                      <w:t>257</w:t>
                    </w:r>
                  </w:p>
                </w:txbxContent>
              </v:textbox>
            </v:shape>
            <v:shape id="文本框 1354" o:spid="_x0000_s2634" o:spt="202" type="#_x0000_t202" style="position:absolute;left:7794;top:8782;height:320;width:80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v:path/>
              <v:fill on="f" focussize="0,0"/>
              <v:stroke on="f"/>
              <v:imagedata o:title=""/>
              <o:lock v:ext="edit" aspectratio="f"/>
              <v:textbox>
                <w:txbxContent>
                  <w:p>
                    <w:pPr>
                      <w:snapToGrid w:val="0"/>
                      <w:jc w:val="center"/>
                      <w:rPr>
                        <w:rFonts w:hint="default" w:eastAsia="宋体"/>
                        <w:sz w:val="18"/>
                        <w:szCs w:val="18"/>
                        <w:lang w:val="en-US" w:eastAsia="zh-CN"/>
                      </w:rPr>
                    </w:pPr>
                    <w:r>
                      <w:rPr>
                        <w:rFonts w:hint="eastAsia"/>
                        <w:sz w:val="18"/>
                        <w:szCs w:val="18"/>
                        <w:lang w:val="en-US" w:eastAsia="zh-CN"/>
                      </w:rPr>
                      <w:t>257</w:t>
                    </w:r>
                  </w:p>
                </w:txbxContent>
              </v:textbox>
            </v:shape>
            <v:shape id="文本框 1354" o:spid="_x0000_s2635" o:spt="202" type="#_x0000_t202" style="position:absolute;left:9594;top:8766;height:320;width:80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v:path/>
              <v:fill on="f" focussize="0,0"/>
              <v:stroke on="f"/>
              <v:imagedata o:title=""/>
              <o:lock v:ext="edit" aspectratio="f"/>
              <v:textbox>
                <w:txbxContent>
                  <w:p>
                    <w:pPr>
                      <w:snapToGrid w:val="0"/>
                      <w:jc w:val="center"/>
                      <w:rPr>
                        <w:rFonts w:hint="default" w:eastAsia="宋体"/>
                        <w:sz w:val="18"/>
                        <w:szCs w:val="18"/>
                        <w:lang w:val="en-US" w:eastAsia="zh-CN"/>
                      </w:rPr>
                    </w:pPr>
                    <w:r>
                      <w:rPr>
                        <w:rFonts w:hint="eastAsia"/>
                        <w:sz w:val="18"/>
                        <w:szCs w:val="18"/>
                        <w:lang w:val="en-US" w:eastAsia="zh-CN"/>
                      </w:rPr>
                      <w:t>257</w:t>
                    </w:r>
                  </w:p>
                </w:txbxContent>
              </v:textbox>
            </v:shape>
            <v:shape id="文本框 1354" o:spid="_x0000_s2636" o:spt="202" type="#_x0000_t202" style="position:absolute;left:6211;top:9664;height:320;width:160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v:path/>
              <v:fill on="f" focussize="0,0"/>
              <v:stroke on="f"/>
              <v:imagedata o:title=""/>
              <o:lock v:ext="edit" aspectratio="f"/>
              <v:textbox>
                <w:txbxContent>
                  <w:p>
                    <w:pPr>
                      <w:snapToGrid w:val="0"/>
                      <w:jc w:val="center"/>
                      <w:rPr>
                        <w:rFonts w:hint="eastAsia" w:eastAsia="宋体"/>
                        <w:sz w:val="18"/>
                        <w:szCs w:val="18"/>
                        <w:lang w:val="en-US" w:eastAsia="zh-CN"/>
                      </w:rPr>
                    </w:pPr>
                    <w:r>
                      <w:rPr>
                        <w:rFonts w:hint="eastAsia"/>
                        <w:sz w:val="18"/>
                        <w:szCs w:val="18"/>
                        <w:lang w:val="en-US" w:eastAsia="zh-CN"/>
                      </w:rPr>
                      <w:t>锅炉派武术42</w:t>
                    </w:r>
                  </w:p>
                </w:txbxContent>
              </v:textbox>
            </v:shape>
            <v:shape id="文本框 1354" o:spid="_x0000_s2637" o:spt="202" type="#_x0000_t202" style="position:absolute;left:4128;top:2801;height:320;width:65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v:path/>
              <v:fill on="f" focussize="0,0"/>
              <v:stroke on="f"/>
              <v:imagedata o:title=""/>
              <o:lock v:ext="edit" aspectratio="f"/>
              <v:textbox>
                <w:txbxContent>
                  <w:p>
                    <w:pPr>
                      <w:snapToGrid w:val="0"/>
                      <w:jc w:val="center"/>
                      <w:rPr>
                        <w:rFonts w:hint="eastAsia" w:eastAsia="宋体"/>
                        <w:sz w:val="18"/>
                        <w:szCs w:val="18"/>
                        <w:lang w:val="en-US" w:eastAsia="zh-CN"/>
                      </w:rPr>
                    </w:pPr>
                    <w:r>
                      <w:rPr>
                        <w:rFonts w:hint="eastAsia"/>
                        <w:sz w:val="18"/>
                        <w:szCs w:val="18"/>
                      </w:rPr>
                      <w:t>6</w:t>
                    </w:r>
                    <w:r>
                      <w:rPr>
                        <w:rFonts w:hint="eastAsia"/>
                        <w:sz w:val="18"/>
                        <w:szCs w:val="18"/>
                        <w:lang w:val="en-US" w:eastAsia="zh-CN"/>
                      </w:rPr>
                      <w:t>5</w:t>
                    </w:r>
                  </w:p>
                </w:txbxContent>
              </v:textbox>
            </v:shape>
            <v:shape id="文本框 1354" o:spid="_x0000_s2638" o:spt="202" type="#_x0000_t202" style="position:absolute;left:4127;top:3535;height:320;width:80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v:path/>
              <v:fill on="f" focussize="0,0"/>
              <v:stroke on="f"/>
              <v:imagedata o:title=""/>
              <o:lock v:ext="edit" aspectratio="f"/>
              <v:textbox>
                <w:txbxContent>
                  <w:p>
                    <w:pPr>
                      <w:snapToGrid w:val="0"/>
                      <w:jc w:val="center"/>
                      <w:rPr>
                        <w:rFonts w:hint="eastAsia" w:eastAsia="宋体"/>
                        <w:sz w:val="18"/>
                        <w:szCs w:val="18"/>
                        <w:lang w:val="en-US" w:eastAsia="zh-CN"/>
                      </w:rPr>
                    </w:pPr>
                    <w:r>
                      <w:rPr>
                        <w:rFonts w:hint="eastAsia"/>
                        <w:sz w:val="18"/>
                        <w:szCs w:val="18"/>
                        <w:lang w:val="en-US" w:eastAsia="zh-CN"/>
                      </w:rPr>
                      <w:t>50</w:t>
                    </w:r>
                  </w:p>
                </w:txbxContent>
              </v:textbox>
            </v:shape>
            <v:shape id="文本框 1354" o:spid="_x0000_s2639" o:spt="202" type="#_x0000_t202" style="position:absolute;left:4028;top:4351;height:320;width:80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v:path/>
              <v:fill on="f" focussize="0,0"/>
              <v:stroke on="f"/>
              <v:imagedata o:title=""/>
              <o:lock v:ext="edit" aspectratio="f"/>
              <v:textbox>
                <w:txbxContent>
                  <w:p>
                    <w:pPr>
                      <w:snapToGrid w:val="0"/>
                      <w:jc w:val="center"/>
                      <w:rPr>
                        <w:rFonts w:hint="default" w:eastAsia="宋体"/>
                        <w:sz w:val="18"/>
                        <w:szCs w:val="18"/>
                        <w:lang w:val="en-US" w:eastAsia="zh-CN"/>
                      </w:rPr>
                    </w:pPr>
                    <w:r>
                      <w:rPr>
                        <w:rFonts w:hint="eastAsia"/>
                        <w:sz w:val="18"/>
                        <w:szCs w:val="18"/>
                        <w:lang w:val="en-US" w:eastAsia="zh-CN"/>
                      </w:rPr>
                      <w:t>7</w:t>
                    </w:r>
                  </w:p>
                </w:txbxContent>
              </v:textbox>
            </v:shape>
            <v:shape id="文本框 1354" o:spid="_x0000_s2640" o:spt="202" type="#_x0000_t202" style="position:absolute;left:3961;top:5117;height:320;width:80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v:path/>
              <v:fill on="f" focussize="0,0"/>
              <v:stroke on="f"/>
              <v:imagedata o:title=""/>
              <o:lock v:ext="edit" aspectratio="f"/>
              <v:textbox>
                <w:txbxContent>
                  <w:p>
                    <w:pPr>
                      <w:snapToGrid w:val="0"/>
                      <w:jc w:val="center"/>
                      <w:rPr>
                        <w:rFonts w:hint="eastAsia" w:eastAsia="宋体"/>
                        <w:sz w:val="18"/>
                        <w:szCs w:val="18"/>
                        <w:lang w:val="en-US" w:eastAsia="zh-CN"/>
                      </w:rPr>
                    </w:pPr>
                    <w:r>
                      <w:rPr>
                        <w:rFonts w:hint="eastAsia"/>
                        <w:sz w:val="18"/>
                        <w:szCs w:val="18"/>
                        <w:lang w:val="en-US" w:eastAsia="zh-CN"/>
                      </w:rPr>
                      <w:t>15</w:t>
                    </w:r>
                  </w:p>
                </w:txbxContent>
              </v:textbox>
            </v:shape>
            <v:shape id="文本框 1354" o:spid="_x0000_s2641" o:spt="202" type="#_x0000_t202" style="position:absolute;left:3961;top:6899;height:320;width:634;"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v:path/>
              <v:fill on="f" focussize="0,0"/>
              <v:stroke on="f"/>
              <v:imagedata o:title=""/>
              <o:lock v:ext="edit" aspectratio="f"/>
              <v:textbox>
                <w:txbxContent>
                  <w:p>
                    <w:pPr>
                      <w:snapToGrid w:val="0"/>
                      <w:jc w:val="center"/>
                      <w:rPr>
                        <w:rFonts w:hint="eastAsia" w:eastAsia="宋体"/>
                        <w:sz w:val="18"/>
                        <w:szCs w:val="18"/>
                        <w:lang w:val="en-US" w:eastAsia="zh-CN"/>
                      </w:rPr>
                    </w:pPr>
                    <w:r>
                      <w:rPr>
                        <w:rFonts w:hint="eastAsia"/>
                        <w:sz w:val="18"/>
                        <w:szCs w:val="18"/>
                        <w:lang w:val="en-US" w:eastAsia="zh-CN"/>
                      </w:rPr>
                      <w:t>81</w:t>
                    </w:r>
                  </w:p>
                </w:txbxContent>
              </v:textbox>
            </v:shape>
            <v:shape id="文本框 1354" o:spid="_x0000_s2642" o:spt="202" type="#_x0000_t202" style="position:absolute;left:3862;top:7783;height:320;width:80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v:path/>
              <v:fill on="f" focussize="0,0"/>
              <v:stroke on="f"/>
              <v:imagedata o:title=""/>
              <o:lock v:ext="edit" aspectratio="f"/>
              <v:textbox>
                <w:txbxContent>
                  <w:p>
                    <w:pPr>
                      <w:snapToGrid w:val="0"/>
                      <w:jc w:val="center"/>
                      <w:rPr>
                        <w:rFonts w:hint="eastAsia" w:eastAsia="宋体"/>
                        <w:sz w:val="18"/>
                        <w:szCs w:val="18"/>
                        <w:lang w:val="en-US" w:eastAsia="zh-CN"/>
                      </w:rPr>
                    </w:pPr>
                    <w:r>
                      <w:rPr>
                        <w:rFonts w:hint="eastAsia"/>
                        <w:sz w:val="18"/>
                        <w:szCs w:val="18"/>
                        <w:lang w:val="en-US" w:eastAsia="zh-CN"/>
                      </w:rPr>
                      <w:t>5</w:t>
                    </w:r>
                  </w:p>
                </w:txbxContent>
              </v:textbox>
            </v:shape>
            <v:shape id="文本框 1354" o:spid="_x0000_s2643" o:spt="202" type="#_x0000_t202" style="position:absolute;left:3896;top:8602;height:320;width:80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v:path/>
              <v:fill on="f" focussize="0,0"/>
              <v:stroke on="f"/>
              <v:imagedata o:title=""/>
              <o:lock v:ext="edit" aspectratio="f"/>
              <v:textbox>
                <w:txbxContent>
                  <w:p>
                    <w:pPr>
                      <w:snapToGrid w:val="0"/>
                      <w:jc w:val="center"/>
                      <w:rPr>
                        <w:rFonts w:hint="default" w:eastAsia="宋体"/>
                        <w:sz w:val="18"/>
                        <w:szCs w:val="18"/>
                        <w:lang w:val="en-US" w:eastAsia="zh-CN"/>
                      </w:rPr>
                    </w:pPr>
                    <w:r>
                      <w:rPr>
                        <w:rFonts w:hint="eastAsia"/>
                        <w:sz w:val="18"/>
                        <w:szCs w:val="18"/>
                        <w:lang w:val="en-US" w:eastAsia="zh-CN"/>
                      </w:rPr>
                      <w:t>13</w:t>
                    </w:r>
                  </w:p>
                </w:txbxContent>
              </v:textbox>
            </v:shape>
            <v:shape id="文本框 1354" o:spid="_x0000_s2644" o:spt="202" type="#_x0000_t202" style="position:absolute;left:3930;top:5989;height:320;width:70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v:path/>
              <v:fill on="f" focussize="0,0"/>
              <v:stroke on="f"/>
              <v:imagedata o:title=""/>
              <o:lock v:ext="edit" aspectratio="f"/>
              <v:textbox>
                <w:txbxContent>
                  <w:p>
                    <w:pPr>
                      <w:snapToGrid w:val="0"/>
                      <w:jc w:val="center"/>
                      <w:rPr>
                        <w:rFonts w:hint="eastAsia" w:eastAsia="宋体"/>
                        <w:sz w:val="18"/>
                        <w:szCs w:val="18"/>
                        <w:lang w:val="en-US" w:eastAsia="zh-CN"/>
                      </w:rPr>
                    </w:pPr>
                    <w:r>
                      <w:rPr>
                        <w:rFonts w:hint="eastAsia"/>
                        <w:sz w:val="18"/>
                        <w:szCs w:val="18"/>
                        <w:lang w:val="en-US" w:eastAsia="zh-CN"/>
                      </w:rPr>
                      <w:t>20</w:t>
                    </w:r>
                  </w:p>
                </w:txbxContent>
              </v:textbox>
            </v:shape>
            <v:shape id="文本框 1354" o:spid="_x0000_s2645" o:spt="202" type="#_x0000_t202" style="position:absolute;left:3878;top:9416;height:320;width:80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v:path/>
              <v:fill on="f" focussize="0,0"/>
              <v:stroke on="f"/>
              <v:imagedata o:title=""/>
              <o:lock v:ext="edit" aspectratio="f"/>
              <v:textbox>
                <w:txbxContent>
                  <w:p>
                    <w:pPr>
                      <w:snapToGrid w:val="0"/>
                      <w:jc w:val="center"/>
                      <w:rPr>
                        <w:rFonts w:hint="eastAsia" w:eastAsia="宋体"/>
                        <w:sz w:val="18"/>
                        <w:szCs w:val="18"/>
                        <w:lang w:val="en-US" w:eastAsia="zh-CN"/>
                      </w:rPr>
                    </w:pPr>
                    <w:r>
                      <w:rPr>
                        <w:rFonts w:hint="eastAsia"/>
                        <w:sz w:val="18"/>
                        <w:szCs w:val="18"/>
                        <w:lang w:val="en-US" w:eastAsia="zh-CN"/>
                      </w:rPr>
                      <w:t>18</w:t>
                    </w:r>
                  </w:p>
                </w:txbxContent>
              </v:textbox>
            </v:shape>
            <v:shape id="文本框 1354" o:spid="_x0000_s2646" o:spt="202" type="#_x0000_t202" style="position:absolute;left:2361;top:3018;height:320;width:70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v:path/>
              <v:fill on="f" focussize="0,0"/>
              <v:stroke on="f"/>
              <v:imagedata o:title=""/>
              <o:lock v:ext="edit" aspectratio="f"/>
              <v:textbox>
                <w:txbxContent>
                  <w:p>
                    <w:pPr>
                      <w:snapToGrid w:val="0"/>
                      <w:jc w:val="center"/>
                      <w:rPr>
                        <w:rFonts w:hint="eastAsia" w:eastAsia="宋体"/>
                        <w:sz w:val="18"/>
                        <w:szCs w:val="18"/>
                        <w:lang w:val="en-US" w:eastAsia="zh-CN"/>
                      </w:rPr>
                    </w:pPr>
                    <w:r>
                      <w:rPr>
                        <w:rFonts w:hint="eastAsia"/>
                        <w:sz w:val="18"/>
                        <w:szCs w:val="18"/>
                        <w:lang w:val="en-US" w:eastAsia="zh-CN"/>
                      </w:rPr>
                      <w:t>1300</w:t>
                    </w:r>
                  </w:p>
                </w:txbxContent>
              </v:textbox>
            </v:shape>
            <v:shape id="文本框 1354" o:spid="_x0000_s2647" o:spt="202" type="#_x0000_t202" style="position:absolute;left:2411;top:3720;height:337;width:700;" filled="f" stroked="f" coordsize="21600,21600">
              <v:path/>
              <v:fill on="f" focussize="0,0"/>
              <v:stroke on="f"/>
              <v:imagedata o:title=""/>
              <o:lock v:ext="edit" aspectratio="f"/>
              <v:textbox>
                <w:txbxContent>
                  <w:p>
                    <w:pPr>
                      <w:snapToGrid w:val="0"/>
                      <w:jc w:val="center"/>
                      <w:rPr>
                        <w:rFonts w:hint="eastAsia" w:eastAsia="宋体"/>
                        <w:sz w:val="18"/>
                        <w:szCs w:val="18"/>
                        <w:lang w:val="en-US" w:eastAsia="zh-CN"/>
                      </w:rPr>
                    </w:pPr>
                    <w:r>
                      <w:rPr>
                        <w:rFonts w:hint="eastAsia"/>
                        <w:sz w:val="18"/>
                        <w:szCs w:val="18"/>
                        <w:lang w:val="en-US" w:eastAsia="zh-CN"/>
                      </w:rPr>
                      <w:t>100</w:t>
                    </w:r>
                  </w:p>
                </w:txbxContent>
              </v:textbox>
            </v:shape>
            <v:shape id="文本框 1354" o:spid="_x0000_s2648" o:spt="202" type="#_x0000_t202" style="position:absolute;left:2377;top:4584;height:320;width:70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v:path/>
              <v:fill on="f" focussize="0,0"/>
              <v:stroke on="f"/>
              <v:imagedata o:title=""/>
              <o:lock v:ext="edit" aspectratio="f"/>
              <v:textbox>
                <w:txbxContent>
                  <w:p>
                    <w:pPr>
                      <w:snapToGrid w:val="0"/>
                      <w:jc w:val="center"/>
                      <w:rPr>
                        <w:rFonts w:hint="eastAsia" w:eastAsia="宋体"/>
                        <w:sz w:val="18"/>
                        <w:szCs w:val="18"/>
                        <w:lang w:val="en-US" w:eastAsia="zh-CN"/>
                      </w:rPr>
                    </w:pPr>
                    <w:r>
                      <w:rPr>
                        <w:rFonts w:hint="eastAsia"/>
                        <w:sz w:val="18"/>
                        <w:szCs w:val="18"/>
                        <w:lang w:val="en-US" w:eastAsia="zh-CN"/>
                      </w:rPr>
                      <w:t>30</w:t>
                    </w:r>
                  </w:p>
                </w:txbxContent>
              </v:textbox>
            </v:shape>
            <v:shape id="文本框 1354" o:spid="_x0000_s2649" o:spt="202" type="#_x0000_t202" style="position:absolute;left:2394;top:5436;height:320;width:70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v:path/>
              <v:fill on="f" focussize="0,0"/>
              <v:stroke on="f"/>
              <v:imagedata o:title=""/>
              <o:lock v:ext="edit" aspectratio="f"/>
              <v:textbox>
                <w:txbxContent>
                  <w:p>
                    <w:pPr>
                      <w:snapToGrid w:val="0"/>
                      <w:jc w:val="center"/>
                      <w:rPr>
                        <w:rFonts w:hint="eastAsia" w:eastAsia="宋体"/>
                        <w:sz w:val="18"/>
                        <w:szCs w:val="18"/>
                        <w:lang w:val="en-US" w:eastAsia="zh-CN"/>
                      </w:rPr>
                    </w:pPr>
                    <w:r>
                      <w:rPr>
                        <w:rFonts w:hint="eastAsia"/>
                        <w:sz w:val="18"/>
                        <w:szCs w:val="18"/>
                        <w:lang w:val="en-US" w:eastAsia="zh-CN"/>
                      </w:rPr>
                      <w:t>100</w:t>
                    </w:r>
                  </w:p>
                </w:txbxContent>
              </v:textbox>
            </v:shape>
            <v:shape id="文本框 1354" o:spid="_x0000_s2650" o:spt="202" type="#_x0000_t202" style="position:absolute;left:2378;top:7133;height:320;width:70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v:path/>
              <v:fill on="f" focussize="0,0"/>
              <v:stroke on="f"/>
              <v:imagedata o:title=""/>
              <o:lock v:ext="edit" aspectratio="f"/>
              <v:textbox>
                <w:txbxContent>
                  <w:p>
                    <w:pPr>
                      <w:snapToGrid w:val="0"/>
                      <w:jc w:val="center"/>
                      <w:rPr>
                        <w:rFonts w:hint="eastAsia" w:eastAsia="宋体"/>
                        <w:sz w:val="18"/>
                        <w:szCs w:val="18"/>
                        <w:lang w:val="en-US" w:eastAsia="zh-CN"/>
                      </w:rPr>
                    </w:pPr>
                    <w:r>
                      <w:rPr>
                        <w:rFonts w:hint="eastAsia"/>
                        <w:sz w:val="18"/>
                        <w:szCs w:val="18"/>
                        <w:lang w:val="en-US" w:eastAsia="zh-CN"/>
                      </w:rPr>
                      <w:t>920</w:t>
                    </w:r>
                  </w:p>
                </w:txbxContent>
              </v:textbox>
            </v:shape>
            <v:shape id="文本框 1354" o:spid="_x0000_s2651" o:spt="202" type="#_x0000_t202" style="position:absolute;left:2394;top:7948;height:320;width:70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v:path/>
              <v:fill on="f" focussize="0,0"/>
              <v:stroke on="f"/>
              <v:imagedata o:title=""/>
              <o:lock v:ext="edit" aspectratio="f"/>
              <v:textbox>
                <w:txbxContent>
                  <w:p>
                    <w:pPr>
                      <w:snapToGrid w:val="0"/>
                      <w:jc w:val="center"/>
                      <w:rPr>
                        <w:rFonts w:hint="eastAsia" w:eastAsia="宋体"/>
                        <w:sz w:val="18"/>
                        <w:szCs w:val="18"/>
                        <w:lang w:val="en-US" w:eastAsia="zh-CN"/>
                      </w:rPr>
                    </w:pPr>
                    <w:r>
                      <w:rPr>
                        <w:rFonts w:hint="eastAsia"/>
                        <w:sz w:val="18"/>
                        <w:szCs w:val="18"/>
                        <w:lang w:val="en-US" w:eastAsia="zh-CN"/>
                      </w:rPr>
                      <w:t>30</w:t>
                    </w:r>
                  </w:p>
                </w:txbxContent>
              </v:textbox>
            </v:shape>
            <v:shape id="文本框 1354" o:spid="_x0000_s2652" o:spt="202" type="#_x0000_t202" style="position:absolute;left:2378;top:8748;height:320;width:70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v:path/>
              <v:fill on="f" focussize="0,0"/>
              <v:stroke on="f"/>
              <v:imagedata o:title=""/>
              <o:lock v:ext="edit" aspectratio="f"/>
              <v:textbox>
                <w:txbxContent>
                  <w:p>
                    <w:pPr>
                      <w:snapToGrid w:val="0"/>
                      <w:jc w:val="center"/>
                      <w:rPr>
                        <w:rFonts w:hint="eastAsia" w:eastAsia="宋体"/>
                        <w:sz w:val="18"/>
                        <w:szCs w:val="18"/>
                        <w:lang w:val="en-US" w:eastAsia="zh-CN"/>
                      </w:rPr>
                    </w:pPr>
                    <w:r>
                      <w:rPr>
                        <w:rFonts w:hint="eastAsia"/>
                        <w:sz w:val="18"/>
                        <w:szCs w:val="18"/>
                        <w:lang w:val="en-US" w:eastAsia="zh-CN"/>
                      </w:rPr>
                      <w:t>50</w:t>
                    </w:r>
                  </w:p>
                </w:txbxContent>
              </v:textbox>
            </v:shape>
            <v:shape id="文本框 1354" o:spid="_x0000_s2653" o:spt="202" type="#_x0000_t202" style="position:absolute;left:2543;top:9667;height:320;width:501;"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v:path/>
              <v:fill on="f" focussize="0,0"/>
              <v:stroke on="f"/>
              <v:imagedata o:title=""/>
              <o:lock v:ext="edit" aspectratio="f"/>
              <v:textbox>
                <w:txbxContent>
                  <w:p>
                    <w:pPr>
                      <w:snapToGrid w:val="0"/>
                      <w:jc w:val="center"/>
                      <w:rPr>
                        <w:rFonts w:hint="eastAsia" w:eastAsia="宋体"/>
                        <w:sz w:val="18"/>
                        <w:szCs w:val="18"/>
                        <w:lang w:val="en-US" w:eastAsia="zh-CN"/>
                      </w:rPr>
                    </w:pPr>
                    <w:r>
                      <w:rPr>
                        <w:rFonts w:hint="eastAsia"/>
                        <w:sz w:val="18"/>
                        <w:szCs w:val="18"/>
                      </w:rPr>
                      <w:t>6</w:t>
                    </w:r>
                    <w:r>
                      <w:rPr>
                        <w:rFonts w:hint="eastAsia"/>
                        <w:sz w:val="18"/>
                        <w:szCs w:val="18"/>
                        <w:lang w:val="en-US" w:eastAsia="zh-CN"/>
                      </w:rPr>
                      <w:t>0</w:t>
                    </w:r>
                  </w:p>
                </w:txbxContent>
              </v:textbox>
            </v:shape>
            <v:shape id="文本框 1354" o:spid="_x0000_s2654" o:spt="202" type="#_x0000_t202" style="position:absolute;left:2361;top:10467;height:320;width:70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v:path/>
              <v:fill on="f" focussize="0,0"/>
              <v:stroke on="f"/>
              <v:imagedata o:title=""/>
              <o:lock v:ext="edit" aspectratio="f"/>
              <v:textbox>
                <w:txbxContent>
                  <w:p>
                    <w:pPr>
                      <w:snapToGrid w:val="0"/>
                      <w:jc w:val="center"/>
                      <w:rPr>
                        <w:rFonts w:hint="eastAsia" w:eastAsia="宋体"/>
                        <w:sz w:val="18"/>
                        <w:szCs w:val="18"/>
                        <w:lang w:val="en-US" w:eastAsia="zh-CN"/>
                      </w:rPr>
                    </w:pPr>
                    <w:r>
                      <w:rPr>
                        <w:rFonts w:hint="eastAsia"/>
                        <w:sz w:val="18"/>
                        <w:szCs w:val="18"/>
                        <w:lang w:val="en-US" w:eastAsia="zh-CN"/>
                      </w:rPr>
                      <w:t>750</w:t>
                    </w:r>
                  </w:p>
                </w:txbxContent>
              </v:textbox>
            </v:shape>
            <v:shape id="自选图形 1328" o:spid="_x0000_s2655" o:spt="32" type="#_x0000_t32" style="position:absolute;left:3844;top:9467;flip:y;height:240;width:220;" filled="f" stroked="t" coordsize="21600,21600">
              <v:path arrowok="t"/>
              <v:fill on="f" focussize="0,0"/>
              <v:stroke color="#000000" dashstyle="longDash" endarrow="block"/>
              <v:imagedata o:title=""/>
              <o:lock v:ext="edit" aspectratio="f"/>
            </v:shape>
            <v:shape id="自选图形 1313" o:spid="_x0000_s2656" o:spt="32" type="#_x0000_t32" style="position:absolute;left:5310;top:6518;height:6;width:403;" filled="f" stroked="t" coordsize="21600,21600">
              <v:path arrowok="t"/>
              <v:fill on="f" focussize="0,0"/>
              <v:stroke color="#000000" endarrow="block"/>
              <v:imagedata o:title=""/>
              <o:lock v:ext="edit" aspectratio="f"/>
            </v:shape>
            <v:shape id="文本框 1281" o:spid="_x0000_s2657" o:spt="202" type="#_x0000_t202" style="position:absolute;left:5661;top:6307;height:380;width:1026;"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mHsQA&#10;AADaAAAADwAAAGRycy9kb3ducmV2LnhtbESPT2sCMRTE70K/Q3gFL+Jma0Xt1igitNibVdHrY/P2&#10;D928rEm6br99UxB6HGbmN8xy3ZtGdOR8bVnBU5KCIM6trrlUcDq+jRcgfEDW2FgmBT/kYb16GCwx&#10;0/bGn9QdQikihH2GCqoQ2kxKn1dk0Ce2JY5eYZ3BEKUrpXZ4i3DTyEmazqTBmuNChS1tK8q/Dt9G&#10;wWK66y7+43l/zmdF8xJG8+796pQaPvabVxCB+vAfvrd3WsEE/q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Jh7EAAAA2gAAAA8AAAAAAAAAAAAAAAAAmAIAAGRycy9k&#10;b3ducmV2LnhtbFBLBQYAAAAABAAEAPUAAACJAwAAAAA=&#10;">
              <v:path/>
              <v:fill on="t" color2="#FFFFFF" focussize="0,0"/>
              <v:stroke color="#000000" joinstyle="miter"/>
              <v:imagedata o:title=""/>
              <o:lock v:ext="edit" aspectratio="f"/>
              <v:textbox>
                <w:txbxContent>
                  <w:p>
                    <w:pPr>
                      <w:snapToGrid w:val="0"/>
                      <w:jc w:val="center"/>
                      <w:rPr>
                        <w:sz w:val="18"/>
                        <w:szCs w:val="18"/>
                        <w:lang w:val="en-US"/>
                      </w:rPr>
                    </w:pPr>
                    <w:r>
                      <w:rPr>
                        <w:rFonts w:hint="eastAsia"/>
                        <w:sz w:val="18"/>
                        <w:szCs w:val="18"/>
                        <w:lang w:val="en-US" w:eastAsia="zh-CN"/>
                      </w:rPr>
                      <w:t>回收处理</w:t>
                    </w:r>
                  </w:p>
                </w:txbxContent>
              </v:textbox>
            </v:shape>
            <v:shape id="自选图形 1300" o:spid="_x0000_s2658" o:spt="32" type="#_x0000_t32" style="position:absolute;left:2195;top:9934;height:0;width:916;" filled="f" stroked="t" coordsize="21600,21600">
              <v:path arrowok="t"/>
              <v:fill on="f" focussize="0,0"/>
              <v:stroke color="#00B050" endarrow="block"/>
              <v:imagedata o:title=""/>
              <o:lock v:ext="edit" aspectratio="f"/>
            </v:shape>
            <v:shape id="自选图形 1296" o:spid="_x0000_s2659" o:spt="32" type="#_x0000_t32" style="position:absolute;left:2212;top:2385;height:7549;width:0;" filled="f" stroked="t" coordsize="21600,21600">
              <v:path arrowok="t"/>
              <v:fill on="f" focussize="0,0"/>
              <v:stroke color="#00B050"/>
              <v:imagedata o:title=""/>
              <o:lock v:ext="edit" aspectratio="f"/>
            </v:shape>
            <v:shape id="自选图形 1300" o:spid="_x0000_s2660" o:spt="32" type="#_x0000_t32" style="position:absolute;left:2212;top:6483;flip:y;height:8;width:932;" filled="f" stroked="t" coordsize="21600,21600">
              <v:path arrowok="t"/>
              <v:fill on="f" focussize="0,0"/>
              <v:stroke color="#00B050" endarrow="block"/>
              <v:imagedata o:title=""/>
              <o:lock v:ext="edit" aspectratio="f"/>
            </v:shape>
            <v:shape id="自选图形 1300" o:spid="_x0000_s2661" o:spt="32" type="#_x0000_t32" style="position:absolute;left:2228;top:2401;flip:y;height:0;width:920;" filled="f" stroked="t" coordsize="21600,21600">
              <v:path arrowok="t"/>
              <v:fill on="f" focussize="0,0"/>
              <v:stroke color="#00B050" endarrow="block"/>
              <v:imagedata o:title=""/>
              <o:lock v:ext="edit" aspectratio="f"/>
            </v:shape>
            <v:shape id="自选图形 1300" o:spid="_x0000_s2662" o:spt="32" type="#_x0000_t32" style="position:absolute;left:2211;top:7580;flip:y;height:0;width:920;" filled="f" stroked="t" coordsize="21600,21600">
              <v:path arrowok="t"/>
              <v:fill on="f" focussize="0,0"/>
              <v:stroke color="#00B050" endarrow="block"/>
              <v:imagedata o:title=""/>
              <o:lock v:ext="edit" aspectratio="f"/>
            </v:shape>
            <v:shape id="自选图形 1300" o:spid="_x0000_s2664" o:spt="32" type="#_x0000_t32" style="position:absolute;left:2244;top:4968;flip:y;height:0;width:920;" filled="f" stroked="t" coordsize="21600,21600">
              <v:path arrowok="t"/>
              <v:fill on="f" focussize="0,0"/>
              <v:stroke color="#00B050" endarrow="block"/>
              <v:imagedata o:title=""/>
              <o:lock v:ext="edit" aspectratio="f"/>
            </v:shape>
            <v:shape id="文本框 1354" o:spid="_x0000_s2665" o:spt="202" type="#_x0000_t202" style="position:absolute;left:5096;top:6162;height:320;width:685;"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v:path/>
              <v:fill on="f" focussize="0,0"/>
              <v:stroke on="f"/>
              <v:imagedata o:title=""/>
              <o:lock v:ext="edit" aspectratio="f"/>
              <v:textbox>
                <w:txbxContent>
                  <w:p>
                    <w:pPr>
                      <w:snapToGrid w:val="0"/>
                      <w:jc w:val="center"/>
                      <w:rPr>
                        <w:rFonts w:hint="eastAsia" w:eastAsia="宋体"/>
                        <w:sz w:val="18"/>
                        <w:szCs w:val="18"/>
                        <w:lang w:val="en-US" w:eastAsia="zh-CN"/>
                      </w:rPr>
                    </w:pPr>
                    <w:r>
                      <w:rPr>
                        <w:rFonts w:hint="eastAsia"/>
                        <w:sz w:val="18"/>
                        <w:szCs w:val="18"/>
                        <w:lang w:val="en-US" w:eastAsia="zh-CN"/>
                      </w:rPr>
                      <w:t>30</w:t>
                    </w:r>
                  </w:p>
                </w:txbxContent>
              </v:textbox>
            </v:shape>
            <v:shape id="自选图形 1313" o:spid="_x0000_s2666" o:spt="32" type="#_x0000_t32" style="position:absolute;left:6694;top:6519;height:0;width:402;" filled="f" stroked="t" coordsize="21600,21600">
              <v:path arrowok="t"/>
              <v:fill on="f" focussize="0,0"/>
              <v:stroke color="#000000" endarrow="block"/>
              <v:imagedata o:title=""/>
              <o:lock v:ext="edit" aspectratio="f"/>
            </v:shape>
            <v:shape id="文本框 1354" o:spid="_x0000_s2671" o:spt="202" type="#_x0000_t202" style="position:absolute;left:6579;top:6206;height:320;width:56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v:path/>
              <v:fill on="f" focussize="0,0"/>
              <v:stroke on="f"/>
              <v:imagedata o:title=""/>
              <o:lock v:ext="edit" aspectratio="f"/>
              <v:textbox>
                <w:txbxContent>
                  <w:p>
                    <w:pPr>
                      <w:snapToGrid w:val="0"/>
                      <w:jc w:val="center"/>
                      <w:rPr>
                        <w:rFonts w:hint="eastAsia" w:eastAsia="宋体"/>
                        <w:sz w:val="18"/>
                        <w:szCs w:val="18"/>
                        <w:lang w:val="en-US" w:eastAsia="zh-CN"/>
                      </w:rPr>
                    </w:pPr>
                    <w:r>
                      <w:rPr>
                        <w:rFonts w:hint="eastAsia"/>
                        <w:sz w:val="18"/>
                        <w:szCs w:val="18"/>
                        <w:lang w:val="en-US" w:eastAsia="zh-CN"/>
                      </w:rPr>
                      <w:t>30</w:t>
                    </w:r>
                  </w:p>
                </w:txbxContent>
              </v:textbox>
            </v:shape>
            <v:shape id="文本框 1354" o:spid="_x0000_s2673" o:spt="202" type="#_x0000_t202" style="position:absolute;left:2427;top:4868;height:320;width:60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v:path/>
              <v:fill on="f" focussize="0,0"/>
              <v:stroke on="f"/>
              <v:imagedata o:title=""/>
              <o:lock v:ext="edit" aspectratio="f"/>
              <v:textbox>
                <w:txbxContent>
                  <w:p>
                    <w:pPr>
                      <w:snapToGrid w:val="0"/>
                      <w:jc w:val="center"/>
                      <w:rPr>
                        <w:rFonts w:hint="eastAsia" w:eastAsia="宋体"/>
                        <w:sz w:val="18"/>
                        <w:szCs w:val="18"/>
                        <w:lang w:val="en-US" w:eastAsia="zh-CN"/>
                      </w:rPr>
                    </w:pPr>
                    <w:r>
                      <w:rPr>
                        <w:rFonts w:hint="eastAsia"/>
                        <w:sz w:val="18"/>
                        <w:szCs w:val="18"/>
                        <w:lang w:val="en-US" w:eastAsia="zh-CN"/>
                      </w:rPr>
                      <w:t>100</w:t>
                    </w:r>
                  </w:p>
                </w:txbxContent>
              </v:textbox>
            </v:shape>
            <v:shape id="文本框 1357" o:spid="_x0000_s2674" o:spt="202" type="#_x0000_t202" style="position:absolute;left:9578;top:11500;height:340;width:92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v:path/>
              <v:fill on="f" focussize="0,0"/>
              <v:stroke on="f"/>
              <v:imagedata o:title=""/>
              <o:lock v:ext="edit" aspectratio="f"/>
              <v:textbox>
                <w:txbxContent>
                  <w:p>
                    <w:pPr>
                      <w:snapToGrid w:val="0"/>
                      <w:jc w:val="center"/>
                      <w:rPr>
                        <w:rFonts w:hint="eastAsia" w:eastAsia="宋体"/>
                        <w:sz w:val="18"/>
                        <w:szCs w:val="18"/>
                        <w:lang w:val="en-US" w:eastAsia="zh-CN"/>
                      </w:rPr>
                    </w:pPr>
                    <w:r>
                      <w:rPr>
                        <w:rFonts w:hint="eastAsia"/>
                        <w:sz w:val="18"/>
                        <w:szCs w:val="18"/>
                        <w:lang w:val="en-US" w:eastAsia="zh-CN"/>
                      </w:rPr>
                      <w:t>12073.5</w:t>
                    </w:r>
                  </w:p>
                </w:txbxContent>
              </v:textbox>
            </v:shape>
            <v:shape id="自选图形 1300" o:spid="_x0000_s2885" o:spt="32" type="#_x0000_t32" style="position:absolute;left:2227;top:9229;flip:y;height:0;width:920;" filled="f" stroked="t" coordsize="21600,21600">
              <v:path arrowok="t"/>
              <v:fill on="f" focussize="0,0"/>
              <v:stroke color="#00B050" endarrow="block"/>
              <v:imagedata o:title=""/>
              <o:lock v:ext="edit" aspectratio="f"/>
            </v:shape>
            <v:shape id="文本框 1354" o:spid="_x0000_s2903" o:spt="202" type="#_x0000_t202" style="position:absolute;left:6561;top:5034;height:320;width:800;"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v:path/>
              <v:fill on="f" focussize="0,0"/>
              <v:stroke on="f"/>
              <v:imagedata o:title=""/>
              <o:lock v:ext="edit" aspectratio="f"/>
              <v:textbox>
                <w:txbxContent>
                  <w:p>
                    <w:pPr>
                      <w:snapToGrid w:val="0"/>
                      <w:jc w:val="center"/>
                      <w:rPr>
                        <w:rFonts w:hint="eastAsia" w:eastAsia="宋体"/>
                        <w:sz w:val="18"/>
                        <w:szCs w:val="18"/>
                        <w:lang w:val="en-US" w:eastAsia="zh-CN"/>
                      </w:rPr>
                    </w:pPr>
                    <w:r>
                      <w:rPr>
                        <w:rFonts w:hint="eastAsia"/>
                        <w:sz w:val="18"/>
                        <w:szCs w:val="18"/>
                        <w:lang w:val="en-US" w:eastAsia="zh-CN"/>
                      </w:rPr>
                      <w:t>30</w:t>
                    </w:r>
                  </w:p>
                </w:txbxContent>
              </v:textbox>
            </v:shape>
            <w10:wrap type="none"/>
            <w10:anchorlock/>
          </v:group>
        </w:pict>
      </w:r>
    </w:p>
    <w:p>
      <w:pPr>
        <w:adjustRightInd w:val="0"/>
        <w:snapToGrid w:val="0"/>
        <w:spacing w:line="360" w:lineRule="auto"/>
        <w:jc w:val="center"/>
        <w:rPr>
          <w:rFonts w:hint="eastAsia" w:ascii="Times New Roman" w:hAnsi="Times New Roman" w:eastAsia="黑体" w:cs="Times New Roman"/>
          <w:color w:val="auto"/>
          <w:sz w:val="24"/>
          <w:highlight w:val="none"/>
        </w:rPr>
      </w:pPr>
      <w:r>
        <w:rPr>
          <w:rFonts w:eastAsia="黑体"/>
          <w:color w:val="auto"/>
          <w:sz w:val="24"/>
          <w:szCs w:val="24"/>
          <w:highlight w:val="none"/>
        </w:rPr>
        <w:t>图2.</w:t>
      </w:r>
      <w:r>
        <w:rPr>
          <w:rFonts w:hint="eastAsia" w:eastAsia="黑体"/>
          <w:color w:val="auto"/>
          <w:sz w:val="24"/>
          <w:szCs w:val="24"/>
          <w:highlight w:val="none"/>
          <w:lang w:val="en-US" w:eastAsia="zh-CN"/>
        </w:rPr>
        <w:t>3</w:t>
      </w:r>
      <w:r>
        <w:rPr>
          <w:rFonts w:eastAsia="黑体"/>
          <w:color w:val="auto"/>
          <w:sz w:val="24"/>
          <w:szCs w:val="24"/>
          <w:highlight w:val="none"/>
        </w:rPr>
        <w:t>-</w:t>
      </w:r>
      <w:r>
        <w:rPr>
          <w:rFonts w:hint="eastAsia" w:eastAsia="黑体"/>
          <w:color w:val="auto"/>
          <w:sz w:val="24"/>
          <w:szCs w:val="24"/>
          <w:highlight w:val="none"/>
          <w:lang w:val="en-US" w:eastAsia="zh-CN"/>
        </w:rPr>
        <w:t>7</w:t>
      </w:r>
      <w:r>
        <w:rPr>
          <w:rFonts w:eastAsia="黑体"/>
          <w:color w:val="auto"/>
          <w:sz w:val="24"/>
          <w:szCs w:val="24"/>
          <w:highlight w:val="none"/>
        </w:rPr>
        <w:t xml:space="preserve"> </w:t>
      </w:r>
      <w:r>
        <w:rPr>
          <w:rFonts w:hint="eastAsia" w:eastAsia="黑体"/>
          <w:color w:val="auto"/>
          <w:sz w:val="24"/>
          <w:szCs w:val="24"/>
          <w:highlight w:val="none"/>
          <w:lang w:val="en-US" w:eastAsia="zh-CN"/>
        </w:rPr>
        <w:t xml:space="preserve"> </w:t>
      </w:r>
      <w:r>
        <w:rPr>
          <w:rFonts w:hint="eastAsia" w:eastAsia="黑体"/>
          <w:color w:val="auto"/>
          <w:sz w:val="24"/>
          <w:szCs w:val="24"/>
          <w:highlight w:val="none"/>
        </w:rPr>
        <w:t>项目水</w:t>
      </w:r>
      <w:r>
        <w:rPr>
          <w:rFonts w:eastAsia="黑体"/>
          <w:color w:val="auto"/>
          <w:sz w:val="24"/>
          <w:szCs w:val="24"/>
          <w:highlight w:val="none"/>
        </w:rPr>
        <w:t>平衡图(单位：m</w:t>
      </w:r>
      <w:r>
        <w:rPr>
          <w:rFonts w:eastAsia="黑体"/>
          <w:color w:val="auto"/>
          <w:sz w:val="24"/>
          <w:szCs w:val="24"/>
          <w:highlight w:val="none"/>
          <w:vertAlign w:val="superscript"/>
        </w:rPr>
        <w:t>3</w:t>
      </w:r>
      <w:r>
        <w:rPr>
          <w:rFonts w:eastAsia="黑体"/>
          <w:color w:val="auto"/>
          <w:sz w:val="24"/>
          <w:szCs w:val="24"/>
          <w:highlight w:val="none"/>
        </w:rPr>
        <w:t>/a)</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1"/>
        <w:rPr>
          <w:rFonts w:hint="eastAsia" w:ascii="Times New Roman" w:hAnsi="Times New Roman" w:eastAsia="黑体" w:cs="Times New Roman"/>
          <w:color w:val="auto"/>
          <w:sz w:val="24"/>
          <w:highlight w:val="none"/>
        </w:rPr>
      </w:pPr>
      <w:bookmarkStart w:id="73" w:name="_Toc25475"/>
      <w:r>
        <w:rPr>
          <w:rFonts w:hint="eastAsia" w:ascii="Times New Roman" w:hAnsi="Times New Roman" w:eastAsia="黑体" w:cs="Times New Roman"/>
          <w:color w:val="auto"/>
          <w:sz w:val="24"/>
          <w:highlight w:val="none"/>
        </w:rPr>
        <w:t>2.</w:t>
      </w:r>
      <w:r>
        <w:rPr>
          <w:rFonts w:hint="eastAsia" w:eastAsia="黑体" w:cs="Times New Roman"/>
          <w:color w:val="auto"/>
          <w:sz w:val="24"/>
          <w:highlight w:val="none"/>
          <w:lang w:val="en-US" w:eastAsia="zh-CN"/>
        </w:rPr>
        <w:t>4</w:t>
      </w:r>
      <w:r>
        <w:rPr>
          <w:rFonts w:hint="eastAsia" w:ascii="Times New Roman" w:hAnsi="Times New Roman" w:eastAsia="黑体" w:cs="Times New Roman"/>
          <w:color w:val="auto"/>
          <w:sz w:val="24"/>
          <w:highlight w:val="none"/>
        </w:rPr>
        <w:t xml:space="preserve"> 项目工程分析</w:t>
      </w:r>
      <w:bookmarkEnd w:id="73"/>
    </w:p>
    <w:p>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2"/>
        <w:rPr>
          <w:rFonts w:ascii="黑体" w:hAnsi="黑体" w:eastAsia="黑体"/>
          <w:color w:val="auto"/>
          <w:sz w:val="24"/>
          <w:highlight w:val="none"/>
        </w:rPr>
      </w:pPr>
      <w:r>
        <w:rPr>
          <w:rFonts w:hint="eastAsia" w:ascii="黑体" w:hAnsi="黑体" w:eastAsia="黑体"/>
          <w:color w:val="auto"/>
          <w:sz w:val="24"/>
          <w:highlight w:val="none"/>
        </w:rPr>
        <w:t>2.</w:t>
      </w:r>
      <w:r>
        <w:rPr>
          <w:rFonts w:hint="eastAsia" w:ascii="黑体" w:hAnsi="黑体" w:eastAsia="黑体"/>
          <w:color w:val="auto"/>
          <w:sz w:val="24"/>
          <w:highlight w:val="none"/>
          <w:lang w:val="en-US" w:eastAsia="zh-CN"/>
        </w:rPr>
        <w:t>4</w:t>
      </w:r>
      <w:r>
        <w:rPr>
          <w:rFonts w:hint="eastAsia" w:ascii="黑体" w:hAnsi="黑体" w:eastAsia="黑体"/>
          <w:color w:val="auto"/>
          <w:sz w:val="24"/>
          <w:highlight w:val="none"/>
        </w:rPr>
        <w:t>.1项目生产工艺流程</w:t>
      </w:r>
    </w:p>
    <w:p>
      <w:pPr>
        <w:adjustRightInd w:val="0"/>
        <w:snapToGrid w:val="0"/>
        <w:spacing w:line="360" w:lineRule="auto"/>
        <w:ind w:firstLine="488" w:firstLineChars="200"/>
        <w:rPr>
          <w:rFonts w:hint="eastAsia" w:eastAsia="宋体"/>
          <w:color w:val="auto"/>
          <w:sz w:val="24"/>
          <w:highlight w:val="none"/>
          <w:lang w:eastAsia="zh-CN"/>
        </w:rPr>
      </w:pPr>
      <w:r>
        <w:rPr>
          <w:color w:val="auto"/>
          <w:spacing w:val="2"/>
          <w:kern w:val="0"/>
          <w:sz w:val="24"/>
          <w:szCs w:val="21"/>
          <w:highlight w:val="none"/>
        </w:rPr>
        <w:t>本项目租赁</w:t>
      </w:r>
      <w:r>
        <w:rPr>
          <w:rFonts w:hint="eastAsia"/>
          <w:color w:val="auto"/>
          <w:spacing w:val="2"/>
          <w:kern w:val="0"/>
          <w:sz w:val="24"/>
          <w:szCs w:val="21"/>
          <w:highlight w:val="none"/>
          <w:lang w:val="en-US" w:eastAsia="zh-CN"/>
        </w:rPr>
        <w:t>电镀园区1#楼</w:t>
      </w:r>
      <w:r>
        <w:rPr>
          <w:color w:val="auto"/>
          <w:spacing w:val="2"/>
          <w:kern w:val="0"/>
          <w:sz w:val="24"/>
          <w:szCs w:val="21"/>
          <w:highlight w:val="none"/>
        </w:rPr>
        <w:t>、</w:t>
      </w:r>
      <w:r>
        <w:rPr>
          <w:rFonts w:hint="eastAsia"/>
          <w:color w:val="auto"/>
          <w:spacing w:val="2"/>
          <w:kern w:val="0"/>
          <w:sz w:val="24"/>
          <w:szCs w:val="21"/>
          <w:highlight w:val="none"/>
          <w:lang w:val="en-US" w:eastAsia="zh-CN"/>
        </w:rPr>
        <w:t>3</w:t>
      </w:r>
      <w:r>
        <w:rPr>
          <w:color w:val="auto"/>
          <w:spacing w:val="2"/>
          <w:kern w:val="0"/>
          <w:sz w:val="24"/>
          <w:szCs w:val="21"/>
          <w:highlight w:val="none"/>
        </w:rPr>
        <w:t>#</w:t>
      </w:r>
      <w:r>
        <w:rPr>
          <w:rFonts w:hint="eastAsia"/>
          <w:color w:val="auto"/>
          <w:spacing w:val="2"/>
          <w:kern w:val="0"/>
          <w:sz w:val="24"/>
          <w:szCs w:val="21"/>
          <w:highlight w:val="none"/>
          <w:lang w:val="en-US" w:eastAsia="zh-CN"/>
        </w:rPr>
        <w:t>楼</w:t>
      </w:r>
      <w:r>
        <w:rPr>
          <w:color w:val="auto"/>
          <w:spacing w:val="2"/>
          <w:kern w:val="0"/>
          <w:sz w:val="24"/>
          <w:szCs w:val="21"/>
          <w:highlight w:val="none"/>
        </w:rPr>
        <w:t>、</w:t>
      </w:r>
      <w:r>
        <w:rPr>
          <w:rFonts w:hint="eastAsia"/>
          <w:color w:val="auto"/>
          <w:spacing w:val="2"/>
          <w:kern w:val="0"/>
          <w:sz w:val="24"/>
          <w:szCs w:val="21"/>
          <w:highlight w:val="none"/>
          <w:lang w:val="en-US" w:eastAsia="zh-CN"/>
        </w:rPr>
        <w:t>4</w:t>
      </w:r>
      <w:r>
        <w:rPr>
          <w:color w:val="auto"/>
          <w:spacing w:val="2"/>
          <w:kern w:val="0"/>
          <w:sz w:val="24"/>
          <w:szCs w:val="21"/>
          <w:highlight w:val="none"/>
        </w:rPr>
        <w:t>#</w:t>
      </w:r>
      <w:r>
        <w:rPr>
          <w:rFonts w:hint="eastAsia"/>
          <w:color w:val="auto"/>
          <w:spacing w:val="2"/>
          <w:kern w:val="0"/>
          <w:sz w:val="24"/>
          <w:szCs w:val="21"/>
          <w:highlight w:val="none"/>
          <w:lang w:val="en-US" w:eastAsia="zh-CN"/>
        </w:rPr>
        <w:t>楼</w:t>
      </w:r>
      <w:r>
        <w:rPr>
          <w:color w:val="auto"/>
          <w:spacing w:val="2"/>
          <w:kern w:val="0"/>
          <w:sz w:val="24"/>
          <w:szCs w:val="21"/>
          <w:highlight w:val="none"/>
        </w:rPr>
        <w:t>车间从事电镀表面处理加工</w:t>
      </w:r>
      <w:r>
        <w:rPr>
          <w:color w:val="auto"/>
          <w:sz w:val="24"/>
          <w:highlight w:val="none"/>
        </w:rPr>
        <w:t>，不进行工件生产。</w:t>
      </w:r>
      <w:r>
        <w:rPr>
          <w:rFonts w:hint="eastAsia"/>
          <w:color w:val="auto"/>
          <w:sz w:val="24"/>
          <w:highlight w:val="none"/>
          <w:lang w:val="en-US" w:eastAsia="zh-CN"/>
        </w:rPr>
        <w:t>布设1条挂镀锡线，1条滚镀锡线，1条电镀银线，1条挂镀碱锌线，1条挂镀酸锌线，3条滚镀碱锌线，1条电镀综合线(铜、镍、铬)线</w:t>
      </w:r>
      <w:r>
        <w:rPr>
          <w:rFonts w:hint="eastAsia"/>
          <w:color w:val="auto"/>
          <w:sz w:val="24"/>
          <w:highlight w:val="none"/>
        </w:rPr>
        <w:t>工艺</w:t>
      </w:r>
      <w:r>
        <w:rPr>
          <w:rFonts w:hint="eastAsia"/>
          <w:color w:val="auto"/>
          <w:sz w:val="24"/>
          <w:highlight w:val="none"/>
          <w:lang w:eastAsia="zh-CN"/>
        </w:rPr>
        <w:t>。</w:t>
      </w:r>
    </w:p>
    <w:p>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电镀工艺原理：电镀就是利用电解原理在某些金属表面上镀上一薄层其它金属或合金的过程。电镀时，镀层金属或其他不溶性材料做阳极，待镀的工件做阴极，镀层金属的阳离子在待镀工件表面被还原形成镀层。为排除其它阳离子的干扰，且使镀层均匀、牢固，需用含镀层金属阳离子的溶液做电镀液，以保持镀层金属阳离子的浓度不变。电镀的目的是在基材上镀上金属镀层，改变基材表面性质或尺寸。电镀是利用电解作用使金属或其它材料制件的表面附着一层金属膜的工艺从而起到防止金属氧化</w:t>
      </w:r>
      <w:r>
        <w:rPr>
          <w:rFonts w:hint="eastAsia"/>
          <w:color w:val="auto"/>
          <w:sz w:val="24"/>
          <w:highlight w:val="none"/>
          <w:lang w:eastAsia="zh-CN"/>
        </w:rPr>
        <w:t>(</w:t>
      </w:r>
      <w:r>
        <w:rPr>
          <w:rFonts w:hint="eastAsia"/>
          <w:color w:val="auto"/>
          <w:sz w:val="24"/>
          <w:highlight w:val="none"/>
        </w:rPr>
        <w:t>如锈蚀</w:t>
      </w:r>
      <w:r>
        <w:rPr>
          <w:rFonts w:hint="eastAsia"/>
          <w:color w:val="auto"/>
          <w:sz w:val="24"/>
          <w:highlight w:val="none"/>
          <w:lang w:eastAsia="zh-CN"/>
        </w:rPr>
        <w:t>)</w:t>
      </w:r>
      <w:r>
        <w:rPr>
          <w:rFonts w:hint="eastAsia"/>
          <w:color w:val="auto"/>
          <w:sz w:val="24"/>
          <w:highlight w:val="none"/>
        </w:rPr>
        <w:t>，提高耐磨性、导电性、反光性、抗腐蚀性及增进美观等作用。</w:t>
      </w:r>
    </w:p>
    <w:p>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电镀工艺一般包括前处理工序、电镀工序以及后处理工序三个阶段。每条生产线生产工艺根据镀件的精细程度及客户对产品的不同要求略有不同。车间不设退镀区，镀锌生产线产生的不合格品下料后集中收集，经酸洗等工序后重新进行电镀。</w:t>
      </w:r>
    </w:p>
    <w:p>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1、镀锌</w:t>
      </w:r>
    </w:p>
    <w:p>
      <w:pPr>
        <w:adjustRightInd w:val="0"/>
        <w:snapToGrid w:val="0"/>
        <w:spacing w:line="360" w:lineRule="auto"/>
        <w:ind w:firstLine="480" w:firstLineChars="200"/>
        <w:rPr>
          <w:rFonts w:hint="eastAsia"/>
          <w:color w:val="auto"/>
          <w:sz w:val="24"/>
          <w:highlight w:val="none"/>
        </w:rPr>
      </w:pPr>
      <w:r>
        <w:rPr>
          <w:rFonts w:hint="eastAsia"/>
          <w:color w:val="auto"/>
          <w:sz w:val="24"/>
          <w:highlight w:val="none"/>
          <w:lang w:eastAsia="zh-CN"/>
        </w:rPr>
        <w:t>本项目镀锌包括氯化钾镀锌(酸锌)和锌酸盐镀锌(碱锌)，镀锌槽配方不同，但工艺流程大致相同：</w:t>
      </w:r>
    </w:p>
    <w:p>
      <w:pPr>
        <w:adjustRightInd w:val="0"/>
        <w:snapToGrid w:val="0"/>
        <w:spacing w:line="360" w:lineRule="auto"/>
        <w:ind w:firstLine="480" w:firstLineChars="200"/>
        <w:rPr>
          <w:rFonts w:hint="eastAsia"/>
          <w:color w:val="auto"/>
          <w:sz w:val="24"/>
          <w:highlight w:val="none"/>
          <w:lang w:eastAsia="zh-CN"/>
        </w:rPr>
      </w:pPr>
      <w:r>
        <w:rPr>
          <w:rFonts w:hint="eastAsia"/>
          <w:color w:val="auto"/>
          <w:sz w:val="24"/>
          <w:highlight w:val="none"/>
        </w:rPr>
        <w:t>金属件→</w:t>
      </w:r>
      <w:r>
        <w:rPr>
          <w:rFonts w:hint="eastAsia"/>
          <w:color w:val="auto"/>
          <w:sz w:val="24"/>
          <w:highlight w:val="none"/>
          <w:lang w:val="en-US" w:eastAsia="zh-CN"/>
        </w:rPr>
        <w:t>化学/电解</w:t>
      </w:r>
      <w:r>
        <w:rPr>
          <w:rFonts w:hint="eastAsia"/>
          <w:color w:val="auto"/>
          <w:sz w:val="24"/>
          <w:highlight w:val="none"/>
        </w:rPr>
        <w:t>去油→</w:t>
      </w:r>
      <w:r>
        <w:rPr>
          <w:rFonts w:hint="eastAsia"/>
          <w:color w:val="auto"/>
          <w:sz w:val="24"/>
          <w:highlight w:val="none"/>
          <w:lang w:val="en-US" w:eastAsia="zh-CN"/>
        </w:rPr>
        <w:t>2</w:t>
      </w:r>
      <w:r>
        <w:rPr>
          <w:rFonts w:hint="eastAsia"/>
          <w:color w:val="auto"/>
          <w:sz w:val="24"/>
          <w:highlight w:val="none"/>
          <w:lang w:eastAsia="zh-CN"/>
        </w:rPr>
        <w:t>-</w:t>
      </w:r>
      <w:r>
        <w:rPr>
          <w:rFonts w:hint="eastAsia"/>
          <w:color w:val="auto"/>
          <w:sz w:val="24"/>
          <w:highlight w:val="none"/>
        </w:rPr>
        <w:t>4道水洗→酸洗→</w:t>
      </w:r>
      <w:r>
        <w:rPr>
          <w:rFonts w:hint="eastAsia"/>
          <w:color w:val="auto"/>
          <w:sz w:val="24"/>
          <w:highlight w:val="none"/>
          <w:lang w:val="en-US" w:eastAsia="zh-CN"/>
        </w:rPr>
        <w:t>1-2</w:t>
      </w:r>
      <w:r>
        <w:rPr>
          <w:rFonts w:hint="eastAsia"/>
          <w:color w:val="auto"/>
          <w:sz w:val="24"/>
          <w:highlight w:val="none"/>
        </w:rPr>
        <w:t>道水洗→镀锌</w:t>
      </w:r>
      <w:r>
        <w:rPr>
          <w:rFonts w:hint="eastAsia"/>
          <w:color w:val="auto"/>
          <w:sz w:val="24"/>
          <w:highlight w:val="none"/>
          <w:lang w:eastAsia="zh-CN"/>
        </w:rPr>
        <w:t>(酸锌/碱锌，带回收)</w:t>
      </w:r>
      <w:r>
        <w:rPr>
          <w:rFonts w:hint="eastAsia"/>
          <w:color w:val="auto"/>
          <w:sz w:val="24"/>
          <w:highlight w:val="none"/>
        </w:rPr>
        <w:t>→</w:t>
      </w:r>
      <w:r>
        <w:rPr>
          <w:rFonts w:hint="eastAsia"/>
          <w:color w:val="auto"/>
          <w:sz w:val="24"/>
          <w:highlight w:val="none"/>
          <w:lang w:eastAsia="zh-CN"/>
        </w:rPr>
        <w:t>2</w:t>
      </w:r>
      <w:r>
        <w:rPr>
          <w:rFonts w:hint="eastAsia"/>
          <w:color w:val="auto"/>
          <w:sz w:val="24"/>
          <w:highlight w:val="none"/>
          <w:lang w:val="en-US" w:eastAsia="zh-CN"/>
        </w:rPr>
        <w:t>-4</w:t>
      </w:r>
      <w:r>
        <w:rPr>
          <w:rFonts w:hint="eastAsia"/>
          <w:color w:val="auto"/>
          <w:sz w:val="24"/>
          <w:highlight w:val="none"/>
        </w:rPr>
        <w:t>道水洗→出光→1道水洗→三价铬钝化→</w:t>
      </w:r>
      <w:r>
        <w:rPr>
          <w:rFonts w:hint="eastAsia"/>
          <w:color w:val="auto"/>
          <w:sz w:val="24"/>
          <w:highlight w:val="none"/>
          <w:lang w:val="en-US" w:eastAsia="zh-CN"/>
        </w:rPr>
        <w:t>1-2</w:t>
      </w:r>
      <w:r>
        <w:rPr>
          <w:rFonts w:hint="eastAsia"/>
          <w:color w:val="auto"/>
          <w:sz w:val="24"/>
          <w:highlight w:val="none"/>
        </w:rPr>
        <w:t>道水洗→封闭→甩干→烘干→成品</w:t>
      </w:r>
      <w:r>
        <w:rPr>
          <w:rFonts w:hint="eastAsia"/>
          <w:color w:val="auto"/>
          <w:sz w:val="24"/>
          <w:highlight w:val="none"/>
          <w:lang w:eastAsia="zh-CN"/>
        </w:rPr>
        <w:t>。</w:t>
      </w:r>
    </w:p>
    <w:p>
      <w:pPr>
        <w:adjustRightInd w:val="0"/>
        <w:snapToGrid w:val="0"/>
        <w:spacing w:line="360" w:lineRule="auto"/>
        <w:ind w:firstLine="480" w:firstLineChars="200"/>
        <w:rPr>
          <w:rFonts w:hint="eastAsia"/>
          <w:color w:val="auto"/>
          <w:sz w:val="24"/>
          <w:highlight w:val="none"/>
          <w:lang w:eastAsia="zh-CN"/>
        </w:rPr>
      </w:pPr>
      <w:r>
        <w:rPr>
          <w:rFonts w:hint="eastAsia"/>
          <w:color w:val="auto"/>
          <w:sz w:val="24"/>
          <w:highlight w:val="none"/>
          <w:lang w:eastAsia="zh-CN"/>
        </w:rPr>
        <w:t>碱锌工艺首先采用溶锌槽将锌锭溶解，具体操作为：</w:t>
      </w:r>
      <w:r>
        <w:rPr>
          <w:rFonts w:hint="eastAsia"/>
          <w:color w:val="auto"/>
          <w:sz w:val="24"/>
          <w:highlight w:val="none"/>
        </w:rPr>
        <w:t>首先采用溶锌槽将锌锭与氢氧化钠溶解，溶锌槽通过外盖塑胶管道及泵与无氰碱性镀锌槽相连，生产时，通过过滤机将溶锌槽中的富锌溶液持续不断的输入到镀锌槽中，镀锌槽槽液成分主要有氢氧化钠，Zn</w:t>
      </w:r>
      <w:r>
        <w:rPr>
          <w:rFonts w:hint="eastAsia"/>
          <w:color w:val="auto"/>
          <w:sz w:val="24"/>
          <w:highlight w:val="none"/>
          <w:vertAlign w:val="superscript"/>
        </w:rPr>
        <w:t>2+</w:t>
      </w:r>
      <w:r>
        <w:rPr>
          <w:rFonts w:hint="eastAsia"/>
          <w:color w:val="auto"/>
          <w:sz w:val="24"/>
          <w:highlight w:val="none"/>
        </w:rPr>
        <w:t>、光亮剂、极板为铁板，温度为常温。</w:t>
      </w:r>
    </w:p>
    <w:p>
      <w:pPr>
        <w:spacing w:line="372" w:lineRule="auto"/>
        <w:jc w:val="center"/>
        <w:rPr>
          <w:rFonts w:eastAsia="黑体"/>
          <w:bCs/>
          <w:color w:val="auto"/>
          <w:sz w:val="24"/>
          <w:highlight w:val="none"/>
        </w:rPr>
      </w:pPr>
      <w:r>
        <w:rPr>
          <w:rFonts w:eastAsia="黑体"/>
          <w:bCs/>
          <w:color w:val="auto"/>
          <w:sz w:val="24"/>
          <w:highlight w:val="none"/>
        </w:rPr>
        <w:pict>
          <v:group id="_x0000_s2116" o:spid="_x0000_s2116" o:spt="203" style="height:540.6pt;width:414.6pt;" coordorigin="1418,1418" coordsize="8291,10812" editas="canvas">
            <o:lock v:ext="edit"/>
            <v:shape id="_x0000_s2051" o:spid="_x0000_s2051" o:spt="75" type="#_x0000_t75" style="position:absolute;left:1418;top:1418;height:10812;width:8291;" filled="f" stroked="f" coordsize="21600,21600">
              <v:path/>
              <v:fill on="f" focussize="0,0"/>
              <v:stroke on="f"/>
              <v:imagedata o:title=""/>
              <o:lock v:ext="edit" rotation="t" text="t" aspectratio="t"/>
            </v:shape>
            <v:shape id="_x0000_s2117" o:spid="_x0000_s2117" o:spt="202" type="#_x0000_t202" style="position:absolute;left:4337;top:1767;height:465;width:1531;" filled="f" stroked="f" coordsize="21600,21600">
              <v:path/>
              <v:fill on="f" focussize="0,0"/>
              <v:stroke on="f"/>
              <v:imagedata o:title=""/>
              <o:lock v:ext="edit" aspectratio="f"/>
              <v:textbox>
                <w:txbxContent>
                  <w:p>
                    <w:pPr>
                      <w:jc w:val="center"/>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sz w:val="20"/>
                      </w:rPr>
                      <w:t>金属制品上件</w:t>
                    </w:r>
                  </w:p>
                </w:txbxContent>
              </v:textbox>
            </v:shape>
            <v:shape id="_x0000_s2118" o:spid="_x0000_s2118" o:spt="202" type="#_x0000_t202" style="position:absolute;left:4343;top:2310;height:465;width:1617;" fillcolor="#FFFFFF" filled="t" stroked="t" coordsize="21600,21600">
              <v:path/>
              <v:fill on="t" color2="#FFFFFF" focussize="0,0"/>
              <v:stroke color="#000000" joinstyle="miter"/>
              <v:imagedata o:title=""/>
              <o:lock v:ext="edit" aspectratio="f"/>
              <v:textbox>
                <w:txbxContent>
                  <w:p>
                    <w:pPr>
                      <w:snapToGrid w:val="0"/>
                      <w:jc w:val="center"/>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sz w:val="20"/>
                        <w:lang w:val="en-US" w:eastAsia="zh-CN"/>
                      </w:rPr>
                      <w:t>化学/电解</w:t>
                    </w:r>
                    <w:r>
                      <w:rPr>
                        <w:rFonts w:hint="eastAsia" w:asciiTheme="minorEastAsia" w:hAnsiTheme="minorEastAsia" w:eastAsiaTheme="minorEastAsia" w:cstheme="minorEastAsia"/>
                        <w:sz w:val="20"/>
                      </w:rPr>
                      <w:t>去油</w:t>
                    </w:r>
                  </w:p>
                </w:txbxContent>
              </v:textbox>
            </v:shape>
            <v:shape id="_x0000_s2119" o:spid="_x0000_s2119" o:spt="202" type="#_x0000_t202" style="position:absolute;left:4470;top:2975;height:465;width:1336;" fillcolor="#FFFFFF" filled="t" stroked="t" coordsize="21600,21600">
              <v:path/>
              <v:fill on="t" color2="#FFFFFF" focussize="0,0"/>
              <v:stroke color="#000000" joinstyle="miter"/>
              <v:imagedata o:title=""/>
              <o:lock v:ext="edit" aspectratio="f"/>
              <v:textbox>
                <w:txbxContent>
                  <w:p>
                    <w:pPr>
                      <w:jc w:val="center"/>
                      <w:rPr>
                        <w:sz w:val="20"/>
                      </w:rPr>
                    </w:pPr>
                    <w:r>
                      <w:rPr>
                        <w:rFonts w:hint="eastAsia"/>
                        <w:sz w:val="20"/>
                        <w:lang w:val="en-US" w:eastAsia="zh-CN"/>
                      </w:rPr>
                      <w:t>2-4</w:t>
                    </w:r>
                    <w:r>
                      <w:rPr>
                        <w:rFonts w:hint="eastAsia"/>
                        <w:sz w:val="20"/>
                      </w:rPr>
                      <w:t>道水洗</w:t>
                    </w:r>
                  </w:p>
                </w:txbxContent>
              </v:textbox>
            </v:shape>
            <v:shape id="_x0000_s2120" o:spid="_x0000_s2120" o:spt="202" type="#_x0000_t202" style="position:absolute;left:4469;top:3695;height:465;width:1336;" fillcolor="#FFFFFF" filled="t" stroked="t" coordsize="21600,21600">
              <v:path/>
              <v:fill on="t" color2="#FFFFFF" focussize="0,0"/>
              <v:stroke color="#000000" joinstyle="miter"/>
              <v:imagedata o:title=""/>
              <o:lock v:ext="edit" aspectratio="f"/>
              <v:textbox>
                <w:txbxContent>
                  <w:p>
                    <w:pPr>
                      <w:jc w:val="center"/>
                      <w:rPr>
                        <w:sz w:val="20"/>
                      </w:rPr>
                    </w:pPr>
                    <w:r>
                      <w:rPr>
                        <w:rFonts w:hint="eastAsia"/>
                        <w:sz w:val="20"/>
                      </w:rPr>
                      <w:t>酸洗</w:t>
                    </w:r>
                  </w:p>
                </w:txbxContent>
              </v:textbox>
            </v:shape>
            <v:shape id="_x0000_s2121" o:spid="_x0000_s2121" o:spt="202" type="#_x0000_t202" style="position:absolute;left:4469;top:4358;height:465;width:1336;" fillcolor="#FFFFFF" filled="t" stroked="t" coordsize="21600,21600">
              <v:path/>
              <v:fill on="t" color2="#FFFFFF" focussize="0,0"/>
              <v:stroke color="#000000" joinstyle="miter"/>
              <v:imagedata o:title=""/>
              <o:lock v:ext="edit" aspectratio="f"/>
              <v:textbox>
                <w:txbxContent>
                  <w:p>
                    <w:pPr>
                      <w:jc w:val="center"/>
                      <w:rPr>
                        <w:sz w:val="20"/>
                      </w:rPr>
                    </w:pPr>
                    <w:r>
                      <w:rPr>
                        <w:rFonts w:hint="eastAsia"/>
                        <w:sz w:val="20"/>
                        <w:lang w:val="en-US" w:eastAsia="zh-CN"/>
                      </w:rPr>
                      <w:t>1-</w:t>
                    </w:r>
                    <w:r>
                      <w:rPr>
                        <w:rFonts w:hint="eastAsia"/>
                        <w:sz w:val="20"/>
                      </w:rPr>
                      <w:t>2道水洗</w:t>
                    </w:r>
                  </w:p>
                </w:txbxContent>
              </v:textbox>
            </v:shape>
            <v:shape id="_x0000_s2122" o:spid="_x0000_s2122" o:spt="202" type="#_x0000_t202" style="position:absolute;left:3024;top:5265;height:391;width:1055;" fillcolor="#FFFFFF" filled="t" stroked="t" coordsize="21600,21600">
              <v:path/>
              <v:fill on="t" color2="#FFFFFF" focussize="0,0"/>
              <v:stroke color="#000000" joinstyle="miter"/>
              <v:imagedata o:title=""/>
              <o:lock v:ext="edit" aspectratio="f"/>
              <v:textbox>
                <w:txbxContent>
                  <w:p>
                    <w:pPr>
                      <w:jc w:val="center"/>
                      <w:rPr>
                        <w:sz w:val="20"/>
                      </w:rPr>
                    </w:pPr>
                    <w:r>
                      <w:rPr>
                        <w:rFonts w:hint="eastAsia"/>
                        <w:sz w:val="20"/>
                      </w:rPr>
                      <w:t>镀</w:t>
                    </w:r>
                    <w:r>
                      <w:rPr>
                        <w:rFonts w:hint="eastAsia"/>
                        <w:sz w:val="20"/>
                        <w:lang w:val="en-US" w:eastAsia="zh-CN"/>
                      </w:rPr>
                      <w:t>酸</w:t>
                    </w:r>
                    <w:r>
                      <w:rPr>
                        <w:rFonts w:hint="eastAsia"/>
                        <w:sz w:val="20"/>
                      </w:rPr>
                      <w:t>锌</w:t>
                    </w:r>
                  </w:p>
                </w:txbxContent>
              </v:textbox>
            </v:shape>
            <v:shape id="_x0000_s2123" o:spid="_x0000_s2123" o:spt="202" type="#_x0000_t202" style="position:absolute;left:4488;top:6398;height:465;width:1336;" fillcolor="#FFFFFF" filled="t" stroked="t" coordsize="21600,21600">
              <v:path/>
              <v:fill on="t" color2="#FFFFFF" focussize="0,0"/>
              <v:stroke color="#000000" joinstyle="miter"/>
              <v:imagedata o:title=""/>
              <o:lock v:ext="edit" aspectratio="f"/>
              <v:textbox>
                <w:txbxContent>
                  <w:p>
                    <w:pPr>
                      <w:jc w:val="center"/>
                      <w:rPr>
                        <w:sz w:val="20"/>
                      </w:rPr>
                    </w:pPr>
                    <w:r>
                      <w:rPr>
                        <w:rFonts w:hint="eastAsia"/>
                        <w:sz w:val="20"/>
                        <w:lang w:val="en-US" w:eastAsia="zh-CN"/>
                      </w:rPr>
                      <w:t>2-4</w:t>
                    </w:r>
                    <w:r>
                      <w:rPr>
                        <w:rFonts w:hint="eastAsia"/>
                        <w:sz w:val="20"/>
                      </w:rPr>
                      <w:t>道水洗</w:t>
                    </w:r>
                  </w:p>
                </w:txbxContent>
              </v:textbox>
            </v:shape>
            <v:shape id="_x0000_s2124" o:spid="_x0000_s2124" o:spt="202" type="#_x0000_t202" style="position:absolute;left:4473;top:7080;height:447;width:1336;" fillcolor="#FFFFFF" filled="t" stroked="t" coordsize="21600,21600">
              <v:path/>
              <v:fill on="t" color2="#FFFFFF" focussize="0,0"/>
              <v:stroke color="#000000" joinstyle="miter"/>
              <v:imagedata o:title=""/>
              <o:lock v:ext="edit" aspectratio="f"/>
              <v:textbox>
                <w:txbxContent>
                  <w:p>
                    <w:pPr>
                      <w:jc w:val="center"/>
                      <w:rPr>
                        <w:rFonts w:hint="eastAsia" w:eastAsia="宋体"/>
                        <w:sz w:val="20"/>
                        <w:lang w:val="en-US" w:eastAsia="zh-CN"/>
                      </w:rPr>
                    </w:pPr>
                    <w:r>
                      <w:rPr>
                        <w:rFonts w:hint="eastAsia"/>
                        <w:sz w:val="20"/>
                        <w:lang w:val="en-US" w:eastAsia="zh-CN"/>
                      </w:rPr>
                      <w:t>出光</w:t>
                    </w:r>
                  </w:p>
                </w:txbxContent>
              </v:textbox>
            </v:shape>
            <v:shape id="_x0000_s2125" o:spid="_x0000_s2125" o:spt="202" type="#_x0000_t202" style="position:absolute;left:4526;top:7762;height:465;width:1336;" fillcolor="#FFFFFF" filled="t" stroked="t" coordsize="21600,21600">
              <v:path/>
              <v:fill on="t" color2="#FFFFFF" focussize="0,0"/>
              <v:stroke color="#000000" joinstyle="miter"/>
              <v:imagedata o:title=""/>
              <o:lock v:ext="edit" aspectratio="f"/>
              <v:textbox>
                <w:txbxContent>
                  <w:p>
                    <w:pPr>
                      <w:jc w:val="center"/>
                      <w:rPr>
                        <w:sz w:val="20"/>
                      </w:rPr>
                    </w:pPr>
                    <w:r>
                      <w:rPr>
                        <w:rFonts w:hint="eastAsia"/>
                        <w:sz w:val="20"/>
                      </w:rPr>
                      <w:t>1道水洗</w:t>
                    </w:r>
                  </w:p>
                </w:txbxContent>
              </v:textbox>
            </v:shape>
            <v:shape id="_x0000_s2126" o:spid="_x0000_s2126" o:spt="202" type="#_x0000_t202" style="position:absolute;left:4418;top:8425;height:465;width:1561;" fillcolor="#FFFFFF" filled="t" stroked="t" coordsize="21600,21600">
              <v:path/>
              <v:fill on="t" color2="#FFFFFF" focussize="0,0"/>
              <v:stroke color="#000000" joinstyle="miter"/>
              <v:imagedata o:title=""/>
              <o:lock v:ext="edit" aspectratio="f"/>
              <v:textbox>
                <w:txbxContent>
                  <w:p>
                    <w:pPr>
                      <w:jc w:val="center"/>
                      <w:rPr>
                        <w:sz w:val="20"/>
                      </w:rPr>
                    </w:pPr>
                    <w:r>
                      <w:rPr>
                        <w:rFonts w:hint="eastAsia"/>
                        <w:sz w:val="20"/>
                        <w:lang w:val="en-US" w:eastAsia="zh-CN"/>
                      </w:rPr>
                      <w:t>蓝白/彩色</w:t>
                    </w:r>
                    <w:r>
                      <w:rPr>
                        <w:rFonts w:hint="eastAsia"/>
                        <w:sz w:val="20"/>
                      </w:rPr>
                      <w:t>钝化</w:t>
                    </w:r>
                  </w:p>
                  <w:p>
                    <w:pPr>
                      <w:rPr>
                        <w:rFonts w:hint="eastAsia"/>
                        <w:lang w:val="en-US" w:eastAsia="zh-CN"/>
                      </w:rPr>
                    </w:pPr>
                  </w:p>
                </w:txbxContent>
              </v:textbox>
            </v:shape>
            <v:shape id="_x0000_s2127" o:spid="_x0000_s2127" o:spt="202" type="#_x0000_t202" style="position:absolute;left:4526;top:9105;height:465;width:1336;" fillcolor="#FFFFFF" filled="t" stroked="t" coordsize="21600,21600">
              <v:path/>
              <v:fill on="t" color2="#FFFFFF" focussize="0,0"/>
              <v:stroke color="#000000" joinstyle="miter"/>
              <v:imagedata o:title=""/>
              <o:lock v:ext="edit" aspectratio="f"/>
              <v:textbox>
                <w:txbxContent>
                  <w:p>
                    <w:pPr>
                      <w:jc w:val="center"/>
                      <w:rPr>
                        <w:rFonts w:hint="eastAsia" w:eastAsia="宋体"/>
                        <w:sz w:val="20"/>
                        <w:lang w:val="en-US" w:eastAsia="zh-CN"/>
                      </w:rPr>
                    </w:pPr>
                    <w:r>
                      <w:rPr>
                        <w:rFonts w:hint="eastAsia"/>
                        <w:sz w:val="20"/>
                      </w:rPr>
                      <w:t>1</w:t>
                    </w:r>
                    <w:r>
                      <w:rPr>
                        <w:rFonts w:hint="eastAsia"/>
                        <w:sz w:val="20"/>
                        <w:lang w:val="en-US" w:eastAsia="zh-CN"/>
                      </w:rPr>
                      <w:t>-2</w:t>
                    </w:r>
                    <w:r>
                      <w:rPr>
                        <w:rFonts w:hint="eastAsia"/>
                        <w:sz w:val="20"/>
                      </w:rPr>
                      <w:t>道</w:t>
                    </w:r>
                    <w:r>
                      <w:rPr>
                        <w:rFonts w:hint="eastAsia"/>
                        <w:sz w:val="20"/>
                        <w:lang w:val="en-US" w:eastAsia="zh-CN"/>
                      </w:rPr>
                      <w:t>水洗</w:t>
                    </w:r>
                  </w:p>
                </w:txbxContent>
              </v:textbox>
            </v:shape>
            <v:shape id="_x0000_s2128" o:spid="_x0000_s2128" o:spt="32" type="#_x0000_t32" style="position:absolute;left:5118;top:4829;height:230;width:1;" filled="f" stroked="t" coordsize="21600,21600">
              <v:path arrowok="t"/>
              <v:fill on="f" focussize="0,0"/>
              <v:stroke color="#000000" endarrow="block"/>
              <v:imagedata o:title=""/>
              <o:lock v:ext="edit" aspectratio="f"/>
            </v:shape>
            <v:shape id="_x0000_s2129" o:spid="_x0000_s2129" o:spt="202" type="#_x0000_t202" style="position:absolute;left:4526;top:9807;height:447;width:1336;" fillcolor="#FFFFFF" filled="t" stroked="t" coordsize="21600,21600">
              <v:path/>
              <v:fill on="t" color2="#FFFFFF" focussize="0,0"/>
              <v:stroke color="#000000" joinstyle="miter"/>
              <v:imagedata o:title=""/>
              <o:lock v:ext="edit" aspectratio="f"/>
              <v:textbox>
                <w:txbxContent>
                  <w:p>
                    <w:pPr>
                      <w:jc w:val="center"/>
                      <w:rPr>
                        <w:rFonts w:hint="eastAsia" w:eastAsia="宋体"/>
                        <w:sz w:val="20"/>
                        <w:lang w:val="en-US" w:eastAsia="zh-CN"/>
                      </w:rPr>
                    </w:pPr>
                    <w:r>
                      <w:rPr>
                        <w:rFonts w:hint="eastAsia"/>
                        <w:sz w:val="20"/>
                        <w:lang w:val="en-US" w:eastAsia="zh-CN"/>
                      </w:rPr>
                      <w:t>热水洗</w:t>
                    </w:r>
                  </w:p>
                </w:txbxContent>
              </v:textbox>
            </v:shape>
            <v:shape id="_x0000_s2130" o:spid="_x0000_s2130" o:spt="32" type="#_x0000_t32" style="position:absolute;left:3900;top:2578;height:2;width:497;" filled="f" stroked="t" coordsize="21600,21600">
              <v:path arrowok="t"/>
              <v:fill on="f" focussize="0,0"/>
              <v:stroke color="#000000" endarrow="block"/>
              <v:imagedata o:title=""/>
              <o:lock v:ext="edit" aspectratio="f"/>
            </v:shape>
            <v:shape id="_x0000_s2131" o:spid="_x0000_s2131" o:spt="32" type="#_x0000_t32" style="position:absolute;left:5929;top:2542;height:1;width:571;" filled="f" stroked="t" coordsize="21600,21600">
              <v:path arrowok="t"/>
              <v:fill on="f" focussize="0,0"/>
              <v:stroke color="#000000" dashstyle="longDash" endarrow="block"/>
              <v:imagedata o:title=""/>
              <o:lock v:ext="edit" aspectratio="f"/>
            </v:shape>
            <v:shape id="_x0000_s2132" o:spid="_x0000_s2132" o:spt="202" type="#_x0000_t202" style="position:absolute;left:2700;top:2202;height:745;width:1531;" filled="f" stroked="f" coordsize="21600,21600">
              <v:path/>
              <v:fill on="f" focussize="0,0"/>
              <v:stroke on="f"/>
              <v:imagedata o:title=""/>
              <o:lock v:ext="edit" aspectratio="f"/>
              <v:textbox>
                <w:txbxContent>
                  <w:p>
                    <w:pPr>
                      <w:snapToGrid w:val="0"/>
                      <w:jc w:val="center"/>
                      <w:rPr>
                        <w:rFonts w:hint="eastAsia"/>
                        <w:sz w:val="20"/>
                        <w:lang w:val="en-US" w:eastAsia="zh-CN"/>
                      </w:rPr>
                    </w:pPr>
                    <w:r>
                      <w:rPr>
                        <w:rFonts w:hint="eastAsia"/>
                        <w:sz w:val="20"/>
                        <w:lang w:val="en-US" w:eastAsia="zh-CN"/>
                      </w:rPr>
                      <w:t>片碱</w:t>
                    </w:r>
                  </w:p>
                  <w:p>
                    <w:pPr>
                      <w:snapToGrid w:val="0"/>
                      <w:jc w:val="center"/>
                      <w:rPr>
                        <w:sz w:val="20"/>
                      </w:rPr>
                    </w:pPr>
                    <w:r>
                      <w:rPr>
                        <w:rFonts w:hint="eastAsia"/>
                        <w:sz w:val="20"/>
                      </w:rPr>
                      <w:t>去油剂</w:t>
                    </w:r>
                  </w:p>
                </w:txbxContent>
              </v:textbox>
            </v:shape>
            <v:shape id="_x0000_s2133" o:spid="_x0000_s2133" o:spt="32" type="#_x0000_t32" style="position:absolute;left:3917;top:3243;height:1;width:571;" filled="f" stroked="t" coordsize="21600,21600">
              <v:path arrowok="t"/>
              <v:fill on="f" focussize="0,0"/>
              <v:stroke color="#000000" endarrow="block"/>
              <v:imagedata o:title=""/>
              <o:lock v:ext="edit" aspectratio="f"/>
            </v:shape>
            <v:shape id="_x0000_s2134" o:spid="_x0000_s2134" o:spt="32" type="#_x0000_t32" style="position:absolute;left:3916;top:3974;height:1;width:571;" filled="f" stroked="t" coordsize="21600,21600">
              <v:path arrowok="t"/>
              <v:fill on="f" focussize="0,0"/>
              <v:stroke color="#000000" endarrow="block"/>
              <v:imagedata o:title=""/>
              <o:lock v:ext="edit" aspectratio="f"/>
            </v:shape>
            <v:shape id="_x0000_s2135" o:spid="_x0000_s2135" o:spt="32" type="#_x0000_t32" style="position:absolute;left:3936;top:4623;height:1;width:571;" filled="f" stroked="t" coordsize="21600,21600">
              <v:path arrowok="t"/>
              <v:fill on="f" focussize="0,0"/>
              <v:stroke color="#000000" endarrow="block"/>
              <v:imagedata o:title=""/>
              <o:lock v:ext="edit" aspectratio="f"/>
            </v:shape>
            <v:shape id="_x0000_s2136" o:spid="_x0000_s2136" o:spt="32" type="#_x0000_t32" style="position:absolute;left:2716;top:5460;height:7;width:340;" filled="f" stroked="t" coordsize="21600,21600">
              <v:path arrowok="t"/>
              <v:fill on="f" focussize="0,0"/>
              <v:stroke color="#000000" endarrow="block"/>
              <v:imagedata o:title=""/>
              <o:lock v:ext="edit" aspectratio="f"/>
            </v:shape>
            <v:shape id="_x0000_s2137" o:spid="_x0000_s2137" o:spt="32" type="#_x0000_t32" style="position:absolute;left:3936;top:6645;height:1;width:571;" filled="f" stroked="t" coordsize="21600,21600">
              <v:path arrowok="t"/>
              <v:fill on="f" focussize="0,0"/>
              <v:stroke color="#000000" endarrow="block"/>
              <v:imagedata o:title=""/>
              <o:lock v:ext="edit" aspectratio="f"/>
            </v:shape>
            <v:shape id="_x0000_s2138" o:spid="_x0000_s2138" o:spt="32" type="#_x0000_t32" style="position:absolute;left:3953;top:8660;height:15;width:474;" filled="f" stroked="t" coordsize="21600,21600">
              <v:path arrowok="t"/>
              <v:fill on="f" focussize="0,0"/>
              <v:stroke color="#000000" endarrow="block"/>
              <v:imagedata o:title=""/>
              <o:lock v:ext="edit" aspectratio="f"/>
            </v:shape>
            <v:shape id="_x0000_s2139" o:spid="_x0000_s2139" o:spt="32" type="#_x0000_t32" style="position:absolute;left:3973;top:7987;height:1;width:571;" filled="f" stroked="t" coordsize="21600,21600">
              <v:path arrowok="t"/>
              <v:fill on="f" focussize="0,0"/>
              <v:stroke color="#000000" endarrow="block"/>
              <v:imagedata o:title=""/>
              <o:lock v:ext="edit" aspectratio="f"/>
            </v:shape>
            <v:shape id="_x0000_s2140" o:spid="_x0000_s2140" o:spt="32" type="#_x0000_t32" style="position:absolute;left:3935;top:7286;height:1;width:571;" filled="f" stroked="t" coordsize="21600,21600">
              <v:path arrowok="t"/>
              <v:fill on="f" focussize="0,0"/>
              <v:stroke color="#000000" endarrow="block"/>
              <v:imagedata o:title=""/>
              <o:lock v:ext="edit" aspectratio="f"/>
            </v:shape>
            <v:shape id="_x0000_s2141" o:spid="_x0000_s2141" o:spt="32" type="#_x0000_t32" style="position:absolute;left:5853;top:3225;height:1;width:571;" filled="f" stroked="t" coordsize="21600,21600">
              <v:path arrowok="t"/>
              <v:fill on="f" focussize="0,0"/>
              <v:stroke color="#000000" dashstyle="longDash" endarrow="block"/>
              <v:imagedata o:title=""/>
              <o:lock v:ext="edit" aspectratio="f"/>
            </v:shape>
            <v:shape id="_x0000_s2142" o:spid="_x0000_s2142" o:spt="32" type="#_x0000_t32" style="position:absolute;left:5823;top:3957;height:1;width:571;" filled="f" stroked="t" coordsize="21600,21600">
              <v:path arrowok="t"/>
              <v:fill on="f" focussize="0,0"/>
              <v:stroke color="#000000" dashstyle="longDash" endarrow="block"/>
              <v:imagedata o:title=""/>
              <o:lock v:ext="edit" aspectratio="f"/>
            </v:shape>
            <v:shape id="_x0000_s2143" o:spid="_x0000_s2143" o:spt="32" type="#_x0000_t32" style="position:absolute;left:5831;top:4585;height:1;width:571;" filled="f" stroked="t" coordsize="21600,21600">
              <v:path arrowok="t"/>
              <v:fill on="f" focussize="0,0"/>
              <v:stroke color="#000000" dashstyle="longDash" endarrow="block"/>
              <v:imagedata o:title=""/>
              <o:lock v:ext="edit" aspectratio="f"/>
            </v:shape>
            <v:shape id="_x0000_s2144" o:spid="_x0000_s2144" o:spt="32" type="#_x0000_t32" style="position:absolute;left:4106;top:5479;height:5;width:375;" filled="f" stroked="t" coordsize="21600,21600">
              <v:path arrowok="t"/>
              <v:fill on="f" focussize="0,0"/>
              <v:stroke color="#000000" dashstyle="longDash" endarrow="block"/>
              <v:imagedata o:title=""/>
              <o:lock v:ext="edit" aspectratio="f"/>
            </v:shape>
            <v:shape id="_x0000_s2145" o:spid="_x0000_s2145" o:spt="32" type="#_x0000_t32" style="position:absolute;left:5854;top:6644;height:1;width:571;" filled="f" stroked="t" coordsize="21600,21600">
              <v:path arrowok="t"/>
              <v:fill on="f" focussize="0,0"/>
              <v:stroke color="#000000" dashstyle="longDash" endarrow="block"/>
              <v:imagedata o:title=""/>
              <o:lock v:ext="edit" aspectratio="f"/>
            </v:shape>
            <v:shape id="_x0000_s2146" o:spid="_x0000_s2146" o:spt="32" type="#_x0000_t32" style="position:absolute;left:5981;top:8655;flip:y;height:2;width:416;" filled="f" stroked="t" coordsize="21600,21600">
              <v:path arrowok="t"/>
              <v:fill on="f" focussize="0,0"/>
              <v:stroke color="#000000" dashstyle="longDash" endarrow="block"/>
              <v:imagedata o:title=""/>
              <o:lock v:ext="edit" aspectratio="f"/>
            </v:shape>
            <v:shape id="_x0000_s2147" o:spid="_x0000_s2147" o:spt="32" type="#_x0000_t32" style="position:absolute;left:5850;top:8023;height:1;width:571;" filled="f" stroked="t" coordsize="21600,21600">
              <v:path arrowok="t"/>
              <v:fill on="f" focussize="0,0"/>
              <v:stroke color="#000000" dashstyle="longDash" endarrow="block"/>
              <v:imagedata o:title=""/>
              <o:lock v:ext="edit" aspectratio="f"/>
            </v:shape>
            <v:shape id="_x0000_s2148" o:spid="_x0000_s2148" o:spt="32" type="#_x0000_t32" style="position:absolute;left:5843;top:7340;height:1;width:571;" filled="f" stroked="t" coordsize="21600,21600">
              <v:path arrowok="t"/>
              <v:fill on="f" focussize="0,0"/>
              <v:stroke color="#000000" dashstyle="longDash" endarrow="block"/>
              <v:imagedata o:title=""/>
              <o:lock v:ext="edit" aspectratio="f"/>
            </v:shape>
            <v:shape id="_x0000_s2149" o:spid="_x0000_s2149" o:spt="32" type="#_x0000_t32" style="position:absolute;left:5873;top:9354;height:1;width:571;" filled="f" stroked="t" coordsize="21600,21600">
              <v:path arrowok="t"/>
              <v:fill on="f" focussize="0,0"/>
              <v:stroke color="#000000" dashstyle="longDash" endarrow="block"/>
              <v:imagedata o:title=""/>
              <o:lock v:ext="edit" aspectratio="f"/>
            </v:shape>
            <v:shape id="_x0000_s2150" o:spid="_x0000_s2150" o:spt="202" type="#_x0000_t202" style="position:absolute;left:3059;top:3041;height:374;width:992;" filled="f" stroked="f" coordsize="21600,21600">
              <v:path/>
              <v:fill on="f" focussize="0,0"/>
              <v:stroke on="f"/>
              <v:imagedata o:title=""/>
              <o:lock v:ext="edit" aspectratio="f"/>
              <v:textbox>
                <w:txbxContent>
                  <w:p>
                    <w:pPr>
                      <w:snapToGrid w:val="0"/>
                      <w:jc w:val="center"/>
                      <w:rPr>
                        <w:sz w:val="20"/>
                      </w:rPr>
                    </w:pPr>
                    <w:r>
                      <w:rPr>
                        <w:rFonts w:hint="eastAsia"/>
                        <w:sz w:val="20"/>
                      </w:rPr>
                      <w:t>自来水</w:t>
                    </w:r>
                  </w:p>
                </w:txbxContent>
              </v:textbox>
            </v:shape>
            <v:shape id="_x0000_s2151" o:spid="_x0000_s2151" o:spt="202" type="#_x0000_t202" style="position:absolute;left:3097;top:4411;height:374;width:992;" filled="f" stroked="f" coordsize="21600,21600">
              <v:path/>
              <v:fill on="f" focussize="0,0"/>
              <v:stroke on="f"/>
              <v:imagedata o:title=""/>
              <o:lock v:ext="edit" aspectratio="f"/>
              <v:textbox>
                <w:txbxContent>
                  <w:p>
                    <w:pPr>
                      <w:snapToGrid w:val="0"/>
                      <w:jc w:val="center"/>
                      <w:rPr>
                        <w:sz w:val="20"/>
                      </w:rPr>
                    </w:pPr>
                    <w:r>
                      <w:rPr>
                        <w:rFonts w:hint="eastAsia"/>
                        <w:sz w:val="20"/>
                      </w:rPr>
                      <w:t>自来水</w:t>
                    </w:r>
                  </w:p>
                </w:txbxContent>
              </v:textbox>
            </v:shape>
            <v:shape id="_x0000_s2152" o:spid="_x0000_s2152" o:spt="202" type="#_x0000_t202" style="position:absolute;left:3071;top:6453;height:374;width:992;" filled="f" stroked="f" coordsize="21600,21600">
              <v:path/>
              <v:fill on="f" focussize="0,0"/>
              <v:stroke on="f"/>
              <v:imagedata o:title=""/>
              <o:lock v:ext="edit" aspectratio="f"/>
              <v:textbox>
                <w:txbxContent>
                  <w:p>
                    <w:pPr>
                      <w:snapToGrid w:val="0"/>
                      <w:jc w:val="center"/>
                      <w:rPr>
                        <w:sz w:val="20"/>
                      </w:rPr>
                    </w:pPr>
                    <w:r>
                      <w:rPr>
                        <w:rFonts w:hint="eastAsia"/>
                        <w:sz w:val="20"/>
                      </w:rPr>
                      <w:t>自来水</w:t>
                    </w:r>
                  </w:p>
                </w:txbxContent>
              </v:textbox>
            </v:shape>
            <v:shape id="_x0000_s2153" o:spid="_x0000_s2153" o:spt="202" type="#_x0000_t202" style="position:absolute;left:3075;top:7760;height:374;width:992;" filled="f" stroked="f" coordsize="21600,21600">
              <v:path/>
              <v:fill on="f" focussize="0,0"/>
              <v:stroke on="f"/>
              <v:imagedata o:title=""/>
              <o:lock v:ext="edit" aspectratio="f"/>
              <v:textbox>
                <w:txbxContent>
                  <w:p>
                    <w:pPr>
                      <w:snapToGrid w:val="0"/>
                      <w:jc w:val="center"/>
                      <w:rPr>
                        <w:sz w:val="20"/>
                      </w:rPr>
                    </w:pPr>
                    <w:r>
                      <w:rPr>
                        <w:rFonts w:hint="eastAsia"/>
                        <w:sz w:val="20"/>
                      </w:rPr>
                      <w:t>自来水</w:t>
                    </w:r>
                  </w:p>
                </w:txbxContent>
              </v:textbox>
            </v:shape>
            <v:shape id="_x0000_s2154" o:spid="_x0000_s2154" o:spt="202" type="#_x0000_t202" style="position:absolute;left:3125;top:7053;height:374;width:992;" filled="f" stroked="f" coordsize="21600,21600">
              <v:path/>
              <v:fill on="f" focussize="0,0"/>
              <v:stroke on="f"/>
              <v:imagedata o:title=""/>
              <o:lock v:ext="edit" aspectratio="f"/>
              <v:textbox>
                <w:txbxContent>
                  <w:p>
                    <w:pPr>
                      <w:snapToGrid w:val="0"/>
                      <w:jc w:val="center"/>
                      <w:rPr>
                        <w:rFonts w:hint="eastAsia" w:eastAsia="宋体"/>
                        <w:sz w:val="20"/>
                        <w:lang w:val="en-US" w:eastAsia="zh-CN"/>
                      </w:rPr>
                    </w:pPr>
                    <w:r>
                      <w:rPr>
                        <w:rFonts w:hint="eastAsia"/>
                        <w:sz w:val="20"/>
                        <w:lang w:val="en-US" w:eastAsia="zh-CN"/>
                      </w:rPr>
                      <w:t>硝酸</w:t>
                    </w:r>
                  </w:p>
                </w:txbxContent>
              </v:textbox>
            </v:shape>
            <v:shape id="_x0000_s2155" o:spid="_x0000_s2155" o:spt="202" type="#_x0000_t202" style="position:absolute;left:3219;top:3747;height:756;width:804;" filled="f" stroked="f" coordsize="21600,21600">
              <v:path/>
              <v:fill on="f" focussize="0,0"/>
              <v:stroke on="f"/>
              <v:imagedata o:title=""/>
              <o:lock v:ext="edit" aspectratio="f"/>
              <v:textbox>
                <w:txbxContent>
                  <w:p>
                    <w:pPr>
                      <w:snapToGrid w:val="0"/>
                      <w:rPr>
                        <w:rFonts w:hint="eastAsia"/>
                        <w:sz w:val="20"/>
                      </w:rPr>
                    </w:pPr>
                    <w:r>
                      <w:rPr>
                        <w:rFonts w:hint="eastAsia"/>
                        <w:sz w:val="20"/>
                      </w:rPr>
                      <w:t>盐酸</w:t>
                    </w:r>
                  </w:p>
                  <w:p>
                    <w:pPr>
                      <w:pStyle w:val="35"/>
                      <w:ind w:left="0" w:leftChars="0" w:firstLine="0" w:firstLineChars="0"/>
                      <w:rPr>
                        <w:rFonts w:hint="eastAsia" w:eastAsia="宋体"/>
                        <w:lang w:val="en-US" w:eastAsia="zh-CN"/>
                      </w:rPr>
                    </w:pPr>
                    <w:r>
                      <w:rPr>
                        <w:rFonts w:hint="eastAsia"/>
                        <w:sz w:val="20"/>
                        <w:lang w:val="en-US" w:eastAsia="zh-CN"/>
                      </w:rPr>
                      <w:t>硫酸</w:t>
                    </w:r>
                  </w:p>
                </w:txbxContent>
              </v:textbox>
            </v:shape>
            <v:shape id="_x0000_s2156" o:spid="_x0000_s2156" o:spt="202" type="#_x0000_t202" style="position:absolute;left:1721;top:4809;height:1463;width:1088;" filled="f" stroked="f" coordsize="21600,21600">
              <v:path/>
              <v:fill on="f" focussize="0,0"/>
              <v:stroke on="f"/>
              <v:imagedata o:title=""/>
              <o:lock v:ext="edit" aspectratio="f"/>
              <v:textbox>
                <w:txbxContent>
                  <w:p>
                    <w:pPr>
                      <w:snapToGrid w:val="0"/>
                      <w:jc w:val="right"/>
                      <w:rPr>
                        <w:rFonts w:hint="eastAsia"/>
                        <w:sz w:val="18"/>
                        <w:szCs w:val="22"/>
                      </w:rPr>
                    </w:pPr>
                    <w:r>
                      <w:rPr>
                        <w:rFonts w:hint="eastAsia"/>
                        <w:sz w:val="18"/>
                        <w:szCs w:val="22"/>
                      </w:rPr>
                      <w:t>氯化钾</w:t>
                    </w:r>
                  </w:p>
                  <w:p>
                    <w:pPr>
                      <w:snapToGrid w:val="0"/>
                      <w:jc w:val="right"/>
                      <w:rPr>
                        <w:rFonts w:hint="eastAsia"/>
                        <w:sz w:val="18"/>
                        <w:szCs w:val="22"/>
                      </w:rPr>
                    </w:pPr>
                    <w:r>
                      <w:rPr>
                        <w:rFonts w:hint="eastAsia"/>
                        <w:sz w:val="18"/>
                        <w:szCs w:val="22"/>
                      </w:rPr>
                      <w:t>氯化锌</w:t>
                    </w:r>
                  </w:p>
                  <w:p>
                    <w:pPr>
                      <w:snapToGrid w:val="0"/>
                      <w:jc w:val="right"/>
                      <w:rPr>
                        <w:rFonts w:hint="eastAsia"/>
                        <w:sz w:val="18"/>
                        <w:szCs w:val="22"/>
                      </w:rPr>
                    </w:pPr>
                    <w:r>
                      <w:rPr>
                        <w:rFonts w:hint="eastAsia"/>
                        <w:sz w:val="18"/>
                        <w:szCs w:val="22"/>
                      </w:rPr>
                      <w:t>硼酸</w:t>
                    </w:r>
                  </w:p>
                  <w:p>
                    <w:pPr>
                      <w:snapToGrid w:val="0"/>
                      <w:jc w:val="right"/>
                      <w:rPr>
                        <w:rFonts w:hint="eastAsia"/>
                        <w:sz w:val="18"/>
                        <w:szCs w:val="22"/>
                      </w:rPr>
                    </w:pPr>
                    <w:r>
                      <w:rPr>
                        <w:rFonts w:hint="eastAsia"/>
                        <w:sz w:val="18"/>
                        <w:szCs w:val="22"/>
                      </w:rPr>
                      <w:t>光亮剂</w:t>
                    </w:r>
                  </w:p>
                  <w:p>
                    <w:pPr>
                      <w:snapToGrid w:val="0"/>
                      <w:jc w:val="right"/>
                      <w:rPr>
                        <w:sz w:val="18"/>
                        <w:szCs w:val="22"/>
                      </w:rPr>
                    </w:pPr>
                    <w:r>
                      <w:rPr>
                        <w:rFonts w:hint="eastAsia"/>
                        <w:sz w:val="18"/>
                        <w:szCs w:val="22"/>
                      </w:rPr>
                      <w:t>锌锭</w:t>
                    </w:r>
                  </w:p>
                </w:txbxContent>
              </v:textbox>
            </v:shape>
            <v:shape id="_x0000_s2157" o:spid="_x0000_s2157" o:spt="202" type="#_x0000_t202" style="position:absolute;left:2472;top:8280;height:880;width:1584;" filled="f" stroked="f" coordsize="21600,21600">
              <v:path/>
              <v:fill on="f" focussize="0,0"/>
              <v:stroke on="f"/>
              <v:imagedata o:title=""/>
              <o:lock v:ext="edit" aspectratio="f"/>
              <v:textbox>
                <w:txbxContent>
                  <w:p>
                    <w:pPr>
                      <w:snapToGrid w:val="0"/>
                      <w:jc w:val="right"/>
                      <w:rPr>
                        <w:rFonts w:hint="eastAsia"/>
                        <w:sz w:val="18"/>
                        <w:szCs w:val="18"/>
                        <w:lang w:val="en-US" w:eastAsia="zh-CN"/>
                      </w:rPr>
                    </w:pPr>
                    <w:r>
                      <w:rPr>
                        <w:rFonts w:hint="eastAsia"/>
                        <w:sz w:val="18"/>
                        <w:szCs w:val="18"/>
                        <w:lang w:val="en-US" w:eastAsia="zh-CN"/>
                      </w:rPr>
                      <w:t>三价铬钝化液</w:t>
                    </w:r>
                  </w:p>
                  <w:p>
                    <w:pPr>
                      <w:snapToGrid w:val="0"/>
                      <w:jc w:val="right"/>
                      <w:rPr>
                        <w:rFonts w:hint="eastAsia"/>
                        <w:sz w:val="18"/>
                        <w:szCs w:val="18"/>
                        <w:lang w:val="en-US" w:eastAsia="zh-CN"/>
                      </w:rPr>
                    </w:pPr>
                    <w:r>
                      <w:rPr>
                        <w:rFonts w:hint="eastAsia"/>
                        <w:sz w:val="18"/>
                        <w:szCs w:val="18"/>
                        <w:lang w:val="en-US" w:eastAsia="zh-CN"/>
                      </w:rPr>
                      <w:t>硫酸</w:t>
                    </w:r>
                  </w:p>
                  <w:p>
                    <w:pPr>
                      <w:snapToGrid w:val="0"/>
                      <w:jc w:val="right"/>
                      <w:rPr>
                        <w:rFonts w:hint="eastAsia" w:eastAsia="宋体"/>
                        <w:sz w:val="18"/>
                        <w:szCs w:val="18"/>
                        <w:lang w:val="en-US" w:eastAsia="zh-CN"/>
                      </w:rPr>
                    </w:pPr>
                    <w:r>
                      <w:rPr>
                        <w:rFonts w:hint="eastAsia"/>
                        <w:sz w:val="18"/>
                        <w:szCs w:val="18"/>
                        <w:lang w:val="en-US" w:eastAsia="zh-CN"/>
                      </w:rPr>
                      <w:t>硝酸</w:t>
                    </w:r>
                  </w:p>
                </w:txbxContent>
              </v:textbox>
            </v:shape>
            <v:shape id="_x0000_s2158" o:spid="_x0000_s2158" o:spt="202" type="#_x0000_t202" style="position:absolute;left:6178;top:2249;height:746;width:1360;" filled="f" stroked="f" coordsize="21600,21600">
              <v:path/>
              <v:fill on="f" focussize="0,0"/>
              <v:stroke on="f"/>
              <v:imagedata o:title=""/>
              <o:lock v:ext="edit" aspectratio="f"/>
              <v:textbox>
                <w:txbxContent>
                  <w:p>
                    <w:pPr>
                      <w:snapToGrid w:val="0"/>
                      <w:jc w:val="center"/>
                      <w:rPr>
                        <w:rFonts w:hint="eastAsia" w:eastAsia="宋体"/>
                        <w:sz w:val="20"/>
                        <w:lang w:val="en-US" w:eastAsia="zh-CN"/>
                      </w:rPr>
                    </w:pPr>
                    <w:r>
                      <w:rPr>
                        <w:rFonts w:hint="eastAsia"/>
                        <w:sz w:val="20"/>
                        <w:lang w:val="en-US" w:eastAsia="zh-CN"/>
                      </w:rPr>
                      <w:t>碱雾</w:t>
                    </w:r>
                  </w:p>
                  <w:p>
                    <w:pPr>
                      <w:snapToGrid w:val="0"/>
                      <w:jc w:val="center"/>
                      <w:rPr>
                        <w:rFonts w:hint="eastAsia" w:eastAsia="宋体"/>
                        <w:sz w:val="20"/>
                        <w:lang w:eastAsia="zh-CN"/>
                      </w:rPr>
                    </w:pPr>
                    <w:r>
                      <w:rPr>
                        <w:rFonts w:hint="eastAsia"/>
                        <w:sz w:val="20"/>
                      </w:rPr>
                      <w:t>S1</w:t>
                    </w:r>
                    <w:r>
                      <w:rPr>
                        <w:rFonts w:hint="eastAsia"/>
                        <w:sz w:val="20"/>
                        <w:lang w:val="en-US" w:eastAsia="zh-CN"/>
                      </w:rPr>
                      <w:t>废碱液</w:t>
                    </w:r>
                  </w:p>
                </w:txbxContent>
              </v:textbox>
            </v:shape>
            <v:shape id="_x0000_s2159" o:spid="_x0000_s2159" o:spt="202" type="#_x0000_t202" style="position:absolute;left:6294;top:3011;height:361;width:1529;" filled="f" stroked="f" coordsize="21600,21600">
              <v:path/>
              <v:fill on="f" focussize="0,0"/>
              <v:stroke on="f"/>
              <v:imagedata o:title=""/>
              <o:lock v:ext="edit" aspectratio="f"/>
              <v:textbox>
                <w:txbxContent>
                  <w:p>
                    <w:pPr>
                      <w:snapToGrid w:val="0"/>
                      <w:jc w:val="center"/>
                      <w:rPr>
                        <w:sz w:val="20"/>
                      </w:rPr>
                    </w:pPr>
                    <w:r>
                      <w:rPr>
                        <w:rFonts w:hint="eastAsia"/>
                        <w:sz w:val="20"/>
                      </w:rPr>
                      <w:t>W1综合废水</w:t>
                    </w:r>
                  </w:p>
                </w:txbxContent>
              </v:textbox>
            </v:shape>
            <v:shape id="_x0000_s2160" o:spid="_x0000_s2160" o:spt="202" type="#_x0000_t202" style="position:absolute;left:6286;top:4368;height:361;width:1529;" filled="f" stroked="f" coordsize="21600,21600">
              <v:path/>
              <v:fill on="f" focussize="0,0"/>
              <v:stroke on="f"/>
              <v:imagedata o:title=""/>
              <o:lock v:ext="edit" aspectratio="f"/>
              <v:textbox>
                <w:txbxContent>
                  <w:p>
                    <w:pPr>
                      <w:snapToGrid w:val="0"/>
                      <w:jc w:val="center"/>
                      <w:rPr>
                        <w:sz w:val="20"/>
                      </w:rPr>
                    </w:pPr>
                    <w:r>
                      <w:rPr>
                        <w:rFonts w:hint="eastAsia"/>
                        <w:sz w:val="20"/>
                      </w:rPr>
                      <w:t>W1综合废水</w:t>
                    </w:r>
                  </w:p>
                </w:txbxContent>
              </v:textbox>
            </v:shape>
            <v:shape id="_x0000_s2161" o:spid="_x0000_s2161" o:spt="202" type="#_x0000_t202" style="position:absolute;left:6292;top:6411;height:361;width:1529;" filled="f" stroked="f" coordsize="21600,21600">
              <v:path/>
              <v:fill on="f" focussize="0,0"/>
              <v:stroke on="f"/>
              <v:imagedata o:title=""/>
              <o:lock v:ext="edit" aspectratio="f"/>
              <v:textbox>
                <w:txbxContent>
                  <w:p>
                    <w:pPr>
                      <w:snapToGrid w:val="0"/>
                      <w:jc w:val="center"/>
                      <w:rPr>
                        <w:sz w:val="20"/>
                      </w:rPr>
                    </w:pPr>
                    <w:r>
                      <w:rPr>
                        <w:rFonts w:hint="eastAsia"/>
                        <w:sz w:val="20"/>
                      </w:rPr>
                      <w:t>W1综合废水</w:t>
                    </w:r>
                  </w:p>
                </w:txbxContent>
              </v:textbox>
            </v:shape>
            <v:shape id="_x0000_s2162" o:spid="_x0000_s2162" o:spt="202" type="#_x0000_t202" style="position:absolute;left:6284;top:7808;height:361;width:1529;" filled="f" stroked="f" coordsize="21600,21600">
              <v:path/>
              <v:fill on="f" focussize="0,0"/>
              <v:stroke on="f"/>
              <v:imagedata o:title=""/>
              <o:lock v:ext="edit" aspectratio="f"/>
              <v:textbox>
                <w:txbxContent>
                  <w:p>
                    <w:pPr>
                      <w:snapToGrid w:val="0"/>
                      <w:jc w:val="center"/>
                      <w:rPr>
                        <w:sz w:val="20"/>
                      </w:rPr>
                    </w:pPr>
                    <w:r>
                      <w:rPr>
                        <w:rFonts w:hint="eastAsia"/>
                        <w:sz w:val="20"/>
                      </w:rPr>
                      <w:t>W</w:t>
                    </w:r>
                    <w:r>
                      <w:rPr>
                        <w:rFonts w:hint="eastAsia"/>
                        <w:sz w:val="20"/>
                        <w:lang w:val="en-US" w:eastAsia="zh-CN"/>
                      </w:rPr>
                      <w:t>1综合</w:t>
                    </w:r>
                    <w:r>
                      <w:rPr>
                        <w:rFonts w:hint="eastAsia"/>
                        <w:sz w:val="20"/>
                      </w:rPr>
                      <w:t>废水</w:t>
                    </w:r>
                  </w:p>
                </w:txbxContent>
              </v:textbox>
            </v:shape>
            <v:shape id="_x0000_s2163" o:spid="_x0000_s2163" o:spt="202" type="#_x0000_t202" style="position:absolute;left:6406;top:3593;height:705;width:1150;" filled="f" stroked="f" coordsize="21600,21600">
              <v:path/>
              <v:fill on="f" focussize="0,0"/>
              <v:stroke on="f"/>
              <v:imagedata o:title=""/>
              <o:lock v:ext="edit" aspectratio="f"/>
              <v:textbox>
                <w:txbxContent>
                  <w:p>
                    <w:pPr>
                      <w:snapToGrid w:val="0"/>
                      <w:jc w:val="left"/>
                      <w:rPr>
                        <w:rFonts w:hint="eastAsia"/>
                        <w:sz w:val="20"/>
                      </w:rPr>
                    </w:pPr>
                    <w:r>
                      <w:rPr>
                        <w:rFonts w:hint="eastAsia"/>
                        <w:sz w:val="20"/>
                      </w:rPr>
                      <w:t>G1酸雾</w:t>
                    </w:r>
                  </w:p>
                  <w:p>
                    <w:pPr>
                      <w:snapToGrid w:val="0"/>
                      <w:jc w:val="left"/>
                      <w:rPr>
                        <w:rFonts w:hint="eastAsia" w:eastAsia="宋体"/>
                        <w:sz w:val="20"/>
                        <w:lang w:eastAsia="zh-CN"/>
                      </w:rPr>
                    </w:pPr>
                    <w:r>
                      <w:rPr>
                        <w:rFonts w:hint="eastAsia"/>
                        <w:sz w:val="20"/>
                      </w:rPr>
                      <w:t>S</w:t>
                    </w:r>
                    <w:r>
                      <w:rPr>
                        <w:rFonts w:hint="eastAsia"/>
                        <w:sz w:val="20"/>
                        <w:lang w:val="en-US" w:eastAsia="zh-CN"/>
                      </w:rPr>
                      <w:t>2废酸液</w:t>
                    </w:r>
                  </w:p>
                  <w:p/>
                </w:txbxContent>
              </v:textbox>
            </v:shape>
            <v:shape id="_x0000_s2164" o:spid="_x0000_s2164" o:spt="202" type="#_x0000_t202" style="position:absolute;left:4355;top:5262;height:361;width:1008;" filled="f" stroked="f" coordsize="21600,21600">
              <v:path/>
              <v:fill on="f" focussize="0,0"/>
              <v:stroke on="f"/>
              <v:imagedata o:title=""/>
              <o:lock v:ext="edit" aspectratio="f"/>
              <v:textbox>
                <w:txbxContent>
                  <w:p>
                    <w:pPr>
                      <w:snapToGrid w:val="0"/>
                      <w:jc w:val="center"/>
                      <w:rPr>
                        <w:sz w:val="20"/>
                      </w:rPr>
                    </w:pPr>
                    <w:r>
                      <w:rPr>
                        <w:rFonts w:hint="eastAsia"/>
                        <w:sz w:val="20"/>
                      </w:rPr>
                      <w:t>S</w:t>
                    </w:r>
                    <w:r>
                      <w:rPr>
                        <w:rFonts w:hint="eastAsia"/>
                        <w:sz w:val="20"/>
                        <w:lang w:val="en-US" w:eastAsia="zh-CN"/>
                      </w:rPr>
                      <w:t>3</w:t>
                    </w:r>
                    <w:r>
                      <w:rPr>
                        <w:rFonts w:hint="eastAsia"/>
                        <w:sz w:val="20"/>
                      </w:rPr>
                      <w:t>槽渣</w:t>
                    </w:r>
                  </w:p>
                </w:txbxContent>
              </v:textbox>
            </v:shape>
            <v:shape id="_x0000_s2165" o:spid="_x0000_s2165" o:spt="202" type="#_x0000_t202" style="position:absolute;left:6221;top:7134;height:361;width:1255;" filled="f" stroked="f" coordsize="21600,21600">
              <v:path/>
              <v:fill on="f" focussize="0,0"/>
              <v:stroke on="f"/>
              <v:imagedata o:title=""/>
              <o:lock v:ext="edit" aspectratio="f"/>
              <v:textbox>
                <w:txbxContent>
                  <w:p>
                    <w:pPr>
                      <w:snapToGrid w:val="0"/>
                      <w:jc w:val="center"/>
                      <w:rPr>
                        <w:rFonts w:hint="eastAsia" w:eastAsia="宋体"/>
                        <w:sz w:val="20"/>
                        <w:lang w:eastAsia="zh-CN"/>
                      </w:rPr>
                    </w:pPr>
                    <w:r>
                      <w:rPr>
                        <w:rFonts w:hint="eastAsia"/>
                        <w:sz w:val="20"/>
                      </w:rPr>
                      <w:t>S</w:t>
                    </w:r>
                    <w:r>
                      <w:rPr>
                        <w:rFonts w:hint="eastAsia"/>
                        <w:sz w:val="20"/>
                        <w:lang w:val="en-US" w:eastAsia="zh-CN"/>
                      </w:rPr>
                      <w:t>2废酸液</w:t>
                    </w:r>
                  </w:p>
                </w:txbxContent>
              </v:textbox>
            </v:shape>
            <v:shape id="_x0000_s2166" o:spid="_x0000_s2166" o:spt="202" type="#_x0000_t202" style="position:absolute;left:6272;top:8482;height:469;width:1102;" filled="f" stroked="f" coordsize="21600,21600">
              <v:path/>
              <v:fill on="f" focussize="0,0"/>
              <v:stroke on="f"/>
              <v:imagedata o:title=""/>
              <o:lock v:ext="edit" aspectratio="f"/>
              <v:textbox>
                <w:txbxContent>
                  <w:p>
                    <w:pPr>
                      <w:snapToGrid w:val="0"/>
                      <w:jc w:val="center"/>
                      <w:rPr>
                        <w:sz w:val="20"/>
                      </w:rPr>
                    </w:pPr>
                    <w:r>
                      <w:rPr>
                        <w:rFonts w:hint="eastAsia"/>
                        <w:sz w:val="20"/>
                      </w:rPr>
                      <w:t>S</w:t>
                    </w:r>
                    <w:r>
                      <w:rPr>
                        <w:rFonts w:hint="eastAsia"/>
                        <w:sz w:val="20"/>
                        <w:lang w:val="en-US" w:eastAsia="zh-CN"/>
                      </w:rPr>
                      <w:t>3</w:t>
                    </w:r>
                    <w:r>
                      <w:rPr>
                        <w:rFonts w:hint="eastAsia"/>
                        <w:sz w:val="20"/>
                      </w:rPr>
                      <w:t>槽渣</w:t>
                    </w:r>
                  </w:p>
                  <w:p>
                    <w:pPr>
                      <w:rPr>
                        <w:rFonts w:hint="eastAsia"/>
                        <w:lang w:val="en-US" w:eastAsia="zh-CN"/>
                      </w:rPr>
                    </w:pPr>
                  </w:p>
                </w:txbxContent>
              </v:textbox>
            </v:shape>
            <v:shape id="_x0000_s2167" o:spid="_x0000_s2167" o:spt="202" type="#_x0000_t202" style="position:absolute;left:6283;top:9157;height:361;width:1585;" filled="f" stroked="f" coordsize="21600,21600">
              <v:path/>
              <v:fill on="f" focussize="0,0"/>
              <v:stroke on="f"/>
              <v:imagedata o:title=""/>
              <o:lock v:ext="edit" aspectratio="f"/>
              <v:textbox>
                <w:txbxContent>
                  <w:p>
                    <w:pPr>
                      <w:snapToGrid w:val="0"/>
                      <w:jc w:val="center"/>
                      <w:rPr>
                        <w:sz w:val="20"/>
                      </w:rPr>
                    </w:pPr>
                    <w:r>
                      <w:rPr>
                        <w:rFonts w:hint="eastAsia"/>
                        <w:sz w:val="20"/>
                      </w:rPr>
                      <w:t>W2含铬废水</w:t>
                    </w:r>
                  </w:p>
                  <w:p/>
                </w:txbxContent>
              </v:textbox>
            </v:shape>
            <v:line id="_x0000_s2168" o:spid="_x0000_s2168" o:spt="20" style="position:absolute;left:3524;top:5034;height:1;width:3394;" filled="f" stroked="t" coordsize="21600,21600">
              <v:path arrowok="t"/>
              <v:fill on="f" focussize="0,0"/>
              <v:stroke color="#000000"/>
              <v:imagedata o:title=""/>
              <o:lock v:ext="edit" aspectratio="f"/>
            </v:line>
            <v:shape id="_x0000_s2169" o:spid="_x0000_s2169" o:spt="32" type="#_x0000_t32" style="position:absolute;left:3540;top:5037;height:220;width:0;" filled="f" stroked="t" coordsize="21600,21600">
              <v:path arrowok="t"/>
              <v:fill on="f" focussize="0,0"/>
              <v:stroke color="#000000" endarrow="block"/>
              <v:imagedata o:title=""/>
              <o:lock v:ext="edit" aspectratio="f"/>
            </v:shape>
            <v:shape id="_x0000_s2170" o:spid="_x0000_s2170" o:spt="202" type="#_x0000_t202" style="position:absolute;left:6618;top:5265;height:380;width:1040;" fillcolor="#FFFFFF" filled="t" stroked="t" coordsize="21600,21600">
              <v:path/>
              <v:fill on="t" color2="#FFFFFF" focussize="0,0"/>
              <v:stroke color="#000000" joinstyle="miter"/>
              <v:imagedata o:title=""/>
              <o:lock v:ext="edit" aspectratio="f"/>
              <v:textbox>
                <w:txbxContent>
                  <w:p>
                    <w:pPr>
                      <w:jc w:val="center"/>
                      <w:rPr>
                        <w:sz w:val="20"/>
                      </w:rPr>
                    </w:pPr>
                    <w:r>
                      <w:rPr>
                        <w:rFonts w:hint="eastAsia"/>
                        <w:sz w:val="20"/>
                      </w:rPr>
                      <w:t>镀</w:t>
                    </w:r>
                    <w:r>
                      <w:rPr>
                        <w:rFonts w:hint="eastAsia"/>
                        <w:sz w:val="20"/>
                        <w:lang w:val="en-US" w:eastAsia="zh-CN"/>
                      </w:rPr>
                      <w:t>碱</w:t>
                    </w:r>
                    <w:r>
                      <w:rPr>
                        <w:rFonts w:hint="eastAsia"/>
                        <w:sz w:val="20"/>
                      </w:rPr>
                      <w:t>锌</w:t>
                    </w:r>
                  </w:p>
                </w:txbxContent>
              </v:textbox>
            </v:shape>
            <v:shape id="_x0000_s2171" o:spid="_x0000_s2171" o:spt="32" type="#_x0000_t32" style="position:absolute;left:6297;top:5503;height:0;width:340;" filled="f" stroked="t" coordsize="21600,21600">
              <v:path arrowok="t"/>
              <v:fill on="f" focussize="0,0"/>
              <v:stroke color="#000000" endarrow="block"/>
              <v:imagedata o:title=""/>
              <o:lock v:ext="edit" aspectratio="f"/>
            </v:shape>
            <v:shape id="_x0000_s2172" o:spid="_x0000_s2172" o:spt="202" type="#_x0000_t202" style="position:absolute;left:5281;top:4949;height:1275;width:1111;" filled="f" stroked="f" coordsize="21600,21600">
              <v:path/>
              <v:fill on="f" focussize="0,0"/>
              <v:stroke on="f"/>
              <v:imagedata o:title=""/>
              <o:lock v:ext="edit" aspectratio="f"/>
              <v:textbox>
                <w:txbxContent>
                  <w:p>
                    <w:pPr>
                      <w:snapToGrid w:val="0"/>
                      <w:jc w:val="right"/>
                      <w:rPr>
                        <w:rFonts w:hint="eastAsia"/>
                        <w:sz w:val="18"/>
                        <w:szCs w:val="18"/>
                        <w:lang w:val="en-US" w:eastAsia="zh-CN"/>
                      </w:rPr>
                    </w:pPr>
                    <w:r>
                      <w:rPr>
                        <w:rFonts w:hint="eastAsia"/>
                        <w:sz w:val="18"/>
                        <w:szCs w:val="18"/>
                        <w:lang w:val="en-US" w:eastAsia="zh-CN"/>
                      </w:rPr>
                      <w:t>氢氧化钠</w:t>
                    </w:r>
                  </w:p>
                  <w:p>
                    <w:pPr>
                      <w:snapToGrid w:val="0"/>
                      <w:jc w:val="right"/>
                      <w:rPr>
                        <w:rFonts w:hint="eastAsia"/>
                        <w:sz w:val="18"/>
                        <w:szCs w:val="18"/>
                        <w:lang w:val="en-US" w:eastAsia="zh-CN"/>
                      </w:rPr>
                    </w:pPr>
                    <w:r>
                      <w:rPr>
                        <w:rFonts w:hint="eastAsia"/>
                        <w:sz w:val="18"/>
                        <w:szCs w:val="18"/>
                        <w:lang w:val="en-US" w:eastAsia="zh-CN"/>
                      </w:rPr>
                      <w:t>氧化锌</w:t>
                    </w:r>
                  </w:p>
                  <w:p>
                    <w:pPr>
                      <w:snapToGrid w:val="0"/>
                      <w:jc w:val="right"/>
                      <w:rPr>
                        <w:rFonts w:hint="eastAsia"/>
                        <w:sz w:val="18"/>
                        <w:szCs w:val="18"/>
                        <w:lang w:val="en-US" w:eastAsia="zh-CN"/>
                      </w:rPr>
                    </w:pPr>
                    <w:r>
                      <w:rPr>
                        <w:rFonts w:hint="eastAsia"/>
                        <w:sz w:val="18"/>
                        <w:szCs w:val="18"/>
                        <w:lang w:val="en-US" w:eastAsia="zh-CN"/>
                      </w:rPr>
                      <w:t>锌锭</w:t>
                    </w:r>
                  </w:p>
                  <w:p>
                    <w:pPr>
                      <w:snapToGrid w:val="0"/>
                      <w:jc w:val="right"/>
                      <w:rPr>
                        <w:rFonts w:hint="eastAsia"/>
                        <w:sz w:val="18"/>
                        <w:szCs w:val="18"/>
                        <w:lang w:val="en-US" w:eastAsia="zh-CN"/>
                      </w:rPr>
                    </w:pPr>
                    <w:r>
                      <w:rPr>
                        <w:rFonts w:hint="eastAsia"/>
                        <w:sz w:val="18"/>
                        <w:szCs w:val="18"/>
                        <w:lang w:val="en-US" w:eastAsia="zh-CN"/>
                      </w:rPr>
                      <w:t>光亮剂</w:t>
                    </w:r>
                  </w:p>
                  <w:p>
                    <w:pPr>
                      <w:snapToGrid w:val="0"/>
                      <w:jc w:val="right"/>
                      <w:rPr>
                        <w:rFonts w:hint="eastAsia"/>
                        <w:sz w:val="18"/>
                        <w:szCs w:val="18"/>
                        <w:lang w:val="en-US" w:eastAsia="zh-CN"/>
                      </w:rPr>
                    </w:pPr>
                    <w:r>
                      <w:rPr>
                        <w:rFonts w:hint="eastAsia"/>
                        <w:sz w:val="18"/>
                        <w:szCs w:val="18"/>
                        <w:lang w:val="en-US" w:eastAsia="zh-CN"/>
                      </w:rPr>
                      <w:t>柔软剂</w:t>
                    </w:r>
                  </w:p>
                </w:txbxContent>
              </v:textbox>
            </v:shape>
            <v:shape id="_x0000_s2173" o:spid="_x0000_s2173" o:spt="32" type="#_x0000_t32" style="position:absolute;left:5113;top:2114;height:220;width:0;" filled="f" stroked="t" coordsize="21600,21600">
              <v:path arrowok="t"/>
              <v:fill on="f" focussize="0,0"/>
              <v:stroke color="#000000" endarrow="block"/>
              <v:imagedata o:title=""/>
              <o:lock v:ext="edit" aspectratio="f"/>
            </v:shape>
            <v:shape id="_x0000_s2174" o:spid="_x0000_s2174" o:spt="32" type="#_x0000_t32" style="position:absolute;left:6929;top:5035;height:220;width:0;" filled="f" stroked="t" coordsize="21600,21600">
              <v:path arrowok="t"/>
              <v:fill on="f" focussize="0,0"/>
              <v:stroke color="#000000" endarrow="block"/>
              <v:imagedata o:title=""/>
              <o:lock v:ext="edit" aspectratio="f"/>
            </v:shape>
            <v:shape id="_x0000_s2175" o:spid="_x0000_s2175" o:spt="32" type="#_x0000_t32" style="position:absolute;left:5106;top:4167;height:220;width:0;" filled="f" stroked="t" coordsize="21600,21600">
              <v:path arrowok="t"/>
              <v:fill on="f" focussize="0,0"/>
              <v:stroke color="#000000" endarrow="block"/>
              <v:imagedata o:title=""/>
              <o:lock v:ext="edit" aspectratio="f"/>
            </v:shape>
            <v:shape id="_x0000_s2176" o:spid="_x0000_s2176" o:spt="32" type="#_x0000_t32" style="position:absolute;left:5102;top:3452;height:220;width:0;" filled="f" stroked="t" coordsize="21600,21600">
              <v:path arrowok="t"/>
              <v:fill on="f" focussize="0,0"/>
              <v:stroke color="#000000" endarrow="block"/>
              <v:imagedata o:title=""/>
              <o:lock v:ext="edit" aspectratio="f"/>
            </v:shape>
            <v:shape id="_x0000_s2177" o:spid="_x0000_s2177" o:spt="32" type="#_x0000_t32" style="position:absolute;left:5098;top:2755;height:220;width:0;" filled="f" stroked="t" coordsize="21600,21600">
              <v:path arrowok="t"/>
              <v:fill on="f" focussize="0,0"/>
              <v:stroke color="#000000" endarrow="block"/>
              <v:imagedata o:title=""/>
              <o:lock v:ext="edit" aspectratio="f"/>
            </v:shape>
            <v:shape id="_x0000_s2178" o:spid="_x0000_s2178" o:spt="32" type="#_x0000_t32" style="position:absolute;left:5185;top:9592;height:220;width:0;" filled="f" stroked="t" coordsize="21600,21600">
              <v:path arrowok="t"/>
              <v:fill on="f" focussize="0,0"/>
              <v:stroke color="#000000" endarrow="block"/>
              <v:imagedata o:title=""/>
              <o:lock v:ext="edit" aspectratio="f"/>
            </v:shape>
            <v:shape id="_x0000_s2179" o:spid="_x0000_s2179" o:spt="32" type="#_x0000_t32" style="position:absolute;left:5139;top:6211;height:220;width:0;" filled="f" stroked="t" coordsize="21600,21600">
              <v:path arrowok="t"/>
              <v:fill on="f" focussize="0,0"/>
              <v:stroke color="#000000" endarrow="block"/>
              <v:imagedata o:title=""/>
              <o:lock v:ext="edit" aspectratio="f"/>
            </v:shape>
            <v:shape id="_x0000_s2180" o:spid="_x0000_s2180" o:spt="32" type="#_x0000_t32" style="position:absolute;left:6959;top:5646;height:570;width:0;" filled="f" stroked="t" coordsize="21600,21600">
              <v:path arrowok="t"/>
              <v:fill on="f" focussize="0,0"/>
              <v:stroke color="#000000" endarrow="block"/>
              <v:imagedata o:title=""/>
              <o:lock v:ext="edit" aspectratio="f"/>
            </v:shape>
            <v:shape id="_x0000_s2181" o:spid="_x0000_s2181" o:spt="32" type="#_x0000_t32" style="position:absolute;left:3580;top:5643;height:573;width:2;" filled="f" stroked="t" coordsize="21600,21600">
              <v:path arrowok="t"/>
              <v:fill on="f" focussize="0,0"/>
              <v:stroke color="#000000" endarrow="block"/>
              <v:imagedata o:title=""/>
              <o:lock v:ext="edit" aspectratio="f"/>
            </v:shape>
            <v:shape id="_x0000_s2182" o:spid="_x0000_s2182" o:spt="32" type="#_x0000_t32" style="position:absolute;left:7683;top:5465;height:0;width:360;" filled="f" stroked="t" coordsize="21600,21600">
              <v:path arrowok="t"/>
              <v:fill on="f" focussize="0,0"/>
              <v:stroke color="#000000" dashstyle="longDash" endarrow="block"/>
              <v:imagedata o:title=""/>
              <o:lock v:ext="edit" aspectratio="f"/>
            </v:shape>
            <v:shape id="_x0000_s2183" o:spid="_x0000_s2183" o:spt="202" type="#_x0000_t202" style="position:absolute;left:7923;top:5245;height:360;width:1000;" filled="f" stroked="f" coordsize="21600,21600">
              <v:path/>
              <v:fill on="f" focussize="0,0"/>
              <v:stroke on="f"/>
              <v:imagedata o:title=""/>
              <o:lock v:ext="edit" aspectratio="f"/>
              <v:textbox>
                <w:txbxContent>
                  <w:p>
                    <w:pPr>
                      <w:snapToGrid w:val="0"/>
                      <w:jc w:val="center"/>
                      <w:rPr>
                        <w:sz w:val="20"/>
                      </w:rPr>
                    </w:pPr>
                    <w:r>
                      <w:rPr>
                        <w:rFonts w:hint="eastAsia"/>
                        <w:sz w:val="20"/>
                      </w:rPr>
                      <w:t>S</w:t>
                    </w:r>
                    <w:r>
                      <w:rPr>
                        <w:rFonts w:hint="eastAsia"/>
                        <w:sz w:val="20"/>
                        <w:lang w:val="en-US" w:eastAsia="zh-CN"/>
                      </w:rPr>
                      <w:t>3</w:t>
                    </w:r>
                    <w:r>
                      <w:rPr>
                        <w:rFonts w:hint="eastAsia"/>
                        <w:sz w:val="20"/>
                      </w:rPr>
                      <w:t>槽渣</w:t>
                    </w:r>
                  </w:p>
                </w:txbxContent>
              </v:textbox>
            </v:shape>
            <v:line id="_x0000_s2184" o:spid="_x0000_s2184" o:spt="20" style="position:absolute;left:3557;top:6200;height:0;width:3380;" filled="f" stroked="t" coordsize="21600,21600">
              <v:path arrowok="t"/>
              <v:fill on="f" focussize="0,0"/>
              <v:stroke color="#000000"/>
              <v:imagedata o:title=""/>
              <o:lock v:ext="edit" aspectratio="f"/>
            </v:line>
            <v:shape id="_x0000_s2185" o:spid="_x0000_s2185" o:spt="32" type="#_x0000_t32" style="position:absolute;left:5161;top:8893;height:220;width:0;" filled="f" stroked="t" coordsize="21600,21600">
              <v:path arrowok="t"/>
              <v:fill on="f" focussize="0,0"/>
              <v:stroke color="#000000" endarrow="block"/>
              <v:imagedata o:title=""/>
              <o:lock v:ext="edit" aspectratio="f"/>
            </v:shape>
            <v:shape id="_x0000_s2186" o:spid="_x0000_s2186" o:spt="32" type="#_x0000_t32" style="position:absolute;left:5158;top:8215;height:220;width:0;" filled="f" stroked="t" coordsize="21600,21600">
              <v:path arrowok="t"/>
              <v:fill on="f" focussize="0,0"/>
              <v:stroke color="#000000" endarrow="block"/>
              <v:imagedata o:title=""/>
              <o:lock v:ext="edit" aspectratio="f"/>
            </v:shape>
            <v:shape id="_x0000_s2187" o:spid="_x0000_s2187" o:spt="32" type="#_x0000_t32" style="position:absolute;left:5155;top:7554;height:220;width:0;" filled="f" stroked="t" coordsize="21600,21600">
              <v:path arrowok="t"/>
              <v:fill on="f" focussize="0,0"/>
              <v:stroke color="#000000" endarrow="block"/>
              <v:imagedata o:title=""/>
              <o:lock v:ext="edit" aspectratio="f"/>
            </v:shape>
            <v:shape id="_x0000_s2188" o:spid="_x0000_s2188" o:spt="32" type="#_x0000_t32" style="position:absolute;left:5170;top:6876;height:220;width:0;" filled="f" stroked="t" coordsize="21600,21600">
              <v:path arrowok="t"/>
              <v:fill on="f" focussize="0,0"/>
              <v:stroke color="#000000" endarrow="block"/>
              <v:imagedata o:title=""/>
              <o:lock v:ext="edit" aspectratio="f"/>
            </v:shape>
            <v:shape id="_x0000_s2189" o:spid="_x0000_s2189" o:spt="202" type="#_x0000_t202" style="position:absolute;left:3102;top:9163;height:360;width:980;" filled="f" stroked="f" coordsize="21600,21600">
              <v:path/>
              <v:fill on="f" focussize="0,0"/>
              <v:stroke on="f"/>
              <v:imagedata o:title=""/>
              <o:lock v:ext="edit" aspectratio="f"/>
              <v:textbox>
                <w:txbxContent>
                  <w:p>
                    <w:pPr>
                      <w:snapToGrid w:val="0"/>
                      <w:jc w:val="center"/>
                      <w:rPr>
                        <w:sz w:val="20"/>
                      </w:rPr>
                    </w:pPr>
                    <w:r>
                      <w:rPr>
                        <w:rFonts w:hint="eastAsia"/>
                        <w:sz w:val="20"/>
                      </w:rPr>
                      <w:t>自来水</w:t>
                    </w:r>
                  </w:p>
                </w:txbxContent>
              </v:textbox>
            </v:shape>
            <v:shape id="_x0000_s2190" o:spid="_x0000_s2190" o:spt="32" type="#_x0000_t32" style="position:absolute;left:3952;top:9370;height:0;width:560;" filled="f" stroked="t" coordsize="21600,21600">
              <v:path arrowok="t"/>
              <v:fill on="f" focussize="0,0"/>
              <v:stroke color="#000000" endarrow="block"/>
              <v:imagedata o:title=""/>
              <o:lock v:ext="edit" aspectratio="f"/>
            </v:shape>
            <v:shape id="_x0000_s2191" o:spid="_x0000_s2191" o:spt="202" type="#_x0000_t202" style="position:absolute;left:4551;top:10490;height:440;width:1320;" fillcolor="#FFFFFF" filled="t" stroked="t" coordsize="21600,21600">
              <v:path/>
              <v:fill on="t" color2="#FFFFFF" focussize="0,0"/>
              <v:stroke color="#000000" joinstyle="miter"/>
              <v:imagedata o:title=""/>
              <o:lock v:ext="edit" aspectratio="f"/>
              <v:textbox>
                <w:txbxContent>
                  <w:p>
                    <w:pPr>
                      <w:jc w:val="center"/>
                      <w:rPr>
                        <w:rFonts w:hint="eastAsia"/>
                        <w:lang w:val="en-US" w:eastAsia="zh-CN"/>
                      </w:rPr>
                    </w:pPr>
                    <w:r>
                      <w:rPr>
                        <w:rFonts w:hint="eastAsia"/>
                        <w:lang w:val="en-US" w:eastAsia="zh-CN"/>
                      </w:rPr>
                      <w:t>封闭</w:t>
                    </w:r>
                  </w:p>
                </w:txbxContent>
              </v:textbox>
            </v:shape>
            <v:shape id="_x0000_s2192" o:spid="_x0000_s2192" o:spt="32" type="#_x0000_t32" style="position:absolute;left:5211;top:10270;height:220;width:0;" filled="f" stroked="t" coordsize="21600,21600">
              <v:path arrowok="t"/>
              <v:fill on="f" focussize="0,0"/>
              <v:stroke color="#000000" endarrow="block"/>
              <v:imagedata o:title=""/>
              <o:lock v:ext="edit" aspectratio="f"/>
            </v:shape>
            <v:shape id="_x0000_s2193" o:spid="_x0000_s2193" o:spt="202" type="#_x0000_t202" style="position:absolute;left:4588;top:11146;height:440;width:1320;" fillcolor="#FFFFFF" filled="t" stroked="t" coordsize="21600,21600">
              <v:path/>
              <v:fill on="t" color2="#FFFFFF" focussize="0,0"/>
              <v:stroke color="#000000" joinstyle="miter"/>
              <v:imagedata o:title=""/>
              <o:lock v:ext="edit" aspectratio="f"/>
              <v:textbox>
                <w:txbxContent>
                  <w:p>
                    <w:pPr>
                      <w:jc w:val="center"/>
                      <w:rPr>
                        <w:rFonts w:hint="eastAsia" w:eastAsia="宋体"/>
                        <w:sz w:val="20"/>
                        <w:lang w:val="en-US" w:eastAsia="zh-CN"/>
                      </w:rPr>
                    </w:pPr>
                    <w:r>
                      <w:rPr>
                        <w:rFonts w:hint="eastAsia"/>
                        <w:sz w:val="20"/>
                        <w:lang w:val="en-US" w:eastAsia="zh-CN"/>
                      </w:rPr>
                      <w:t>烘干/甩干</w:t>
                    </w:r>
                  </w:p>
                  <w:p>
                    <w:pPr>
                      <w:rPr>
                        <w:rFonts w:hint="eastAsia"/>
                        <w:lang w:val="en-US" w:eastAsia="zh-CN"/>
                      </w:rPr>
                    </w:pPr>
                  </w:p>
                </w:txbxContent>
              </v:textbox>
            </v:shape>
            <v:shape id="_x0000_s2194" o:spid="_x0000_s2194" o:spt="32" type="#_x0000_t32" style="position:absolute;left:5248;top:10926;height:220;width:0;" filled="f" stroked="t" coordsize="21600,21600">
              <v:path arrowok="t"/>
              <v:fill on="f" focussize="0,0"/>
              <v:stroke color="#000000" endarrow="block"/>
              <v:imagedata o:title=""/>
              <o:lock v:ext="edit" aspectratio="f"/>
            </v:shape>
            <v:shape id="_x0000_s2195" o:spid="_x0000_s2195" o:spt="202" type="#_x0000_t202" style="position:absolute;left:3182;top:9858;height:360;width:980;" filled="f" stroked="f" coordsize="21600,21600">
              <v:path/>
              <v:fill on="f" focussize="0,0"/>
              <v:stroke on="f"/>
              <v:imagedata o:title=""/>
              <o:lock v:ext="edit" aspectratio="f"/>
              <v:textbox>
                <w:txbxContent>
                  <w:p>
                    <w:pPr>
                      <w:snapToGrid w:val="0"/>
                      <w:jc w:val="center"/>
                      <w:rPr>
                        <w:sz w:val="20"/>
                      </w:rPr>
                    </w:pPr>
                    <w:r>
                      <w:rPr>
                        <w:rFonts w:hint="eastAsia"/>
                        <w:sz w:val="20"/>
                      </w:rPr>
                      <w:t>自来水</w:t>
                    </w:r>
                  </w:p>
                </w:txbxContent>
              </v:textbox>
            </v:shape>
            <v:shape id="_x0000_s2196" o:spid="_x0000_s2196" o:spt="202" type="#_x0000_t202" style="position:absolute;left:3160;top:10511;height:360;width:980;" filled="f" stroked="f" coordsize="21600,21600">
              <v:path/>
              <v:fill on="f" focussize="0,0"/>
              <v:stroke on="f"/>
              <v:imagedata o:title=""/>
              <o:lock v:ext="edit" aspectratio="f"/>
              <v:textbox>
                <w:txbxContent>
                  <w:p>
                    <w:pPr>
                      <w:snapToGrid w:val="0"/>
                      <w:jc w:val="center"/>
                      <w:rPr>
                        <w:rFonts w:hint="eastAsia" w:eastAsia="宋体"/>
                        <w:sz w:val="20"/>
                        <w:lang w:val="en-US" w:eastAsia="zh-CN"/>
                      </w:rPr>
                    </w:pPr>
                    <w:r>
                      <w:rPr>
                        <w:rFonts w:hint="eastAsia"/>
                        <w:sz w:val="20"/>
                        <w:lang w:val="en-US" w:eastAsia="zh-CN"/>
                      </w:rPr>
                      <w:t>封闭剂</w:t>
                    </w:r>
                  </w:p>
                </w:txbxContent>
              </v:textbox>
            </v:shape>
            <v:shape id="_x0000_s2197" o:spid="_x0000_s2197" o:spt="32" type="#_x0000_t32" style="position:absolute;left:4000;top:10731;height:0;width:560;" filled="f" stroked="t" coordsize="21600,21600">
              <v:path arrowok="t"/>
              <v:fill on="f" focussize="0,0"/>
              <v:stroke color="#000000" endarrow="block"/>
              <v:imagedata o:title=""/>
              <o:lock v:ext="edit" aspectratio="f"/>
            </v:shape>
            <v:shape id="_x0000_s2198" o:spid="_x0000_s2198" o:spt="32" type="#_x0000_t32" style="position:absolute;left:4007;top:10064;height:0;width:560;" filled="f" stroked="t" coordsize="21600,21600">
              <v:path arrowok="t"/>
              <v:fill on="f" focussize="0,0"/>
              <v:stroke color="#000000" endarrow="block"/>
              <v:imagedata o:title=""/>
              <o:lock v:ext="edit" aspectratio="f"/>
            </v:shape>
            <v:shape id="_x0000_s2199" o:spid="_x0000_s2199" o:spt="202" type="#_x0000_t202" style="position:absolute;left:4589;top:11808;height:440;width:1320;" fillcolor="#FFFFFF" filled="t" stroked="t" coordsize="21600,21600">
              <v:path/>
              <v:fill on="t" color2="#FFFFFF" focussize="0,0"/>
              <v:stroke color="#000000" joinstyle="miter"/>
              <v:imagedata o:title=""/>
              <o:lock v:ext="edit" aspectratio="f"/>
              <v:textbox>
                <w:txbxContent>
                  <w:p>
                    <w:pPr>
                      <w:jc w:val="center"/>
                      <w:rPr>
                        <w:rFonts w:hint="eastAsia"/>
                        <w:lang w:val="en-US" w:eastAsia="zh-CN"/>
                      </w:rPr>
                    </w:pPr>
                    <w:r>
                      <w:rPr>
                        <w:rFonts w:hint="eastAsia"/>
                        <w:sz w:val="20"/>
                        <w:lang w:val="en-US" w:eastAsia="zh-CN"/>
                      </w:rPr>
                      <w:t>成品</w:t>
                    </w:r>
                  </w:p>
                </w:txbxContent>
              </v:textbox>
            </v:shape>
            <v:shape id="_x0000_s2200" o:spid="_x0000_s2200" o:spt="32" type="#_x0000_t32" style="position:absolute;left:5249;top:11589;height:220;width:0;" filled="f" stroked="t" coordsize="21600,21600">
              <v:path arrowok="t"/>
              <v:fill on="f" focussize="0,0"/>
              <v:stroke color="#000000" endarrow="block"/>
              <v:imagedata o:title=""/>
              <o:lock v:ext="edit" aspectratio="f"/>
            </v:shape>
            <v:shape id="_x0000_s2201" o:spid="_x0000_s2201" o:spt="32" type="#_x0000_t32" style="position:absolute;left:5863;top:10039;height:0;width:560;" filled="f" stroked="t" coordsize="21600,21600">
              <v:path arrowok="t"/>
              <v:fill on="f" focussize="0,0"/>
              <v:stroke color="#000000" dashstyle="longDash" endarrow="block"/>
              <v:imagedata o:title=""/>
              <o:lock v:ext="edit" aspectratio="f"/>
            </v:shape>
            <v:shape id="_x0000_s2202" o:spid="_x0000_s2202" o:spt="202" type="#_x0000_t202" style="position:absolute;left:6283;top:9839;height:360;width:1580;" filled="f" stroked="f" coordsize="21600,21600">
              <v:path/>
              <v:fill on="f" focussize="0,0"/>
              <v:stroke on="f"/>
              <v:imagedata o:title=""/>
              <o:lock v:ext="edit" aspectratio="f"/>
              <v:textbox>
                <w:txbxContent>
                  <w:p>
                    <w:pPr>
                      <w:snapToGrid w:val="0"/>
                      <w:jc w:val="center"/>
                      <w:rPr>
                        <w:sz w:val="20"/>
                      </w:rPr>
                    </w:pPr>
                    <w:r>
                      <w:rPr>
                        <w:rFonts w:hint="eastAsia"/>
                        <w:sz w:val="20"/>
                      </w:rPr>
                      <w:t>W2含铬废水</w:t>
                    </w:r>
                  </w:p>
                  <w:p/>
                </w:txbxContent>
              </v:textbox>
            </v:shape>
            <v:shape id="_x0000_s2203" o:spid="_x0000_s2203" o:spt="32" type="#_x0000_t32" style="position:absolute;left:5939;top:11407;height:0;width:560;" filled="f" stroked="t" coordsize="21600,21600">
              <v:path arrowok="t"/>
              <v:fill on="f" focussize="0,0"/>
              <v:stroke color="#000000" dashstyle="longDash" endarrow="block"/>
              <v:imagedata o:title=""/>
              <o:lock v:ext="edit" aspectratio="f"/>
            </v:shape>
            <v:shape id="_x0000_s2204" o:spid="_x0000_s2204" o:spt="202" type="#_x0000_t202" style="position:absolute;left:6359;top:11207;height:360;width:1580;" filled="f" stroked="f" coordsize="21600,21600">
              <v:path/>
              <v:fill on="f" focussize="0,0"/>
              <v:stroke on="f"/>
              <v:imagedata o:title=""/>
              <o:lock v:ext="edit" aspectratio="f"/>
              <v:textbox>
                <w:txbxContent>
                  <w:p>
                    <w:pPr>
                      <w:snapToGrid w:val="0"/>
                      <w:jc w:val="center"/>
                      <w:rPr>
                        <w:sz w:val="20"/>
                      </w:rPr>
                    </w:pPr>
                    <w:r>
                      <w:rPr>
                        <w:rFonts w:hint="eastAsia"/>
                        <w:sz w:val="20"/>
                      </w:rPr>
                      <w:t>W2含铬废水</w:t>
                    </w:r>
                  </w:p>
                  <w:p/>
                </w:txbxContent>
              </v:textbox>
            </v:shape>
            <w10:wrap type="none"/>
            <w10:anchorlock/>
          </v:group>
        </w:pict>
      </w:r>
    </w:p>
    <w:p>
      <w:pPr>
        <w:spacing w:line="372" w:lineRule="auto"/>
        <w:jc w:val="center"/>
        <w:rPr>
          <w:rFonts w:eastAsia="黑体"/>
          <w:bCs/>
          <w:color w:val="auto"/>
          <w:sz w:val="24"/>
          <w:highlight w:val="none"/>
        </w:rPr>
      </w:pPr>
      <w:r>
        <w:rPr>
          <w:rFonts w:eastAsia="黑体"/>
          <w:bCs/>
          <w:color w:val="auto"/>
          <w:sz w:val="24"/>
          <w:highlight w:val="none"/>
        </w:rPr>
        <w:t>图</w:t>
      </w:r>
      <w:r>
        <w:rPr>
          <w:rFonts w:hint="eastAsia" w:eastAsia="黑体"/>
          <w:bCs/>
          <w:color w:val="auto"/>
          <w:sz w:val="24"/>
          <w:highlight w:val="none"/>
          <w:lang w:val="en-US" w:eastAsia="zh-CN"/>
        </w:rPr>
        <w:t>2.4</w:t>
      </w:r>
      <w:r>
        <w:rPr>
          <w:rFonts w:eastAsia="黑体"/>
          <w:bCs/>
          <w:color w:val="auto"/>
          <w:sz w:val="24"/>
          <w:highlight w:val="none"/>
        </w:rPr>
        <w:t>-</w:t>
      </w:r>
      <w:r>
        <w:rPr>
          <w:rFonts w:hint="eastAsia" w:eastAsia="黑体"/>
          <w:bCs/>
          <w:color w:val="auto"/>
          <w:sz w:val="24"/>
          <w:highlight w:val="none"/>
          <w:lang w:val="en-US" w:eastAsia="zh-CN"/>
        </w:rPr>
        <w:t>1</w:t>
      </w:r>
      <w:r>
        <w:rPr>
          <w:rFonts w:eastAsia="黑体"/>
          <w:bCs/>
          <w:color w:val="auto"/>
          <w:sz w:val="24"/>
          <w:highlight w:val="none"/>
        </w:rPr>
        <w:t xml:space="preserve"> </w:t>
      </w:r>
      <w:r>
        <w:rPr>
          <w:rFonts w:hint="eastAsia" w:eastAsia="黑体"/>
          <w:bCs/>
          <w:color w:val="auto"/>
          <w:sz w:val="24"/>
          <w:highlight w:val="none"/>
          <w:lang w:val="en-US" w:eastAsia="zh-CN"/>
        </w:rPr>
        <w:t xml:space="preserve"> </w:t>
      </w:r>
      <w:r>
        <w:rPr>
          <w:rFonts w:eastAsia="黑体"/>
          <w:bCs/>
          <w:color w:val="auto"/>
          <w:sz w:val="24"/>
          <w:highlight w:val="none"/>
        </w:rPr>
        <w:t>镀锌生产工艺流程及产污环节图示</w:t>
      </w:r>
    </w:p>
    <w:p>
      <w:pPr>
        <w:adjustRightInd w:val="0"/>
        <w:snapToGrid w:val="0"/>
        <w:spacing w:line="360" w:lineRule="auto"/>
        <w:ind w:firstLine="480" w:firstLineChars="200"/>
        <w:rPr>
          <w:rFonts w:hint="eastAsia"/>
          <w:color w:val="auto"/>
          <w:sz w:val="24"/>
          <w:highlight w:val="none"/>
        </w:rPr>
      </w:pPr>
      <w:r>
        <w:rPr>
          <w:rFonts w:hint="eastAsia"/>
          <w:color w:val="auto"/>
          <w:sz w:val="24"/>
          <w:highlight w:val="none"/>
          <w:lang w:eastAsia="zh-CN"/>
        </w:rPr>
        <w:t>镀锌</w:t>
      </w:r>
      <w:r>
        <w:rPr>
          <w:rFonts w:hint="eastAsia"/>
          <w:color w:val="auto"/>
          <w:sz w:val="24"/>
          <w:highlight w:val="none"/>
        </w:rPr>
        <w:t>主要工艺流程及产污环节见图</w:t>
      </w:r>
      <w:r>
        <w:rPr>
          <w:rFonts w:hint="eastAsia"/>
          <w:color w:val="auto"/>
          <w:sz w:val="24"/>
          <w:highlight w:val="none"/>
          <w:lang w:val="en-US" w:eastAsia="zh-CN"/>
        </w:rPr>
        <w:t>2.4</w:t>
      </w:r>
      <w:r>
        <w:rPr>
          <w:rFonts w:hint="eastAsia"/>
          <w:color w:val="auto"/>
          <w:sz w:val="24"/>
          <w:highlight w:val="none"/>
        </w:rPr>
        <w:t>-</w:t>
      </w:r>
      <w:r>
        <w:rPr>
          <w:rFonts w:hint="eastAsia"/>
          <w:color w:val="auto"/>
          <w:sz w:val="24"/>
          <w:highlight w:val="none"/>
          <w:lang w:val="en-US" w:eastAsia="zh-CN"/>
        </w:rPr>
        <w:t>1</w:t>
      </w:r>
      <w:r>
        <w:rPr>
          <w:rFonts w:hint="eastAsia"/>
          <w:color w:val="auto"/>
          <w:sz w:val="24"/>
          <w:highlight w:val="none"/>
        </w:rPr>
        <w:t>。</w:t>
      </w:r>
    </w:p>
    <w:p>
      <w:pPr>
        <w:pStyle w:val="106"/>
        <w:spacing w:before="32"/>
        <w:rPr>
          <w:rFonts w:hint="eastAsia" w:ascii="黑体" w:hAnsi="黑体" w:eastAsia="黑体" w:cs="黑体"/>
          <w:b w:val="0"/>
          <w:bCs/>
          <w:color w:val="auto"/>
          <w:sz w:val="24"/>
          <w:szCs w:val="24"/>
          <w:highlight w:val="none"/>
        </w:rPr>
      </w:pPr>
      <w:r>
        <w:rPr>
          <w:rFonts w:hint="eastAsia" w:ascii="黑体" w:hAnsi="黑体" w:eastAsia="黑体" w:cs="黑体"/>
          <w:b w:val="0"/>
          <w:bCs/>
          <w:color w:val="auto"/>
          <w:spacing w:val="4"/>
          <w:sz w:val="24"/>
          <w:szCs w:val="24"/>
          <w:highlight w:val="none"/>
        </w:rPr>
        <w:t>表2.</w:t>
      </w:r>
      <w:r>
        <w:rPr>
          <w:rFonts w:hint="eastAsia" w:ascii="黑体" w:hAnsi="黑体" w:eastAsia="黑体" w:cs="黑体"/>
          <w:b w:val="0"/>
          <w:bCs/>
          <w:color w:val="auto"/>
          <w:spacing w:val="4"/>
          <w:sz w:val="24"/>
          <w:szCs w:val="24"/>
          <w:highlight w:val="none"/>
          <w:lang w:val="en-US" w:eastAsia="zh-CN"/>
        </w:rPr>
        <w:t>4-1</w:t>
      </w:r>
      <w:r>
        <w:rPr>
          <w:rFonts w:hint="eastAsia" w:ascii="黑体" w:hAnsi="黑体" w:eastAsia="黑体" w:cs="黑体"/>
          <w:b w:val="0"/>
          <w:bCs/>
          <w:color w:val="auto"/>
          <w:spacing w:val="4"/>
          <w:sz w:val="24"/>
          <w:szCs w:val="24"/>
          <w:highlight w:val="none"/>
        </w:rPr>
        <w:t xml:space="preserve">  生产</w:t>
      </w:r>
      <w:r>
        <w:rPr>
          <w:rFonts w:hint="eastAsia" w:ascii="黑体" w:hAnsi="黑体" w:eastAsia="黑体" w:cs="黑体"/>
          <w:b w:val="0"/>
          <w:bCs/>
          <w:color w:val="auto"/>
          <w:sz w:val="24"/>
          <w:szCs w:val="24"/>
          <w:highlight w:val="none"/>
        </w:rPr>
        <w:t>工艺流程简介</w:t>
      </w:r>
    </w:p>
    <w:tbl>
      <w:tblPr>
        <w:tblStyle w:val="36"/>
        <w:tblW w:w="9230" w:type="dxa"/>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242"/>
        <w:gridCol w:w="133"/>
        <w:gridCol w:w="5625"/>
        <w:gridCol w:w="2230"/>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1375" w:type="dxa"/>
            <w:gridSpan w:val="2"/>
            <w:vAlign w:val="center"/>
          </w:tcPr>
          <w:p>
            <w:pPr>
              <w:jc w:val="center"/>
              <w:rPr>
                <w:b/>
                <w:bCs/>
                <w:color w:val="auto"/>
                <w:szCs w:val="21"/>
                <w:highlight w:val="none"/>
              </w:rPr>
            </w:pPr>
            <w:r>
              <w:rPr>
                <w:b/>
                <w:bCs/>
                <w:color w:val="auto"/>
                <w:szCs w:val="21"/>
                <w:highlight w:val="none"/>
              </w:rPr>
              <w:t>工艺名称</w:t>
            </w:r>
          </w:p>
        </w:tc>
        <w:tc>
          <w:tcPr>
            <w:tcW w:w="5625" w:type="dxa"/>
            <w:vAlign w:val="center"/>
          </w:tcPr>
          <w:p>
            <w:pPr>
              <w:ind w:left="-357" w:leftChars="-170" w:firstLine="379" w:firstLineChars="180"/>
              <w:jc w:val="center"/>
              <w:rPr>
                <w:b/>
                <w:bCs/>
                <w:color w:val="auto"/>
                <w:szCs w:val="21"/>
                <w:highlight w:val="none"/>
              </w:rPr>
            </w:pPr>
            <w:r>
              <w:rPr>
                <w:b/>
                <w:bCs/>
                <w:color w:val="auto"/>
                <w:szCs w:val="21"/>
                <w:highlight w:val="none"/>
              </w:rPr>
              <w:t>主要功能及工艺介绍</w:t>
            </w:r>
          </w:p>
        </w:tc>
        <w:tc>
          <w:tcPr>
            <w:tcW w:w="2230" w:type="dxa"/>
            <w:vAlign w:val="center"/>
          </w:tcPr>
          <w:p>
            <w:pPr>
              <w:ind w:left="-357" w:leftChars="-170" w:firstLine="379" w:firstLineChars="180"/>
              <w:jc w:val="center"/>
              <w:rPr>
                <w:b/>
                <w:bCs/>
                <w:color w:val="auto"/>
                <w:szCs w:val="21"/>
                <w:highlight w:val="none"/>
              </w:rPr>
            </w:pPr>
            <w:r>
              <w:rPr>
                <w:b/>
                <w:bCs/>
                <w:color w:val="auto"/>
                <w:szCs w:val="21"/>
                <w:highlight w:val="none"/>
              </w:rPr>
              <w:t>主要组分及控制条件</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9230" w:type="dxa"/>
            <w:gridSpan w:val="4"/>
            <w:vAlign w:val="center"/>
          </w:tcPr>
          <w:p>
            <w:pPr>
              <w:jc w:val="left"/>
              <w:rPr>
                <w:b/>
                <w:bCs/>
                <w:color w:val="auto"/>
                <w:szCs w:val="21"/>
                <w:highlight w:val="none"/>
              </w:rPr>
            </w:pPr>
            <w:r>
              <w:rPr>
                <w:rFonts w:hint="eastAsia"/>
                <w:b/>
                <w:bCs/>
                <w:color w:val="auto"/>
                <w:szCs w:val="21"/>
                <w:highlight w:val="none"/>
              </w:rPr>
              <w:t>镀</w:t>
            </w:r>
            <w:r>
              <w:rPr>
                <w:b/>
                <w:bCs/>
                <w:color w:val="auto"/>
                <w:szCs w:val="21"/>
                <w:highlight w:val="none"/>
              </w:rPr>
              <w:t>前处理工段</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1375" w:type="dxa"/>
            <w:gridSpan w:val="2"/>
            <w:vAlign w:val="center"/>
          </w:tcPr>
          <w:p>
            <w:pPr>
              <w:adjustRightInd w:val="0"/>
              <w:snapToGrid w:val="0"/>
              <w:spacing w:line="340" w:lineRule="exact"/>
              <w:jc w:val="center"/>
              <w:rPr>
                <w:rFonts w:hint="eastAsia"/>
                <w:b/>
                <w:bCs/>
                <w:color w:val="auto"/>
                <w:kern w:val="0"/>
                <w:szCs w:val="21"/>
                <w:highlight w:val="none"/>
              </w:rPr>
            </w:pPr>
            <w:r>
              <w:rPr>
                <w:rFonts w:hint="eastAsia" w:ascii="Times New Roman" w:hAnsi="Times New Roman"/>
                <w:color w:val="auto"/>
                <w:kern w:val="0"/>
                <w:szCs w:val="21"/>
                <w:highlight w:val="none"/>
              </w:rPr>
              <w:t>化学除油</w:t>
            </w:r>
          </w:p>
        </w:tc>
        <w:tc>
          <w:tcPr>
            <w:tcW w:w="5625" w:type="dxa"/>
            <w:vAlign w:val="center"/>
          </w:tcPr>
          <w:p>
            <w:pPr>
              <w:adjustRightInd w:val="0"/>
              <w:snapToGrid w:val="0"/>
              <w:spacing w:line="340" w:lineRule="exact"/>
              <w:ind w:right="4" w:rightChars="2"/>
              <w:rPr>
                <w:color w:val="auto"/>
                <w:szCs w:val="21"/>
                <w:highlight w:val="none"/>
              </w:rPr>
            </w:pPr>
            <w:r>
              <w:rPr>
                <w:rFonts w:hint="eastAsia" w:ascii="Times New Roman" w:hAnsi="Times New Roman"/>
                <w:color w:val="auto"/>
                <w:kern w:val="0"/>
                <w:szCs w:val="21"/>
                <w:highlight w:val="none"/>
              </w:rPr>
              <w:t>在化学除油剂的作用下，除去镀件表面的油污，使镀件表面清洁，以利后面电镀工序的进行，采用电加热。</w:t>
            </w:r>
          </w:p>
        </w:tc>
        <w:tc>
          <w:tcPr>
            <w:tcW w:w="2230" w:type="dxa"/>
            <w:vAlign w:val="center"/>
          </w:tcPr>
          <w:p>
            <w:pPr>
              <w:adjustRightInd w:val="0"/>
              <w:snapToGrid w:val="0"/>
              <w:spacing w:line="340" w:lineRule="exact"/>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片碱、脱脂剂</w:t>
            </w:r>
          </w:p>
          <w:p>
            <w:pPr>
              <w:adjustRightInd w:val="0"/>
              <w:snapToGrid w:val="0"/>
              <w:spacing w:line="340" w:lineRule="exact"/>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热水</w:t>
            </w:r>
            <w:r>
              <w:rPr>
                <w:rFonts w:ascii="Times New Roman" w:hAnsi="Times New Roman"/>
                <w:color w:val="auto"/>
                <w:kern w:val="0"/>
                <w:szCs w:val="21"/>
                <w:highlight w:val="none"/>
              </w:rPr>
              <w:t>60~80</w:t>
            </w:r>
            <w:r>
              <w:rPr>
                <w:rFonts w:hint="eastAsia" w:ascii="宋体" w:hAnsi="宋体" w:cs="宋体"/>
                <w:color w:val="auto"/>
                <w:kern w:val="0"/>
                <w:szCs w:val="21"/>
                <w:highlight w:val="none"/>
              </w:rPr>
              <w:t>℃</w:t>
            </w:r>
            <w:r>
              <w:rPr>
                <w:rFonts w:hint="eastAsia" w:ascii="Times New Roman" w:hAnsi="Times New Roman"/>
                <w:color w:val="auto"/>
                <w:kern w:val="0"/>
                <w:szCs w:val="21"/>
                <w:highlight w:val="none"/>
              </w:rPr>
              <w:t>，</w:t>
            </w:r>
            <w:r>
              <w:rPr>
                <w:rFonts w:ascii="Times New Roman" w:hAnsi="Times New Roman"/>
                <w:color w:val="auto"/>
                <w:kern w:val="0"/>
                <w:szCs w:val="21"/>
                <w:highlight w:val="none"/>
              </w:rPr>
              <w:t>5min</w:t>
            </w:r>
            <w:r>
              <w:rPr>
                <w:rFonts w:hint="eastAsia" w:ascii="Times New Roman" w:hAnsi="Times New Roman"/>
                <w:color w:val="auto"/>
                <w:kern w:val="0"/>
                <w:szCs w:val="21"/>
                <w:highlight w:val="none"/>
              </w:rPr>
              <w:t>，</w:t>
            </w:r>
          </w:p>
          <w:p>
            <w:pPr>
              <w:adjustRightInd w:val="0"/>
              <w:snapToGrid w:val="0"/>
              <w:spacing w:line="340" w:lineRule="exact"/>
              <w:jc w:val="center"/>
              <w:rPr>
                <w:rFonts w:hint="eastAsia"/>
                <w:color w:val="auto"/>
                <w:kern w:val="0"/>
                <w:szCs w:val="21"/>
                <w:highlight w:val="none"/>
              </w:rPr>
            </w:pPr>
            <w:r>
              <w:rPr>
                <w:rFonts w:hint="eastAsia" w:ascii="Times New Roman" w:hAnsi="Times New Roman"/>
                <w:color w:val="auto"/>
                <w:kern w:val="0"/>
                <w:szCs w:val="21"/>
                <w:highlight w:val="none"/>
              </w:rPr>
              <w:t>蒸汽间接加热</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1375" w:type="dxa"/>
            <w:gridSpan w:val="2"/>
            <w:vAlign w:val="center"/>
          </w:tcPr>
          <w:p>
            <w:pPr>
              <w:adjustRightInd w:val="0"/>
              <w:snapToGrid w:val="0"/>
              <w:jc w:val="center"/>
              <w:rPr>
                <w:b w:val="0"/>
                <w:bCs w:val="0"/>
                <w:color w:val="auto"/>
                <w:kern w:val="0"/>
                <w:szCs w:val="21"/>
                <w:highlight w:val="none"/>
              </w:rPr>
            </w:pPr>
            <w:r>
              <w:rPr>
                <w:rFonts w:hint="eastAsia"/>
                <w:b w:val="0"/>
                <w:bCs w:val="0"/>
                <w:color w:val="auto"/>
                <w:kern w:val="0"/>
                <w:szCs w:val="21"/>
                <w:highlight w:val="none"/>
              </w:rPr>
              <w:t>电解</w:t>
            </w:r>
            <w:r>
              <w:rPr>
                <w:b w:val="0"/>
                <w:bCs w:val="0"/>
                <w:color w:val="auto"/>
                <w:kern w:val="0"/>
                <w:szCs w:val="21"/>
                <w:highlight w:val="none"/>
              </w:rPr>
              <w:t>去油</w:t>
            </w:r>
          </w:p>
        </w:tc>
        <w:tc>
          <w:tcPr>
            <w:tcW w:w="5625" w:type="dxa"/>
            <w:vAlign w:val="center"/>
          </w:tcPr>
          <w:p>
            <w:pPr>
              <w:adjustRightInd w:val="0"/>
              <w:snapToGrid w:val="0"/>
              <w:ind w:right="4" w:rightChars="2"/>
              <w:jc w:val="left"/>
              <w:rPr>
                <w:color w:val="auto"/>
                <w:kern w:val="0"/>
                <w:szCs w:val="21"/>
                <w:highlight w:val="none"/>
              </w:rPr>
            </w:pPr>
            <w:r>
              <w:rPr>
                <w:color w:val="auto"/>
                <w:szCs w:val="21"/>
                <w:highlight w:val="none"/>
              </w:rPr>
              <w:t>由于镀件表面可能存在油污、对电镀层影响较大，微量的油污也可能造成镀层结合不牢，而产生起皮、气泡等现象。为此项目使用</w:t>
            </w:r>
            <w:r>
              <w:rPr>
                <w:rFonts w:hint="eastAsia"/>
                <w:color w:val="auto"/>
                <w:szCs w:val="21"/>
                <w:highlight w:val="none"/>
              </w:rPr>
              <w:t>脱脂剂电解</w:t>
            </w:r>
            <w:r>
              <w:rPr>
                <w:color w:val="auto"/>
                <w:kern w:val="0"/>
                <w:szCs w:val="21"/>
                <w:highlight w:val="none"/>
              </w:rPr>
              <w:t>除去镀件表面的油污、锈迹等，使镀件表面清洁，以利</w:t>
            </w:r>
            <w:r>
              <w:rPr>
                <w:rFonts w:hint="eastAsia"/>
                <w:color w:val="auto"/>
                <w:kern w:val="0"/>
                <w:szCs w:val="21"/>
                <w:highlight w:val="none"/>
              </w:rPr>
              <w:t>于</w:t>
            </w:r>
            <w:r>
              <w:rPr>
                <w:color w:val="auto"/>
                <w:kern w:val="0"/>
                <w:szCs w:val="21"/>
                <w:highlight w:val="none"/>
              </w:rPr>
              <w:t>后面电镀工序的进行。</w:t>
            </w:r>
            <w:r>
              <w:rPr>
                <w:rFonts w:hint="eastAsia"/>
                <w:color w:val="auto"/>
                <w:kern w:val="0"/>
                <w:szCs w:val="21"/>
                <w:highlight w:val="none"/>
              </w:rPr>
              <w:t>去油后经2</w:t>
            </w:r>
            <w:r>
              <w:rPr>
                <w:rFonts w:hint="eastAsia"/>
                <w:color w:val="auto"/>
                <w:kern w:val="0"/>
                <w:szCs w:val="21"/>
                <w:highlight w:val="none"/>
                <w:lang w:val="en-US" w:eastAsia="zh-CN"/>
              </w:rPr>
              <w:t>-4</w:t>
            </w:r>
            <w:r>
              <w:rPr>
                <w:rFonts w:hint="eastAsia"/>
                <w:color w:val="auto"/>
                <w:kern w:val="0"/>
                <w:szCs w:val="21"/>
                <w:highlight w:val="none"/>
              </w:rPr>
              <w:t>级</w:t>
            </w:r>
            <w:r>
              <w:rPr>
                <w:color w:val="auto"/>
                <w:szCs w:val="21"/>
                <w:highlight w:val="none"/>
              </w:rPr>
              <w:t>逆流漂洗</w:t>
            </w:r>
            <w:r>
              <w:rPr>
                <w:rFonts w:hint="eastAsia"/>
                <w:color w:val="auto"/>
                <w:szCs w:val="21"/>
                <w:highlight w:val="none"/>
              </w:rPr>
              <w:t>。</w:t>
            </w:r>
          </w:p>
        </w:tc>
        <w:tc>
          <w:tcPr>
            <w:tcW w:w="2230" w:type="dxa"/>
            <w:vAlign w:val="center"/>
          </w:tcPr>
          <w:p>
            <w:pPr>
              <w:adjustRightInd w:val="0"/>
              <w:snapToGrid w:val="0"/>
              <w:jc w:val="center"/>
              <w:rPr>
                <w:color w:val="auto"/>
                <w:kern w:val="0"/>
                <w:szCs w:val="21"/>
                <w:highlight w:val="none"/>
              </w:rPr>
            </w:pPr>
            <w:r>
              <w:rPr>
                <w:rFonts w:hint="eastAsia"/>
                <w:color w:val="auto"/>
                <w:kern w:val="0"/>
                <w:szCs w:val="21"/>
                <w:highlight w:val="none"/>
              </w:rPr>
              <w:t>脱脂剂</w:t>
            </w:r>
            <w:r>
              <w:rPr>
                <w:color w:val="auto"/>
                <w:kern w:val="0"/>
                <w:szCs w:val="21"/>
                <w:highlight w:val="none"/>
              </w:rPr>
              <w:t>，室温， 10min</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1375" w:type="dxa"/>
            <w:gridSpan w:val="2"/>
            <w:vAlign w:val="center"/>
          </w:tcPr>
          <w:p>
            <w:pPr>
              <w:adjustRightInd w:val="0"/>
              <w:snapToGrid w:val="0"/>
              <w:jc w:val="center"/>
              <w:rPr>
                <w:b w:val="0"/>
                <w:bCs w:val="0"/>
                <w:color w:val="auto"/>
                <w:kern w:val="0"/>
                <w:szCs w:val="21"/>
                <w:highlight w:val="none"/>
              </w:rPr>
            </w:pPr>
            <w:r>
              <w:rPr>
                <w:b w:val="0"/>
                <w:bCs w:val="0"/>
                <w:color w:val="auto"/>
                <w:kern w:val="0"/>
                <w:szCs w:val="21"/>
                <w:highlight w:val="none"/>
              </w:rPr>
              <w:t>酸洗</w:t>
            </w:r>
          </w:p>
        </w:tc>
        <w:tc>
          <w:tcPr>
            <w:tcW w:w="5625" w:type="dxa"/>
            <w:vAlign w:val="center"/>
          </w:tcPr>
          <w:p>
            <w:pPr>
              <w:adjustRightInd w:val="0"/>
              <w:snapToGrid w:val="0"/>
              <w:ind w:right="4" w:rightChars="2"/>
              <w:jc w:val="left"/>
              <w:rPr>
                <w:color w:val="auto"/>
                <w:szCs w:val="21"/>
                <w:highlight w:val="none"/>
              </w:rPr>
            </w:pPr>
            <w:r>
              <w:rPr>
                <w:color w:val="auto"/>
                <w:szCs w:val="21"/>
                <w:highlight w:val="none"/>
              </w:rPr>
              <w:t>除油完全后的镀件表面仍残存有薄的氧化膜、钝化膜，会阻碍电镀层的密着性，须使用酸将金属表面活化，以保持镀件表面的金属活性，以便后续电镀。</w:t>
            </w:r>
            <w:r>
              <w:rPr>
                <w:rFonts w:hint="eastAsia"/>
                <w:color w:val="auto"/>
                <w:szCs w:val="21"/>
                <w:highlight w:val="none"/>
              </w:rPr>
              <w:t>本项目</w:t>
            </w:r>
            <w:r>
              <w:rPr>
                <w:color w:val="auto"/>
                <w:szCs w:val="21"/>
                <w:highlight w:val="none"/>
              </w:rPr>
              <w:t>酸洗工序所用盐酸</w:t>
            </w:r>
            <w:r>
              <w:rPr>
                <w:rFonts w:hint="eastAsia"/>
                <w:color w:val="auto"/>
                <w:szCs w:val="21"/>
                <w:highlight w:val="none"/>
              </w:rPr>
              <w:t>稀释至</w:t>
            </w:r>
            <w:r>
              <w:rPr>
                <w:color w:val="auto"/>
                <w:szCs w:val="21"/>
                <w:highlight w:val="none"/>
              </w:rPr>
              <w:t>10%~14%，镀件浸入酸洗槽常温条件下处理</w:t>
            </w:r>
            <w:r>
              <w:rPr>
                <w:rFonts w:hint="eastAsia"/>
                <w:color w:val="auto"/>
                <w:szCs w:val="21"/>
                <w:highlight w:val="none"/>
              </w:rPr>
              <w:t>5</w:t>
            </w:r>
            <w:r>
              <w:rPr>
                <w:color w:val="auto"/>
                <w:szCs w:val="21"/>
                <w:highlight w:val="none"/>
              </w:rPr>
              <w:t>min。酸洗后经三级逆流漂洗，以去除镀件表层残留的盐酸。</w:t>
            </w:r>
          </w:p>
        </w:tc>
        <w:tc>
          <w:tcPr>
            <w:tcW w:w="2230" w:type="dxa"/>
            <w:vAlign w:val="center"/>
          </w:tcPr>
          <w:p>
            <w:pPr>
              <w:adjustRightInd w:val="0"/>
              <w:snapToGrid w:val="0"/>
              <w:jc w:val="center"/>
              <w:rPr>
                <w:color w:val="auto"/>
                <w:kern w:val="0"/>
                <w:szCs w:val="21"/>
                <w:highlight w:val="none"/>
              </w:rPr>
            </w:pPr>
            <w:r>
              <w:rPr>
                <w:rFonts w:hint="eastAsia"/>
                <w:color w:val="auto"/>
                <w:szCs w:val="21"/>
                <w:highlight w:val="none"/>
              </w:rPr>
              <w:t>25</w:t>
            </w:r>
            <w:r>
              <w:rPr>
                <w:color w:val="auto"/>
                <w:szCs w:val="21"/>
                <w:highlight w:val="none"/>
              </w:rPr>
              <w:t>%盐酸</w:t>
            </w:r>
            <w:r>
              <w:rPr>
                <w:rFonts w:hint="eastAsia"/>
                <w:color w:val="auto"/>
                <w:szCs w:val="21"/>
                <w:highlight w:val="none"/>
                <w:lang w:val="en-US" w:eastAsia="zh-CN"/>
              </w:rPr>
              <w:t>/10%硫酸</w:t>
            </w:r>
            <w:r>
              <w:rPr>
                <w:color w:val="auto"/>
                <w:kern w:val="0"/>
                <w:szCs w:val="21"/>
                <w:highlight w:val="none"/>
              </w:rPr>
              <w:t>，室温，</w:t>
            </w:r>
            <w:r>
              <w:rPr>
                <w:rFonts w:hint="eastAsia"/>
                <w:color w:val="auto"/>
                <w:kern w:val="0"/>
                <w:szCs w:val="21"/>
                <w:highlight w:val="none"/>
              </w:rPr>
              <w:t>5</w:t>
            </w:r>
            <w:r>
              <w:rPr>
                <w:color w:val="auto"/>
                <w:kern w:val="0"/>
                <w:szCs w:val="21"/>
                <w:highlight w:val="none"/>
              </w:rPr>
              <w:t>min</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9230" w:type="dxa"/>
            <w:gridSpan w:val="4"/>
            <w:vAlign w:val="center"/>
          </w:tcPr>
          <w:p>
            <w:pPr>
              <w:tabs>
                <w:tab w:val="left" w:pos="2118"/>
              </w:tabs>
              <w:adjustRightInd w:val="0"/>
              <w:snapToGrid w:val="0"/>
              <w:ind w:right="6" w:rightChars="3"/>
              <w:jc w:val="left"/>
              <w:rPr>
                <w:b/>
                <w:bCs/>
                <w:color w:val="auto"/>
                <w:kern w:val="0"/>
                <w:szCs w:val="21"/>
                <w:highlight w:val="none"/>
              </w:rPr>
            </w:pPr>
            <w:r>
              <w:rPr>
                <w:b/>
                <w:bCs/>
                <w:color w:val="auto"/>
                <w:kern w:val="0"/>
                <w:szCs w:val="21"/>
                <w:highlight w:val="none"/>
              </w:rPr>
              <w:t>电镀工段</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1375" w:type="dxa"/>
            <w:gridSpan w:val="2"/>
            <w:vAlign w:val="center"/>
          </w:tcPr>
          <w:p>
            <w:pPr>
              <w:adjustRightInd w:val="0"/>
              <w:snapToGrid w:val="0"/>
              <w:jc w:val="center"/>
              <w:rPr>
                <w:b w:val="0"/>
                <w:bCs w:val="0"/>
                <w:color w:val="auto"/>
                <w:kern w:val="0"/>
                <w:szCs w:val="21"/>
                <w:highlight w:val="none"/>
              </w:rPr>
            </w:pPr>
            <w:r>
              <w:rPr>
                <w:b w:val="0"/>
                <w:bCs w:val="0"/>
                <w:color w:val="auto"/>
                <w:kern w:val="0"/>
                <w:szCs w:val="21"/>
                <w:highlight w:val="none"/>
              </w:rPr>
              <w:t>镀</w:t>
            </w:r>
            <w:r>
              <w:rPr>
                <w:rFonts w:hint="eastAsia"/>
                <w:b w:val="0"/>
                <w:bCs w:val="0"/>
                <w:color w:val="auto"/>
                <w:kern w:val="0"/>
                <w:szCs w:val="21"/>
                <w:highlight w:val="none"/>
                <w:lang w:val="en-US" w:eastAsia="zh-CN"/>
              </w:rPr>
              <w:t>碱</w:t>
            </w:r>
            <w:r>
              <w:rPr>
                <w:b w:val="0"/>
                <w:bCs w:val="0"/>
                <w:color w:val="auto"/>
                <w:kern w:val="0"/>
                <w:szCs w:val="21"/>
                <w:highlight w:val="none"/>
              </w:rPr>
              <w:t>锌</w:t>
            </w:r>
          </w:p>
        </w:tc>
        <w:tc>
          <w:tcPr>
            <w:tcW w:w="5625" w:type="dxa"/>
            <w:vAlign w:val="center"/>
          </w:tcPr>
          <w:p>
            <w:pPr>
              <w:adjustRightInd w:val="0"/>
              <w:snapToGrid w:val="0"/>
              <w:jc w:val="left"/>
              <w:rPr>
                <w:color w:val="auto"/>
                <w:szCs w:val="21"/>
                <w:highlight w:val="none"/>
              </w:rPr>
            </w:pPr>
            <w:r>
              <w:rPr>
                <w:color w:val="auto"/>
                <w:kern w:val="0"/>
                <w:szCs w:val="21"/>
                <w:highlight w:val="none"/>
              </w:rPr>
              <w:t>电解法镀锌，镀液成分主要有氧化锌、氢氧化钠、光亮剂、柔软剂，极板为锌锭，</w:t>
            </w:r>
            <w:r>
              <w:rPr>
                <w:color w:val="auto"/>
                <w:szCs w:val="21"/>
                <w:highlight w:val="none"/>
              </w:rPr>
              <w:t>温度为常温。</w:t>
            </w:r>
            <w:r>
              <w:rPr>
                <w:rFonts w:hint="eastAsia"/>
                <w:color w:val="auto"/>
                <w:szCs w:val="21"/>
                <w:highlight w:val="none"/>
              </w:rPr>
              <w:t>镀件放入</w:t>
            </w:r>
            <w:r>
              <w:rPr>
                <w:color w:val="auto"/>
                <w:szCs w:val="21"/>
                <w:highlight w:val="none"/>
              </w:rPr>
              <w:t>镀锌槽规格</w:t>
            </w:r>
            <w:r>
              <w:rPr>
                <w:rFonts w:hint="eastAsia"/>
                <w:color w:val="auto"/>
                <w:szCs w:val="21"/>
                <w:highlight w:val="none"/>
              </w:rPr>
              <w:t>常温条件下镀锌。</w:t>
            </w:r>
          </w:p>
        </w:tc>
        <w:tc>
          <w:tcPr>
            <w:tcW w:w="2230" w:type="dxa"/>
            <w:vAlign w:val="center"/>
          </w:tcPr>
          <w:p>
            <w:pPr>
              <w:tabs>
                <w:tab w:val="left" w:pos="2118"/>
              </w:tabs>
              <w:adjustRightInd w:val="0"/>
              <w:snapToGrid w:val="0"/>
              <w:jc w:val="center"/>
              <w:rPr>
                <w:color w:val="auto"/>
                <w:kern w:val="0"/>
                <w:szCs w:val="21"/>
                <w:highlight w:val="none"/>
              </w:rPr>
            </w:pPr>
            <w:r>
              <w:rPr>
                <w:rFonts w:hint="eastAsia"/>
                <w:color w:val="auto"/>
                <w:kern w:val="0"/>
                <w:szCs w:val="21"/>
                <w:highlight w:val="none"/>
              </w:rPr>
              <w:t>氢氧化钠100-200g/L，氧化锌10-12g/L，光亮剂4-6ml/L，柔软剂 2-4ml/L，</w:t>
            </w:r>
            <w:r>
              <w:rPr>
                <w:color w:val="auto"/>
                <w:kern w:val="0"/>
                <w:szCs w:val="21"/>
                <w:highlight w:val="none"/>
              </w:rPr>
              <w:t>室温</w:t>
            </w:r>
            <w:r>
              <w:rPr>
                <w:rFonts w:hint="eastAsia"/>
                <w:color w:val="auto"/>
                <w:kern w:val="0"/>
                <w:szCs w:val="21"/>
                <w:highlight w:val="none"/>
              </w:rPr>
              <w:t>，</w:t>
            </w:r>
            <w:r>
              <w:rPr>
                <w:rFonts w:ascii="Times New Roman" w:hAnsi="Times New Roman"/>
                <w:color w:val="auto"/>
                <w:kern w:val="0"/>
                <w:szCs w:val="21"/>
                <w:highlight w:val="none"/>
              </w:rPr>
              <w:t>60-80</w:t>
            </w:r>
            <w:r>
              <w:rPr>
                <w:rFonts w:hint="eastAsia"/>
                <w:color w:val="auto"/>
                <w:kern w:val="0"/>
                <w:szCs w:val="21"/>
                <w:highlight w:val="none"/>
              </w:rPr>
              <w:t>min。</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PrEx>
        <w:trPr>
          <w:trHeight w:val="340" w:hRule="atLeast"/>
          <w:jc w:val="center"/>
        </w:trPr>
        <w:tc>
          <w:tcPr>
            <w:tcW w:w="1375" w:type="dxa"/>
            <w:gridSpan w:val="2"/>
            <w:vAlign w:val="center"/>
          </w:tcPr>
          <w:p>
            <w:pPr>
              <w:adjustRightInd w:val="0"/>
              <w:snapToGrid w:val="0"/>
              <w:jc w:val="center"/>
              <w:rPr>
                <w:rFonts w:hint="eastAsia" w:eastAsia="宋体"/>
                <w:b w:val="0"/>
                <w:bCs w:val="0"/>
                <w:color w:val="auto"/>
                <w:kern w:val="0"/>
                <w:szCs w:val="21"/>
                <w:highlight w:val="none"/>
                <w:lang w:val="en-US" w:eastAsia="zh-CN"/>
              </w:rPr>
            </w:pPr>
            <w:r>
              <w:rPr>
                <w:rFonts w:hint="eastAsia"/>
                <w:b w:val="0"/>
                <w:bCs w:val="0"/>
                <w:color w:val="auto"/>
                <w:kern w:val="0"/>
                <w:szCs w:val="21"/>
                <w:highlight w:val="none"/>
                <w:lang w:val="en-US" w:eastAsia="zh-CN"/>
              </w:rPr>
              <w:t>镀酸锌</w:t>
            </w:r>
          </w:p>
        </w:tc>
        <w:tc>
          <w:tcPr>
            <w:tcW w:w="5625" w:type="dxa"/>
            <w:vAlign w:val="center"/>
          </w:tcPr>
          <w:p>
            <w:pPr>
              <w:adjustRightInd w:val="0"/>
              <w:snapToGrid w:val="0"/>
              <w:rPr>
                <w:color w:val="auto"/>
                <w:kern w:val="0"/>
                <w:szCs w:val="21"/>
                <w:highlight w:val="none"/>
              </w:rPr>
            </w:pPr>
            <w:r>
              <w:rPr>
                <w:color w:val="auto"/>
                <w:kern w:val="0"/>
                <w:szCs w:val="21"/>
                <w:highlight w:val="none"/>
              </w:rPr>
              <w:t>电解法镀锌，镀液成分主要有氧化锌、氢氧化钠、光亮剂、柔软剂，极板为锌锭，</w:t>
            </w:r>
            <w:r>
              <w:rPr>
                <w:color w:val="auto"/>
                <w:szCs w:val="21"/>
                <w:highlight w:val="none"/>
              </w:rPr>
              <w:t>温度为常温。</w:t>
            </w:r>
          </w:p>
        </w:tc>
        <w:tc>
          <w:tcPr>
            <w:tcW w:w="2230" w:type="dxa"/>
            <w:vAlign w:val="center"/>
          </w:tcPr>
          <w:p>
            <w:pPr>
              <w:tabs>
                <w:tab w:val="left" w:pos="2118"/>
              </w:tabs>
              <w:adjustRightInd w:val="0"/>
              <w:snapToGrid w:val="0"/>
              <w:jc w:val="left"/>
              <w:rPr>
                <w:rFonts w:hint="eastAsia"/>
                <w:color w:val="auto"/>
                <w:kern w:val="0"/>
                <w:szCs w:val="21"/>
                <w:highlight w:val="none"/>
              </w:rPr>
            </w:pPr>
            <w:r>
              <w:rPr>
                <w:color w:val="auto"/>
                <w:kern w:val="0"/>
                <w:szCs w:val="21"/>
                <w:highlight w:val="none"/>
              </w:rPr>
              <w:t>氢氧化钠100-200g/L，氧化锌10-12g/L，光亮剂4-6ml/L，柔软剂 2-4ml/L，</w:t>
            </w:r>
            <w:r>
              <w:rPr>
                <w:rFonts w:hint="eastAsia"/>
                <w:color w:val="auto"/>
                <w:kern w:val="0"/>
                <w:szCs w:val="21"/>
                <w:highlight w:val="none"/>
                <w:lang w:val="en-US" w:eastAsia="zh-CN"/>
              </w:rPr>
              <w:t>室温</w:t>
            </w:r>
            <w:r>
              <w:rPr>
                <w:color w:val="auto"/>
                <w:kern w:val="0"/>
                <w:szCs w:val="21"/>
                <w:highlight w:val="none"/>
              </w:rPr>
              <w:t>，60-90min</w:t>
            </w:r>
            <w:r>
              <w:rPr>
                <w:rFonts w:hint="eastAsia"/>
                <w:color w:val="auto"/>
                <w:kern w:val="0"/>
                <w:szCs w:val="21"/>
                <w:highlight w:val="none"/>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9230" w:type="dxa"/>
            <w:gridSpan w:val="4"/>
            <w:vAlign w:val="center"/>
          </w:tcPr>
          <w:p>
            <w:pPr>
              <w:tabs>
                <w:tab w:val="left" w:pos="2118"/>
              </w:tabs>
              <w:adjustRightInd w:val="0"/>
              <w:snapToGrid w:val="0"/>
              <w:jc w:val="left"/>
              <w:rPr>
                <w:b/>
                <w:bCs/>
                <w:color w:val="auto"/>
                <w:kern w:val="0"/>
                <w:szCs w:val="21"/>
                <w:highlight w:val="none"/>
              </w:rPr>
            </w:pPr>
            <w:r>
              <w:rPr>
                <w:rFonts w:hint="eastAsia"/>
                <w:b/>
                <w:bCs/>
                <w:color w:val="auto"/>
                <w:kern w:val="0"/>
                <w:szCs w:val="21"/>
                <w:highlight w:val="none"/>
              </w:rPr>
              <w:t>镀</w:t>
            </w:r>
            <w:r>
              <w:rPr>
                <w:b/>
                <w:bCs/>
                <w:color w:val="auto"/>
                <w:kern w:val="0"/>
                <w:szCs w:val="21"/>
                <w:highlight w:val="none"/>
              </w:rPr>
              <w:t>后处理工段</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1242" w:type="dxa"/>
            <w:vAlign w:val="center"/>
          </w:tcPr>
          <w:p>
            <w:pPr>
              <w:adjustRightInd w:val="0"/>
              <w:snapToGrid w:val="0"/>
              <w:jc w:val="center"/>
              <w:rPr>
                <w:b w:val="0"/>
                <w:bCs w:val="0"/>
                <w:color w:val="auto"/>
                <w:highlight w:val="none"/>
              </w:rPr>
            </w:pPr>
            <w:r>
              <w:rPr>
                <w:rFonts w:hint="eastAsia"/>
                <w:b w:val="0"/>
                <w:bCs w:val="0"/>
                <w:color w:val="auto"/>
                <w:kern w:val="0"/>
                <w:szCs w:val="21"/>
                <w:highlight w:val="none"/>
              </w:rPr>
              <w:t>出光</w:t>
            </w:r>
          </w:p>
        </w:tc>
        <w:tc>
          <w:tcPr>
            <w:tcW w:w="5758" w:type="dxa"/>
            <w:gridSpan w:val="2"/>
            <w:vAlign w:val="center"/>
          </w:tcPr>
          <w:p>
            <w:pPr>
              <w:jc w:val="left"/>
              <w:rPr>
                <w:color w:val="auto"/>
                <w:highlight w:val="none"/>
              </w:rPr>
            </w:pPr>
            <w:r>
              <w:rPr>
                <w:rFonts w:hint="eastAsia"/>
                <w:color w:val="auto"/>
                <w:highlight w:val="none"/>
              </w:rPr>
              <w:t>出光是把电镀锌后表面上产生的碱性膜层去除掉，相当于活化的作用，之所以使用硝酸主要是硝酸的强氧化性，对锌的腐蚀轻微，并且有化学抛光的作用。不仅可以增加锌层亮度，更可以中和零件凹孔内未清洗干净的碱液，利于后面钝化液的稳定。</w:t>
            </w:r>
          </w:p>
        </w:tc>
        <w:tc>
          <w:tcPr>
            <w:tcW w:w="2230" w:type="dxa"/>
            <w:vAlign w:val="center"/>
          </w:tcPr>
          <w:p>
            <w:pPr>
              <w:jc w:val="center"/>
              <w:rPr>
                <w:color w:val="auto"/>
                <w:highlight w:val="none"/>
              </w:rPr>
            </w:pPr>
            <w:r>
              <w:rPr>
                <w:rFonts w:hint="eastAsia"/>
                <w:color w:val="auto"/>
                <w:highlight w:val="none"/>
              </w:rPr>
              <w:t>碱性电镀：硝酸3%，</w:t>
            </w:r>
            <w:r>
              <w:rPr>
                <w:color w:val="auto"/>
                <w:kern w:val="0"/>
                <w:szCs w:val="21"/>
                <w:highlight w:val="none"/>
              </w:rPr>
              <w:t>室温</w:t>
            </w:r>
            <w:r>
              <w:rPr>
                <w:rFonts w:hint="eastAsia"/>
                <w:color w:val="auto"/>
                <w:highlight w:val="none"/>
              </w:rPr>
              <w:t>，30s。</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1242" w:type="dxa"/>
            <w:vAlign w:val="center"/>
          </w:tcPr>
          <w:p>
            <w:pPr>
              <w:adjustRightInd w:val="0"/>
              <w:snapToGrid w:val="0"/>
              <w:jc w:val="center"/>
              <w:rPr>
                <w:b w:val="0"/>
                <w:bCs w:val="0"/>
                <w:color w:val="auto"/>
                <w:kern w:val="0"/>
                <w:szCs w:val="21"/>
                <w:highlight w:val="none"/>
              </w:rPr>
            </w:pPr>
            <w:r>
              <w:rPr>
                <w:rFonts w:hint="eastAsia"/>
                <w:b w:val="0"/>
                <w:bCs w:val="0"/>
                <w:color w:val="auto"/>
                <w:kern w:val="0"/>
                <w:szCs w:val="21"/>
                <w:highlight w:val="none"/>
              </w:rPr>
              <w:t>彩镀</w:t>
            </w:r>
            <w:r>
              <w:rPr>
                <w:b w:val="0"/>
                <w:bCs w:val="0"/>
                <w:color w:val="auto"/>
                <w:kern w:val="0"/>
                <w:szCs w:val="21"/>
                <w:highlight w:val="none"/>
              </w:rPr>
              <w:t>钝化</w:t>
            </w:r>
          </w:p>
        </w:tc>
        <w:tc>
          <w:tcPr>
            <w:tcW w:w="5758" w:type="dxa"/>
            <w:gridSpan w:val="2"/>
            <w:vAlign w:val="center"/>
          </w:tcPr>
          <w:p>
            <w:pPr>
              <w:adjustRightInd w:val="0"/>
              <w:snapToGrid w:val="0"/>
              <w:spacing w:line="340" w:lineRule="exact"/>
              <w:rPr>
                <w:color w:val="auto"/>
                <w:kern w:val="0"/>
                <w:szCs w:val="21"/>
                <w:highlight w:val="none"/>
              </w:rPr>
            </w:pPr>
            <w:r>
              <w:rPr>
                <w:rFonts w:hint="eastAsia" w:ascii="Times New Roman" w:hAnsi="Times New Roman"/>
                <w:color w:val="auto"/>
                <w:kern w:val="0"/>
                <w:szCs w:val="21"/>
                <w:highlight w:val="none"/>
              </w:rPr>
              <w:t>为提高镀层的化学稳定性、耐磨性，以及镀件的耐腐蚀性、装饰性，需进行钝化处理。项目钝化剂为三价蓝白钝化剂、三价彩钝化剂。</w:t>
            </w:r>
          </w:p>
        </w:tc>
        <w:tc>
          <w:tcPr>
            <w:tcW w:w="2230" w:type="dxa"/>
            <w:vAlign w:val="center"/>
          </w:tcPr>
          <w:p>
            <w:pPr>
              <w:adjustRightInd w:val="0"/>
              <w:snapToGrid w:val="0"/>
              <w:spacing w:line="340" w:lineRule="exact"/>
              <w:jc w:val="center"/>
              <w:rPr>
                <w:color w:val="auto"/>
                <w:kern w:val="0"/>
                <w:szCs w:val="21"/>
                <w:highlight w:val="none"/>
              </w:rPr>
            </w:pPr>
            <w:r>
              <w:rPr>
                <w:rFonts w:hint="eastAsia" w:ascii="Times New Roman" w:hAnsi="Times New Roman"/>
                <w:color w:val="auto"/>
                <w:kern w:val="0"/>
                <w:szCs w:val="21"/>
                <w:highlight w:val="none"/>
              </w:rPr>
              <w:t>三价铬钝化：</w:t>
            </w:r>
            <w:r>
              <w:rPr>
                <w:rFonts w:ascii="Times New Roman" w:hAnsi="Times New Roman"/>
                <w:color w:val="auto"/>
                <w:kern w:val="0"/>
                <w:szCs w:val="21"/>
                <w:highlight w:val="none"/>
              </w:rPr>
              <w:t>3~5%</w:t>
            </w:r>
            <w:r>
              <w:rPr>
                <w:rFonts w:hint="eastAsia"/>
                <w:color w:val="auto"/>
                <w:kern w:val="0"/>
                <w:szCs w:val="21"/>
                <w:highlight w:val="none"/>
                <w:lang w:eastAsia="zh-CN"/>
              </w:rPr>
              <w:t>(</w:t>
            </w:r>
            <w:r>
              <w:rPr>
                <w:rFonts w:ascii="Times New Roman" w:hAnsi="Times New Roman"/>
                <w:color w:val="auto"/>
                <w:kern w:val="0"/>
                <w:szCs w:val="21"/>
                <w:highlight w:val="none"/>
              </w:rPr>
              <w:t>Cr</w:t>
            </w:r>
            <w:r>
              <w:rPr>
                <w:rFonts w:ascii="Times New Roman" w:hAnsi="Times New Roman"/>
                <w:color w:val="auto"/>
                <w:kern w:val="0"/>
                <w:szCs w:val="21"/>
                <w:highlight w:val="none"/>
                <w:vertAlign w:val="superscript"/>
              </w:rPr>
              <w:t>3+</w:t>
            </w:r>
            <w:r>
              <w:rPr>
                <w:rFonts w:ascii="Times New Roman" w:hAnsi="Times New Roman"/>
                <w:color w:val="auto"/>
                <w:kern w:val="0"/>
                <w:szCs w:val="21"/>
                <w:highlight w:val="none"/>
              </w:rPr>
              <w:t xml:space="preserve"> 1~10g/L)</w:t>
            </w:r>
            <w:r>
              <w:rPr>
                <w:rFonts w:hint="eastAsia"/>
                <w:color w:val="auto"/>
                <w:kern w:val="0"/>
                <w:szCs w:val="21"/>
                <w:highlight w:val="none"/>
                <w:lang w:eastAsia="zh-CN"/>
              </w:rPr>
              <w:t>，</w:t>
            </w:r>
            <w:r>
              <w:rPr>
                <w:rFonts w:hint="eastAsia" w:ascii="Times New Roman" w:hAnsi="Times New Roman"/>
                <w:color w:val="auto"/>
                <w:kern w:val="0"/>
                <w:szCs w:val="21"/>
                <w:highlight w:val="none"/>
              </w:rPr>
              <w:t>室温</w:t>
            </w:r>
            <w:r>
              <w:rPr>
                <w:rFonts w:hint="eastAsia"/>
                <w:color w:val="auto"/>
                <w:kern w:val="0"/>
                <w:szCs w:val="21"/>
                <w:highlight w:val="none"/>
                <w:lang w:eastAsia="zh-CN"/>
              </w:rPr>
              <w:t>，</w:t>
            </w:r>
            <w:r>
              <w:rPr>
                <w:rFonts w:ascii="Times New Roman" w:hAnsi="Times New Roman"/>
                <w:color w:val="auto"/>
                <w:kern w:val="0"/>
                <w:szCs w:val="21"/>
                <w:highlight w:val="none"/>
              </w:rPr>
              <w:t>15-40S</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1242" w:type="dxa"/>
            <w:vAlign w:val="center"/>
          </w:tcPr>
          <w:p>
            <w:pPr>
              <w:adjustRightInd w:val="0"/>
              <w:snapToGrid w:val="0"/>
              <w:spacing w:line="340" w:lineRule="exact"/>
              <w:ind w:right="4" w:rightChars="2"/>
              <w:jc w:val="center"/>
              <w:rPr>
                <w:rFonts w:hint="eastAsia"/>
                <w:b w:val="0"/>
                <w:bCs w:val="0"/>
                <w:color w:val="auto"/>
                <w:kern w:val="0"/>
                <w:szCs w:val="21"/>
                <w:highlight w:val="none"/>
              </w:rPr>
            </w:pPr>
            <w:r>
              <w:rPr>
                <w:rFonts w:hint="eastAsia" w:ascii="Times New Roman" w:hAnsi="Times New Roman"/>
                <w:color w:val="auto"/>
                <w:kern w:val="0"/>
                <w:szCs w:val="21"/>
                <w:highlight w:val="none"/>
              </w:rPr>
              <w:t>热水洗</w:t>
            </w:r>
          </w:p>
        </w:tc>
        <w:tc>
          <w:tcPr>
            <w:tcW w:w="5758" w:type="dxa"/>
            <w:gridSpan w:val="2"/>
            <w:vAlign w:val="center"/>
          </w:tcPr>
          <w:p>
            <w:pPr>
              <w:adjustRightInd w:val="0"/>
              <w:snapToGrid w:val="0"/>
              <w:spacing w:line="340" w:lineRule="exact"/>
              <w:rPr>
                <w:rFonts w:hint="eastAsia" w:ascii="Times New Roman" w:hAnsi="Times New Roman"/>
                <w:color w:val="auto"/>
                <w:kern w:val="0"/>
                <w:szCs w:val="21"/>
                <w:highlight w:val="none"/>
              </w:rPr>
            </w:pPr>
            <w:r>
              <w:rPr>
                <w:rFonts w:hint="eastAsia" w:ascii="Times New Roman" w:hAnsi="Times New Roman"/>
                <w:color w:val="auto"/>
                <w:kern w:val="0"/>
                <w:szCs w:val="21"/>
                <w:highlight w:val="none"/>
              </w:rPr>
              <w:t>去除镀层应力，稳固镀层。</w:t>
            </w:r>
          </w:p>
        </w:tc>
        <w:tc>
          <w:tcPr>
            <w:tcW w:w="2230" w:type="dxa"/>
            <w:vAlign w:val="center"/>
          </w:tcPr>
          <w:p>
            <w:pPr>
              <w:adjustRightInd w:val="0"/>
              <w:snapToGrid w:val="0"/>
              <w:spacing w:line="340" w:lineRule="exact"/>
              <w:jc w:val="center"/>
              <w:rPr>
                <w:rFonts w:hint="eastAsia" w:ascii="Times New Roman" w:hAnsi="Times New Roman"/>
                <w:color w:val="auto"/>
                <w:kern w:val="0"/>
                <w:szCs w:val="21"/>
                <w:highlight w:val="none"/>
              </w:rPr>
            </w:pPr>
            <w:r>
              <w:rPr>
                <w:rFonts w:hint="eastAsia" w:ascii="Times New Roman" w:hAnsi="Times New Roman"/>
                <w:color w:val="auto"/>
                <w:kern w:val="0"/>
                <w:szCs w:val="21"/>
                <w:highlight w:val="none"/>
              </w:rPr>
              <w:t>自来水</w:t>
            </w:r>
            <w:r>
              <w:rPr>
                <w:rFonts w:hint="eastAsia"/>
                <w:color w:val="auto"/>
                <w:kern w:val="0"/>
                <w:szCs w:val="21"/>
                <w:highlight w:val="none"/>
                <w:lang w:eastAsia="zh-CN"/>
              </w:rPr>
              <w:t>，</w:t>
            </w:r>
            <w:r>
              <w:rPr>
                <w:rFonts w:ascii="Times New Roman" w:hAnsi="Times New Roman"/>
                <w:color w:val="auto"/>
                <w:kern w:val="0"/>
                <w:szCs w:val="21"/>
                <w:highlight w:val="none"/>
              </w:rPr>
              <w:t>60</w:t>
            </w:r>
            <w:r>
              <w:rPr>
                <w:rFonts w:hint="eastAsia" w:ascii="宋体" w:hAnsi="宋体" w:cs="宋体"/>
                <w:color w:val="auto"/>
                <w:kern w:val="0"/>
                <w:szCs w:val="21"/>
                <w:highlight w:val="none"/>
              </w:rPr>
              <w:t>℃</w:t>
            </w:r>
            <w:r>
              <w:rPr>
                <w:rFonts w:hint="eastAsia" w:ascii="宋体" w:hAnsi="宋体" w:cs="宋体"/>
                <w:color w:val="auto"/>
                <w:kern w:val="0"/>
                <w:szCs w:val="21"/>
                <w:highlight w:val="none"/>
                <w:lang w:eastAsia="zh-CN"/>
              </w:rPr>
              <w:t>，</w:t>
            </w:r>
            <w:r>
              <w:rPr>
                <w:rFonts w:ascii="Times New Roman" w:hAnsi="Times New Roman"/>
                <w:color w:val="auto"/>
                <w:kern w:val="0"/>
                <w:szCs w:val="21"/>
                <w:highlight w:val="none"/>
              </w:rPr>
              <w:t>10s</w:t>
            </w:r>
            <w:r>
              <w:rPr>
                <w:rFonts w:hint="eastAsia" w:ascii="Times New Roman" w:hAnsi="Times New Roman"/>
                <w:color w:val="auto"/>
                <w:kern w:val="0"/>
                <w:szCs w:val="21"/>
                <w:highlight w:val="none"/>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1242" w:type="dxa"/>
            <w:vAlign w:val="center"/>
          </w:tcPr>
          <w:p>
            <w:pPr>
              <w:adjustRightInd w:val="0"/>
              <w:snapToGrid w:val="0"/>
              <w:jc w:val="center"/>
              <w:rPr>
                <w:b w:val="0"/>
                <w:bCs w:val="0"/>
                <w:color w:val="auto"/>
                <w:kern w:val="0"/>
                <w:szCs w:val="21"/>
                <w:highlight w:val="none"/>
              </w:rPr>
            </w:pPr>
            <w:r>
              <w:rPr>
                <w:b w:val="0"/>
                <w:bCs w:val="0"/>
                <w:color w:val="auto"/>
                <w:kern w:val="0"/>
                <w:szCs w:val="21"/>
                <w:highlight w:val="none"/>
              </w:rPr>
              <w:t>烘干</w:t>
            </w:r>
          </w:p>
        </w:tc>
        <w:tc>
          <w:tcPr>
            <w:tcW w:w="5758" w:type="dxa"/>
            <w:gridSpan w:val="2"/>
            <w:vAlign w:val="center"/>
          </w:tcPr>
          <w:p>
            <w:pPr>
              <w:adjustRightInd w:val="0"/>
              <w:snapToGrid w:val="0"/>
              <w:jc w:val="left"/>
              <w:rPr>
                <w:color w:val="auto"/>
                <w:szCs w:val="21"/>
                <w:highlight w:val="none"/>
              </w:rPr>
            </w:pPr>
            <w:r>
              <w:rPr>
                <w:color w:val="auto"/>
                <w:szCs w:val="21"/>
                <w:highlight w:val="none"/>
              </w:rPr>
              <w:t>工件经电镀后，需对镀件进行烘干处理，使镀件上的水分蒸发，提高镀件的防腐防锈能力。</w:t>
            </w:r>
          </w:p>
        </w:tc>
        <w:tc>
          <w:tcPr>
            <w:tcW w:w="2230" w:type="dxa"/>
            <w:vAlign w:val="center"/>
          </w:tcPr>
          <w:p>
            <w:pPr>
              <w:adjustRightInd w:val="0"/>
              <w:snapToGrid w:val="0"/>
              <w:jc w:val="center"/>
              <w:rPr>
                <w:color w:val="auto"/>
                <w:kern w:val="0"/>
                <w:szCs w:val="21"/>
                <w:highlight w:val="none"/>
              </w:rPr>
            </w:pPr>
            <w:r>
              <w:rPr>
                <w:color w:val="auto"/>
                <w:kern w:val="0"/>
                <w:szCs w:val="21"/>
                <w:highlight w:val="none"/>
              </w:rPr>
              <w:t>70℃，2-3min</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1242" w:type="dxa"/>
            <w:vAlign w:val="center"/>
          </w:tcPr>
          <w:p>
            <w:pPr>
              <w:adjustRightInd w:val="0"/>
              <w:snapToGrid w:val="0"/>
              <w:ind w:right="4" w:rightChars="2"/>
              <w:jc w:val="center"/>
              <w:rPr>
                <w:b w:val="0"/>
                <w:bCs w:val="0"/>
                <w:color w:val="auto"/>
                <w:kern w:val="0"/>
                <w:szCs w:val="21"/>
                <w:highlight w:val="none"/>
              </w:rPr>
            </w:pPr>
            <w:r>
              <w:rPr>
                <w:color w:val="auto"/>
                <w:szCs w:val="21"/>
                <w:highlight w:val="none"/>
              </w:rPr>
              <w:t>甩干</w:t>
            </w:r>
          </w:p>
        </w:tc>
        <w:tc>
          <w:tcPr>
            <w:tcW w:w="5758" w:type="dxa"/>
            <w:gridSpan w:val="2"/>
            <w:vAlign w:val="center"/>
          </w:tcPr>
          <w:p>
            <w:pPr>
              <w:adjustRightInd w:val="0"/>
              <w:snapToGrid w:val="0"/>
              <w:rPr>
                <w:color w:val="auto"/>
                <w:kern w:val="0"/>
                <w:szCs w:val="21"/>
                <w:highlight w:val="none"/>
              </w:rPr>
            </w:pPr>
            <w:r>
              <w:rPr>
                <w:color w:val="auto"/>
                <w:kern w:val="0"/>
                <w:szCs w:val="21"/>
                <w:highlight w:val="none"/>
              </w:rPr>
              <w:t>为去除镀件表层残留水分，提高镀件在空气中稳定性，需要进行干燥处理。</w:t>
            </w:r>
          </w:p>
          <w:p>
            <w:pPr>
              <w:adjustRightInd w:val="0"/>
              <w:snapToGrid w:val="0"/>
              <w:rPr>
                <w:color w:val="auto"/>
                <w:szCs w:val="21"/>
                <w:highlight w:val="none"/>
              </w:rPr>
            </w:pPr>
            <w:r>
              <w:rPr>
                <w:color w:val="auto"/>
                <w:kern w:val="0"/>
                <w:szCs w:val="21"/>
                <w:highlight w:val="none"/>
              </w:rPr>
              <w:t>甩干在离心式甩干机内进行，将水分甩出。</w:t>
            </w:r>
          </w:p>
        </w:tc>
        <w:tc>
          <w:tcPr>
            <w:tcW w:w="2230" w:type="dxa"/>
            <w:vAlign w:val="center"/>
          </w:tcPr>
          <w:p>
            <w:pPr>
              <w:tabs>
                <w:tab w:val="left" w:pos="2118"/>
              </w:tabs>
              <w:adjustRightInd w:val="0"/>
              <w:snapToGrid w:val="0"/>
              <w:jc w:val="center"/>
              <w:rPr>
                <w:color w:val="auto"/>
                <w:kern w:val="0"/>
                <w:szCs w:val="21"/>
                <w:highlight w:val="none"/>
              </w:rPr>
            </w:pPr>
            <w:r>
              <w:rPr>
                <w:color w:val="auto"/>
                <w:kern w:val="0"/>
                <w:szCs w:val="21"/>
                <w:highlight w:val="none"/>
              </w:rPr>
              <w:t>甩干机，1min，500r/min</w:t>
            </w:r>
            <w:r>
              <w:rPr>
                <w:rFonts w:hint="eastAsia"/>
                <w:color w:val="auto"/>
                <w:kern w:val="0"/>
                <w:szCs w:val="21"/>
                <w:highlight w:val="none"/>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1242" w:type="dxa"/>
            <w:vAlign w:val="center"/>
          </w:tcPr>
          <w:p>
            <w:pPr>
              <w:adjustRightInd w:val="0"/>
              <w:snapToGrid w:val="0"/>
              <w:ind w:right="4" w:rightChars="2"/>
              <w:jc w:val="center"/>
              <w:rPr>
                <w:color w:val="auto"/>
                <w:szCs w:val="21"/>
                <w:highlight w:val="none"/>
              </w:rPr>
            </w:pPr>
            <w:r>
              <w:rPr>
                <w:rFonts w:hint="eastAsia"/>
                <w:color w:val="auto"/>
                <w:szCs w:val="21"/>
                <w:highlight w:val="none"/>
              </w:rPr>
              <w:t>封闭</w:t>
            </w:r>
          </w:p>
        </w:tc>
        <w:tc>
          <w:tcPr>
            <w:tcW w:w="5758" w:type="dxa"/>
            <w:gridSpan w:val="2"/>
            <w:vAlign w:val="center"/>
          </w:tcPr>
          <w:p>
            <w:pPr>
              <w:adjustRightInd w:val="0"/>
              <w:snapToGrid w:val="0"/>
              <w:rPr>
                <w:color w:val="auto"/>
                <w:kern w:val="0"/>
                <w:szCs w:val="21"/>
                <w:highlight w:val="none"/>
              </w:rPr>
            </w:pPr>
            <w:r>
              <w:rPr>
                <w:rFonts w:hint="eastAsia"/>
                <w:color w:val="auto"/>
                <w:kern w:val="0"/>
                <w:szCs w:val="21"/>
                <w:highlight w:val="none"/>
              </w:rPr>
              <w:t>封闭目的是为了提高镀层的防变色性及增强耐盐雾性。项目采用水溶性无机封闭剂，pH约5，该封闭剂不含甲醛、苯、重金属等有害物质</w:t>
            </w:r>
          </w:p>
        </w:tc>
        <w:tc>
          <w:tcPr>
            <w:tcW w:w="2230" w:type="dxa"/>
            <w:vAlign w:val="center"/>
          </w:tcPr>
          <w:p>
            <w:pPr>
              <w:tabs>
                <w:tab w:val="left" w:pos="2118"/>
              </w:tabs>
              <w:adjustRightInd w:val="0"/>
              <w:snapToGrid w:val="0"/>
              <w:jc w:val="center"/>
              <w:rPr>
                <w:color w:val="auto"/>
                <w:kern w:val="0"/>
                <w:szCs w:val="21"/>
                <w:highlight w:val="none"/>
              </w:rPr>
            </w:pPr>
            <w:r>
              <w:rPr>
                <w:rFonts w:hint="eastAsia"/>
                <w:color w:val="auto"/>
                <w:kern w:val="0"/>
                <w:szCs w:val="21"/>
                <w:highlight w:val="none"/>
                <w:lang w:val="en-US" w:eastAsia="zh-CN"/>
              </w:rPr>
              <w:t>水溶性</w:t>
            </w:r>
            <w:r>
              <w:rPr>
                <w:rFonts w:hint="eastAsia"/>
                <w:color w:val="auto"/>
                <w:kern w:val="0"/>
                <w:szCs w:val="21"/>
                <w:highlight w:val="none"/>
              </w:rPr>
              <w:t>封闭剂：8g/L</w:t>
            </w:r>
            <w:r>
              <w:rPr>
                <w:rFonts w:hint="eastAsia"/>
                <w:color w:val="auto"/>
                <w:kern w:val="0"/>
                <w:szCs w:val="21"/>
                <w:highlight w:val="none"/>
                <w:lang w:eastAsia="zh-CN"/>
              </w:rPr>
              <w:t>，</w:t>
            </w:r>
            <w:r>
              <w:rPr>
                <w:rFonts w:hint="eastAsia"/>
                <w:color w:val="auto"/>
                <w:kern w:val="0"/>
                <w:szCs w:val="21"/>
                <w:highlight w:val="none"/>
              </w:rPr>
              <w:t>60-80℃</w:t>
            </w:r>
            <w:r>
              <w:rPr>
                <w:rFonts w:hint="eastAsia"/>
                <w:color w:val="auto"/>
                <w:kern w:val="0"/>
                <w:szCs w:val="21"/>
                <w:highlight w:val="none"/>
                <w:lang w:eastAsia="zh-CN"/>
              </w:rPr>
              <w:t>，</w:t>
            </w:r>
            <w:r>
              <w:rPr>
                <w:rFonts w:hint="eastAsia"/>
                <w:color w:val="auto"/>
                <w:kern w:val="0"/>
                <w:szCs w:val="21"/>
                <w:highlight w:val="none"/>
              </w:rPr>
              <w:t>10-20min</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9230" w:type="dxa"/>
            <w:gridSpan w:val="4"/>
            <w:vAlign w:val="center"/>
          </w:tcPr>
          <w:p>
            <w:pPr>
              <w:tabs>
                <w:tab w:val="left" w:pos="2118"/>
              </w:tabs>
              <w:adjustRightInd w:val="0"/>
              <w:snapToGrid w:val="0"/>
              <w:jc w:val="left"/>
              <w:rPr>
                <w:rFonts w:hint="eastAsia" w:eastAsia="宋体"/>
                <w:color w:val="auto"/>
                <w:kern w:val="0"/>
                <w:szCs w:val="21"/>
                <w:highlight w:val="none"/>
                <w:lang w:val="en-US" w:eastAsia="zh-CN"/>
              </w:rPr>
            </w:pPr>
            <w:r>
              <w:rPr>
                <w:rFonts w:hint="eastAsia"/>
                <w:b/>
                <w:bCs/>
                <w:color w:val="auto"/>
                <w:kern w:val="0"/>
                <w:szCs w:val="21"/>
                <w:highlight w:val="none"/>
                <w:lang w:val="en-US" w:eastAsia="zh-CN"/>
              </w:rPr>
              <w:t>水洗</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1242" w:type="dxa"/>
            <w:vAlign w:val="center"/>
          </w:tcPr>
          <w:p>
            <w:pPr>
              <w:adjustRightInd w:val="0"/>
              <w:snapToGrid w:val="0"/>
              <w:jc w:val="center"/>
              <w:rPr>
                <w:b w:val="0"/>
                <w:bCs w:val="0"/>
                <w:color w:val="auto"/>
                <w:kern w:val="0"/>
                <w:szCs w:val="21"/>
                <w:highlight w:val="none"/>
              </w:rPr>
            </w:pPr>
            <w:r>
              <w:rPr>
                <w:b w:val="0"/>
                <w:bCs w:val="0"/>
                <w:color w:val="auto"/>
                <w:kern w:val="0"/>
                <w:szCs w:val="21"/>
                <w:highlight w:val="none"/>
              </w:rPr>
              <w:t>水洗</w:t>
            </w:r>
          </w:p>
        </w:tc>
        <w:tc>
          <w:tcPr>
            <w:tcW w:w="5758" w:type="dxa"/>
            <w:gridSpan w:val="2"/>
            <w:vAlign w:val="center"/>
          </w:tcPr>
          <w:p>
            <w:pPr>
              <w:adjustRightInd w:val="0"/>
              <w:snapToGrid w:val="0"/>
              <w:jc w:val="left"/>
              <w:rPr>
                <w:color w:val="auto"/>
                <w:szCs w:val="21"/>
                <w:highlight w:val="none"/>
              </w:rPr>
            </w:pPr>
            <w:r>
              <w:rPr>
                <w:color w:val="auto"/>
                <w:szCs w:val="21"/>
                <w:highlight w:val="none"/>
              </w:rPr>
              <w:t>水洗是电镀工艺不可缺少的组成部分，水洗质量的好坏对于电镀工艺的稳定性和电镀产品的外观、耐腐蚀性等质量指标有较大的影响。每道工序后面都有</w:t>
            </w:r>
            <w:r>
              <w:rPr>
                <w:rFonts w:hint="eastAsia"/>
                <w:color w:val="auto"/>
                <w:szCs w:val="21"/>
                <w:highlight w:val="none"/>
              </w:rPr>
              <w:t>2</w:t>
            </w:r>
            <w:r>
              <w:rPr>
                <w:color w:val="auto"/>
                <w:szCs w:val="21"/>
                <w:highlight w:val="none"/>
              </w:rPr>
              <w:t>~</w:t>
            </w:r>
            <w:r>
              <w:rPr>
                <w:rFonts w:hint="eastAsia"/>
                <w:color w:val="auto"/>
                <w:szCs w:val="21"/>
                <w:highlight w:val="none"/>
              </w:rPr>
              <w:t>3</w:t>
            </w:r>
            <w:r>
              <w:rPr>
                <w:color w:val="auto"/>
                <w:szCs w:val="21"/>
                <w:highlight w:val="none"/>
              </w:rPr>
              <w:t>道逆流漂洗操作。</w:t>
            </w:r>
          </w:p>
        </w:tc>
        <w:tc>
          <w:tcPr>
            <w:tcW w:w="2230" w:type="dxa"/>
            <w:vAlign w:val="center"/>
          </w:tcPr>
          <w:p>
            <w:pPr>
              <w:tabs>
                <w:tab w:val="left" w:pos="2118"/>
              </w:tabs>
              <w:adjustRightInd w:val="0"/>
              <w:snapToGrid w:val="0"/>
              <w:jc w:val="center"/>
              <w:rPr>
                <w:color w:val="auto"/>
                <w:kern w:val="0"/>
                <w:szCs w:val="21"/>
                <w:highlight w:val="none"/>
              </w:rPr>
            </w:pPr>
            <w:r>
              <w:rPr>
                <w:color w:val="auto"/>
                <w:kern w:val="0"/>
                <w:szCs w:val="21"/>
                <w:highlight w:val="none"/>
              </w:rPr>
              <w:t>自来水水洗</w:t>
            </w:r>
          </w:p>
        </w:tc>
      </w:tr>
    </w:tbl>
    <w:p>
      <w:pPr>
        <w:adjustRightInd w:val="0"/>
        <w:snapToGrid w:val="0"/>
        <w:spacing w:line="500" w:lineRule="exact"/>
        <w:ind w:firstLine="480" w:firstLineChars="200"/>
        <w:rPr>
          <w:rFonts w:hint="eastAsia" w:eastAsia="黑体"/>
          <w:color w:val="auto"/>
          <w:sz w:val="24"/>
          <w:highlight w:val="none"/>
        </w:rPr>
      </w:pPr>
      <w:r>
        <w:rPr>
          <w:rFonts w:hint="eastAsia"/>
          <w:color w:val="auto"/>
          <w:sz w:val="24"/>
          <w:highlight w:val="none"/>
          <w:lang w:val="en-US" w:eastAsia="zh-CN"/>
        </w:rPr>
        <w:t>2</w:t>
      </w:r>
      <w:r>
        <w:rPr>
          <w:rFonts w:hint="eastAsia"/>
          <w:color w:val="auto"/>
          <w:sz w:val="24"/>
          <w:highlight w:val="none"/>
        </w:rPr>
        <w:t>、镀铜</w:t>
      </w:r>
      <w:r>
        <w:rPr>
          <w:rFonts w:hint="eastAsia"/>
          <w:color w:val="auto"/>
          <w:sz w:val="24"/>
          <w:highlight w:val="none"/>
          <w:lang w:eastAsia="zh-CN"/>
        </w:rPr>
        <w:t>、</w:t>
      </w:r>
      <w:r>
        <w:rPr>
          <w:rFonts w:hint="eastAsia"/>
          <w:color w:val="auto"/>
          <w:sz w:val="24"/>
          <w:highlight w:val="none"/>
        </w:rPr>
        <w:t>镍</w:t>
      </w:r>
      <w:r>
        <w:rPr>
          <w:rFonts w:hint="eastAsia"/>
          <w:color w:val="auto"/>
          <w:sz w:val="24"/>
          <w:highlight w:val="none"/>
          <w:lang w:val="en-US" w:eastAsia="zh-CN"/>
        </w:rPr>
        <w:t>、铬</w:t>
      </w:r>
    </w:p>
    <w:p>
      <w:pPr>
        <w:pStyle w:val="34"/>
        <w:spacing w:before="0" w:beforeAutospacing="0" w:after="0" w:afterAutospacing="0" w:line="440" w:lineRule="exact"/>
        <w:ind w:firstLine="480" w:firstLineChars="200"/>
        <w:jc w:val="both"/>
        <w:rPr>
          <w:rFonts w:hint="default" w:ascii="Times New Roman" w:hAnsi="Times New Roman" w:cs="Times New Roman"/>
          <w:color w:val="auto"/>
          <w:highlight w:val="none"/>
          <w:lang w:eastAsia="zh-CN"/>
        </w:rPr>
      </w:pPr>
    </w:p>
    <w:p>
      <w:pPr>
        <w:pStyle w:val="34"/>
        <w:spacing w:before="0" w:beforeAutospacing="0" w:after="0" w:afterAutospacing="0" w:line="440" w:lineRule="exact"/>
        <w:ind w:firstLine="480" w:firstLineChars="200"/>
        <w:jc w:val="both"/>
        <w:rPr>
          <w:color w:val="auto"/>
          <w:highlight w:val="none"/>
        </w:rPr>
      </w:pPr>
      <w:r>
        <w:rPr>
          <w:rFonts w:hint="default" w:ascii="Times New Roman" w:hAnsi="Times New Roman" w:cs="Times New Roman"/>
          <w:color w:val="auto"/>
          <w:highlight w:val="none"/>
          <w:lang w:eastAsia="zh-CN"/>
        </w:rPr>
        <w:t>镀铜镍</w:t>
      </w:r>
      <w:r>
        <w:rPr>
          <w:rFonts w:hint="default" w:ascii="Times New Roman" w:hAnsi="Times New Roman" w:cs="Times New Roman"/>
          <w:color w:val="auto"/>
          <w:highlight w:val="none"/>
          <w:lang w:val="en-US" w:eastAsia="zh-CN"/>
        </w:rPr>
        <w:t>铬</w:t>
      </w:r>
      <w:r>
        <w:rPr>
          <w:rFonts w:hint="default" w:ascii="Times New Roman" w:hAnsi="Times New Roman" w:cs="Times New Roman"/>
          <w:color w:val="auto"/>
          <w:highlight w:val="none"/>
        </w:rPr>
        <w:t>工艺流程为：金属件→</w:t>
      </w:r>
      <w:r>
        <w:rPr>
          <w:rFonts w:hint="eastAsia" w:ascii="Times New Roman" w:hAnsi="Times New Roman" w:cs="Times New Roman"/>
          <w:color w:val="auto"/>
          <w:highlight w:val="none"/>
          <w:lang w:val="en-US" w:eastAsia="zh-CN"/>
        </w:rPr>
        <w:t>电解除油</w:t>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超声波除油</w:t>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3</w:t>
      </w:r>
      <w:r>
        <w:rPr>
          <w:rFonts w:hint="default" w:ascii="Times New Roman" w:hAnsi="Times New Roman" w:cs="Times New Roman"/>
          <w:color w:val="auto"/>
          <w:highlight w:val="none"/>
        </w:rPr>
        <w:t>道水洗→</w:t>
      </w:r>
      <w:r>
        <w:rPr>
          <w:rFonts w:hint="eastAsia" w:ascii="Times New Roman" w:hAnsi="Times New Roman" w:cs="Times New Roman"/>
          <w:color w:val="auto"/>
          <w:highlight w:val="none"/>
          <w:lang w:val="en-US" w:eastAsia="zh-CN"/>
        </w:rPr>
        <w:t>酸洗</w:t>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2</w:t>
      </w:r>
      <w:r>
        <w:rPr>
          <w:rFonts w:hint="default" w:ascii="Times New Roman" w:hAnsi="Times New Roman" w:cs="Times New Roman"/>
          <w:color w:val="auto"/>
          <w:highlight w:val="none"/>
        </w:rPr>
        <w:t>道水洗→</w:t>
      </w:r>
      <w:r>
        <w:rPr>
          <w:rFonts w:hint="eastAsia" w:ascii="Times New Roman" w:hAnsi="Times New Roman" w:cs="Times New Roman"/>
          <w:color w:val="auto"/>
          <w:highlight w:val="none"/>
          <w:lang w:val="en-US" w:eastAsia="zh-CN"/>
        </w:rPr>
        <w:t>预镀镍</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道</w:t>
      </w:r>
      <w:r>
        <w:rPr>
          <w:rFonts w:hint="eastAsia" w:ascii="Times New Roman" w:hAnsi="Times New Roman" w:cs="Times New Roman"/>
          <w:color w:val="auto"/>
          <w:highlight w:val="none"/>
          <w:lang w:val="en-US" w:eastAsia="zh-CN"/>
        </w:rPr>
        <w:t>水洗</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活化</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道</w:t>
      </w:r>
      <w:r>
        <w:rPr>
          <w:rFonts w:hint="eastAsia" w:ascii="Times New Roman" w:hAnsi="Times New Roman" w:cs="Times New Roman"/>
          <w:color w:val="auto"/>
          <w:highlight w:val="none"/>
          <w:lang w:val="en-US" w:eastAsia="zh-CN"/>
        </w:rPr>
        <w:t>水洗</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镀酸铜</w:t>
      </w:r>
      <w:r>
        <w:rPr>
          <w:rFonts w:hint="default" w:ascii="Times New Roman" w:hAnsi="Times New Roman" w:cs="Times New Roman"/>
          <w:color w:val="auto"/>
          <w:highlight w:val="none"/>
        </w:rPr>
        <w:t>→3道水洗→</w:t>
      </w:r>
      <w:r>
        <w:rPr>
          <w:rFonts w:hint="default" w:ascii="Times New Roman" w:hAnsi="Times New Roman" w:cs="Times New Roman"/>
          <w:color w:val="auto"/>
          <w:highlight w:val="none"/>
          <w:lang w:val="en-US" w:eastAsia="zh-CN"/>
        </w:rPr>
        <w:t>活化</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道</w:t>
      </w:r>
      <w:r>
        <w:rPr>
          <w:rFonts w:hint="eastAsia" w:ascii="Times New Roman" w:hAnsi="Times New Roman" w:cs="Times New Roman"/>
          <w:color w:val="auto"/>
          <w:highlight w:val="none"/>
          <w:lang w:val="en-US" w:eastAsia="zh-CN"/>
        </w:rPr>
        <w:t>水洗</w:t>
      </w:r>
      <w:r>
        <w:rPr>
          <w:rFonts w:hint="default" w:ascii="Times New Roman" w:hAnsi="Times New Roman" w:cs="Times New Roman"/>
          <w:color w:val="auto"/>
          <w:highlight w:val="none"/>
        </w:rPr>
        <w:t>→镀镍→</w:t>
      </w:r>
      <w:r>
        <w:rPr>
          <w:rFonts w:hint="default" w:ascii="Times New Roman" w:hAnsi="Times New Roman" w:cs="Times New Roman"/>
          <w:color w:val="auto"/>
          <w:highlight w:val="none"/>
          <w:lang w:eastAsia="zh-CN"/>
        </w:rPr>
        <w:t>3</w:t>
      </w:r>
      <w:r>
        <w:rPr>
          <w:rFonts w:hint="default" w:ascii="Times New Roman" w:hAnsi="Times New Roman" w:cs="Times New Roman"/>
          <w:color w:val="auto"/>
          <w:highlight w:val="none"/>
        </w:rPr>
        <w:t>道水洗→镀</w:t>
      </w:r>
      <w:r>
        <w:rPr>
          <w:rFonts w:hint="default" w:ascii="Times New Roman" w:hAnsi="Times New Roman" w:cs="Times New Roman"/>
          <w:color w:val="auto"/>
          <w:highlight w:val="none"/>
          <w:lang w:val="en-US" w:eastAsia="zh-CN"/>
        </w:rPr>
        <w:t>铬</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道水洗→</w:t>
      </w:r>
      <w:r>
        <w:rPr>
          <w:rFonts w:hint="default" w:ascii="Times New Roman" w:hAnsi="Times New Roman" w:cs="Times New Roman"/>
          <w:color w:val="auto"/>
          <w:highlight w:val="none"/>
          <w:lang w:val="en-US" w:eastAsia="zh-CN"/>
        </w:rPr>
        <w:t>烘</w:t>
      </w:r>
      <w:r>
        <w:rPr>
          <w:rFonts w:hint="default" w:ascii="Times New Roman" w:hAnsi="Times New Roman" w:cs="Times New Roman"/>
          <w:color w:val="auto"/>
          <w:highlight w:val="none"/>
          <w:lang w:eastAsia="zh-CN"/>
        </w:rPr>
        <w:t>干</w:t>
      </w:r>
      <w:r>
        <w:rPr>
          <w:rFonts w:hint="default" w:ascii="Times New Roman" w:hAnsi="Times New Roman" w:cs="Times New Roman"/>
          <w:color w:val="auto"/>
          <w:highlight w:val="none"/>
        </w:rPr>
        <w:t>→成品。主要工艺流程及产污环节见图</w:t>
      </w:r>
      <w:r>
        <w:rPr>
          <w:rFonts w:hint="default" w:ascii="Times New Roman" w:hAnsi="Times New Roman" w:cs="Times New Roman"/>
          <w:color w:val="auto"/>
          <w:highlight w:val="none"/>
          <w:lang w:val="en-US" w:eastAsia="zh-CN"/>
        </w:rPr>
        <w:t>2.</w:t>
      </w:r>
      <w:r>
        <w:rPr>
          <w:rFonts w:hint="eastAsia"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eastAsia="zh-CN"/>
        </w:rPr>
        <w:t>-</w:t>
      </w:r>
      <w:r>
        <w:rPr>
          <w:rFonts w:hint="eastAsia" w:ascii="Times New Roman" w:hAnsi="Times New Roman" w:cs="Times New Roman"/>
          <w:color w:val="auto"/>
          <w:highlight w:val="none"/>
          <w:lang w:val="en-US" w:eastAsia="zh-CN"/>
        </w:rPr>
        <w:t>2</w:t>
      </w:r>
      <w:r>
        <w:rPr>
          <w:color w:val="auto"/>
          <w:highlight w:val="none"/>
        </w:rPr>
        <w:t>。</w:t>
      </w:r>
    </w:p>
    <w:p>
      <w:pPr>
        <w:tabs>
          <w:tab w:val="left" w:pos="1140"/>
        </w:tabs>
        <w:spacing w:line="360" w:lineRule="auto"/>
        <w:jc w:val="center"/>
        <w:rPr>
          <w:rFonts w:hint="eastAsia" w:eastAsia="宋体"/>
          <w:color w:val="auto"/>
          <w:highlight w:val="none"/>
          <w:lang w:eastAsia="zh-CN"/>
        </w:rPr>
      </w:pPr>
      <w:r>
        <w:rPr>
          <w:color w:val="auto"/>
          <w:sz w:val="21"/>
          <w:highlight w:val="none"/>
        </w:rPr>
        <w:pict>
          <v:group id="_x0000_s2259" o:spid="_x0000_s2259" o:spt="203" style="height:366.9pt;width:488.15pt;" coordsize="6199504,4659629" editas="canvas">
            <o:lock v:ext="edit"/>
            <v:shape id="_x0000_s2260" o:spid="_x0000_s2260" o:spt="75" type="#_x0000_t75" style="position:absolute;left:0;top:0;height:4659629;width:6199504;" filled="f" stroked="f" coordsize="21600,21600">
              <v:path/>
              <v:fill on="f" focussize="0,0"/>
              <v:stroke on="f"/>
              <v:imagedata o:title=""/>
              <o:lock v:ext="edit" aspectratio="f"/>
            </v:shape>
            <v:shape id="_x0000_s2261" o:spid="_x0000_s2261" o:spt="202" type="#_x0000_t202" style="position:absolute;left:957580;top:1586865;height:292100;width:646430;" fillcolor="#FFFFFF" filled="t" stroked="t" coordsize="21600,21600">
              <v:path/>
              <v:fill on="t" color2="#FFFFFF" focussize="0,0"/>
              <v:stroke color="#000000" joinstyle="miter"/>
              <v:imagedata o:title=""/>
              <o:lock v:ext="edit" aspectratio="f"/>
              <v:textbox>
                <w:txbxContent>
                  <w:p>
                    <w:pPr>
                      <w:snapToGrid w:val="0"/>
                      <w:jc w:val="center"/>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sz w:val="20"/>
                        <w:lang w:val="en-US" w:eastAsia="zh-CN"/>
                      </w:rPr>
                      <w:t>酸洗</w:t>
                    </w:r>
                  </w:p>
                </w:txbxContent>
              </v:textbox>
            </v:shape>
            <v:shape id="_x0000_s2262" o:spid="_x0000_s2262" o:spt="32" type="#_x0000_t32" style="position:absolute;left:668020;top:436245;height:0;width:250190;" filled="f" stroked="t" coordsize="21600,21600">
              <v:path arrowok="t"/>
              <v:fill on="f" focussize="0,0"/>
              <v:stroke color="#000000" endarrow="block"/>
              <v:imagedata o:title=""/>
              <o:lock v:ext="edit" aspectratio="f"/>
            </v:shape>
            <v:shape id="_x0000_s2263" o:spid="_x0000_s2263" o:spt="202" type="#_x0000_t202" style="position:absolute;left:198120;top:1562100;height:285115;width:549910;" filled="f" stroked="f" coordsize="21600,21600">
              <v:path/>
              <v:fill on="f" focussize="0,0"/>
              <v:stroke on="f"/>
              <v:imagedata o:title=""/>
              <o:lock v:ext="edit" aspectratio="f"/>
              <v:textbox>
                <w:txbxContent>
                  <w:p>
                    <w:pPr>
                      <w:snapToGrid w:val="0"/>
                      <w:jc w:val="center"/>
                      <w:rPr>
                        <w:sz w:val="20"/>
                        <w:lang w:val="en-US"/>
                      </w:rPr>
                    </w:pPr>
                    <w:r>
                      <w:rPr>
                        <w:rFonts w:hint="eastAsia"/>
                        <w:sz w:val="20"/>
                        <w:lang w:val="en-US" w:eastAsia="zh-CN"/>
                      </w:rPr>
                      <w:t>盐酸</w:t>
                    </w:r>
                  </w:p>
                </w:txbxContent>
              </v:textbox>
            </v:shape>
            <v:shape id="_x0000_s2264" o:spid="_x0000_s2264" o:spt="32" type="#_x0000_t32" style="position:absolute;left:1259205;top:201295;height:139700;width:0;" filled="f" stroked="t" coordsize="21600,21600">
              <v:path arrowok="t"/>
              <v:fill on="f" focussize="0,0"/>
              <v:stroke color="#000000" endarrow="block"/>
              <v:imagedata o:title=""/>
              <o:lock v:ext="edit" aspectratio="f"/>
            </v:shape>
            <v:shape id="_x0000_s2265" o:spid="_x0000_s2265" o:spt="32" type="#_x0000_t32" style="position:absolute;left:1597660;top:441325;height:0;width:207645;" filled="f" stroked="t" coordsize="21600,21600">
              <v:path arrowok="t"/>
              <v:fill on="f" focussize="0,0"/>
              <v:stroke color="#000000" dashstyle="longDash" endarrow="block"/>
              <v:imagedata o:title=""/>
              <o:lock v:ext="edit" aspectratio="f"/>
            </v:shape>
            <v:shape id="_x0000_s2266" o:spid="_x0000_s2266" o:spt="202" type="#_x0000_t202" style="position:absolute;left:1747520;top:1421130;height:469900;width:863600;" filled="f" stroked="f" coordsize="21600,21600">
              <v:path/>
              <v:fill on="f" focussize="0,0"/>
              <v:stroke on="f"/>
              <v:imagedata o:title=""/>
              <o:lock v:ext="edit" aspectratio="f"/>
              <v:textbox>
                <w:txbxContent>
                  <w:p>
                    <w:pPr>
                      <w:snapToGrid w:val="0"/>
                      <w:jc w:val="left"/>
                      <w:rPr>
                        <w:rFonts w:hint="eastAsia" w:eastAsia="宋体"/>
                        <w:sz w:val="20"/>
                        <w:lang w:val="en-US" w:eastAsia="zh-CN"/>
                      </w:rPr>
                    </w:pPr>
                    <w:r>
                      <w:rPr>
                        <w:rFonts w:hint="eastAsia"/>
                        <w:sz w:val="20"/>
                        <w:lang w:val="en-US" w:eastAsia="zh-CN"/>
                      </w:rPr>
                      <w:t>G1酸雾</w:t>
                    </w:r>
                  </w:p>
                  <w:p>
                    <w:pPr>
                      <w:snapToGrid w:val="0"/>
                      <w:jc w:val="left"/>
                      <w:rPr>
                        <w:rFonts w:hint="eastAsia" w:eastAsia="宋体"/>
                        <w:sz w:val="20"/>
                        <w:lang w:val="en-US" w:eastAsia="zh-CN"/>
                      </w:rPr>
                    </w:pPr>
                    <w:r>
                      <w:rPr>
                        <w:rFonts w:hint="eastAsia"/>
                        <w:sz w:val="20"/>
                      </w:rPr>
                      <w:t>S</w:t>
                    </w:r>
                    <w:r>
                      <w:rPr>
                        <w:rFonts w:hint="eastAsia"/>
                        <w:sz w:val="20"/>
                        <w:lang w:val="en-US" w:eastAsia="zh-CN"/>
                      </w:rPr>
                      <w:t>2废酸液</w:t>
                    </w:r>
                  </w:p>
                </w:txbxContent>
              </v:textbox>
            </v:shape>
            <v:shape id="_x0000_s2267" o:spid="_x0000_s2267" o:spt="202" type="#_x0000_t202" style="position:absolute;left:831215;top:0;height:252095;width:863600;" filled="f" stroked="f" coordsize="21600,21600">
              <v:path/>
              <v:fill on="f" focussize="0,0"/>
              <v:stroke on="f"/>
              <v:imagedata o:title=""/>
              <o:lock v:ext="edit" aspectratio="f"/>
              <v:textbox>
                <w:txbxContent>
                  <w:p>
                    <w:pPr>
                      <w:snapToGrid w:val="0"/>
                      <w:jc w:val="center"/>
                      <w:rPr>
                        <w:rFonts w:hint="eastAsia" w:eastAsia="宋体"/>
                        <w:sz w:val="20"/>
                        <w:lang w:val="en-US" w:eastAsia="zh-CN"/>
                      </w:rPr>
                    </w:pPr>
                    <w:r>
                      <w:rPr>
                        <w:rFonts w:hint="eastAsia"/>
                        <w:sz w:val="20"/>
                        <w:lang w:val="en-US" w:eastAsia="zh-CN"/>
                      </w:rPr>
                      <w:t>金属件</w:t>
                    </w:r>
                  </w:p>
                </w:txbxContent>
              </v:textbox>
            </v:shape>
            <v:shape id="_x0000_s2268" o:spid="_x0000_s2268" o:spt="202" type="#_x0000_t202" style="position:absolute;left:925195;top:1184910;height:292100;width:694055;" fillcolor="#FFFFFF" filled="t" stroked="t" coordsize="21600,21600">
              <v:path/>
              <v:fill on="t" color2="#FFFFFF" focussize="0,0"/>
              <v:stroke color="#000000" joinstyle="miter"/>
              <v:imagedata o:title=""/>
              <o:lock v:ext="edit" aspectratio="f"/>
              <v:textbox>
                <w:txbxContent>
                  <w:p>
                    <w:pPr>
                      <w:snapToGrid w:val="0"/>
                      <w:jc w:val="center"/>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sz w:val="20"/>
                        <w:lang w:val="en-US" w:eastAsia="zh-CN"/>
                      </w:rPr>
                      <w:t>3道水洗</w:t>
                    </w:r>
                  </w:p>
                </w:txbxContent>
              </v:textbox>
            </v:shape>
            <v:shape id="_x0000_s2269" o:spid="_x0000_s2269" o:spt="32" type="#_x0000_t32" style="position:absolute;left:664210;top:890905;height:0;width:241300;" filled="f" stroked="t" coordsize="21600,21600">
              <v:path arrowok="t"/>
              <v:fill on="f" focussize="0,0"/>
              <v:stroke color="#000000" endarrow="block"/>
              <v:imagedata o:title=""/>
              <o:lock v:ext="edit" aspectratio="f"/>
            </v:shape>
            <v:shape id="_x0000_s2270" o:spid="_x0000_s2270" o:spt="202" type="#_x0000_t202" style="position:absolute;left:213995;top:1165860;height:228600;width:546100;" filled="f" stroked="f" coordsize="21600,21600">
              <v:path/>
              <v:fill on="f" focussize="0,0"/>
              <v:stroke on="f"/>
              <v:imagedata o:title=""/>
              <o:lock v:ext="edit" aspectratio="f"/>
              <v:textbox>
                <w:txbxContent>
                  <w:p>
                    <w:pPr>
                      <w:snapToGrid w:val="0"/>
                      <w:jc w:val="center"/>
                      <w:rPr>
                        <w:sz w:val="20"/>
                        <w:lang w:val="en-US"/>
                      </w:rPr>
                    </w:pPr>
                    <w:r>
                      <w:rPr>
                        <w:rFonts w:hint="eastAsia"/>
                        <w:sz w:val="20"/>
                        <w:lang w:val="en-US" w:eastAsia="zh-CN"/>
                      </w:rPr>
                      <w:t>纯水</w:t>
                    </w:r>
                  </w:p>
                </w:txbxContent>
              </v:textbox>
            </v:shape>
            <v:shape id="_x0000_s2271" o:spid="_x0000_s2271" o:spt="32" type="#_x0000_t32" style="position:absolute;left:1630045;top:913765;height:0;width:203200;" filled="f" stroked="t" coordsize="21600,21600">
              <v:path arrowok="t"/>
              <v:fill on="f" focussize="0,0"/>
              <v:stroke color="#000000" dashstyle="longDash" endarrow="block"/>
              <v:imagedata o:title=""/>
              <o:lock v:ext="edit" aspectratio="f"/>
            </v:shape>
            <v:shape id="_x0000_s2272" o:spid="_x0000_s2272" o:spt="32" type="#_x0000_t32" style="position:absolute;left:1250950;top:619125;height:139700;width:0;" filled="f" stroked="t" coordsize="21600,21600">
              <v:path arrowok="t"/>
              <v:fill on="f" focussize="0,0"/>
              <v:stroke color="#000000" endarrow="block"/>
              <v:imagedata o:title=""/>
              <o:lock v:ext="edit" aspectratio="f"/>
            </v:shape>
            <v:shape id="_x0000_s2273" o:spid="_x0000_s2273" o:spt="202" type="#_x0000_t202" style="position:absolute;left:1679575;top:1130935;height:315595;width:1017905;" filled="f" stroked="f" coordsize="21600,21600">
              <v:path/>
              <v:fill on="f" focussize="0,0"/>
              <v:stroke on="f"/>
              <v:imagedata o:title=""/>
              <o:lock v:ext="edit" aspectratio="f"/>
              <v:textbox>
                <w:txbxContent>
                  <w:p>
                    <w:pPr>
                      <w:snapToGrid w:val="0"/>
                      <w:jc w:val="center"/>
                      <w:rPr>
                        <w:rFonts w:hint="eastAsia" w:eastAsia="宋体"/>
                        <w:sz w:val="20"/>
                        <w:lang w:val="en-US" w:eastAsia="zh-CN"/>
                      </w:rPr>
                    </w:pPr>
                    <w:r>
                      <w:rPr>
                        <w:rFonts w:hint="eastAsia"/>
                        <w:sz w:val="20"/>
                        <w:lang w:val="en-US" w:eastAsia="zh-CN"/>
                      </w:rPr>
                      <w:t>W1综合废水</w:t>
                    </w:r>
                  </w:p>
                </w:txbxContent>
              </v:textbox>
            </v:shape>
            <v:shape id="_x0000_s2275" o:spid="_x0000_s2275" o:spt="32" type="#_x0000_t32" style="position:absolute;left:695960;top:1302385;height:0;width:241300;" filled="f" stroked="t" coordsize="21600,21600">
              <v:path arrowok="t"/>
              <v:fill on="f" focussize="0,0"/>
              <v:stroke color="#000000" endarrow="block"/>
              <v:imagedata o:title=""/>
              <o:lock v:ext="edit" aspectratio="f"/>
            </v:shape>
            <v:shape id="_x0000_s2276" o:spid="_x0000_s2276" o:spt="202" type="#_x0000_t202" style="position:absolute;left:5068569;top:430530;height:321945;width:916940;" filled="f" stroked="f" coordsize="21600,21600">
              <v:path/>
              <v:fill on="f" focussize="0,0"/>
              <v:stroke on="f"/>
              <v:imagedata o:title=""/>
              <o:lock v:ext="edit" aspectratio="f"/>
              <v:textbox>
                <w:txbxContent>
                  <w:p>
                    <w:pPr>
                      <w:snapToGrid w:val="0"/>
                      <w:jc w:val="center"/>
                      <w:rPr>
                        <w:rFonts w:hint="eastAsia" w:eastAsia="宋体"/>
                        <w:sz w:val="20"/>
                        <w:lang w:val="en-US" w:eastAsia="zh-CN"/>
                      </w:rPr>
                    </w:pPr>
                    <w:r>
                      <w:rPr>
                        <w:rFonts w:hint="eastAsia"/>
                        <w:sz w:val="20"/>
                        <w:lang w:val="en-US" w:eastAsia="zh-CN"/>
                      </w:rPr>
                      <w:t>W1综合废水</w:t>
                    </w:r>
                  </w:p>
                  <w:p>
                    <w:pPr>
                      <w:rPr>
                        <w:lang w:val="en-US"/>
                      </w:rPr>
                    </w:pPr>
                  </w:p>
                </w:txbxContent>
              </v:textbox>
            </v:shape>
            <v:shape id="_x0000_s2277" o:spid="_x0000_s2277" o:spt="32" type="#_x0000_t32" style="position:absolute;left:1611630;top:1265555;height:0;width:203200;" filled="f" stroked="t" coordsize="21600,21600">
              <v:path arrowok="t"/>
              <v:fill on="f" focussize="0,0"/>
              <v:stroke color="#000000" dashstyle="longDash" endarrow="block"/>
              <v:imagedata o:title=""/>
              <o:lock v:ext="edit" aspectratio="f"/>
            </v:shape>
            <v:shape id="_x0000_s2278" o:spid="_x0000_s2278" o:spt="32" type="#_x0000_t32" style="position:absolute;left:1243330;top:1060450;height:139700;width:0;" filled="f" stroked="t" coordsize="21600,21600">
              <v:path arrowok="t"/>
              <v:fill on="f" focussize="0,0"/>
              <v:stroke color="#000000" endarrow="block"/>
              <v:imagedata o:title=""/>
              <o:lock v:ext="edit" aspectratio="f"/>
            </v:shape>
            <v:shape id="_x0000_s2286" o:spid="_x0000_s2286" o:spt="202" type="#_x0000_t202" style="position:absolute;left:4246879;top:2962909;height:292100;width:685800;" fillcolor="#FFFFFF" filled="t" stroked="t" coordsize="21600,21600">
              <v:path/>
              <v:fill on="t" color2="#FFFFFF" focussize="0,0"/>
              <v:stroke color="#000000" joinstyle="miter"/>
              <v:imagedata o:title=""/>
              <o:lock v:ext="edit" aspectratio="f"/>
              <v:textbox>
                <w:txbxContent>
                  <w:p>
                    <w:pPr>
                      <w:snapToGrid w:val="0"/>
                      <w:jc w:val="center"/>
                      <w:rPr>
                        <w:rFonts w:hint="default" w:asciiTheme="minorEastAsia" w:hAnsiTheme="minorEastAsia" w:eastAsiaTheme="minorEastAsia" w:cstheme="minorEastAsia"/>
                        <w:sz w:val="20"/>
                        <w:lang w:val="en-US"/>
                      </w:rPr>
                    </w:pPr>
                    <w:r>
                      <w:rPr>
                        <w:rFonts w:hint="eastAsia" w:asciiTheme="minorEastAsia" w:hAnsiTheme="minorEastAsia" w:eastAsiaTheme="minorEastAsia" w:cstheme="minorEastAsia"/>
                        <w:sz w:val="20"/>
                        <w:lang w:val="en-US" w:eastAsia="zh-CN"/>
                      </w:rPr>
                      <w:t>6道水洗</w:t>
                    </w:r>
                  </w:p>
                </w:txbxContent>
              </v:textbox>
            </v:shape>
            <v:shape id="_x0000_s2303" o:spid="_x0000_s2303" o:spt="202" type="#_x0000_t202" style="position:absolute;left:1711325;top:2848609;height:304800;width:1016000;" filled="f" stroked="f" coordsize="21600,21600">
              <v:path/>
              <v:fill on="f" focussize="0,0"/>
              <v:stroke on="f"/>
              <v:imagedata o:title=""/>
              <o:lock v:ext="edit" aspectratio="f"/>
              <v:textbox>
                <w:txbxContent>
                  <w:p>
                    <w:pPr>
                      <w:snapToGrid w:val="0"/>
                      <w:jc w:val="center"/>
                      <w:rPr>
                        <w:rFonts w:hint="eastAsia" w:eastAsia="宋体"/>
                        <w:sz w:val="20"/>
                        <w:lang w:val="en-US" w:eastAsia="zh-CN"/>
                      </w:rPr>
                    </w:pPr>
                    <w:r>
                      <w:rPr>
                        <w:rFonts w:hint="eastAsia"/>
                        <w:sz w:val="20"/>
                        <w:lang w:val="en-US" w:eastAsia="zh-CN"/>
                      </w:rPr>
                      <w:t>W3含镍废水</w:t>
                    </w:r>
                  </w:p>
                  <w:p>
                    <w:pPr>
                      <w:snapToGrid w:val="0"/>
                      <w:jc w:val="center"/>
                      <w:rPr>
                        <w:rFonts w:hint="eastAsia" w:eastAsia="宋体"/>
                        <w:sz w:val="20"/>
                        <w:lang w:val="en-US" w:eastAsia="zh-CN"/>
                      </w:rPr>
                    </w:pPr>
                  </w:p>
                </w:txbxContent>
              </v:textbox>
            </v:shape>
            <v:shape id="_x0000_s2310" o:spid="_x0000_s2310" o:spt="202" type="#_x0000_t202" style="position:absolute;left:4251959;top:443230;height:292100;width:685800;" fillcolor="#FFFFFF" filled="t" stroked="t" coordsize="21600,21600">
              <v:path/>
              <v:fill on="t" color2="#FFFFFF" focussize="0,0"/>
              <v:stroke color="#000000" joinstyle="miter"/>
              <v:imagedata o:title=""/>
              <o:lock v:ext="edit" aspectratio="f"/>
              <v:textbox>
                <w:txbxContent>
                  <w:p>
                    <w:pPr>
                      <w:snapToGrid w:val="0"/>
                      <w:jc w:val="center"/>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sz w:val="20"/>
                        <w:lang w:val="en-US" w:eastAsia="zh-CN"/>
                      </w:rPr>
                      <w:t>3道水洗</w:t>
                    </w:r>
                  </w:p>
                </w:txbxContent>
              </v:textbox>
            </v:shape>
            <v:shape id="_x0000_s2311" o:spid="_x0000_s2311" o:spt="32" type="#_x0000_t32" style="position:absolute;left:4013200;top:575945;height:0;width:241300;" filled="f" stroked="t" coordsize="21600,21600">
              <v:path arrowok="t"/>
              <v:fill on="f" focussize="0,0"/>
              <v:stroke color="#000000" endarrow="block"/>
              <v:imagedata o:title=""/>
              <o:lock v:ext="edit" aspectratio="f"/>
            </v:shape>
            <v:shape id="_x0000_s2312" o:spid="_x0000_s2312" o:spt="202" type="#_x0000_t202" style="position:absolute;left:3536949;top:440690;height:228600;width:546100;" filled="f" stroked="f" coordsize="21600,21600">
              <v:path/>
              <v:fill on="f" focussize="0,0"/>
              <v:stroke on="f"/>
              <v:imagedata o:title=""/>
              <o:lock v:ext="edit" aspectratio="f"/>
              <v:textbox>
                <w:txbxContent>
                  <w:p>
                    <w:pPr>
                      <w:snapToGrid w:val="0"/>
                      <w:jc w:val="center"/>
                      <w:rPr>
                        <w:sz w:val="20"/>
                        <w:lang w:val="en-US"/>
                      </w:rPr>
                    </w:pPr>
                    <w:r>
                      <w:rPr>
                        <w:rFonts w:hint="eastAsia"/>
                        <w:sz w:val="20"/>
                        <w:lang w:val="en-US" w:eastAsia="zh-CN"/>
                      </w:rPr>
                      <w:t>纯水</w:t>
                    </w:r>
                  </w:p>
                </w:txbxContent>
              </v:textbox>
            </v:shape>
            <v:shape id="_x0000_s2313" o:spid="_x0000_s2313" o:spt="32" type="#_x0000_t32" style="position:absolute;left:4953000;top:563245;height:0;width:203200;" filled="f" stroked="t" coordsize="21600,21600">
              <v:path arrowok="t"/>
              <v:fill on="f" focussize="0,0"/>
              <v:stroke color="#000000" dashstyle="longDash" endarrow="block"/>
              <v:imagedata o:title=""/>
              <o:lock v:ext="edit" aspectratio="f"/>
            </v:shape>
            <v:shape id="_x0000_s2314" o:spid="_x0000_s2314" o:spt="32" type="#_x0000_t32" style="position:absolute;left:4582159;top:304165;height:139700;width:0;" filled="f" stroked="t" coordsize="21600,21600">
              <v:path arrowok="t"/>
              <v:fill on="f" focussize="0,0"/>
              <v:stroke color="#000000" endarrow="block"/>
              <v:imagedata o:title=""/>
              <o:lock v:ext="edit" aspectratio="f"/>
            </v:shape>
            <v:shape id="_x0000_s2315" o:spid="_x0000_s2315" o:spt="202" type="#_x0000_t202" style="position:absolute;left:5019674;top:2157730;height:304800;width:1016000;" filled="f" stroked="f" coordsize="21600,21600">
              <v:path/>
              <v:fill on="f" focussize="0,0"/>
              <v:stroke on="f"/>
              <v:imagedata o:title=""/>
              <o:lock v:ext="edit" aspectratio="f"/>
              <v:textbox>
                <w:txbxContent>
                  <w:p>
                    <w:pPr>
                      <w:snapToGrid w:val="0"/>
                      <w:jc w:val="center"/>
                      <w:rPr>
                        <w:rFonts w:hint="eastAsia" w:eastAsia="宋体"/>
                        <w:sz w:val="20"/>
                        <w:lang w:val="en-US" w:eastAsia="zh-CN"/>
                      </w:rPr>
                    </w:pPr>
                    <w:r>
                      <w:rPr>
                        <w:rFonts w:hint="eastAsia"/>
                        <w:sz w:val="20"/>
                        <w:lang w:val="en-US" w:eastAsia="zh-CN"/>
                      </w:rPr>
                      <w:t>W3含镍废水</w:t>
                    </w:r>
                  </w:p>
                </w:txbxContent>
              </v:textbox>
            </v:shape>
            <v:shape id="_x0000_s2316" o:spid="_x0000_s2316" o:spt="202" type="#_x0000_t202" style="position:absolute;left:4241799;top:840105;height:292100;width:685800;" fillcolor="#FFFFFF" filled="t" stroked="t" coordsize="21600,21600">
              <v:path/>
              <v:fill on="t" color2="#FFFFFF" focussize="0,0"/>
              <v:stroke color="#000000" joinstyle="miter"/>
              <v:imagedata o:title=""/>
              <o:lock v:ext="edit" aspectratio="f"/>
              <v:textbox>
                <w:txbxContent>
                  <w:p>
                    <w:pPr>
                      <w:snapToGrid w:val="0"/>
                      <w:jc w:val="center"/>
                      <w:rPr>
                        <w:rFonts w:hint="eastAsia" w:asciiTheme="minorEastAsia" w:hAnsiTheme="minorEastAsia" w:eastAsiaTheme="minorEastAsia" w:cstheme="minorEastAsia"/>
                        <w:sz w:val="20"/>
                        <w:lang w:val="en-US"/>
                      </w:rPr>
                    </w:pPr>
                    <w:r>
                      <w:rPr>
                        <w:rFonts w:hint="eastAsia" w:asciiTheme="minorEastAsia" w:hAnsiTheme="minorEastAsia" w:eastAsiaTheme="minorEastAsia" w:cstheme="minorEastAsia"/>
                        <w:sz w:val="20"/>
                        <w:lang w:val="en-US" w:eastAsia="zh-CN"/>
                      </w:rPr>
                      <w:t>活化</w:t>
                    </w:r>
                  </w:p>
                </w:txbxContent>
              </v:textbox>
            </v:shape>
            <v:shape id="_x0000_s2317" o:spid="_x0000_s2317" o:spt="32" type="#_x0000_t32" style="position:absolute;left:4013200;top:1004570;height:0;width:241300;" filled="f" stroked="t" coordsize="21600,21600">
              <v:path arrowok="t"/>
              <v:fill on="f" focussize="0,0"/>
              <v:stroke color="#000000" endarrow="block"/>
              <v:imagedata o:title=""/>
              <o:lock v:ext="edit" aspectratio="f"/>
            </v:shape>
            <v:shape id="_x0000_s2318" o:spid="_x0000_s2318" o:spt="202" type="#_x0000_t202" style="position:absolute;left:3571874;top:1256665;height:270510;width:509270;" filled="f" stroked="f" coordsize="21600,21600">
              <v:path/>
              <v:fill on="f" focussize="0,0"/>
              <v:stroke on="f"/>
              <v:imagedata o:title=""/>
              <o:lock v:ext="edit" aspectratio="f"/>
              <v:textbox>
                <w:txbxContent>
                  <w:p>
                    <w:pPr>
                      <w:snapToGrid w:val="0"/>
                      <w:jc w:val="center"/>
                      <w:rPr>
                        <w:sz w:val="20"/>
                        <w:lang w:val="en-US"/>
                      </w:rPr>
                    </w:pPr>
                    <w:r>
                      <w:rPr>
                        <w:rFonts w:hint="eastAsia"/>
                        <w:sz w:val="20"/>
                        <w:lang w:val="en-US" w:eastAsia="zh-CN"/>
                      </w:rPr>
                      <w:t>纯水</w:t>
                    </w:r>
                  </w:p>
                  <w:p>
                    <w:pPr>
                      <w:rPr>
                        <w:lang w:val="en-US"/>
                      </w:rPr>
                    </w:pPr>
                  </w:p>
                </w:txbxContent>
              </v:textbox>
            </v:shape>
            <v:shape id="_x0000_s2319" o:spid="_x0000_s2319" o:spt="32" type="#_x0000_t32" style="position:absolute;left:4953000;top:991870;height:0;width:203200;" filled="f" stroked="t" coordsize="21600,21600">
              <v:path arrowok="t"/>
              <v:fill on="f" focussize="0,0"/>
              <v:stroke color="#000000" dashstyle="longDash" endarrow="block"/>
              <v:imagedata o:title=""/>
              <o:lock v:ext="edit" aspectratio="f"/>
            </v:shape>
            <v:shape id="_x0000_s2320" o:spid="_x0000_s2320" o:spt="32" type="#_x0000_t32" style="position:absolute;left:4603749;top:1148715;height:139700;width:0;" filled="f" stroked="t" coordsize="21600,21600">
              <v:path arrowok="t"/>
              <v:fill on="f" focussize="0,0"/>
              <v:stroke color="#000000" endarrow="block"/>
              <v:imagedata o:title=""/>
              <o:lock v:ext="edit" aspectratio="f"/>
            </v:shape>
            <v:shape id="_x0000_s2321" o:spid="_x0000_s2321" o:spt="202" type="#_x0000_t202" style="position:absolute;left:5130799;top:835660;height:304800;width:1016000;" filled="f" stroked="f" coordsize="21600,21600">
              <v:path/>
              <v:fill on="f" focussize="0,0"/>
              <v:stroke on="f"/>
              <v:imagedata o:title=""/>
              <o:lock v:ext="edit" aspectratio="f"/>
              <v:textbox>
                <w:txbxContent>
                  <w:p>
                    <w:pPr>
                      <w:snapToGrid w:val="0"/>
                      <w:jc w:val="left"/>
                      <w:rPr>
                        <w:rFonts w:hint="eastAsia" w:eastAsia="宋体"/>
                        <w:sz w:val="20"/>
                        <w:lang w:val="en-US" w:eastAsia="zh-CN"/>
                      </w:rPr>
                    </w:pPr>
                    <w:r>
                      <w:rPr>
                        <w:rFonts w:hint="eastAsia"/>
                        <w:sz w:val="20"/>
                      </w:rPr>
                      <w:t>S</w:t>
                    </w:r>
                    <w:r>
                      <w:rPr>
                        <w:rFonts w:hint="eastAsia"/>
                        <w:sz w:val="20"/>
                        <w:lang w:val="en-US" w:eastAsia="zh-CN"/>
                      </w:rPr>
                      <w:t>2废酸液</w:t>
                    </w:r>
                  </w:p>
                  <w:p>
                    <w:pPr>
                      <w:snapToGrid w:val="0"/>
                      <w:jc w:val="center"/>
                      <w:rPr>
                        <w:rFonts w:hint="eastAsia" w:eastAsia="宋体"/>
                        <w:sz w:val="20"/>
                        <w:lang w:val="en-US" w:eastAsia="zh-CN"/>
                      </w:rPr>
                    </w:pPr>
                  </w:p>
                </w:txbxContent>
              </v:textbox>
            </v:shape>
            <v:shape id="_x0000_s2322" o:spid="_x0000_s2322" o:spt="202" type="#_x0000_t202" style="position:absolute;left:4262754;top:1684020;height:292100;width:685800;" fillcolor="#FFFFFF" filled="t" stroked="t" coordsize="21600,21600">
              <v:path/>
              <v:fill on="t" color2="#FFFFFF" focussize="0,0"/>
              <v:stroke color="#000000" joinstyle="miter"/>
              <v:imagedata o:title=""/>
              <o:lock v:ext="edit" aspectratio="f"/>
              <v:textbox>
                <w:txbxContent>
                  <w:p>
                    <w:pPr>
                      <w:snapToGrid w:val="0"/>
                      <w:jc w:val="center"/>
                      <w:rPr>
                        <w:rFonts w:hint="eastAsia" w:asciiTheme="minorEastAsia" w:hAnsiTheme="minorEastAsia" w:eastAsiaTheme="minorEastAsia" w:cstheme="minorEastAsia"/>
                        <w:sz w:val="20"/>
                        <w:lang w:val="en-US"/>
                      </w:rPr>
                    </w:pPr>
                    <w:r>
                      <w:rPr>
                        <w:rFonts w:hint="eastAsia" w:asciiTheme="minorEastAsia" w:hAnsiTheme="minorEastAsia" w:eastAsiaTheme="minorEastAsia" w:cstheme="minorEastAsia"/>
                        <w:sz w:val="20"/>
                        <w:lang w:val="en-US" w:eastAsia="zh-CN"/>
                      </w:rPr>
                      <w:t>镀镍</w:t>
                    </w:r>
                  </w:p>
                </w:txbxContent>
              </v:textbox>
            </v:shape>
            <v:shape id="_x0000_s2323" o:spid="_x0000_s2323" o:spt="32" type="#_x0000_t32" style="position:absolute;left:4013200;top:1421130;height:0;width:241300;" filled="f" stroked="t" coordsize="21600,21600">
              <v:path arrowok="t"/>
              <v:fill on="f" focussize="0,0"/>
              <v:stroke color="#000000" endarrow="block"/>
              <v:imagedata o:title=""/>
              <o:lock v:ext="edit" aspectratio="f"/>
            </v:shape>
            <v:shape id="_x0000_s2324" o:spid="_x0000_s2324" o:spt="202" type="#_x0000_t202" style="position:absolute;left:3261994;top:2513964;height:429895;width:831215;" filled="f" stroked="f" coordsize="21600,21600">
              <v:path/>
              <v:fill on="f" focussize="0,0"/>
              <v:stroke on="f"/>
              <v:imagedata o:title=""/>
              <o:lock v:ext="edit" aspectratio="f"/>
              <v:textbox>
                <w:txbxContent>
                  <w:p>
                    <w:pPr>
                      <w:jc w:val="right"/>
                      <w:rPr>
                        <w:rFonts w:hint="eastAsia"/>
                        <w:sz w:val="20"/>
                        <w:lang w:val="en-US" w:eastAsia="zh-CN"/>
                      </w:rPr>
                    </w:pPr>
                    <w:r>
                      <w:rPr>
                        <w:rFonts w:hint="eastAsia"/>
                        <w:sz w:val="20"/>
                        <w:lang w:val="en-US" w:eastAsia="zh-CN"/>
                      </w:rPr>
                      <w:t>铬酐</w:t>
                    </w:r>
                  </w:p>
                  <w:p>
                    <w:pPr>
                      <w:jc w:val="right"/>
                      <w:rPr>
                        <w:rFonts w:hint="eastAsia"/>
                        <w:sz w:val="20"/>
                        <w:lang w:val="en-US" w:eastAsia="zh-CN"/>
                      </w:rPr>
                    </w:pPr>
                    <w:r>
                      <w:rPr>
                        <w:rFonts w:hint="eastAsia"/>
                        <w:sz w:val="20"/>
                        <w:lang w:val="en-US" w:eastAsia="zh-CN"/>
                      </w:rPr>
                      <w:t>0.25%硫酸</w:t>
                    </w:r>
                  </w:p>
                </w:txbxContent>
              </v:textbox>
            </v:shape>
            <v:shape id="_x0000_s2325" o:spid="_x0000_s2325" o:spt="32" type="#_x0000_t32" style="position:absolute;left:4953000;top:1408430;height:0;width:203200;" filled="f" stroked="t" coordsize="21600,21600">
              <v:path arrowok="t"/>
              <v:fill on="f" focussize="0,0"/>
              <v:stroke color="#000000" dashstyle="longDash" endarrow="block"/>
              <v:imagedata o:title=""/>
              <o:lock v:ext="edit" aspectratio="f"/>
            </v:shape>
            <v:shape id="_x0000_s2326" o:spid="_x0000_s2326" o:spt="32" type="#_x0000_t32" style="position:absolute;left:4571999;top:1576070;height:139700;width:0;" filled="f" stroked="t" coordsize="21600,21600">
              <v:path arrowok="t"/>
              <v:fill on="f" focussize="0,0"/>
              <v:stroke color="#000000" endarrow="block"/>
              <v:imagedata o:title=""/>
              <o:lock v:ext="edit" aspectratio="f"/>
            </v:shape>
            <v:shape id="_x0000_s2327" o:spid="_x0000_s2327" o:spt="202" type="#_x0000_t202" style="position:absolute;left:5073014;top:2497454;height:424180;width:1016000;" filled="f" stroked="f" coordsize="21600,21600">
              <v:path/>
              <v:fill on="f" focussize="0,0"/>
              <v:stroke on="f"/>
              <v:imagedata o:title=""/>
              <o:lock v:ext="edit" aspectratio="f"/>
              <v:textbox>
                <w:txbxContent>
                  <w:p>
                    <w:pPr>
                      <w:rPr>
                        <w:rFonts w:hint="eastAsia"/>
                        <w:sz w:val="20"/>
                        <w:lang w:val="en-US" w:eastAsia="zh-CN"/>
                      </w:rPr>
                    </w:pPr>
                    <w:r>
                      <w:rPr>
                        <w:rFonts w:hint="eastAsia"/>
                        <w:sz w:val="20"/>
                        <w:lang w:val="en-US" w:eastAsia="zh-CN"/>
                      </w:rPr>
                      <w:t>G2铬酸雾</w:t>
                    </w:r>
                  </w:p>
                  <w:p>
                    <w:pPr>
                      <w:rPr>
                        <w:rFonts w:hint="eastAsia"/>
                        <w:sz w:val="20"/>
                        <w:lang w:val="en-US" w:eastAsia="zh-CN"/>
                      </w:rPr>
                    </w:pPr>
                    <w:r>
                      <w:rPr>
                        <w:rFonts w:hint="eastAsia"/>
                        <w:sz w:val="20"/>
                        <w:lang w:val="en-US" w:eastAsia="zh-CN"/>
                      </w:rPr>
                      <w:t>S3槽渣</w:t>
                    </w:r>
                  </w:p>
                </w:txbxContent>
              </v:textbox>
            </v:shape>
            <v:shape id="_x0000_s2328" o:spid="_x0000_s2328" o:spt="202" type="#_x0000_t202" style="position:absolute;left:4262754;top:2132964;height:292100;width:685800;" fillcolor="#FFFFFF" filled="t" stroked="t" coordsize="21600,21600">
              <v:path/>
              <v:fill on="t" color2="#FFFFFF" focussize="0,0"/>
              <v:stroke color="#000000" joinstyle="miter"/>
              <v:imagedata o:title=""/>
              <o:lock v:ext="edit" aspectratio="f"/>
              <v:textbox>
                <w:txbxContent>
                  <w:p>
                    <w:pPr>
                      <w:snapToGrid w:val="0"/>
                      <w:jc w:val="center"/>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sz w:val="20"/>
                        <w:lang w:val="en-US" w:eastAsia="zh-CN"/>
                      </w:rPr>
                      <w:t>3道水洗</w:t>
                    </w:r>
                  </w:p>
                </w:txbxContent>
              </v:textbox>
            </v:shape>
            <v:shape id="_x0000_s2329" o:spid="_x0000_s2329" o:spt="32" type="#_x0000_t32" style="position:absolute;left:4013200;top:1838325;height:0;width:241300;" filled="f" stroked="t" coordsize="21600,21600">
              <v:path arrowok="t"/>
              <v:fill on="f" focussize="0,0"/>
              <v:stroke color="#000000" endarrow="block"/>
              <v:imagedata o:title=""/>
              <o:lock v:ext="edit" aspectratio="f"/>
            </v:shape>
            <v:shape id="_x0000_s2330" o:spid="_x0000_s2330" o:spt="202" type="#_x0000_t202" style="position:absolute;left:3578859;top:2174875;height:228600;width:546100;" filled="f" stroked="f" coordsize="21600,21600">
              <v:path/>
              <v:fill on="f" focussize="0,0"/>
              <v:stroke on="f"/>
              <v:imagedata o:title=""/>
              <o:lock v:ext="edit" aspectratio="f"/>
              <v:textbox>
                <w:txbxContent>
                  <w:p>
                    <w:pPr>
                      <w:snapToGrid w:val="0"/>
                      <w:jc w:val="center"/>
                      <w:rPr>
                        <w:sz w:val="20"/>
                        <w:lang w:val="en-US"/>
                      </w:rPr>
                    </w:pPr>
                    <w:r>
                      <w:rPr>
                        <w:rFonts w:hint="eastAsia"/>
                        <w:sz w:val="20"/>
                        <w:lang w:val="en-US" w:eastAsia="zh-CN"/>
                      </w:rPr>
                      <w:t>纯水</w:t>
                    </w:r>
                  </w:p>
                </w:txbxContent>
              </v:textbox>
            </v:shape>
            <v:shape id="_x0000_s2331" o:spid="_x0000_s2331" o:spt="32" type="#_x0000_t32" style="position:absolute;left:4953000;top:1825625;height:0;width:203200;" filled="f" stroked="t" coordsize="21600,21600">
              <v:path arrowok="t"/>
              <v:fill on="f" focussize="0,0"/>
              <v:stroke color="#000000" dashstyle="longDash" endarrow="block"/>
              <v:imagedata o:title=""/>
              <o:lock v:ext="edit" aspectratio="f"/>
            </v:shape>
            <v:shape id="_x0000_s2332" o:spid="_x0000_s2332" o:spt="32" type="#_x0000_t32" style="position:absolute;left:4571999;top:1993264;height:139700;width:0;" filled="f" stroked="t" coordsize="21600,21600">
              <v:path arrowok="t"/>
              <v:fill on="f" focussize="0,0"/>
              <v:stroke color="#000000" endarrow="block"/>
              <v:imagedata o:title=""/>
              <o:lock v:ext="edit" aspectratio="f"/>
            </v:shape>
            <v:shape id="_x0000_s2333" o:spid="_x0000_s2333" o:spt="202" type="#_x0000_t202" style="position:absolute;left:5008879;top:2992119;height:304800;width:1016000;" filled="f" stroked="f" coordsize="21600,21600">
              <v:path/>
              <v:fill on="f" focussize="0,0"/>
              <v:stroke on="f"/>
              <v:imagedata o:title=""/>
              <o:lock v:ext="edit" aspectratio="f"/>
              <v:textbox>
                <w:txbxContent>
                  <w:p>
                    <w:pPr>
                      <w:snapToGrid w:val="0"/>
                      <w:jc w:val="center"/>
                      <w:rPr>
                        <w:rFonts w:hint="eastAsia" w:eastAsia="宋体"/>
                        <w:sz w:val="20"/>
                        <w:lang w:val="en-US" w:eastAsia="zh-CN"/>
                      </w:rPr>
                    </w:pPr>
                    <w:r>
                      <w:rPr>
                        <w:rFonts w:hint="eastAsia"/>
                        <w:sz w:val="20"/>
                        <w:lang w:val="en-US" w:eastAsia="zh-CN"/>
                      </w:rPr>
                      <w:t>W2含铬废水</w:t>
                    </w:r>
                  </w:p>
                </w:txbxContent>
              </v:textbox>
            </v:shape>
            <v:shape id="_x0000_s2334" o:spid="_x0000_s2334" o:spt="202" type="#_x0000_t202" style="position:absolute;left:4241799;top:3397249;height:292100;width:685800;" fillcolor="#FFFFFF" filled="t" stroked="t" coordsize="21600,21600">
              <v:path/>
              <v:fill on="t" color2="#FFFFFF" focussize="0,0"/>
              <v:stroke color="#000000" joinstyle="miter"/>
              <v:imagedata o:title=""/>
              <o:lock v:ext="edit" aspectratio="f"/>
              <v:textbox>
                <w:txbxContent>
                  <w:p>
                    <w:pPr>
                      <w:snapToGrid w:val="0"/>
                      <w:jc w:val="center"/>
                      <w:rPr>
                        <w:rFonts w:hint="eastAsia" w:asciiTheme="minorEastAsia" w:hAnsiTheme="minorEastAsia" w:eastAsiaTheme="minorEastAsia" w:cstheme="minorEastAsia"/>
                        <w:sz w:val="20"/>
                        <w:lang w:val="en-US"/>
                      </w:rPr>
                    </w:pPr>
                    <w:r>
                      <w:rPr>
                        <w:rFonts w:hint="eastAsia" w:asciiTheme="minorEastAsia" w:hAnsiTheme="minorEastAsia" w:eastAsiaTheme="minorEastAsia" w:cstheme="minorEastAsia"/>
                        <w:sz w:val="20"/>
                        <w:lang w:val="en-US" w:eastAsia="zh-CN"/>
                      </w:rPr>
                      <w:t>烘干</w:t>
                    </w:r>
                  </w:p>
                </w:txbxContent>
              </v:textbox>
            </v:shape>
            <v:shape id="_x0000_s2338" o:spid="_x0000_s2338" o:spt="32" type="#_x0000_t32" style="position:absolute;left:4571999;top:2421254;height:139700;width:0;" filled="f" stroked="t" coordsize="21600,21600">
              <v:path arrowok="t"/>
              <v:fill on="f" focussize="0,0"/>
              <v:stroke color="#000000" endarrow="block"/>
              <v:imagedata o:title=""/>
              <o:lock v:ext="edit" aspectratio="f"/>
            </v:shape>
            <v:shape id="_x0000_s2340" o:spid="_x0000_s2340" o:spt="202" type="#_x0000_t202" style="position:absolute;left:4231004;top:3836034;height:292100;width:685800;" fillcolor="#FFFFFF" filled="t" stroked="t" coordsize="21600,21600">
              <v:path/>
              <v:fill on="t" color2="#FFFFFF" focussize="0,0"/>
              <v:stroke color="#000000" joinstyle="miter"/>
              <v:imagedata o:title=""/>
              <o:lock v:ext="edit" aspectratio="f"/>
              <v:textbox>
                <w:txbxContent>
                  <w:p>
                    <w:pPr>
                      <w:snapToGrid w:val="0"/>
                      <w:jc w:val="center"/>
                      <w:rPr>
                        <w:rFonts w:hint="eastAsia" w:asciiTheme="minorEastAsia" w:hAnsiTheme="minorEastAsia" w:eastAsiaTheme="minorEastAsia" w:cstheme="minorEastAsia"/>
                        <w:sz w:val="20"/>
                        <w:lang w:val="en-US"/>
                      </w:rPr>
                    </w:pPr>
                    <w:r>
                      <w:rPr>
                        <w:rFonts w:hint="eastAsia" w:asciiTheme="minorEastAsia" w:hAnsiTheme="minorEastAsia" w:eastAsiaTheme="minorEastAsia" w:cstheme="minorEastAsia"/>
                        <w:sz w:val="20"/>
                        <w:lang w:val="en-US" w:eastAsia="zh-CN"/>
                      </w:rPr>
                      <w:t>成品</w:t>
                    </w:r>
                  </w:p>
                </w:txbxContent>
              </v:textbox>
            </v:shape>
            <v:shape id="_x0000_s2344" o:spid="_x0000_s2344" o:spt="32" type="#_x0000_t32" style="position:absolute;left:4571999;top:2838449;height:139700;width:0;" filled="f" stroked="t" coordsize="21600,21600">
              <v:path arrowok="t"/>
              <v:fill on="f" focussize="0,0"/>
              <v:stroke color="#000000" endarrow="block"/>
              <v:imagedata o:title=""/>
              <o:lock v:ext="edit" aspectratio="f"/>
            </v:shape>
            <v:shape id="_x0000_s2353" o:spid="_x0000_s2353" o:spt="202" type="#_x0000_t202" style="position:absolute;left:55245;top:3992879;height:602615;width:729615;" filled="f" stroked="f" coordsize="21600,21600">
              <v:path/>
              <v:fill on="f" focussize="0,0"/>
              <v:stroke on="f"/>
              <v:imagedata o:title=""/>
              <o:lock v:ext="edit" aspectratio="f"/>
              <v:textbox>
                <w:txbxContent>
                  <w:p>
                    <w:pPr>
                      <w:snapToGrid w:val="0"/>
                      <w:jc w:val="right"/>
                      <w:rPr>
                        <w:rFonts w:hint="eastAsia"/>
                        <w:sz w:val="20"/>
                        <w:lang w:val="en-US" w:eastAsia="zh-CN"/>
                      </w:rPr>
                    </w:pPr>
                    <w:r>
                      <w:rPr>
                        <w:rFonts w:hint="eastAsia"/>
                        <w:sz w:val="20"/>
                        <w:lang w:val="en-US" w:eastAsia="zh-CN"/>
                      </w:rPr>
                      <w:t>铜</w:t>
                    </w:r>
                  </w:p>
                  <w:p>
                    <w:pPr>
                      <w:snapToGrid w:val="0"/>
                      <w:jc w:val="right"/>
                      <w:rPr>
                        <w:rFonts w:hint="eastAsia"/>
                        <w:sz w:val="20"/>
                        <w:lang w:val="en-US" w:eastAsia="zh-CN"/>
                      </w:rPr>
                    </w:pPr>
                    <w:r>
                      <w:rPr>
                        <w:rFonts w:hint="eastAsia"/>
                        <w:sz w:val="20"/>
                        <w:lang w:val="en-US" w:eastAsia="zh-CN"/>
                      </w:rPr>
                      <w:t>硫酸铜</w:t>
                    </w:r>
                  </w:p>
                  <w:p>
                    <w:pPr>
                      <w:snapToGrid w:val="0"/>
                      <w:jc w:val="right"/>
                      <w:rPr>
                        <w:rFonts w:hint="eastAsia"/>
                        <w:sz w:val="20"/>
                        <w:lang w:val="en-US" w:eastAsia="zh-CN"/>
                      </w:rPr>
                    </w:pPr>
                    <w:r>
                      <w:rPr>
                        <w:rFonts w:hint="eastAsia"/>
                        <w:sz w:val="20"/>
                        <w:lang w:val="en-US" w:eastAsia="zh-CN"/>
                      </w:rPr>
                      <w:t>10%硫酸</w:t>
                    </w:r>
                  </w:p>
                </w:txbxContent>
              </v:textbox>
            </v:shape>
            <v:shape id="_x0000_s2354" o:spid="_x0000_s2354" o:spt="32" type="#_x0000_t32" style="position:absolute;left:1624965;top:1668780;height:0;width:203200;" filled="f" stroked="t" coordsize="21600,21600">
              <v:path arrowok="t"/>
              <v:fill on="f" focussize="0,0"/>
              <v:stroke color="#000000" dashstyle="longDash" endarrow="block"/>
              <v:imagedata o:title=""/>
              <o:lock v:ext="edit" aspectratio="f"/>
            </v:shape>
            <v:shape id="_x0000_s2355" o:spid="_x0000_s2355" o:spt="32" type="#_x0000_t32" style="position:absolute;left:1256665;top:1465580;height:139700;width:0;" filled="f" stroked="t" coordsize="21600,21600">
              <v:path arrowok="t"/>
              <v:fill on="f" focussize="0,0"/>
              <v:stroke color="#000000" endarrow="block"/>
              <v:imagedata o:title=""/>
              <o:lock v:ext="edit" aspectratio="f"/>
            </v:shape>
            <v:shape id="_x0000_s2356" o:spid="_x0000_s2356" o:spt="202" type="#_x0000_t202" style="position:absolute;left:1819275;top:4078604;height:410845;width:688975;" filled="f" stroked="f" coordsize="21600,21600">
              <v:path/>
              <v:fill on="f" focussize="0,0"/>
              <v:stroke on="f"/>
              <v:imagedata o:title=""/>
              <o:lock v:ext="edit" aspectratio="f"/>
              <v:textbox>
                <w:txbxContent>
                  <w:p>
                    <w:pPr>
                      <w:snapToGrid w:val="0"/>
                      <w:jc w:val="left"/>
                      <w:rPr>
                        <w:rFonts w:hint="eastAsia" w:eastAsia="宋体"/>
                        <w:sz w:val="20"/>
                        <w:lang w:val="en-US" w:eastAsia="zh-CN"/>
                      </w:rPr>
                    </w:pPr>
                    <w:r>
                      <w:rPr>
                        <w:rFonts w:hint="eastAsia"/>
                        <w:sz w:val="20"/>
                        <w:lang w:val="en-US" w:eastAsia="zh-CN"/>
                      </w:rPr>
                      <w:t>G1酸雾</w:t>
                    </w:r>
                  </w:p>
                  <w:p>
                    <w:pPr>
                      <w:snapToGrid w:val="0"/>
                      <w:jc w:val="left"/>
                      <w:rPr>
                        <w:rFonts w:hint="eastAsia" w:eastAsia="宋体"/>
                        <w:sz w:val="20"/>
                        <w:lang w:val="en-US" w:eastAsia="zh-CN"/>
                      </w:rPr>
                    </w:pPr>
                    <w:r>
                      <w:rPr>
                        <w:rFonts w:hint="eastAsia"/>
                        <w:sz w:val="20"/>
                      </w:rPr>
                      <w:t>S</w:t>
                    </w:r>
                    <w:r>
                      <w:rPr>
                        <w:rFonts w:hint="eastAsia"/>
                        <w:sz w:val="20"/>
                        <w:lang w:val="en-US" w:eastAsia="zh-CN"/>
                      </w:rPr>
                      <w:t>3槽渣</w:t>
                    </w:r>
                  </w:p>
                  <w:p>
                    <w:pPr>
                      <w:rPr>
                        <w:rFonts w:hint="eastAsia"/>
                        <w:lang w:val="en-US" w:eastAsia="zh-CN"/>
                      </w:rPr>
                    </w:pPr>
                  </w:p>
                </w:txbxContent>
              </v:textbox>
            </v:shape>
            <v:shape id="_x0000_s2357" o:spid="_x0000_s2357" o:spt="202" type="#_x0000_t202" style="position:absolute;left:979170;top:4097019;height:292100;width:685800;" fillcolor="#FFFFFF" filled="t" stroked="t" coordsize="21600,21600">
              <v:path/>
              <v:fill on="t" color2="#FFFFFF" focussize="0,0"/>
              <v:stroke color="#000000" joinstyle="miter"/>
              <v:imagedata o:title=""/>
              <o:lock v:ext="edit" aspectratio="f"/>
              <v:textbox>
                <w:txbxContent>
                  <w:p>
                    <w:pPr>
                      <w:snapToGrid w:val="0"/>
                      <w:jc w:val="center"/>
                      <w:rPr>
                        <w:rFonts w:hint="eastAsia" w:asciiTheme="minorEastAsia" w:hAnsiTheme="minorEastAsia" w:eastAsiaTheme="minorEastAsia" w:cstheme="minorEastAsia"/>
                        <w:sz w:val="20"/>
                        <w:lang w:val="en-US" w:eastAsia="zh-CN"/>
                      </w:rPr>
                    </w:pPr>
                    <w:r>
                      <w:rPr>
                        <w:rFonts w:hint="eastAsia" w:asciiTheme="minorEastAsia" w:hAnsiTheme="minorEastAsia" w:eastAsiaTheme="minorEastAsia" w:cstheme="minorEastAsia"/>
                        <w:sz w:val="20"/>
                        <w:lang w:val="en-US" w:eastAsia="zh-CN"/>
                      </w:rPr>
                      <w:t>镀酸铜</w:t>
                    </w:r>
                  </w:p>
                </w:txbxContent>
              </v:textbox>
            </v:shape>
            <v:shape id="_x0000_s2358" o:spid="_x0000_s2358" o:spt="202" type="#_x0000_t202" style="position:absolute;left:80645;top:1972944;height:304800;width:812800;" filled="f" stroked="f" coordsize="21600,21600">
              <v:path/>
              <v:fill on="f" focussize="0,0"/>
              <v:stroke on="f"/>
              <v:imagedata o:title=""/>
              <o:lock v:ext="edit" aspectratio="f"/>
              <v:textbox>
                <w:txbxContent>
                  <w:p>
                    <w:pPr>
                      <w:snapToGrid w:val="0"/>
                      <w:jc w:val="center"/>
                      <w:rPr>
                        <w:sz w:val="20"/>
                        <w:lang w:val="en-US"/>
                      </w:rPr>
                    </w:pPr>
                    <w:r>
                      <w:rPr>
                        <w:rFonts w:hint="eastAsia"/>
                        <w:sz w:val="20"/>
                        <w:lang w:val="en-US" w:eastAsia="zh-CN"/>
                      </w:rPr>
                      <w:t>纯水</w:t>
                    </w:r>
                  </w:p>
                  <w:p>
                    <w:pPr>
                      <w:rPr>
                        <w:lang w:val="en-US"/>
                      </w:rPr>
                    </w:pPr>
                  </w:p>
                </w:txbxContent>
              </v:textbox>
            </v:shape>
            <v:shape id="_x0000_s2359" o:spid="_x0000_s2359" o:spt="32" type="#_x0000_t32" style="position:absolute;left:1649095;top:2085340;height:0;width:203200;" filled="f" stroked="t" coordsize="21600,21600">
              <v:path arrowok="t"/>
              <v:fill on="f" focussize="0,0"/>
              <v:stroke color="#000000" dashstyle="longDash" endarrow="block"/>
              <v:imagedata o:title=""/>
              <o:lock v:ext="edit" aspectratio="f"/>
            </v:shape>
            <v:shape id="_x0000_s2360" o:spid="_x0000_s2360" o:spt="32" type="#_x0000_t32" style="position:absolute;left:1280795;top:1882140;height:139700;width:0;" filled="f" stroked="t" coordsize="21600,21600">
              <v:path arrowok="t"/>
              <v:fill on="f" focussize="0,0"/>
              <v:stroke color="#000000" endarrow="block"/>
              <v:imagedata o:title=""/>
              <o:lock v:ext="edit" aspectratio="f"/>
            </v:shape>
            <v:shape id="_x0000_s2361" o:spid="_x0000_s2361" o:spt="202" type="#_x0000_t202" style="position:absolute;left:1724660;top:1939289;height:304800;width:963930;" filled="f" stroked="f" coordsize="21600,21600">
              <v:path/>
              <v:fill on="f" focussize="0,0"/>
              <v:stroke on="f"/>
              <v:imagedata o:title=""/>
              <o:lock v:ext="edit" aspectratio="f"/>
              <v:textbox>
                <w:txbxContent>
                  <w:p>
                    <w:pPr>
                      <w:snapToGrid w:val="0"/>
                      <w:jc w:val="center"/>
                      <w:rPr>
                        <w:rFonts w:hint="eastAsia" w:eastAsia="宋体"/>
                        <w:sz w:val="20"/>
                        <w:lang w:val="en-US" w:eastAsia="zh-CN"/>
                      </w:rPr>
                    </w:pPr>
                    <w:r>
                      <w:rPr>
                        <w:rFonts w:hint="eastAsia"/>
                        <w:sz w:val="20"/>
                        <w:lang w:val="en-US" w:eastAsia="zh-CN"/>
                      </w:rPr>
                      <w:t>W1综合废水</w:t>
                    </w:r>
                  </w:p>
                  <w:p>
                    <w:pPr>
                      <w:rPr>
                        <w:rFonts w:hint="eastAsia"/>
                        <w:lang w:val="en-US" w:eastAsia="zh-CN"/>
                      </w:rPr>
                    </w:pPr>
                  </w:p>
                </w:txbxContent>
              </v:textbox>
            </v:shape>
            <v:shape id="_x0000_s2362" o:spid="_x0000_s2362" o:spt="202" type="#_x0000_t202" style="position:absolute;left:950595;top:1983740;height:292100;width:685800;" fillcolor="#FFFFFF" filled="t" stroked="t" coordsize="21600,21600">
              <v:path/>
              <v:fill on="t" color2="#FFFFFF" focussize="0,0"/>
              <v:stroke color="#000000" joinstyle="miter"/>
              <v:imagedata o:title=""/>
              <o:lock v:ext="edit" aspectratio="f"/>
              <v:textbox>
                <w:txbxContent>
                  <w:p>
                    <w:pPr>
                      <w:snapToGrid w:val="0"/>
                      <w:jc w:val="center"/>
                      <w:rPr>
                        <w:rFonts w:hint="eastAsia" w:asciiTheme="minorEastAsia" w:hAnsiTheme="minorEastAsia" w:eastAsiaTheme="minorEastAsia" w:cstheme="minorEastAsia"/>
                        <w:sz w:val="20"/>
                        <w:lang w:val="en-US"/>
                      </w:rPr>
                    </w:pPr>
                    <w:r>
                      <w:rPr>
                        <w:rFonts w:hint="eastAsia" w:asciiTheme="minorEastAsia" w:hAnsiTheme="minorEastAsia" w:eastAsiaTheme="minorEastAsia" w:cstheme="minorEastAsia"/>
                        <w:sz w:val="20"/>
                        <w:lang w:val="en-US" w:eastAsia="zh-CN"/>
                      </w:rPr>
                      <w:t>2道水洗</w:t>
                    </w:r>
                  </w:p>
                </w:txbxContent>
              </v:textbox>
            </v:shape>
            <v:shape id="_x0000_s2363" o:spid="_x0000_s2363" o:spt="202" type="#_x0000_t202" style="position:absolute;left:71120;top:3265169;height:304800;width:812800;" filled="f" stroked="f" coordsize="21600,21600">
              <v:path/>
              <v:fill on="f" focussize="0,0"/>
              <v:stroke on="f"/>
              <v:imagedata o:title=""/>
              <o:lock v:ext="edit" aspectratio="f"/>
              <v:textbox>
                <w:txbxContent>
                  <w:p>
                    <w:pPr>
                      <w:snapToGrid w:val="0"/>
                      <w:jc w:val="center"/>
                      <w:rPr>
                        <w:sz w:val="20"/>
                        <w:lang w:val="en-US"/>
                      </w:rPr>
                    </w:pPr>
                    <w:r>
                      <w:rPr>
                        <w:rFonts w:hint="eastAsia"/>
                        <w:sz w:val="20"/>
                        <w:lang w:val="en-US" w:eastAsia="zh-CN"/>
                      </w:rPr>
                      <w:t>0.05%硫酸</w:t>
                    </w:r>
                  </w:p>
                </w:txbxContent>
              </v:textbox>
            </v:shape>
            <v:shape id="_x0000_s2364" o:spid="_x0000_s2364" o:spt="32" type="#_x0000_t32" style="position:absolute;left:1649095;top:2551429;height:0;width:203200;" filled="f" stroked="t" coordsize="21600,21600">
              <v:path arrowok="t"/>
              <v:fill on="f" focussize="0,0"/>
              <v:stroke color="#000000" dashstyle="longDash" endarrow="block"/>
              <v:imagedata o:title=""/>
              <o:lock v:ext="edit" aspectratio="f"/>
            </v:shape>
            <v:shape id="_x0000_s2365" o:spid="_x0000_s2365" o:spt="32" type="#_x0000_t32" style="position:absolute;left:1280795;top:2287270;height:139700;width:0;" filled="f" stroked="t" coordsize="21600,21600">
              <v:path arrowok="t"/>
              <v:fill on="f" focussize="0,0"/>
              <v:stroke color="#000000" endarrow="block"/>
              <v:imagedata o:title=""/>
              <o:lock v:ext="edit" aspectratio="f"/>
            </v:shape>
            <v:shape id="_x0000_s2366" o:spid="_x0000_s2366" o:spt="202" type="#_x0000_t202" style="position:absolute;left:1820545;top:3233419;height:304800;width:814705;" filled="f" stroked="f" coordsize="21600,21600">
              <v:path/>
              <v:fill on="f" focussize="0,0"/>
              <v:stroke on="f"/>
              <v:imagedata o:title=""/>
              <o:lock v:ext="edit" aspectratio="f"/>
              <v:textbox>
                <w:txbxContent>
                  <w:p>
                    <w:pPr>
                      <w:snapToGrid w:val="0"/>
                      <w:jc w:val="left"/>
                      <w:rPr>
                        <w:rFonts w:hint="eastAsia" w:eastAsia="宋体"/>
                        <w:sz w:val="20"/>
                        <w:lang w:val="en-US" w:eastAsia="zh-CN"/>
                      </w:rPr>
                    </w:pPr>
                    <w:r>
                      <w:rPr>
                        <w:rFonts w:hint="eastAsia"/>
                        <w:sz w:val="20"/>
                      </w:rPr>
                      <w:t>S</w:t>
                    </w:r>
                    <w:r>
                      <w:rPr>
                        <w:rFonts w:hint="eastAsia"/>
                        <w:sz w:val="20"/>
                        <w:lang w:val="en-US" w:eastAsia="zh-CN"/>
                      </w:rPr>
                      <w:t>2废酸液</w:t>
                    </w:r>
                  </w:p>
                  <w:p>
                    <w:pPr>
                      <w:rPr>
                        <w:rFonts w:hint="eastAsia"/>
                        <w:lang w:val="en-US" w:eastAsia="zh-CN"/>
                      </w:rPr>
                    </w:pPr>
                  </w:p>
                </w:txbxContent>
              </v:textbox>
            </v:shape>
            <v:shape id="_x0000_s2367" o:spid="_x0000_s2367" o:spt="202" type="#_x0000_t202" style="position:absolute;left:982980;top:3235324;height:292100;width:685800;" fillcolor="#FFFFFF" filled="t" stroked="t" coordsize="21600,21600">
              <v:path/>
              <v:fill on="t" color2="#FFFFFF" focussize="0,0"/>
              <v:stroke color="#000000" joinstyle="miter"/>
              <v:imagedata o:title=""/>
              <o:lock v:ext="edit" aspectratio="f"/>
              <v:textbox>
                <w:txbxContent>
                  <w:p>
                    <w:pPr>
                      <w:snapToGrid w:val="0"/>
                      <w:jc w:val="center"/>
                      <w:rPr>
                        <w:rFonts w:hint="eastAsia" w:asciiTheme="minorEastAsia" w:hAnsiTheme="minorEastAsia" w:eastAsiaTheme="minorEastAsia" w:cstheme="minorEastAsia"/>
                        <w:sz w:val="20"/>
                        <w:lang w:val="en-US"/>
                      </w:rPr>
                    </w:pPr>
                    <w:r>
                      <w:rPr>
                        <w:rFonts w:hint="eastAsia" w:asciiTheme="minorEastAsia" w:hAnsiTheme="minorEastAsia" w:eastAsiaTheme="minorEastAsia" w:cstheme="minorEastAsia"/>
                        <w:sz w:val="20"/>
                        <w:lang w:val="en-US" w:eastAsia="zh-CN"/>
                      </w:rPr>
                      <w:t>活化</w:t>
                    </w:r>
                  </w:p>
                </w:txbxContent>
              </v:textbox>
            </v:shape>
            <v:shape id="_x0000_s2368" o:spid="_x0000_s2368" o:spt="202" type="#_x0000_t202" style="position:absolute;left:100330;top:2193289;height:792480;width:622300;" filled="f" stroked="f" coordsize="21600,21600">
              <v:path/>
              <v:fill on="f" focussize="0,0"/>
              <v:stroke on="f"/>
              <v:imagedata o:title=""/>
              <o:lock v:ext="edit" aspectratio="f"/>
              <v:textbox>
                <w:txbxContent>
                  <w:p>
                    <w:pPr>
                      <w:jc w:val="right"/>
                      <w:rPr>
                        <w:rFonts w:hint="eastAsia"/>
                        <w:sz w:val="20"/>
                        <w:lang w:val="en-US" w:eastAsia="zh-CN"/>
                      </w:rPr>
                    </w:pPr>
                    <w:r>
                      <w:rPr>
                        <w:rFonts w:hint="eastAsia"/>
                        <w:sz w:val="20"/>
                        <w:lang w:val="en-US" w:eastAsia="zh-CN"/>
                      </w:rPr>
                      <w:t>镍</w:t>
                    </w:r>
                  </w:p>
                  <w:p>
                    <w:pPr>
                      <w:jc w:val="right"/>
                      <w:rPr>
                        <w:rFonts w:hint="eastAsia"/>
                        <w:sz w:val="20"/>
                        <w:lang w:val="en-US" w:eastAsia="zh-CN"/>
                      </w:rPr>
                    </w:pPr>
                    <w:r>
                      <w:rPr>
                        <w:rFonts w:hint="eastAsia"/>
                        <w:sz w:val="20"/>
                        <w:lang w:val="en-US" w:eastAsia="zh-CN"/>
                      </w:rPr>
                      <w:t>氯化镍</w:t>
                    </w:r>
                  </w:p>
                  <w:p>
                    <w:pPr>
                      <w:jc w:val="right"/>
                      <w:rPr>
                        <w:rFonts w:hint="eastAsia"/>
                        <w:sz w:val="20"/>
                        <w:lang w:val="en-US" w:eastAsia="zh-CN"/>
                      </w:rPr>
                    </w:pPr>
                    <w:r>
                      <w:rPr>
                        <w:rFonts w:hint="eastAsia"/>
                        <w:sz w:val="20"/>
                        <w:lang w:val="en-US" w:eastAsia="zh-CN"/>
                      </w:rPr>
                      <w:t>硫酸镍</w:t>
                    </w:r>
                  </w:p>
                  <w:p>
                    <w:pPr>
                      <w:jc w:val="right"/>
                      <w:rPr>
                        <w:rFonts w:hint="eastAsia"/>
                        <w:sz w:val="20"/>
                        <w:lang w:val="en-US" w:eastAsia="zh-CN"/>
                      </w:rPr>
                    </w:pPr>
                    <w:r>
                      <w:rPr>
                        <w:rFonts w:hint="eastAsia"/>
                        <w:sz w:val="20"/>
                        <w:lang w:val="en-US" w:eastAsia="zh-CN"/>
                      </w:rPr>
                      <w:t>硼酸</w:t>
                    </w:r>
                  </w:p>
                </w:txbxContent>
              </v:textbox>
            </v:shape>
            <v:shape id="_x0000_s2369" o:spid="_x0000_s2369" o:spt="32" type="#_x0000_t32" style="position:absolute;left:1650365;top:2991484;height:0;width:203200;" filled="f" stroked="t" coordsize="21600,21600">
              <v:path arrowok="t"/>
              <v:fill on="f" focussize="0,0"/>
              <v:stroke color="#000000" dashstyle="longDash" endarrow="block"/>
              <v:imagedata o:title=""/>
              <o:lock v:ext="edit" aspectratio="f"/>
            </v:shape>
            <v:shape id="_x0000_s2370" o:spid="_x0000_s2370" o:spt="32" type="#_x0000_t32" style="position:absolute;left:1292860;top:2703830;height:139700;width:0;" filled="f" stroked="t" coordsize="21600,21600">
              <v:path arrowok="t"/>
              <v:fill on="f" focussize="0,0"/>
              <v:stroke color="#000000" endarrow="block"/>
              <v:imagedata o:title=""/>
              <o:lock v:ext="edit" aspectratio="f"/>
            </v:shape>
            <v:shape id="_x0000_s2371" o:spid="_x0000_s2371" o:spt="202" type="#_x0000_t202" style="position:absolute;left:1790065;top:2390139;height:304800;width:699770;" filled="f" stroked="f" coordsize="21600,21600">
              <v:path/>
              <v:fill on="f" focussize="0,0"/>
              <v:stroke on="f"/>
              <v:imagedata o:title=""/>
              <o:lock v:ext="edit" aspectratio="f"/>
              <v:textbox>
                <w:txbxContent>
                  <w:p>
                    <w:pPr>
                      <w:snapToGrid w:val="0"/>
                      <w:jc w:val="left"/>
                      <w:rPr>
                        <w:rFonts w:hint="eastAsia" w:eastAsia="宋体"/>
                        <w:sz w:val="20"/>
                        <w:lang w:val="en-US" w:eastAsia="zh-CN"/>
                      </w:rPr>
                    </w:pPr>
                    <w:r>
                      <w:rPr>
                        <w:rFonts w:hint="eastAsia"/>
                        <w:sz w:val="20"/>
                      </w:rPr>
                      <w:t>S</w:t>
                    </w:r>
                    <w:r>
                      <w:rPr>
                        <w:rFonts w:hint="eastAsia"/>
                        <w:sz w:val="20"/>
                        <w:lang w:val="en-US" w:eastAsia="zh-CN"/>
                      </w:rPr>
                      <w:t>3槽渣</w:t>
                    </w:r>
                  </w:p>
                  <w:p>
                    <w:pPr>
                      <w:rPr>
                        <w:rFonts w:hint="eastAsia"/>
                        <w:lang w:val="en-US" w:eastAsia="zh-CN"/>
                      </w:rPr>
                    </w:pPr>
                  </w:p>
                </w:txbxContent>
              </v:textbox>
            </v:shape>
            <v:shape id="_x0000_s2372" o:spid="_x0000_s2372" o:spt="202" type="#_x0000_t202" style="position:absolute;left:919480;top:741680;height:292100;width:707390;" fillcolor="#FFFFFF" filled="t" stroked="t" coordsize="21600,21600">
              <v:path/>
              <v:fill on="t" color2="#FFFFFF" focussize="0,0"/>
              <v:stroke color="#000000" joinstyle="miter"/>
              <v:imagedata o:title=""/>
              <o:lock v:ext="edit" aspectratio="f"/>
              <v:textbox>
                <w:txbxContent>
                  <w:p>
                    <w:pPr>
                      <w:snapToGrid w:val="0"/>
                      <w:jc w:val="center"/>
                      <w:rPr>
                        <w:rFonts w:hint="default" w:asciiTheme="minorEastAsia" w:hAnsiTheme="minorEastAsia" w:eastAsiaTheme="minorEastAsia" w:cstheme="minorEastAsia"/>
                        <w:sz w:val="20"/>
                        <w:lang w:val="en-US"/>
                      </w:rPr>
                    </w:pPr>
                    <w:r>
                      <w:rPr>
                        <w:rFonts w:hint="eastAsia" w:asciiTheme="minorEastAsia" w:hAnsiTheme="minorEastAsia" w:eastAsiaTheme="minorEastAsia" w:cstheme="minorEastAsia"/>
                        <w:sz w:val="20"/>
                        <w:lang w:val="en-US" w:eastAsia="zh-CN"/>
                      </w:rPr>
                      <w:t>超声除油</w:t>
                    </w:r>
                  </w:p>
                </w:txbxContent>
              </v:textbox>
            </v:shape>
            <v:shape id="_x0000_s2373" o:spid="_x0000_s2373" o:spt="32" type="#_x0000_t32" style="position:absolute;left:703580;top:1715135;height:0;width:241300;" filled="f" stroked="t" coordsize="21600,21600">
              <v:path arrowok="t"/>
              <v:fill on="f" focussize="0,0"/>
              <v:stroke color="#000000" endarrow="block"/>
              <v:imagedata o:title=""/>
              <o:lock v:ext="edit" aspectratio="f"/>
            </v:shape>
            <v:shape id="_x0000_s2374" o:spid="_x0000_s2374" o:spt="32" type="#_x0000_t32" style="position:absolute;left:715645;top:2156460;height:0;width:241300;" filled="f" stroked="t" coordsize="21600,21600">
              <v:path arrowok="t"/>
              <v:fill on="f" focussize="0,0"/>
              <v:stroke color="#000000" endarrow="block"/>
              <v:imagedata o:title=""/>
              <o:lock v:ext="edit" aspectratio="f"/>
            </v:shape>
            <v:shape id="_x0000_s2375" o:spid="_x0000_s2375" o:spt="32" type="#_x0000_t32" style="position:absolute;left:727710;top:2573020;height:0;width:241300;" filled="f" stroked="t" coordsize="21600,21600">
              <v:path arrowok="t"/>
              <v:fill on="f" focussize="0,0"/>
              <v:stroke color="#000000" endarrow="block"/>
              <v:imagedata o:title=""/>
              <o:lock v:ext="edit" aspectratio="f"/>
            </v:shape>
            <v:shape id="_x0000_s2376" o:spid="_x0000_s2376" o:spt="32" type="#_x0000_t32" style="position:absolute;left:751205;top:2977515;height:0;width:241300;" filled="f" stroked="t" coordsize="21600,21600">
              <v:path arrowok="t"/>
              <v:fill on="f" focussize="0,0"/>
              <v:stroke color="#000000" endarrow="block"/>
              <v:imagedata o:title=""/>
              <o:lock v:ext="edit" aspectratio="f"/>
            </v:shape>
            <v:shape id="_x0000_s2377" o:spid="_x0000_s2377" o:spt="32" type="#_x0000_t32" style="position:absolute;left:1287145;top:3108325;height:139700;width:0;" filled="f" stroked="t" coordsize="21600,21600">
              <v:path arrowok="t"/>
              <v:fill on="f" focussize="0,0"/>
              <v:stroke color="#000000" endarrow="block"/>
              <v:imagedata o:title=""/>
              <o:lock v:ext="edit" aspectratio="f"/>
            </v:shape>
            <v:line id="_x0000_s2378" o:spid="_x0000_s2378" o:spt="20" style="position:absolute;left:1303655;top:4552314;height:635;width:1536065;" filled="f" stroked="t" coordsize="21600,21600">
              <v:path arrowok="t"/>
              <v:fill on="f" focussize="0,0"/>
              <v:stroke color="#000000"/>
              <v:imagedata o:title=""/>
              <o:lock v:ext="edit" aspectratio="f"/>
            </v:line>
            <v:line id="_x0000_s2379" o:spid="_x0000_s2379" o:spt="20" style="position:absolute;left:2822575;top:301625;height:635;width:1772920;" filled="f" stroked="t" coordsize="21600,21600">
              <v:path arrowok="t"/>
              <v:fill on="f" focussize="0,0"/>
              <v:stroke color="#000000"/>
              <v:imagedata o:title=""/>
              <o:lock v:ext="edit" aspectratio="f"/>
            </v:line>
            <v:line id="_x0000_s2380" o:spid="_x0000_s2380" o:spt="20" style="position:absolute;left:2828290;top:323215;height:4217034;width:635;" filled="f" stroked="t" coordsize="21600,21600">
              <v:path arrowok="t"/>
              <v:fill on="f" focussize="0,0"/>
              <v:stroke color="#000000"/>
              <v:imagedata o:title=""/>
              <o:lock v:ext="edit" aspectratio="f"/>
            </v:line>
            <v:shape id="_x0000_s2845" o:spid="_x0000_s2845" o:spt="202" type="#_x0000_t202" style="position:absolute;left:909955;top:327660;height:292100;width:706755;" fillcolor="#FFFFFF" filled="t" stroked="t" coordsize="21600,21600">
              <v:path/>
              <v:fill on="t" color2="#FFFFFF" focussize="0,0"/>
              <v:stroke color="#000000" joinstyle="miter"/>
              <v:imagedata o:title=""/>
              <o:lock v:ext="edit" aspectratio="f"/>
              <v:textbox>
                <w:txbxContent>
                  <w:p>
                    <w:pPr>
                      <w:snapToGrid w:val="0"/>
                      <w:jc w:val="center"/>
                      <w:rPr>
                        <w:rFonts w:hint="default" w:asciiTheme="minorEastAsia" w:hAnsiTheme="minorEastAsia" w:eastAsiaTheme="minorEastAsia" w:cstheme="minorEastAsia"/>
                        <w:sz w:val="20"/>
                        <w:lang w:val="en-US"/>
                      </w:rPr>
                    </w:pPr>
                    <w:r>
                      <w:rPr>
                        <w:rFonts w:hint="eastAsia" w:asciiTheme="minorEastAsia" w:hAnsiTheme="minorEastAsia" w:eastAsiaTheme="minorEastAsia" w:cstheme="minorEastAsia"/>
                        <w:sz w:val="20"/>
                        <w:lang w:val="en-US" w:eastAsia="zh-CN"/>
                      </w:rPr>
                      <w:t>电解除油</w:t>
                    </w:r>
                  </w:p>
                </w:txbxContent>
              </v:textbox>
            </v:shape>
            <v:shape id="_x0000_s2846" o:spid="_x0000_s2846" o:spt="32" type="#_x0000_t32" style="position:absolute;left:1293495;top:3532504;height:139700;width:0;" filled="f" stroked="t" coordsize="21600,21600">
              <v:path arrowok="t"/>
              <v:fill on="f" focussize="0,0"/>
              <v:stroke color="#000000" endarrow="block"/>
              <v:imagedata o:title=""/>
              <o:lock v:ext="edit" aspectratio="f"/>
            </v:shape>
            <v:shape id="_x0000_s2847" o:spid="_x0000_s2847" o:spt="202" type="#_x0000_t202" style="position:absolute;left:973455;top:3651249;height:292100;width:685800;" fillcolor="#FFFFFF" filled="t" stroked="t" coordsize="21600,21600">
              <v:path/>
              <v:fill on="t" color2="#FFFFFF" focussize="0,0"/>
              <v:stroke color="#000000" joinstyle="miter"/>
              <v:imagedata o:title=""/>
              <o:lock v:ext="edit" aspectratio="f"/>
              <v:textbox>
                <w:txbxContent>
                  <w:p>
                    <w:pPr>
                      <w:snapToGrid w:val="0"/>
                      <w:jc w:val="center"/>
                      <w:rPr>
                        <w:rFonts w:hint="default" w:asciiTheme="minorEastAsia" w:hAnsiTheme="minorEastAsia" w:eastAsiaTheme="minorEastAsia" w:cstheme="minorEastAsia"/>
                        <w:sz w:val="20"/>
                        <w:lang w:val="en-US"/>
                      </w:rPr>
                    </w:pPr>
                    <w:r>
                      <w:rPr>
                        <w:rFonts w:hint="eastAsia" w:asciiTheme="minorEastAsia" w:hAnsiTheme="minorEastAsia" w:eastAsiaTheme="minorEastAsia" w:cstheme="minorEastAsia"/>
                        <w:sz w:val="20"/>
                        <w:lang w:val="en-US" w:eastAsia="zh-CN"/>
                      </w:rPr>
                      <w:t>2道水洗</w:t>
                    </w:r>
                  </w:p>
                </w:txbxContent>
              </v:textbox>
            </v:shape>
            <v:shape id="_x0000_s2848" o:spid="_x0000_s2848" o:spt="32" type="#_x0000_t32" style="position:absolute;left:1303655;top:3956049;height:139700;width:0;" filled="f" stroked="t" coordsize="21600,21600">
              <v:path arrowok="t"/>
              <v:fill on="f" focussize="0,0"/>
              <v:stroke color="#000000" endarrow="block"/>
              <v:imagedata o:title=""/>
              <o:lock v:ext="edit" aspectratio="f"/>
            </v:shape>
            <v:shape id="_x0000_s2850" o:spid="_x0000_s2850" o:spt="32" type="#_x0000_t32" style="position:absolute;left:4573904;top:3278504;height:139700;width:0;" filled="f" stroked="t" coordsize="21600,21600">
              <v:path arrowok="t"/>
              <v:fill on="f" focussize="0,0"/>
              <v:stroke color="#000000" endarrow="block"/>
              <v:imagedata o:title=""/>
              <o:lock v:ext="edit" aspectratio="f"/>
            </v:shape>
            <v:shape id="_x0000_s2851" o:spid="_x0000_s2851" o:spt="202" type="#_x0000_t202" style="position:absolute;left:4253864;top:2550794;height:292100;width:685800;" fillcolor="#FFFFFF" filled="t" stroked="t" coordsize="21600,21600">
              <v:path/>
              <v:fill on="t" color2="#FFFFFF" focussize="0,0"/>
              <v:stroke color="#000000" joinstyle="miter"/>
              <v:imagedata o:title=""/>
              <o:lock v:ext="edit" aspectratio="f"/>
              <v:textbox>
                <w:txbxContent>
                  <w:p>
                    <w:pPr>
                      <w:snapToGrid w:val="0"/>
                      <w:jc w:val="center"/>
                      <w:rPr>
                        <w:rFonts w:hint="eastAsia" w:asciiTheme="minorEastAsia" w:hAnsiTheme="minorEastAsia" w:eastAsiaTheme="minorEastAsia" w:cstheme="minorEastAsia"/>
                        <w:sz w:val="20"/>
                        <w:lang w:val="en-US"/>
                      </w:rPr>
                    </w:pPr>
                    <w:r>
                      <w:rPr>
                        <w:rFonts w:hint="eastAsia" w:asciiTheme="minorEastAsia" w:hAnsiTheme="minorEastAsia" w:eastAsiaTheme="minorEastAsia" w:cstheme="minorEastAsia"/>
                        <w:sz w:val="20"/>
                        <w:lang w:val="en-US" w:eastAsia="zh-CN"/>
                      </w:rPr>
                      <w:t>镀铬</w:t>
                    </w:r>
                  </w:p>
                </w:txbxContent>
              </v:textbox>
            </v:shape>
            <v:shape id="_x0000_s2852" o:spid="_x0000_s2852" o:spt="202" type="#_x0000_t202" style="position:absolute;left:967105;top:2830194;height:292100;width:685800;" fillcolor="#FFFFFF" filled="t" stroked="t" coordsize="21600,21600">
              <v:path/>
              <v:fill on="t" color2="#FFFFFF" focussize="0,0"/>
              <v:stroke color="#000000" joinstyle="miter"/>
              <v:imagedata o:title=""/>
              <o:lock v:ext="edit" aspectratio="f"/>
              <v:textbox>
                <w:txbxContent>
                  <w:p>
                    <w:pPr>
                      <w:snapToGrid w:val="0"/>
                      <w:jc w:val="center"/>
                      <w:rPr>
                        <w:rFonts w:hint="default" w:asciiTheme="minorEastAsia" w:hAnsiTheme="minorEastAsia" w:eastAsiaTheme="minorEastAsia" w:cstheme="minorEastAsia"/>
                        <w:sz w:val="20"/>
                        <w:lang w:val="en-US"/>
                      </w:rPr>
                    </w:pPr>
                    <w:r>
                      <w:rPr>
                        <w:rFonts w:hint="eastAsia" w:asciiTheme="minorEastAsia" w:hAnsiTheme="minorEastAsia" w:eastAsiaTheme="minorEastAsia" w:cstheme="minorEastAsia"/>
                        <w:sz w:val="20"/>
                        <w:lang w:val="en-US" w:eastAsia="zh-CN"/>
                      </w:rPr>
                      <w:t>2道水洗</w:t>
                    </w:r>
                  </w:p>
                </w:txbxContent>
              </v:textbox>
            </v:shape>
            <v:shape id="_x0000_s2853" o:spid="_x0000_s2853" o:spt="202" type="#_x0000_t202" style="position:absolute;left:960755;top:2400299;height:292100;width:685800;" fillcolor="#FFFFFF" filled="t" stroked="t" coordsize="21600,21600">
              <v:path/>
              <v:fill on="t" color2="#FFFFFF" focussize="0,0"/>
              <v:stroke color="#000000" joinstyle="miter"/>
              <v:imagedata o:title=""/>
              <o:lock v:ext="edit" aspectratio="f"/>
              <v:textbox>
                <w:txbxContent>
                  <w:p>
                    <w:pPr>
                      <w:snapToGrid w:val="0"/>
                      <w:jc w:val="center"/>
                      <w:rPr>
                        <w:rFonts w:hint="eastAsia" w:asciiTheme="minorEastAsia" w:hAnsiTheme="minorEastAsia" w:eastAsiaTheme="minorEastAsia" w:cstheme="minorEastAsia"/>
                        <w:sz w:val="20"/>
                        <w:lang w:val="en-US"/>
                      </w:rPr>
                    </w:pPr>
                    <w:r>
                      <w:rPr>
                        <w:rFonts w:hint="eastAsia" w:asciiTheme="minorEastAsia" w:hAnsiTheme="minorEastAsia" w:eastAsiaTheme="minorEastAsia" w:cstheme="minorEastAsia"/>
                        <w:sz w:val="20"/>
                        <w:lang w:val="en-US" w:eastAsia="zh-CN"/>
                      </w:rPr>
                      <w:t>预镀镍</w:t>
                    </w:r>
                  </w:p>
                </w:txbxContent>
              </v:textbox>
            </v:shape>
            <v:shape id="_x0000_s2854" o:spid="_x0000_s2854" o:spt="202" type="#_x0000_t202" style="position:absolute;left:117475;top:295910;height:238760;width:619125;" filled="f" stroked="f" coordsize="21600,21600">
              <v:path/>
              <v:fill on="f" focussize="0,0"/>
              <v:stroke on="f"/>
              <v:imagedata o:title=""/>
              <o:lock v:ext="edit" aspectratio="f"/>
              <v:textbox>
                <w:txbxContent>
                  <w:p>
                    <w:pPr>
                      <w:snapToGrid w:val="0"/>
                      <w:jc w:val="center"/>
                      <w:rPr>
                        <w:rFonts w:hint="default"/>
                        <w:sz w:val="20"/>
                        <w:lang w:val="en-US"/>
                      </w:rPr>
                    </w:pPr>
                    <w:r>
                      <w:rPr>
                        <w:rFonts w:hint="eastAsia"/>
                        <w:sz w:val="20"/>
                        <w:lang w:val="en-US" w:eastAsia="zh-CN"/>
                      </w:rPr>
                      <w:t>除油粉</w:t>
                    </w:r>
                  </w:p>
                </w:txbxContent>
              </v:textbox>
            </v:shape>
            <v:shape id="_x0000_s2855" o:spid="_x0000_s2855" o:spt="202" type="#_x0000_t202" style="position:absolute;left:180975;top:762000;height:239395;width:566420;" filled="f" stroked="f" coordsize="21600,21600">
              <v:path/>
              <v:fill on="f" focussize="0,0"/>
              <v:stroke on="f"/>
              <v:imagedata o:title=""/>
              <o:lock v:ext="edit" aspectratio="f"/>
              <v:textbox>
                <w:txbxContent>
                  <w:p>
                    <w:pPr>
                      <w:snapToGrid w:val="0"/>
                      <w:jc w:val="center"/>
                      <w:rPr>
                        <w:rFonts w:hint="default"/>
                        <w:sz w:val="20"/>
                        <w:lang w:val="en-US"/>
                      </w:rPr>
                    </w:pPr>
                    <w:r>
                      <w:rPr>
                        <w:rFonts w:hint="eastAsia"/>
                        <w:sz w:val="20"/>
                        <w:lang w:val="en-US" w:eastAsia="zh-CN"/>
                      </w:rPr>
                      <w:t>除油粉</w:t>
                    </w:r>
                  </w:p>
                </w:txbxContent>
              </v:textbox>
            </v:shape>
            <v:shape id="_x0000_s2856" o:spid="_x0000_s2856" o:spt="202" type="#_x0000_t202" style="position:absolute;left:1640205;top:274955;height:304800;width:910590;" filled="f" stroked="f" coordsize="21600,21600">
              <v:path/>
              <v:fill on="f" focussize="0,0"/>
              <v:stroke on="f"/>
              <v:imagedata o:title=""/>
              <o:lock v:ext="edit" aspectratio="f"/>
              <v:textbox>
                <w:txbxContent>
                  <w:p>
                    <w:pPr>
                      <w:snapToGrid w:val="0"/>
                      <w:jc w:val="center"/>
                      <w:rPr>
                        <w:rFonts w:hint="eastAsia" w:eastAsia="宋体"/>
                        <w:sz w:val="20"/>
                        <w:lang w:eastAsia="zh-CN"/>
                      </w:rPr>
                    </w:pPr>
                    <w:r>
                      <w:rPr>
                        <w:rFonts w:hint="eastAsia"/>
                        <w:sz w:val="20"/>
                      </w:rPr>
                      <w:t>S1</w:t>
                    </w:r>
                    <w:r>
                      <w:rPr>
                        <w:rFonts w:hint="eastAsia"/>
                        <w:sz w:val="20"/>
                        <w:lang w:val="en-US" w:eastAsia="zh-CN"/>
                      </w:rPr>
                      <w:t>废碱液</w:t>
                    </w:r>
                  </w:p>
                  <w:p>
                    <w:pPr>
                      <w:rPr>
                        <w:rFonts w:hint="eastAsia"/>
                        <w:lang w:val="en-US" w:eastAsia="zh-CN"/>
                      </w:rPr>
                    </w:pPr>
                  </w:p>
                </w:txbxContent>
              </v:textbox>
            </v:shape>
            <v:shape id="_x0000_s2857" o:spid="_x0000_s2857" o:spt="202" type="#_x0000_t202" style="position:absolute;left:1724660;top:760730;height:304800;width:773430;" filled="f" stroked="f" coordsize="21600,21600">
              <v:path/>
              <v:fill on="f" focussize="0,0"/>
              <v:stroke on="f"/>
              <v:imagedata o:title=""/>
              <o:lock v:ext="edit" aspectratio="f"/>
              <v:textbox>
                <w:txbxContent>
                  <w:p>
                    <w:pPr>
                      <w:snapToGrid w:val="0"/>
                      <w:jc w:val="center"/>
                      <w:rPr>
                        <w:rFonts w:hint="eastAsia"/>
                        <w:lang w:val="en-US" w:eastAsia="zh-CN"/>
                      </w:rPr>
                    </w:pPr>
                    <w:r>
                      <w:rPr>
                        <w:rFonts w:hint="eastAsia"/>
                        <w:sz w:val="20"/>
                      </w:rPr>
                      <w:t>S1</w:t>
                    </w:r>
                    <w:r>
                      <w:rPr>
                        <w:rFonts w:hint="eastAsia"/>
                        <w:sz w:val="20"/>
                        <w:lang w:val="en-US" w:eastAsia="zh-CN"/>
                      </w:rPr>
                      <w:t>废碱液</w:t>
                    </w:r>
                  </w:p>
                </w:txbxContent>
              </v:textbox>
            </v:shape>
            <v:shape id="_x0000_s2858" o:spid="_x0000_s2858" o:spt="202" type="#_x0000_t202" style="position:absolute;left:169545;top:2846704;height:304800;width:675005;" filled="f" stroked="f" coordsize="21600,21600">
              <v:path/>
              <v:fill on="f" focussize="0,0"/>
              <v:stroke on="f"/>
              <v:imagedata o:title=""/>
              <o:lock v:ext="edit" aspectratio="f"/>
              <v:textbox>
                <w:txbxContent>
                  <w:p>
                    <w:pPr>
                      <w:snapToGrid w:val="0"/>
                      <w:jc w:val="center"/>
                      <w:rPr>
                        <w:sz w:val="20"/>
                        <w:lang w:val="en-US"/>
                      </w:rPr>
                    </w:pPr>
                    <w:r>
                      <w:rPr>
                        <w:rFonts w:hint="eastAsia"/>
                        <w:sz w:val="20"/>
                        <w:lang w:val="en-US" w:eastAsia="zh-CN"/>
                      </w:rPr>
                      <w:t>纯水</w:t>
                    </w:r>
                  </w:p>
                  <w:p>
                    <w:pPr>
                      <w:rPr>
                        <w:lang w:val="en-US"/>
                      </w:rPr>
                    </w:pPr>
                  </w:p>
                </w:txbxContent>
              </v:textbox>
            </v:shape>
            <v:shape id="_x0000_s2859" o:spid="_x0000_s2859" o:spt="32" type="#_x0000_t32" style="position:absolute;left:762000;top:3407409;height:0;width:241300;" filled="f" stroked="t" coordsize="21600,21600">
              <v:path arrowok="t"/>
              <v:fill on="f" focussize="0,0"/>
              <v:stroke color="#000000" endarrow="block"/>
              <v:imagedata o:title=""/>
              <o:lock v:ext="edit" aspectratio="f"/>
            </v:shape>
            <v:shape id="_x0000_s2860" o:spid="_x0000_s2860" o:spt="32" type="#_x0000_t32" style="position:absolute;left:740410;top:3799204;height:0;width:241300;" filled="f" stroked="t" coordsize="21600,21600">
              <v:path arrowok="t"/>
              <v:fill on="f" focussize="0,0"/>
              <v:stroke color="#000000" endarrow="block"/>
              <v:imagedata o:title=""/>
              <o:lock v:ext="edit" aspectratio="f"/>
            </v:shape>
            <v:shape id="_x0000_s2861" o:spid="_x0000_s2861" o:spt="32" type="#_x0000_t32" style="position:absolute;left:1661160;top:3375659;height:0;width:203200;" filled="f" stroked="t" coordsize="21600,21600">
              <v:path arrowok="t"/>
              <v:fill on="f" focussize="0,0"/>
              <v:stroke color="#000000" dashstyle="longDash" endarrow="block"/>
              <v:imagedata o:title=""/>
              <o:lock v:ext="edit" aspectratio="f"/>
            </v:shape>
            <v:shape id="_x0000_s2862" o:spid="_x0000_s2862" o:spt="32" type="#_x0000_t32" style="position:absolute;left:1671955;top:3820159;height:0;width:203200;" filled="f" stroked="t" coordsize="21600,21600">
              <v:path arrowok="t"/>
              <v:fill on="f" focussize="0,0"/>
              <v:stroke color="#000000" dashstyle="longDash" endarrow="block"/>
              <v:imagedata o:title=""/>
              <o:lock v:ext="edit" aspectratio="f"/>
            </v:shape>
            <v:shape id="_x0000_s2863" o:spid="_x0000_s2863" o:spt="202" type="#_x0000_t202" style="position:absolute;left:126365;top:3651249;height:304800;width:749300;" filled="f" stroked="f" coordsize="21600,21600">
              <v:path/>
              <v:fill on="f" focussize="0,0"/>
              <v:stroke on="f"/>
              <v:imagedata o:title=""/>
              <o:lock v:ext="edit" aspectratio="f"/>
              <v:textbox>
                <w:txbxContent>
                  <w:p>
                    <w:pPr>
                      <w:snapToGrid w:val="0"/>
                      <w:jc w:val="center"/>
                      <w:rPr>
                        <w:sz w:val="20"/>
                        <w:lang w:val="en-US"/>
                      </w:rPr>
                    </w:pPr>
                    <w:r>
                      <w:rPr>
                        <w:rFonts w:hint="eastAsia"/>
                        <w:sz w:val="20"/>
                        <w:lang w:val="en-US" w:eastAsia="zh-CN"/>
                      </w:rPr>
                      <w:t>纯水</w:t>
                    </w:r>
                  </w:p>
                  <w:p>
                    <w:pPr>
                      <w:rPr>
                        <w:lang w:val="en-US"/>
                      </w:rPr>
                    </w:pPr>
                  </w:p>
                </w:txbxContent>
              </v:textbox>
            </v:shape>
            <v:shape id="_x0000_s2864" o:spid="_x0000_s2864" o:spt="202" type="#_x0000_t202" style="position:absolute;left:1756410;top:3661409;height:304800;width:1016000;" filled="f" stroked="f" coordsize="21600,21600">
              <v:path/>
              <v:fill on="f" focussize="0,0"/>
              <v:stroke on="f"/>
              <v:imagedata o:title=""/>
              <o:lock v:ext="edit" aspectratio="f"/>
              <v:textbox>
                <w:txbxContent>
                  <w:p>
                    <w:pPr>
                      <w:snapToGrid w:val="0"/>
                      <w:jc w:val="center"/>
                      <w:rPr>
                        <w:rFonts w:hint="eastAsia" w:eastAsia="宋体"/>
                        <w:sz w:val="20"/>
                        <w:lang w:val="en-US" w:eastAsia="zh-CN"/>
                      </w:rPr>
                    </w:pPr>
                    <w:r>
                      <w:rPr>
                        <w:rFonts w:hint="eastAsia"/>
                        <w:sz w:val="20"/>
                        <w:lang w:val="en-US" w:eastAsia="zh-CN"/>
                      </w:rPr>
                      <w:t>W1综合废水</w:t>
                    </w:r>
                  </w:p>
                </w:txbxContent>
              </v:textbox>
            </v:shape>
            <v:shape id="_x0000_s2865" o:spid="_x0000_s2865" o:spt="32" type="#_x0000_t32" style="position:absolute;left:4592954;top:718185;height:139700;width:0;" filled="f" stroked="t" coordsize="21600,21600">
              <v:path arrowok="t"/>
              <v:fill on="f" focussize="0,0"/>
              <v:stroke color="#000000" endarrow="block"/>
              <v:imagedata o:title=""/>
              <o:lock v:ext="edit" aspectratio="f"/>
            </v:shape>
            <v:shape id="_x0000_s2866" o:spid="_x0000_s2866" o:spt="202" type="#_x0000_t202" style="position:absolute;left:4254499;top:1290320;height:292100;width:685800;" fillcolor="#FFFFFF" filled="t" stroked="t" coordsize="21600,21600">
              <v:path/>
              <v:fill on="t" color2="#FFFFFF" focussize="0,0"/>
              <v:stroke color="#000000" joinstyle="miter"/>
              <v:imagedata o:title=""/>
              <o:lock v:ext="edit" aspectratio="f"/>
              <v:textbox>
                <w:txbxContent>
                  <w:p>
                    <w:pPr>
                      <w:snapToGrid w:val="0"/>
                      <w:jc w:val="center"/>
                      <w:rPr>
                        <w:rFonts w:hint="default" w:asciiTheme="minorEastAsia" w:hAnsiTheme="minorEastAsia" w:eastAsiaTheme="minorEastAsia" w:cstheme="minorEastAsia"/>
                        <w:sz w:val="20"/>
                        <w:lang w:val="en-US"/>
                      </w:rPr>
                    </w:pPr>
                    <w:r>
                      <w:rPr>
                        <w:rFonts w:hint="eastAsia" w:asciiTheme="minorEastAsia" w:hAnsiTheme="minorEastAsia" w:eastAsiaTheme="minorEastAsia" w:cstheme="minorEastAsia"/>
                        <w:sz w:val="20"/>
                        <w:lang w:val="en-US" w:eastAsia="zh-CN"/>
                      </w:rPr>
                      <w:t>2道水洗</w:t>
                    </w:r>
                  </w:p>
                </w:txbxContent>
              </v:textbox>
            </v:shape>
            <v:shape id="_x0000_s2867" o:spid="_x0000_s2867" o:spt="32" type="#_x0000_t32" style="position:absolute;left:730250;top:4275454;height:0;width:241300;" filled="f" stroked="t" coordsize="21600,21600">
              <v:path arrowok="t"/>
              <v:fill on="f" focussize="0,0"/>
              <v:stroke color="#000000" endarrow="block"/>
              <v:imagedata o:title=""/>
              <o:lock v:ext="edit" aspectratio="f"/>
            </v:shape>
            <v:shape id="_x0000_s2868" o:spid="_x0000_s2868" o:spt="32" type="#_x0000_t32" style="position:absolute;left:1671955;top:4264659;height:0;width:203200;" filled="f" stroked="t" coordsize="21600,21600">
              <v:path arrowok="t"/>
              <v:fill on="f" focussize="0,0"/>
              <v:stroke color="#000000" dashstyle="longDash" endarrow="block"/>
              <v:imagedata o:title=""/>
              <o:lock v:ext="edit" aspectratio="f"/>
            </v:shape>
            <v:shape id="_x0000_s2869" o:spid="_x0000_s2869" o:spt="32" type="#_x0000_t32" style="position:absolute;left:4582159;top:3714749;height:139700;width:0;" filled="f" stroked="t" coordsize="21600,21600">
              <v:path arrowok="t"/>
              <v:fill on="f" focussize="0,0"/>
              <v:stroke color="#000000" endarrow="block"/>
              <v:imagedata o:title=""/>
              <o:lock v:ext="edit" aspectratio="f"/>
            </v:shape>
            <v:shape id="_x0000_s2870" o:spid="_x0000_s2870" o:spt="32" type="#_x0000_t32" style="position:absolute;left:1311910;top:4402454;height:139700;width:0;" filled="f" stroked="t" coordsize="21600,21600">
              <v:path arrowok="t"/>
              <v:fill on="f" focussize="0,0"/>
              <v:stroke color="#000000" endarrow="block"/>
              <v:imagedata o:title=""/>
              <o:lock v:ext="edit" aspectratio="f"/>
            </v:shape>
            <v:shape id="_x0000_s2871" o:spid="_x0000_s2871" o:spt="202" type="#_x0000_t202" style="position:absolute;left:3195954;top:846455;height:304800;width:812800;" filled="f" stroked="f" coordsize="21600,21600">
              <v:path/>
              <v:fill on="f" focussize="0,0"/>
              <v:stroke on="f"/>
              <v:imagedata o:title=""/>
              <o:lock v:ext="edit" aspectratio="f"/>
              <v:textbox>
                <w:txbxContent>
                  <w:p>
                    <w:pPr>
                      <w:snapToGrid w:val="0"/>
                      <w:jc w:val="center"/>
                      <w:rPr>
                        <w:sz w:val="20"/>
                        <w:lang w:val="en-US"/>
                      </w:rPr>
                    </w:pPr>
                    <w:r>
                      <w:rPr>
                        <w:rFonts w:hint="eastAsia"/>
                        <w:sz w:val="20"/>
                        <w:lang w:val="en-US" w:eastAsia="zh-CN"/>
                      </w:rPr>
                      <w:t>0.05%硫酸</w:t>
                    </w:r>
                  </w:p>
                </w:txbxContent>
              </v:textbox>
            </v:shape>
            <v:shape id="_x0000_s2872" o:spid="_x0000_s2872" o:spt="32" type="#_x0000_t32" style="position:absolute;left:4011294;top:3143249;height:0;width:241300;" filled="f" stroked="t" coordsize="21600,21600">
              <v:path arrowok="t"/>
              <v:fill on="f" focussize="0,0"/>
              <v:stroke color="#000000" endarrow="block"/>
              <v:imagedata o:title=""/>
              <o:lock v:ext="edit" aspectratio="f"/>
            </v:shape>
            <v:shape id="_x0000_s2873" o:spid="_x0000_s2873" o:spt="32" type="#_x0000_t32" style="position:absolute;left:4015104;top:2713354;height:0;width:241300;" filled="f" stroked="t" coordsize="21600,21600">
              <v:path arrowok="t"/>
              <v:fill on="f" focussize="0,0"/>
              <v:stroke color="#000000" endarrow="block"/>
              <v:imagedata o:title=""/>
              <o:lock v:ext="edit" aspectratio="f"/>
            </v:shape>
            <v:shape id="_x0000_s2874" o:spid="_x0000_s2874" o:spt="32" type="#_x0000_t32" style="position:absolute;left:4019549;top:2315845;height:0;width:241300;" filled="f" stroked="t" coordsize="21600,21600">
              <v:path arrowok="t"/>
              <v:fill on="f" focussize="0,0"/>
              <v:stroke color="#000000" endarrow="block"/>
              <v:imagedata o:title=""/>
              <o:lock v:ext="edit" aspectratio="f"/>
            </v:shape>
            <v:shape id="_x0000_s2875" o:spid="_x0000_s2875" o:spt="32" type="#_x0000_t32" style="position:absolute;left:4921249;top:3121659;height:0;width:203200;" filled="f" stroked="t" coordsize="21600,21600">
              <v:path arrowok="t"/>
              <v:fill on="f" focussize="0,0"/>
              <v:stroke color="#000000" dashstyle="longDash" endarrow="block"/>
              <v:imagedata o:title=""/>
              <o:lock v:ext="edit" aspectratio="f"/>
            </v:shape>
            <v:shape id="_x0000_s2876" o:spid="_x0000_s2876" o:spt="32" type="#_x0000_t32" style="position:absolute;left:4935854;top:2702559;height:0;width:203200;" filled="f" stroked="t" coordsize="21600,21600">
              <v:path arrowok="t"/>
              <v:fill on="f" focussize="0,0"/>
              <v:stroke color="#000000" dashstyle="longDash" endarrow="block"/>
              <v:imagedata o:title=""/>
              <o:lock v:ext="edit" aspectratio="f"/>
            </v:shape>
            <v:shape id="_x0000_s2877" o:spid="_x0000_s2877" o:spt="32" type="#_x0000_t32" style="position:absolute;left:4961254;top:2294255;height:0;width:203200;" filled="f" stroked="t" coordsize="21600,21600">
              <v:path arrowok="t"/>
              <v:fill on="f" focussize="0,0"/>
              <v:stroke color="#000000" dashstyle="longDash" endarrow="block"/>
              <v:imagedata o:title=""/>
              <o:lock v:ext="edit" aspectratio="f"/>
            </v:shape>
            <v:shape id="_x0000_s2878" o:spid="_x0000_s2878" o:spt="202" type="#_x0000_t202" style="position:absolute;left:3428999;top:1492250;height:787400;width:622300;" filled="f" stroked="f" coordsize="21600,21600">
              <v:path/>
              <v:fill on="f" focussize="0,0"/>
              <v:stroke on="f"/>
              <v:imagedata o:title=""/>
              <o:lock v:ext="edit" aspectratio="f"/>
              <v:textbox>
                <w:txbxContent>
                  <w:p>
                    <w:pPr>
                      <w:jc w:val="right"/>
                      <w:rPr>
                        <w:rFonts w:hint="eastAsia"/>
                        <w:sz w:val="20"/>
                        <w:lang w:val="en-US" w:eastAsia="zh-CN"/>
                      </w:rPr>
                    </w:pPr>
                    <w:r>
                      <w:rPr>
                        <w:rFonts w:hint="eastAsia"/>
                        <w:sz w:val="20"/>
                        <w:lang w:val="en-US" w:eastAsia="zh-CN"/>
                      </w:rPr>
                      <w:t>镍</w:t>
                    </w:r>
                  </w:p>
                  <w:p>
                    <w:pPr>
                      <w:jc w:val="right"/>
                      <w:rPr>
                        <w:rFonts w:hint="eastAsia"/>
                        <w:sz w:val="20"/>
                        <w:lang w:val="en-US" w:eastAsia="zh-CN"/>
                      </w:rPr>
                    </w:pPr>
                    <w:r>
                      <w:rPr>
                        <w:rFonts w:hint="eastAsia"/>
                        <w:sz w:val="20"/>
                        <w:lang w:val="en-US" w:eastAsia="zh-CN"/>
                      </w:rPr>
                      <w:t>氯化镍</w:t>
                    </w:r>
                  </w:p>
                  <w:p>
                    <w:pPr>
                      <w:jc w:val="right"/>
                      <w:rPr>
                        <w:rFonts w:hint="eastAsia"/>
                        <w:sz w:val="20"/>
                        <w:lang w:val="en-US" w:eastAsia="zh-CN"/>
                      </w:rPr>
                    </w:pPr>
                    <w:r>
                      <w:rPr>
                        <w:rFonts w:hint="eastAsia"/>
                        <w:sz w:val="20"/>
                        <w:lang w:val="en-US" w:eastAsia="zh-CN"/>
                      </w:rPr>
                      <w:t>硫酸镍</w:t>
                    </w:r>
                  </w:p>
                  <w:p>
                    <w:pPr>
                      <w:jc w:val="right"/>
                      <w:rPr>
                        <w:rFonts w:hint="eastAsia"/>
                        <w:sz w:val="20"/>
                        <w:lang w:val="en-US" w:eastAsia="zh-CN"/>
                      </w:rPr>
                    </w:pPr>
                    <w:r>
                      <w:rPr>
                        <w:rFonts w:hint="eastAsia"/>
                        <w:sz w:val="20"/>
                        <w:lang w:val="en-US" w:eastAsia="zh-CN"/>
                      </w:rPr>
                      <w:t>硼酸</w:t>
                    </w:r>
                  </w:p>
                </w:txbxContent>
              </v:textbox>
            </v:shape>
            <v:shape id="_x0000_s2879" o:spid="_x0000_s2879" o:spt="202" type="#_x0000_t202" style="position:absolute;left:5111749;top:1651000;height:304800;width:698500;" filled="f" stroked="f" coordsize="21600,21600">
              <v:path/>
              <v:fill on="f" focussize="0,0"/>
              <v:stroke on="f"/>
              <v:imagedata o:title=""/>
              <o:lock v:ext="edit" aspectratio="f"/>
              <v:textbox>
                <w:txbxContent>
                  <w:p>
                    <w:pPr>
                      <w:snapToGrid w:val="0"/>
                      <w:jc w:val="left"/>
                      <w:rPr>
                        <w:rFonts w:hint="eastAsia" w:eastAsia="宋体"/>
                        <w:sz w:val="20"/>
                        <w:lang w:val="en-US" w:eastAsia="zh-CN"/>
                      </w:rPr>
                    </w:pPr>
                    <w:r>
                      <w:rPr>
                        <w:rFonts w:hint="eastAsia"/>
                        <w:sz w:val="20"/>
                      </w:rPr>
                      <w:t>S</w:t>
                    </w:r>
                    <w:r>
                      <w:rPr>
                        <w:rFonts w:hint="eastAsia"/>
                        <w:sz w:val="20"/>
                        <w:lang w:val="en-US" w:eastAsia="zh-CN"/>
                      </w:rPr>
                      <w:t>3槽渣</w:t>
                    </w:r>
                  </w:p>
                  <w:p>
                    <w:pPr>
                      <w:rPr>
                        <w:rFonts w:hint="eastAsia"/>
                        <w:lang w:val="en-US" w:eastAsia="zh-CN"/>
                      </w:rPr>
                    </w:pPr>
                  </w:p>
                </w:txbxContent>
              </v:textbox>
            </v:shape>
            <v:shape id="_x0000_s2880" o:spid="_x0000_s2880" o:spt="202" type="#_x0000_t202" style="position:absolute;left:3564889;top:2995294;height:266700;width:495935;" filled="f" stroked="f" coordsize="21600,21600">
              <v:path/>
              <v:fill on="f" focussize="0,0"/>
              <v:stroke on="f"/>
              <v:imagedata o:title=""/>
              <o:lock v:ext="edit" aspectratio="f"/>
              <v:textbox>
                <w:txbxContent>
                  <w:p>
                    <w:pPr>
                      <w:snapToGrid w:val="0"/>
                      <w:jc w:val="center"/>
                      <w:rPr>
                        <w:sz w:val="20"/>
                        <w:lang w:val="en-US"/>
                      </w:rPr>
                    </w:pPr>
                    <w:r>
                      <w:rPr>
                        <w:rFonts w:hint="eastAsia"/>
                        <w:sz w:val="20"/>
                        <w:lang w:val="en-US" w:eastAsia="zh-CN"/>
                      </w:rPr>
                      <w:t>纯水</w:t>
                    </w:r>
                  </w:p>
                  <w:p>
                    <w:pPr>
                      <w:rPr>
                        <w:lang w:val="en-US"/>
                      </w:rPr>
                    </w:pPr>
                  </w:p>
                </w:txbxContent>
              </v:textbox>
            </v:shape>
            <v:shape id="_x0000_s2881" o:spid="_x0000_s2881" o:spt="202" type="#_x0000_t202" style="position:absolute;left:5154294;top:1270000;height:317500;width:914400;" filled="f" stroked="f" coordsize="21600,21600">
              <v:path/>
              <v:fill on="f" focussize="0,0"/>
              <v:stroke on="f"/>
              <v:imagedata o:title=""/>
              <o:lock v:ext="edit" aspectratio="f"/>
              <v:textbox>
                <w:txbxContent>
                  <w:p>
                    <w:pPr>
                      <w:snapToGrid w:val="0"/>
                      <w:jc w:val="center"/>
                      <w:rPr>
                        <w:rFonts w:hint="eastAsia" w:eastAsia="宋体"/>
                        <w:sz w:val="20"/>
                        <w:lang w:val="en-US" w:eastAsia="zh-CN"/>
                      </w:rPr>
                    </w:pPr>
                    <w:r>
                      <w:rPr>
                        <w:rFonts w:hint="eastAsia"/>
                        <w:sz w:val="20"/>
                        <w:lang w:val="en-US" w:eastAsia="zh-CN"/>
                      </w:rPr>
                      <w:t>W1综合废水</w:t>
                    </w:r>
                  </w:p>
                  <w:p>
                    <w:pPr>
                      <w:rPr>
                        <w:lang w:val="en-US"/>
                      </w:rPr>
                    </w:pPr>
                  </w:p>
                </w:txbxContent>
              </v:textbox>
            </v:shape>
            <w10:wrap type="none"/>
            <w10:anchorlock/>
          </v:group>
        </w:pict>
      </w:r>
    </w:p>
    <w:p>
      <w:pPr>
        <w:keepNext w:val="0"/>
        <w:keepLines w:val="0"/>
        <w:pageBreakBefore w:val="0"/>
        <w:widowControl w:val="0"/>
        <w:tabs>
          <w:tab w:val="left" w:pos="1140"/>
        </w:tabs>
        <w:kinsoku/>
        <w:wordWrap/>
        <w:overflowPunct/>
        <w:topLinePunct w:val="0"/>
        <w:autoSpaceDE/>
        <w:autoSpaceDN/>
        <w:bidi w:val="0"/>
        <w:adjustRightInd w:val="0"/>
        <w:snapToGrid w:val="0"/>
        <w:spacing w:line="360" w:lineRule="auto"/>
        <w:jc w:val="center"/>
        <w:textAlignment w:val="auto"/>
        <w:outlineLvl w:val="9"/>
        <w:rPr>
          <w:rFonts w:eastAsia="黑体"/>
          <w:bCs/>
          <w:color w:val="auto"/>
          <w:sz w:val="24"/>
          <w:highlight w:val="none"/>
        </w:rPr>
      </w:pPr>
      <w:r>
        <w:rPr>
          <w:rFonts w:hint="eastAsia" w:eastAsia="黑体"/>
          <w:bCs/>
          <w:color w:val="auto"/>
          <w:sz w:val="24"/>
          <w:highlight w:val="none"/>
        </w:rPr>
        <w:t>图2.</w:t>
      </w:r>
      <w:r>
        <w:rPr>
          <w:rFonts w:hint="eastAsia" w:eastAsia="黑体"/>
          <w:bCs/>
          <w:color w:val="auto"/>
          <w:sz w:val="24"/>
          <w:highlight w:val="none"/>
          <w:lang w:val="en-US" w:eastAsia="zh-CN"/>
        </w:rPr>
        <w:t>4</w:t>
      </w:r>
      <w:r>
        <w:rPr>
          <w:rFonts w:hint="eastAsia" w:eastAsia="黑体"/>
          <w:bCs/>
          <w:color w:val="auto"/>
          <w:sz w:val="24"/>
          <w:highlight w:val="none"/>
        </w:rPr>
        <w:t>-</w:t>
      </w:r>
      <w:r>
        <w:rPr>
          <w:rFonts w:hint="eastAsia" w:eastAsia="黑体"/>
          <w:bCs/>
          <w:color w:val="auto"/>
          <w:sz w:val="24"/>
          <w:highlight w:val="none"/>
          <w:lang w:val="en-US" w:eastAsia="zh-CN"/>
        </w:rPr>
        <w:t>2</w:t>
      </w:r>
      <w:r>
        <w:rPr>
          <w:rFonts w:hint="eastAsia" w:eastAsia="黑体"/>
          <w:bCs/>
          <w:color w:val="auto"/>
          <w:sz w:val="24"/>
          <w:highlight w:val="none"/>
        </w:rPr>
        <w:t xml:space="preserve"> </w:t>
      </w:r>
      <w:r>
        <w:rPr>
          <w:rFonts w:hint="eastAsia" w:eastAsia="黑体"/>
          <w:bCs/>
          <w:color w:val="auto"/>
          <w:sz w:val="24"/>
          <w:highlight w:val="none"/>
        </w:rPr>
        <w:t xml:space="preserve"> </w:t>
      </w:r>
      <w:r>
        <w:rPr>
          <w:rFonts w:eastAsia="黑体"/>
          <w:bCs/>
          <w:color w:val="auto"/>
          <w:sz w:val="24"/>
          <w:highlight w:val="none"/>
        </w:rPr>
        <w:t>镀</w:t>
      </w:r>
      <w:r>
        <w:rPr>
          <w:rFonts w:hint="eastAsia" w:eastAsia="黑体"/>
          <w:bCs/>
          <w:color w:val="auto"/>
          <w:sz w:val="24"/>
          <w:highlight w:val="none"/>
        </w:rPr>
        <w:t>铜、镍、铬</w:t>
      </w:r>
      <w:r>
        <w:rPr>
          <w:rFonts w:eastAsia="黑体"/>
          <w:bCs/>
          <w:color w:val="auto"/>
          <w:sz w:val="24"/>
          <w:highlight w:val="none"/>
        </w:rPr>
        <w:t>生产工艺流程及产污环节图</w:t>
      </w:r>
    </w:p>
    <w:p>
      <w:pPr>
        <w:pStyle w:val="131"/>
        <w:keepNext w:val="0"/>
        <w:keepLines w:val="0"/>
        <w:pageBreakBefore w:val="0"/>
        <w:widowControl w:val="0"/>
        <w:kinsoku/>
        <w:wordWrap/>
        <w:overflowPunct/>
        <w:topLinePunct w:val="0"/>
        <w:autoSpaceDE/>
        <w:autoSpaceDN/>
        <w:bidi w:val="0"/>
        <w:adjustRightInd w:val="0"/>
        <w:snapToGrid w:val="0"/>
        <w:spacing w:line="360" w:lineRule="auto"/>
        <w:ind w:firstLine="480"/>
        <w:jc w:val="both"/>
        <w:textAlignment w:val="auto"/>
        <w:outlineLvl w:val="9"/>
        <w:rPr>
          <w:rFonts w:ascii="Times New Roman"/>
          <w:snapToGrid w:val="0"/>
          <w:color w:val="auto"/>
          <w:kern w:val="0"/>
          <w:sz w:val="24"/>
          <w:szCs w:val="24"/>
          <w:highlight w:val="none"/>
        </w:rPr>
      </w:pPr>
      <w:r>
        <w:rPr>
          <w:rFonts w:hint="eastAsia" w:ascii="Times New Roman"/>
          <w:snapToGrid w:val="0"/>
          <w:color w:val="auto"/>
          <w:kern w:val="0"/>
          <w:sz w:val="24"/>
          <w:szCs w:val="24"/>
          <w:highlight w:val="none"/>
        </w:rPr>
        <w:t>镀</w:t>
      </w:r>
      <w:r>
        <w:rPr>
          <w:rFonts w:hint="eastAsia"/>
          <w:color w:val="auto"/>
          <w:sz w:val="24"/>
          <w:highlight w:val="none"/>
        </w:rPr>
        <w:t>铜</w:t>
      </w:r>
      <w:r>
        <w:rPr>
          <w:rFonts w:hint="eastAsia"/>
          <w:color w:val="auto"/>
          <w:sz w:val="24"/>
          <w:highlight w:val="none"/>
          <w:lang w:eastAsia="zh-CN"/>
        </w:rPr>
        <w:t>、</w:t>
      </w:r>
      <w:r>
        <w:rPr>
          <w:rFonts w:hint="eastAsia"/>
          <w:color w:val="auto"/>
          <w:sz w:val="24"/>
          <w:highlight w:val="none"/>
        </w:rPr>
        <w:t>镍</w:t>
      </w:r>
      <w:r>
        <w:rPr>
          <w:rFonts w:hint="eastAsia"/>
          <w:color w:val="auto"/>
          <w:sz w:val="24"/>
          <w:highlight w:val="none"/>
          <w:lang w:val="en-US" w:eastAsia="zh-CN"/>
        </w:rPr>
        <w:t>、铬</w:t>
      </w:r>
      <w:r>
        <w:rPr>
          <w:rFonts w:ascii="Times New Roman"/>
          <w:snapToGrid w:val="0"/>
          <w:color w:val="auto"/>
          <w:kern w:val="0"/>
          <w:sz w:val="24"/>
          <w:szCs w:val="24"/>
          <w:highlight w:val="none"/>
        </w:rPr>
        <w:t>工艺过程包括前处理、电镀、后处理等生产工序，详见表</w:t>
      </w:r>
      <w:r>
        <w:rPr>
          <w:rFonts w:hint="eastAsia" w:ascii="Times New Roman"/>
          <w:snapToGrid w:val="0"/>
          <w:color w:val="auto"/>
          <w:kern w:val="0"/>
          <w:sz w:val="24"/>
          <w:szCs w:val="24"/>
          <w:highlight w:val="none"/>
          <w:lang w:val="en-US" w:eastAsia="zh-CN"/>
        </w:rPr>
        <w:t>2.4</w:t>
      </w:r>
      <w:r>
        <w:rPr>
          <w:rFonts w:ascii="Times New Roman"/>
          <w:snapToGrid w:val="0"/>
          <w:color w:val="auto"/>
          <w:kern w:val="0"/>
          <w:sz w:val="24"/>
          <w:szCs w:val="24"/>
          <w:highlight w:val="none"/>
        </w:rPr>
        <w:t>-</w:t>
      </w:r>
      <w:r>
        <w:rPr>
          <w:rFonts w:hint="eastAsia" w:ascii="Times New Roman"/>
          <w:snapToGrid w:val="0"/>
          <w:color w:val="auto"/>
          <w:kern w:val="0"/>
          <w:sz w:val="24"/>
          <w:szCs w:val="24"/>
          <w:highlight w:val="none"/>
          <w:lang w:val="en-US" w:eastAsia="zh-CN"/>
        </w:rPr>
        <w:t>2</w:t>
      </w:r>
      <w:r>
        <w:rPr>
          <w:rFonts w:ascii="Times New Roman"/>
          <w:snapToGrid w:val="0"/>
          <w:color w:val="auto"/>
          <w:kern w:val="0"/>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eastAsia="黑体"/>
          <w:color w:val="auto"/>
          <w:sz w:val="24"/>
          <w:highlight w:val="none"/>
        </w:rPr>
      </w:pPr>
      <w:r>
        <w:rPr>
          <w:rFonts w:eastAsia="黑体"/>
          <w:color w:val="auto"/>
          <w:sz w:val="24"/>
          <w:highlight w:val="none"/>
        </w:rPr>
        <w:t>表</w:t>
      </w:r>
      <w:r>
        <w:rPr>
          <w:rFonts w:hint="eastAsia" w:eastAsia="黑体"/>
          <w:color w:val="auto"/>
          <w:sz w:val="24"/>
          <w:highlight w:val="none"/>
          <w:lang w:val="en-US" w:eastAsia="zh-CN"/>
        </w:rPr>
        <w:t>2.4</w:t>
      </w:r>
      <w:r>
        <w:rPr>
          <w:rFonts w:eastAsia="黑体"/>
          <w:color w:val="auto"/>
          <w:sz w:val="24"/>
          <w:highlight w:val="none"/>
        </w:rPr>
        <w:t>-</w:t>
      </w:r>
      <w:r>
        <w:rPr>
          <w:rFonts w:hint="eastAsia" w:eastAsia="黑体"/>
          <w:color w:val="auto"/>
          <w:sz w:val="24"/>
          <w:highlight w:val="none"/>
          <w:lang w:val="en-US" w:eastAsia="zh-CN"/>
        </w:rPr>
        <w:t>2</w:t>
      </w:r>
      <w:r>
        <w:rPr>
          <w:rFonts w:eastAsia="黑体"/>
          <w:color w:val="auto"/>
          <w:sz w:val="24"/>
          <w:highlight w:val="none"/>
        </w:rPr>
        <w:t xml:space="preserve">  </w:t>
      </w:r>
      <w:r>
        <w:rPr>
          <w:rFonts w:hint="eastAsia" w:eastAsia="黑体"/>
          <w:color w:val="auto"/>
          <w:sz w:val="24"/>
          <w:highlight w:val="none"/>
        </w:rPr>
        <w:t>镀铜、镍、铬</w:t>
      </w:r>
      <w:r>
        <w:rPr>
          <w:rFonts w:eastAsia="黑体"/>
          <w:color w:val="auto"/>
          <w:sz w:val="24"/>
          <w:highlight w:val="none"/>
        </w:rPr>
        <w:t>工序工艺说明列表</w:t>
      </w:r>
    </w:p>
    <w:tbl>
      <w:tblPr>
        <w:tblStyle w:val="36"/>
        <w:tblW w:w="9286" w:type="dxa"/>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126"/>
        <w:gridCol w:w="5306"/>
        <w:gridCol w:w="2854"/>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1126" w:type="dxa"/>
            <w:tcBorders>
              <w:top w:val="single" w:color="auto" w:sz="12" w:space="0"/>
            </w:tcBorders>
            <w:noWrap w:val="0"/>
            <w:vAlign w:val="center"/>
          </w:tcPr>
          <w:p>
            <w:pPr>
              <w:spacing w:line="300" w:lineRule="exact"/>
              <w:jc w:val="center"/>
              <w:rPr>
                <w:rFonts w:ascii="宋体" w:hAnsi="宋体"/>
                <w:b/>
                <w:color w:val="auto"/>
                <w:szCs w:val="21"/>
                <w:highlight w:val="none"/>
              </w:rPr>
            </w:pPr>
            <w:r>
              <w:rPr>
                <w:rFonts w:ascii="宋体" w:hAnsi="宋体"/>
                <w:b/>
                <w:color w:val="auto"/>
                <w:szCs w:val="21"/>
                <w:highlight w:val="none"/>
              </w:rPr>
              <w:t>工艺名称</w:t>
            </w:r>
          </w:p>
        </w:tc>
        <w:tc>
          <w:tcPr>
            <w:tcW w:w="5306" w:type="dxa"/>
            <w:tcBorders>
              <w:top w:val="single" w:color="auto" w:sz="12" w:space="0"/>
            </w:tcBorders>
            <w:noWrap w:val="0"/>
            <w:vAlign w:val="center"/>
          </w:tcPr>
          <w:p>
            <w:pPr>
              <w:spacing w:line="300" w:lineRule="exact"/>
              <w:ind w:left="-357" w:leftChars="-170" w:firstLine="379" w:firstLineChars="180"/>
              <w:jc w:val="center"/>
              <w:rPr>
                <w:rFonts w:ascii="宋体" w:hAnsi="宋体"/>
                <w:b/>
                <w:color w:val="auto"/>
                <w:szCs w:val="21"/>
                <w:highlight w:val="none"/>
              </w:rPr>
            </w:pPr>
            <w:r>
              <w:rPr>
                <w:rFonts w:ascii="宋体" w:hAnsi="宋体"/>
                <w:b/>
                <w:color w:val="auto"/>
                <w:szCs w:val="21"/>
                <w:highlight w:val="none"/>
              </w:rPr>
              <w:t>主要功能及工艺介绍</w:t>
            </w:r>
          </w:p>
        </w:tc>
        <w:tc>
          <w:tcPr>
            <w:tcW w:w="2854" w:type="dxa"/>
            <w:tcBorders>
              <w:top w:val="single" w:color="auto" w:sz="12" w:space="0"/>
            </w:tcBorders>
            <w:noWrap w:val="0"/>
            <w:vAlign w:val="center"/>
          </w:tcPr>
          <w:p>
            <w:pPr>
              <w:spacing w:line="300" w:lineRule="exact"/>
              <w:ind w:left="-357" w:leftChars="-170" w:firstLine="379" w:firstLineChars="180"/>
              <w:jc w:val="center"/>
              <w:rPr>
                <w:rFonts w:ascii="宋体" w:hAnsi="宋体"/>
                <w:b/>
                <w:color w:val="auto"/>
                <w:szCs w:val="21"/>
                <w:highlight w:val="none"/>
              </w:rPr>
            </w:pPr>
            <w:r>
              <w:rPr>
                <w:rFonts w:ascii="宋体" w:hAnsi="宋体"/>
                <w:b/>
                <w:color w:val="auto"/>
                <w:szCs w:val="21"/>
                <w:highlight w:val="none"/>
              </w:rPr>
              <w:t>主要组分及控制条件</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9286" w:type="dxa"/>
            <w:gridSpan w:val="3"/>
            <w:noWrap w:val="0"/>
            <w:vAlign w:val="center"/>
          </w:tcPr>
          <w:p>
            <w:pPr>
              <w:spacing w:line="300" w:lineRule="exact"/>
              <w:rPr>
                <w:rFonts w:ascii="宋体" w:hAnsi="宋体"/>
                <w:b/>
                <w:color w:val="auto"/>
                <w:szCs w:val="21"/>
                <w:highlight w:val="none"/>
              </w:rPr>
            </w:pPr>
            <w:r>
              <w:rPr>
                <w:rFonts w:ascii="宋体" w:hAnsi="宋体"/>
                <w:b/>
                <w:color w:val="auto"/>
                <w:szCs w:val="21"/>
                <w:highlight w:val="none"/>
              </w:rPr>
              <w:t>前处理工序</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1126" w:type="dxa"/>
            <w:noWrap w:val="0"/>
            <w:vAlign w:val="center"/>
          </w:tcPr>
          <w:p>
            <w:pPr>
              <w:adjustRightInd w:val="0"/>
              <w:snapToGrid w:val="0"/>
              <w:jc w:val="center"/>
              <w:rPr>
                <w:color w:val="auto"/>
                <w:kern w:val="0"/>
                <w:szCs w:val="21"/>
                <w:highlight w:val="none"/>
              </w:rPr>
            </w:pPr>
            <w:r>
              <w:rPr>
                <w:rFonts w:hint="eastAsia"/>
                <w:b w:val="0"/>
                <w:bCs w:val="0"/>
                <w:color w:val="auto"/>
                <w:kern w:val="0"/>
                <w:szCs w:val="21"/>
                <w:highlight w:val="none"/>
              </w:rPr>
              <w:t>电解</w:t>
            </w:r>
            <w:r>
              <w:rPr>
                <w:rFonts w:hint="eastAsia"/>
                <w:b w:val="0"/>
                <w:bCs w:val="0"/>
                <w:color w:val="auto"/>
                <w:kern w:val="0"/>
                <w:szCs w:val="21"/>
                <w:highlight w:val="none"/>
                <w:lang w:val="en-US" w:eastAsia="zh-CN"/>
              </w:rPr>
              <w:t>除</w:t>
            </w:r>
            <w:r>
              <w:rPr>
                <w:b w:val="0"/>
                <w:bCs w:val="0"/>
                <w:color w:val="auto"/>
                <w:kern w:val="0"/>
                <w:szCs w:val="21"/>
                <w:highlight w:val="none"/>
              </w:rPr>
              <w:t>油</w:t>
            </w:r>
          </w:p>
        </w:tc>
        <w:tc>
          <w:tcPr>
            <w:tcW w:w="5306" w:type="dxa"/>
            <w:noWrap w:val="0"/>
            <w:vAlign w:val="center"/>
          </w:tcPr>
          <w:p>
            <w:pPr>
              <w:adjustRightInd w:val="0"/>
              <w:snapToGrid w:val="0"/>
              <w:ind w:right="4" w:rightChars="2"/>
              <w:jc w:val="left"/>
              <w:rPr>
                <w:color w:val="auto"/>
                <w:szCs w:val="21"/>
                <w:highlight w:val="none"/>
              </w:rPr>
            </w:pPr>
            <w:r>
              <w:rPr>
                <w:rFonts w:hint="eastAsia"/>
                <w:color w:val="auto"/>
                <w:szCs w:val="21"/>
                <w:highlight w:val="none"/>
                <w:lang w:val="en-US" w:eastAsia="zh-CN"/>
              </w:rPr>
              <w:t>在含碱的溶液中，以工件作阳极或阴极在电流作用下清除工件表面油污的过程，叫做电解除油</w:t>
            </w:r>
            <w:r>
              <w:rPr>
                <w:rFonts w:hint="eastAsia"/>
                <w:color w:val="auto"/>
                <w:szCs w:val="21"/>
                <w:highlight w:val="none"/>
              </w:rPr>
              <w:t>。</w:t>
            </w:r>
          </w:p>
        </w:tc>
        <w:tc>
          <w:tcPr>
            <w:tcW w:w="2854" w:type="dxa"/>
            <w:noWrap w:val="0"/>
            <w:vAlign w:val="center"/>
          </w:tcPr>
          <w:p>
            <w:pPr>
              <w:adjustRightInd w:val="0"/>
              <w:snapToGrid w:val="0"/>
              <w:jc w:val="center"/>
              <w:rPr>
                <w:rFonts w:hint="eastAsia"/>
                <w:color w:val="auto"/>
                <w:kern w:val="0"/>
                <w:szCs w:val="21"/>
                <w:highlight w:val="none"/>
              </w:rPr>
            </w:pPr>
            <w:r>
              <w:rPr>
                <w:rFonts w:hint="eastAsia"/>
                <w:color w:val="auto"/>
                <w:kern w:val="0"/>
                <w:szCs w:val="21"/>
                <w:highlight w:val="none"/>
                <w:lang w:val="en-US" w:eastAsia="zh-CN"/>
              </w:rPr>
              <w:t>除油粉</w:t>
            </w:r>
            <w:r>
              <w:rPr>
                <w:color w:val="auto"/>
                <w:kern w:val="0"/>
                <w:szCs w:val="21"/>
                <w:highlight w:val="none"/>
              </w:rPr>
              <w:t>，室温，10min</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1126" w:type="dxa"/>
            <w:noWrap w:val="0"/>
            <w:vAlign w:val="center"/>
          </w:tcPr>
          <w:p>
            <w:pPr>
              <w:adjustRightInd w:val="0"/>
              <w:snapToGrid w:val="0"/>
              <w:jc w:val="center"/>
              <w:rPr>
                <w:rFonts w:hint="default" w:eastAsia="宋体"/>
                <w:b w:val="0"/>
                <w:bCs w:val="0"/>
                <w:color w:val="auto"/>
                <w:kern w:val="0"/>
                <w:szCs w:val="21"/>
                <w:highlight w:val="none"/>
                <w:lang w:val="en-US" w:eastAsia="zh-CN"/>
              </w:rPr>
            </w:pPr>
            <w:r>
              <w:rPr>
                <w:rFonts w:hint="eastAsia"/>
                <w:b w:val="0"/>
                <w:bCs w:val="0"/>
                <w:color w:val="auto"/>
                <w:kern w:val="0"/>
                <w:szCs w:val="21"/>
                <w:highlight w:val="none"/>
                <w:lang w:val="en-US" w:eastAsia="zh-CN"/>
              </w:rPr>
              <w:t>超声波除油</w:t>
            </w:r>
          </w:p>
        </w:tc>
        <w:tc>
          <w:tcPr>
            <w:tcW w:w="5306" w:type="dxa"/>
            <w:noWrap w:val="0"/>
            <w:vAlign w:val="center"/>
          </w:tcPr>
          <w:p>
            <w:pPr>
              <w:adjustRightInd w:val="0"/>
              <w:snapToGrid w:val="0"/>
              <w:ind w:right="4" w:rightChars="2"/>
              <w:jc w:val="left"/>
              <w:rPr>
                <w:rFonts w:hint="default" w:eastAsia="宋体"/>
                <w:color w:val="auto"/>
                <w:szCs w:val="21"/>
                <w:highlight w:val="none"/>
                <w:lang w:val="en-US" w:eastAsia="zh-CN"/>
              </w:rPr>
            </w:pPr>
            <w:r>
              <w:rPr>
                <w:rFonts w:hint="eastAsia"/>
                <w:color w:val="auto"/>
                <w:szCs w:val="21"/>
                <w:highlight w:val="none"/>
                <w:lang w:val="en-US" w:eastAsia="zh-CN"/>
              </w:rPr>
              <w:t>在热脱脂的基础上增加了超声波的物理振动，在上一工序电解除油中已经松动的油污、挂灰等在超声波的作用下更有效的脱离工件表面。</w:t>
            </w:r>
          </w:p>
        </w:tc>
        <w:tc>
          <w:tcPr>
            <w:tcW w:w="2854" w:type="dxa"/>
            <w:noWrap w:val="0"/>
            <w:vAlign w:val="center"/>
          </w:tcPr>
          <w:p>
            <w:pPr>
              <w:adjustRightInd w:val="0"/>
              <w:snapToGrid w:val="0"/>
              <w:jc w:val="center"/>
              <w:rPr>
                <w:rFonts w:hint="eastAsia"/>
                <w:color w:val="auto"/>
                <w:kern w:val="0"/>
                <w:szCs w:val="21"/>
                <w:highlight w:val="none"/>
              </w:rPr>
            </w:pPr>
            <w:r>
              <w:rPr>
                <w:rFonts w:hint="eastAsia"/>
                <w:color w:val="auto"/>
                <w:kern w:val="0"/>
                <w:szCs w:val="21"/>
                <w:highlight w:val="none"/>
                <w:lang w:val="en-US" w:eastAsia="zh-CN"/>
              </w:rPr>
              <w:t>除油粉</w:t>
            </w:r>
            <w:r>
              <w:rPr>
                <w:color w:val="auto"/>
                <w:kern w:val="0"/>
                <w:szCs w:val="21"/>
                <w:highlight w:val="none"/>
              </w:rPr>
              <w:t>，</w:t>
            </w:r>
            <w:r>
              <w:rPr>
                <w:rFonts w:hint="eastAsia"/>
                <w:color w:val="auto"/>
                <w:kern w:val="0"/>
                <w:szCs w:val="21"/>
                <w:highlight w:val="none"/>
                <w:lang w:val="en-US" w:eastAsia="zh-CN"/>
              </w:rPr>
              <w:t>40-60</w:t>
            </w:r>
            <w:r>
              <w:rPr>
                <w:rFonts w:hint="eastAsia" w:ascii="宋体" w:hAnsi="宋体" w:cs="宋体"/>
                <w:color w:val="auto"/>
                <w:kern w:val="0"/>
                <w:szCs w:val="21"/>
                <w:highlight w:val="none"/>
              </w:rPr>
              <w:t>℃</w:t>
            </w:r>
            <w:r>
              <w:rPr>
                <w:color w:val="auto"/>
                <w:kern w:val="0"/>
                <w:szCs w:val="21"/>
                <w:highlight w:val="none"/>
              </w:rPr>
              <w:t>，</w:t>
            </w:r>
            <w:r>
              <w:rPr>
                <w:rFonts w:hint="eastAsia"/>
                <w:color w:val="auto"/>
                <w:kern w:val="0"/>
                <w:szCs w:val="21"/>
                <w:highlight w:val="none"/>
                <w:lang w:val="en-US" w:eastAsia="zh-CN"/>
              </w:rPr>
              <w:t>1-5</w:t>
            </w:r>
            <w:r>
              <w:rPr>
                <w:color w:val="auto"/>
                <w:kern w:val="0"/>
                <w:szCs w:val="21"/>
                <w:highlight w:val="none"/>
              </w:rPr>
              <w:t>min</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1126" w:type="dxa"/>
            <w:noWrap w:val="0"/>
            <w:vAlign w:val="center"/>
          </w:tcPr>
          <w:p>
            <w:pPr>
              <w:adjustRightInd w:val="0"/>
              <w:snapToGrid w:val="0"/>
              <w:spacing w:line="300" w:lineRule="exact"/>
              <w:jc w:val="center"/>
              <w:rPr>
                <w:color w:val="auto"/>
                <w:kern w:val="0"/>
                <w:szCs w:val="21"/>
                <w:highlight w:val="none"/>
              </w:rPr>
            </w:pPr>
            <w:r>
              <w:rPr>
                <w:color w:val="auto"/>
                <w:kern w:val="0"/>
                <w:szCs w:val="21"/>
                <w:highlight w:val="none"/>
              </w:rPr>
              <w:t>酸洗</w:t>
            </w:r>
          </w:p>
        </w:tc>
        <w:tc>
          <w:tcPr>
            <w:tcW w:w="5306" w:type="dxa"/>
            <w:noWrap w:val="0"/>
            <w:vAlign w:val="center"/>
          </w:tcPr>
          <w:p>
            <w:pPr>
              <w:adjustRightInd w:val="0"/>
              <w:snapToGrid w:val="0"/>
              <w:spacing w:line="300" w:lineRule="exact"/>
              <w:ind w:right="4" w:rightChars="2"/>
              <w:jc w:val="left"/>
              <w:rPr>
                <w:b/>
                <w:color w:val="auto"/>
                <w:kern w:val="0"/>
                <w:szCs w:val="21"/>
                <w:highlight w:val="none"/>
              </w:rPr>
            </w:pPr>
            <w:r>
              <w:rPr>
                <w:color w:val="auto"/>
                <w:szCs w:val="21"/>
                <w:highlight w:val="none"/>
              </w:rPr>
              <w:t>酸洗是利用无机酸的浸蚀和溶解作用，除去工件表面的氧化层，分为化学酸洗和电化学酸洗两类。一般根据金属制件的材料成份、性质、表面状况、锈蚀程度、电镀要求等，选用不同的酸洗方法和酸洗溶液，常用的酸洗剂有盐酸、硫酸等。</w:t>
            </w:r>
            <w:r>
              <w:rPr>
                <w:rFonts w:hint="eastAsia"/>
                <w:color w:val="auto"/>
                <w:szCs w:val="21"/>
                <w:highlight w:val="none"/>
              </w:rPr>
              <w:t>本项目酸洗采用盐酸。</w:t>
            </w:r>
          </w:p>
        </w:tc>
        <w:tc>
          <w:tcPr>
            <w:tcW w:w="2854" w:type="dxa"/>
            <w:noWrap w:val="0"/>
            <w:vAlign w:val="center"/>
          </w:tcPr>
          <w:p>
            <w:pPr>
              <w:adjustRightInd w:val="0"/>
              <w:snapToGrid w:val="0"/>
              <w:spacing w:line="300" w:lineRule="exact"/>
              <w:jc w:val="center"/>
              <w:rPr>
                <w:color w:val="auto"/>
                <w:kern w:val="0"/>
                <w:szCs w:val="21"/>
                <w:highlight w:val="none"/>
              </w:rPr>
            </w:pPr>
            <w:r>
              <w:rPr>
                <w:rFonts w:hint="eastAsia"/>
                <w:color w:val="auto"/>
                <w:kern w:val="0"/>
                <w:szCs w:val="21"/>
                <w:highlight w:val="none"/>
              </w:rPr>
              <w:t>18-22</w:t>
            </w:r>
            <w:r>
              <w:rPr>
                <w:color w:val="auto"/>
                <w:kern w:val="0"/>
                <w:szCs w:val="21"/>
                <w:highlight w:val="none"/>
              </w:rPr>
              <w:t>%</w:t>
            </w:r>
            <w:r>
              <w:rPr>
                <w:rFonts w:hint="eastAsia"/>
                <w:color w:val="auto"/>
                <w:kern w:val="0"/>
                <w:szCs w:val="21"/>
                <w:highlight w:val="none"/>
              </w:rPr>
              <w:t>盐酸</w:t>
            </w:r>
            <w:r>
              <w:rPr>
                <w:color w:val="auto"/>
                <w:kern w:val="0"/>
                <w:szCs w:val="21"/>
                <w:highlight w:val="none"/>
              </w:rPr>
              <w:t>，</w:t>
            </w:r>
            <w:r>
              <w:rPr>
                <w:rFonts w:hint="eastAsia"/>
                <w:color w:val="auto"/>
                <w:kern w:val="0"/>
                <w:szCs w:val="21"/>
                <w:highlight w:val="none"/>
                <w:lang w:val="en-US" w:eastAsia="zh-CN"/>
              </w:rPr>
              <w:t>常温</w:t>
            </w:r>
            <w:r>
              <w:rPr>
                <w:color w:val="auto"/>
                <w:kern w:val="0"/>
                <w:szCs w:val="21"/>
                <w:highlight w:val="none"/>
              </w:rPr>
              <w:t>，0.5-5min</w:t>
            </w:r>
            <w:r>
              <w:rPr>
                <w:rFonts w:hint="eastAsia"/>
                <w:color w:val="auto"/>
                <w:kern w:val="0"/>
                <w:szCs w:val="21"/>
                <w:highlight w:val="none"/>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1126" w:type="dxa"/>
            <w:noWrap w:val="0"/>
            <w:vAlign w:val="center"/>
          </w:tcPr>
          <w:p>
            <w:pPr>
              <w:spacing w:line="300" w:lineRule="exact"/>
              <w:ind w:firstLine="0" w:firstLineChars="0"/>
              <w:jc w:val="center"/>
              <w:rPr>
                <w:color w:val="auto"/>
                <w:kern w:val="0"/>
                <w:szCs w:val="21"/>
                <w:highlight w:val="none"/>
              </w:rPr>
            </w:pPr>
            <w:r>
              <w:rPr>
                <w:color w:val="auto"/>
                <w:kern w:val="0"/>
                <w:sz w:val="21"/>
                <w:szCs w:val="21"/>
                <w:highlight w:val="none"/>
              </w:rPr>
              <w:t>活化</w:t>
            </w:r>
          </w:p>
        </w:tc>
        <w:tc>
          <w:tcPr>
            <w:tcW w:w="5306" w:type="dxa"/>
            <w:noWrap w:val="0"/>
            <w:vAlign w:val="center"/>
          </w:tcPr>
          <w:p>
            <w:pPr>
              <w:spacing w:line="300" w:lineRule="exact"/>
              <w:ind w:firstLine="0" w:firstLineChars="0"/>
              <w:rPr>
                <w:color w:val="auto"/>
                <w:szCs w:val="21"/>
                <w:highlight w:val="none"/>
              </w:rPr>
            </w:pPr>
            <w:r>
              <w:rPr>
                <w:color w:val="auto"/>
                <w:kern w:val="0"/>
                <w:sz w:val="21"/>
                <w:szCs w:val="21"/>
                <w:highlight w:val="none"/>
              </w:rPr>
              <w:t>去除产品表面锈迹及氧化膜，使工件露出新鲜表面，以便有好的结合力。采用盐酸或硫酸。</w:t>
            </w:r>
          </w:p>
        </w:tc>
        <w:tc>
          <w:tcPr>
            <w:tcW w:w="2854" w:type="dxa"/>
            <w:noWrap w:val="0"/>
            <w:vAlign w:val="center"/>
          </w:tcPr>
          <w:p>
            <w:pPr>
              <w:spacing w:line="300" w:lineRule="exact"/>
              <w:ind w:firstLine="0" w:firstLineChars="0"/>
              <w:rPr>
                <w:rFonts w:hint="eastAsia"/>
                <w:color w:val="auto"/>
                <w:kern w:val="0"/>
                <w:szCs w:val="21"/>
                <w:highlight w:val="none"/>
              </w:rPr>
            </w:pPr>
            <w:r>
              <w:rPr>
                <w:color w:val="auto"/>
                <w:kern w:val="0"/>
                <w:sz w:val="21"/>
                <w:szCs w:val="21"/>
                <w:highlight w:val="none"/>
              </w:rPr>
              <w:t>硫酸</w:t>
            </w:r>
            <w:r>
              <w:rPr>
                <w:rFonts w:hint="eastAsia"/>
                <w:color w:val="auto"/>
                <w:kern w:val="0"/>
                <w:sz w:val="21"/>
                <w:szCs w:val="21"/>
                <w:highlight w:val="none"/>
                <w:lang w:val="en-US" w:eastAsia="zh-CN"/>
              </w:rPr>
              <w:t>0.05</w:t>
            </w:r>
            <w:r>
              <w:rPr>
                <w:color w:val="auto"/>
                <w:kern w:val="0"/>
                <w:sz w:val="21"/>
                <w:szCs w:val="21"/>
                <w:highlight w:val="none"/>
              </w:rPr>
              <w:t>%，常温，时间10-30s</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9286" w:type="dxa"/>
            <w:gridSpan w:val="3"/>
            <w:tcBorders>
              <w:left w:val="nil"/>
            </w:tcBorders>
            <w:noWrap w:val="0"/>
            <w:vAlign w:val="center"/>
          </w:tcPr>
          <w:p>
            <w:pPr>
              <w:spacing w:line="300" w:lineRule="exact"/>
              <w:rPr>
                <w:rFonts w:eastAsia="黑体"/>
                <w:color w:val="auto"/>
                <w:kern w:val="0"/>
                <w:szCs w:val="21"/>
                <w:highlight w:val="none"/>
              </w:rPr>
            </w:pPr>
            <w:r>
              <w:rPr>
                <w:rFonts w:ascii="宋体" w:hAnsi="宋体"/>
                <w:b/>
                <w:color w:val="auto"/>
                <w:szCs w:val="21"/>
                <w:highlight w:val="none"/>
              </w:rPr>
              <w:t>电镀工序</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1126" w:type="dxa"/>
            <w:noWrap w:val="0"/>
            <w:vAlign w:val="center"/>
          </w:tcPr>
          <w:p>
            <w:pPr>
              <w:adjustRightInd w:val="0"/>
              <w:snapToGrid w:val="0"/>
              <w:spacing w:line="300" w:lineRule="exact"/>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预镀镍</w:t>
            </w:r>
          </w:p>
        </w:tc>
        <w:tc>
          <w:tcPr>
            <w:tcW w:w="5306" w:type="dxa"/>
            <w:noWrap w:val="0"/>
            <w:vAlign w:val="center"/>
          </w:tcPr>
          <w:p>
            <w:pPr>
              <w:adjustRightInd w:val="0"/>
              <w:snapToGrid w:val="0"/>
              <w:spacing w:line="300" w:lineRule="exact"/>
              <w:ind w:right="4" w:rightChars="2"/>
              <w:jc w:val="left"/>
              <w:rPr>
                <w:rFonts w:hint="eastAsia" w:eastAsia="宋体"/>
                <w:color w:val="auto"/>
                <w:kern w:val="0"/>
                <w:szCs w:val="21"/>
                <w:highlight w:val="none"/>
                <w:lang w:eastAsia="zh-CN"/>
              </w:rPr>
            </w:pPr>
            <w:r>
              <w:rPr>
                <w:rFonts w:hint="eastAsia"/>
                <w:color w:val="auto"/>
                <w:kern w:val="0"/>
                <w:szCs w:val="21"/>
                <w:highlight w:val="none"/>
              </w:rPr>
              <w:t>本</w:t>
            </w:r>
            <w:r>
              <w:rPr>
                <w:rFonts w:hint="eastAsia"/>
                <w:color w:val="auto"/>
                <w:kern w:val="0"/>
                <w:szCs w:val="21"/>
                <w:highlight w:val="none"/>
                <w:lang w:val="en-US" w:eastAsia="zh-CN"/>
              </w:rPr>
              <w:t>工序</w:t>
            </w:r>
            <w:r>
              <w:rPr>
                <w:rFonts w:hint="eastAsia"/>
                <w:color w:val="auto"/>
                <w:kern w:val="0"/>
                <w:szCs w:val="21"/>
                <w:highlight w:val="none"/>
              </w:rPr>
              <w:t>应用于镀件预镀，</w:t>
            </w:r>
            <w:r>
              <w:rPr>
                <w:rFonts w:hint="eastAsia"/>
                <w:color w:val="auto"/>
                <w:kern w:val="0"/>
                <w:szCs w:val="21"/>
                <w:highlight w:val="none"/>
                <w:lang w:val="en-US" w:eastAsia="zh-CN"/>
              </w:rPr>
              <w:t>为提高镀层抗环境腐蚀能力，以及提高后续镀层与工件的结合力。</w:t>
            </w:r>
          </w:p>
        </w:tc>
        <w:tc>
          <w:tcPr>
            <w:tcW w:w="2854" w:type="dxa"/>
            <w:noWrap w:val="0"/>
            <w:vAlign w:val="center"/>
          </w:tcPr>
          <w:p>
            <w:pPr>
              <w:adjustRightInd w:val="0"/>
              <w:snapToGrid w:val="0"/>
              <w:spacing w:line="300" w:lineRule="exact"/>
              <w:jc w:val="both"/>
              <w:rPr>
                <w:rFonts w:hint="eastAsia"/>
                <w:color w:val="auto"/>
                <w:kern w:val="0"/>
                <w:szCs w:val="21"/>
                <w:highlight w:val="none"/>
              </w:rPr>
            </w:pPr>
            <w:r>
              <w:rPr>
                <w:rFonts w:hint="eastAsia"/>
                <w:color w:val="auto"/>
                <w:kern w:val="0"/>
                <w:szCs w:val="21"/>
                <w:highlight w:val="none"/>
              </w:rPr>
              <w:t>硫酸镍2</w:t>
            </w:r>
            <w:r>
              <w:rPr>
                <w:rFonts w:hint="eastAsia"/>
                <w:color w:val="auto"/>
                <w:kern w:val="0"/>
                <w:szCs w:val="21"/>
                <w:highlight w:val="none"/>
                <w:lang w:val="en-US" w:eastAsia="zh-CN"/>
              </w:rPr>
              <w:t>4</w:t>
            </w:r>
            <w:r>
              <w:rPr>
                <w:rFonts w:hint="eastAsia"/>
                <w:color w:val="auto"/>
                <w:kern w:val="0"/>
                <w:szCs w:val="21"/>
                <w:highlight w:val="none"/>
              </w:rPr>
              <w:t>0-</w:t>
            </w:r>
            <w:r>
              <w:rPr>
                <w:rFonts w:hint="eastAsia"/>
                <w:color w:val="auto"/>
                <w:kern w:val="0"/>
                <w:szCs w:val="21"/>
                <w:highlight w:val="none"/>
                <w:lang w:val="en-US" w:eastAsia="zh-CN"/>
              </w:rPr>
              <w:t>28</w:t>
            </w:r>
            <w:r>
              <w:rPr>
                <w:rFonts w:hint="eastAsia"/>
                <w:color w:val="auto"/>
                <w:kern w:val="0"/>
                <w:szCs w:val="21"/>
                <w:highlight w:val="none"/>
              </w:rPr>
              <w:t>0g/L、氯化镍</w:t>
            </w:r>
            <w:r>
              <w:rPr>
                <w:rFonts w:hint="eastAsia"/>
                <w:color w:val="auto"/>
                <w:kern w:val="0"/>
                <w:szCs w:val="21"/>
                <w:highlight w:val="none"/>
                <w:lang w:val="en-US" w:eastAsia="zh-CN"/>
              </w:rPr>
              <w:t>45</w:t>
            </w:r>
            <w:r>
              <w:rPr>
                <w:rFonts w:hint="eastAsia"/>
                <w:color w:val="auto"/>
                <w:kern w:val="0"/>
                <w:szCs w:val="21"/>
                <w:highlight w:val="none"/>
              </w:rPr>
              <w:t>-</w:t>
            </w:r>
            <w:r>
              <w:rPr>
                <w:rFonts w:hint="eastAsia"/>
                <w:color w:val="auto"/>
                <w:kern w:val="0"/>
                <w:szCs w:val="21"/>
                <w:highlight w:val="none"/>
                <w:lang w:val="en-US" w:eastAsia="zh-CN"/>
              </w:rPr>
              <w:t>60</w:t>
            </w:r>
            <w:r>
              <w:rPr>
                <w:rFonts w:hint="eastAsia"/>
                <w:color w:val="auto"/>
                <w:kern w:val="0"/>
                <w:szCs w:val="21"/>
                <w:highlight w:val="none"/>
              </w:rPr>
              <w:t>g/L、硼酸30-</w:t>
            </w:r>
            <w:r>
              <w:rPr>
                <w:rFonts w:hint="eastAsia"/>
                <w:color w:val="auto"/>
                <w:kern w:val="0"/>
                <w:szCs w:val="21"/>
                <w:highlight w:val="none"/>
                <w:lang w:val="en-US" w:eastAsia="zh-CN"/>
              </w:rPr>
              <w:t>4</w:t>
            </w:r>
            <w:r>
              <w:rPr>
                <w:rFonts w:hint="eastAsia"/>
                <w:color w:val="auto"/>
                <w:kern w:val="0"/>
                <w:szCs w:val="21"/>
                <w:highlight w:val="none"/>
              </w:rPr>
              <w:t>0g/L，</w:t>
            </w:r>
            <w:r>
              <w:rPr>
                <w:rFonts w:hint="eastAsia"/>
                <w:color w:val="auto"/>
                <w:kern w:val="0"/>
                <w:szCs w:val="21"/>
                <w:highlight w:val="none"/>
                <w:lang w:val="en-US" w:eastAsia="zh-CN"/>
              </w:rPr>
              <w:t>常温</w:t>
            </w:r>
            <w:r>
              <w:rPr>
                <w:rFonts w:hint="eastAsia" w:ascii="宋体" w:hAnsi="宋体" w:cs="宋体"/>
                <w:color w:val="auto"/>
                <w:kern w:val="0"/>
                <w:szCs w:val="21"/>
                <w:highlight w:val="none"/>
              </w:rPr>
              <w:t>，</w:t>
            </w:r>
            <w:r>
              <w:rPr>
                <w:rFonts w:hint="eastAsia"/>
                <w:color w:val="auto"/>
                <w:kern w:val="0"/>
                <w:szCs w:val="21"/>
                <w:highlight w:val="none"/>
              </w:rPr>
              <w:t>5</w:t>
            </w:r>
            <w:r>
              <w:rPr>
                <w:color w:val="auto"/>
                <w:kern w:val="0"/>
                <w:szCs w:val="21"/>
                <w:highlight w:val="none"/>
              </w:rPr>
              <w:t>-</w:t>
            </w:r>
            <w:r>
              <w:rPr>
                <w:rFonts w:hint="eastAsia"/>
                <w:color w:val="auto"/>
                <w:kern w:val="0"/>
                <w:szCs w:val="21"/>
                <w:highlight w:val="none"/>
              </w:rPr>
              <w:t>20</w:t>
            </w:r>
            <w:r>
              <w:rPr>
                <w:color w:val="auto"/>
                <w:kern w:val="0"/>
                <w:szCs w:val="21"/>
                <w:highlight w:val="none"/>
              </w:rPr>
              <w:t>min</w:t>
            </w:r>
            <w:r>
              <w:rPr>
                <w:rFonts w:hint="eastAsia"/>
                <w:color w:val="auto"/>
                <w:kern w:val="0"/>
                <w:szCs w:val="21"/>
                <w:highlight w:val="none"/>
              </w:rPr>
              <w:t>，电流：2-</w:t>
            </w:r>
            <w:r>
              <w:rPr>
                <w:rFonts w:hint="eastAsia"/>
                <w:color w:val="auto"/>
                <w:kern w:val="0"/>
                <w:szCs w:val="21"/>
                <w:highlight w:val="none"/>
                <w:lang w:val="en-US" w:eastAsia="zh-CN"/>
              </w:rPr>
              <w:t>4</w:t>
            </w:r>
            <w:r>
              <w:rPr>
                <w:rFonts w:hint="eastAsia"/>
                <w:color w:val="auto"/>
                <w:kern w:val="0"/>
                <w:szCs w:val="21"/>
                <w:highlight w:val="none"/>
              </w:rPr>
              <w:t>A/dm</w:t>
            </w:r>
            <w:r>
              <w:rPr>
                <w:rFonts w:hint="eastAsia"/>
                <w:color w:val="auto"/>
                <w:kern w:val="0"/>
                <w:szCs w:val="21"/>
                <w:highlight w:val="none"/>
                <w:vertAlign w:val="superscript"/>
              </w:rPr>
              <w:t>2</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1126" w:type="dxa"/>
            <w:noWrap w:val="0"/>
            <w:vAlign w:val="center"/>
          </w:tcPr>
          <w:p>
            <w:pPr>
              <w:adjustRightInd w:val="0"/>
              <w:snapToGrid w:val="0"/>
              <w:spacing w:line="300" w:lineRule="exact"/>
              <w:jc w:val="center"/>
              <w:rPr>
                <w:color w:val="auto"/>
                <w:kern w:val="0"/>
                <w:szCs w:val="21"/>
                <w:highlight w:val="none"/>
              </w:rPr>
            </w:pPr>
            <w:r>
              <w:rPr>
                <w:color w:val="auto"/>
                <w:kern w:val="0"/>
                <w:szCs w:val="21"/>
                <w:highlight w:val="none"/>
              </w:rPr>
              <w:t>镀</w:t>
            </w:r>
            <w:r>
              <w:rPr>
                <w:rFonts w:hint="eastAsia"/>
                <w:color w:val="auto"/>
                <w:kern w:val="0"/>
                <w:szCs w:val="21"/>
                <w:highlight w:val="none"/>
                <w:lang w:val="en-US" w:eastAsia="zh-CN"/>
              </w:rPr>
              <w:t>酸</w:t>
            </w:r>
            <w:r>
              <w:rPr>
                <w:color w:val="auto"/>
                <w:kern w:val="0"/>
                <w:szCs w:val="21"/>
                <w:highlight w:val="none"/>
              </w:rPr>
              <w:t>铜</w:t>
            </w:r>
          </w:p>
        </w:tc>
        <w:tc>
          <w:tcPr>
            <w:tcW w:w="5306" w:type="dxa"/>
            <w:noWrap w:val="0"/>
            <w:vAlign w:val="center"/>
          </w:tcPr>
          <w:p>
            <w:pPr>
              <w:adjustRightInd w:val="0"/>
              <w:snapToGrid w:val="0"/>
              <w:spacing w:line="300" w:lineRule="exact"/>
              <w:ind w:right="4" w:rightChars="2"/>
              <w:jc w:val="left"/>
              <w:rPr>
                <w:color w:val="auto"/>
                <w:kern w:val="0"/>
                <w:szCs w:val="21"/>
                <w:highlight w:val="none"/>
              </w:rPr>
            </w:pPr>
            <w:r>
              <w:rPr>
                <w:rFonts w:hint="eastAsia"/>
                <w:color w:val="auto"/>
                <w:kern w:val="0"/>
                <w:szCs w:val="21"/>
                <w:highlight w:val="none"/>
              </w:rPr>
              <w:t>镀液成分主要有硫酸铜、硫酸等，极板为磷铜角</w:t>
            </w:r>
            <w:r>
              <w:rPr>
                <w:color w:val="auto"/>
                <w:kern w:val="0"/>
                <w:szCs w:val="21"/>
                <w:highlight w:val="none"/>
              </w:rPr>
              <w:t>。</w:t>
            </w:r>
          </w:p>
        </w:tc>
        <w:tc>
          <w:tcPr>
            <w:tcW w:w="2854" w:type="dxa"/>
            <w:noWrap w:val="0"/>
            <w:vAlign w:val="center"/>
          </w:tcPr>
          <w:p>
            <w:pPr>
              <w:adjustRightInd w:val="0"/>
              <w:snapToGrid w:val="0"/>
              <w:spacing w:line="300" w:lineRule="exact"/>
              <w:jc w:val="left"/>
              <w:rPr>
                <w:rFonts w:hint="eastAsia"/>
                <w:color w:val="auto"/>
                <w:kern w:val="0"/>
                <w:szCs w:val="21"/>
                <w:highlight w:val="none"/>
              </w:rPr>
            </w:pPr>
            <w:r>
              <w:rPr>
                <w:rFonts w:hint="eastAsia"/>
                <w:color w:val="auto"/>
                <w:kern w:val="0"/>
                <w:szCs w:val="21"/>
                <w:highlight w:val="none"/>
              </w:rPr>
              <w:t>硫酸铜200g/L、硫酸65g/L，</w:t>
            </w:r>
            <w:r>
              <w:rPr>
                <w:color w:val="auto"/>
                <w:kern w:val="0"/>
                <w:sz w:val="21"/>
                <w:szCs w:val="21"/>
                <w:highlight w:val="none"/>
              </w:rPr>
              <w:t>光亮剂10mL/L，</w:t>
            </w:r>
            <w:r>
              <w:rPr>
                <w:rFonts w:hint="eastAsia"/>
                <w:color w:val="auto"/>
                <w:kern w:val="0"/>
                <w:szCs w:val="21"/>
                <w:highlight w:val="none"/>
              </w:rPr>
              <w:t>极板：</w:t>
            </w:r>
            <w:r>
              <w:rPr>
                <w:rFonts w:hint="eastAsia"/>
                <w:color w:val="auto"/>
                <w:kern w:val="0"/>
                <w:szCs w:val="21"/>
                <w:highlight w:val="none"/>
                <w:lang w:val="en-US" w:eastAsia="zh-CN"/>
              </w:rPr>
              <w:t>铜</w:t>
            </w:r>
            <w:r>
              <w:rPr>
                <w:rFonts w:hint="eastAsia"/>
                <w:color w:val="auto"/>
                <w:kern w:val="0"/>
                <w:szCs w:val="21"/>
                <w:highlight w:val="none"/>
              </w:rPr>
              <w:t>，常温，15-20min</w:t>
            </w:r>
            <w:r>
              <w:rPr>
                <w:rFonts w:hint="eastAsia"/>
                <w:color w:val="auto"/>
                <w:kern w:val="0"/>
                <w:szCs w:val="21"/>
                <w:highlight w:val="none"/>
                <w:lang w:eastAsia="zh-CN"/>
              </w:rPr>
              <w:t>，</w:t>
            </w:r>
            <w:r>
              <w:rPr>
                <w:rFonts w:hint="eastAsia"/>
                <w:color w:val="auto"/>
                <w:kern w:val="0"/>
                <w:szCs w:val="21"/>
                <w:highlight w:val="none"/>
              </w:rPr>
              <w:t>1-2 A/dm</w:t>
            </w:r>
            <w:r>
              <w:rPr>
                <w:rFonts w:hint="eastAsia"/>
                <w:color w:val="auto"/>
                <w:kern w:val="0"/>
                <w:szCs w:val="21"/>
                <w:highlight w:val="none"/>
                <w:vertAlign w:val="superscript"/>
              </w:rPr>
              <w:t>2</w:t>
            </w:r>
            <w:r>
              <w:rPr>
                <w:rFonts w:hint="eastAsia"/>
                <w:color w:val="auto"/>
                <w:kern w:val="0"/>
                <w:szCs w:val="21"/>
                <w:highlight w:val="none"/>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1126" w:type="dxa"/>
            <w:noWrap w:val="0"/>
            <w:vAlign w:val="center"/>
          </w:tcPr>
          <w:p>
            <w:pPr>
              <w:adjustRightInd w:val="0"/>
              <w:snapToGrid w:val="0"/>
              <w:spacing w:line="300" w:lineRule="exact"/>
              <w:jc w:val="center"/>
              <w:rPr>
                <w:color w:val="auto"/>
                <w:kern w:val="0"/>
                <w:szCs w:val="21"/>
                <w:highlight w:val="none"/>
              </w:rPr>
            </w:pPr>
            <w:r>
              <w:rPr>
                <w:color w:val="auto"/>
                <w:kern w:val="0"/>
                <w:szCs w:val="21"/>
                <w:highlight w:val="none"/>
              </w:rPr>
              <w:t>镀镍</w:t>
            </w:r>
          </w:p>
        </w:tc>
        <w:tc>
          <w:tcPr>
            <w:tcW w:w="5306" w:type="dxa"/>
            <w:noWrap w:val="0"/>
            <w:vAlign w:val="center"/>
          </w:tcPr>
          <w:p>
            <w:pPr>
              <w:adjustRightInd w:val="0"/>
              <w:snapToGrid w:val="0"/>
              <w:spacing w:line="300" w:lineRule="exact"/>
              <w:ind w:right="4" w:rightChars="2"/>
              <w:jc w:val="left"/>
              <w:rPr>
                <w:color w:val="auto"/>
                <w:kern w:val="0"/>
                <w:szCs w:val="21"/>
                <w:highlight w:val="none"/>
              </w:rPr>
            </w:pPr>
            <w:r>
              <w:rPr>
                <w:rFonts w:hint="eastAsia"/>
                <w:color w:val="auto"/>
                <w:kern w:val="0"/>
                <w:szCs w:val="21"/>
                <w:highlight w:val="none"/>
                <w:lang w:val="en-US" w:eastAsia="zh-CN"/>
              </w:rPr>
              <w:t>镀层具金属光泽、高整平、全光亮。</w:t>
            </w:r>
            <w:r>
              <w:rPr>
                <w:color w:val="auto"/>
                <w:kern w:val="0"/>
                <w:szCs w:val="21"/>
                <w:highlight w:val="none"/>
              </w:rPr>
              <w:t>镀液主要成分有硫酸镍、氯化镍、光亮剂等，极板为镍板</w:t>
            </w:r>
            <w:r>
              <w:rPr>
                <w:rFonts w:hint="eastAsia"/>
                <w:color w:val="auto"/>
                <w:kern w:val="0"/>
                <w:szCs w:val="21"/>
                <w:highlight w:val="none"/>
              </w:rPr>
              <w:t>。</w:t>
            </w:r>
          </w:p>
        </w:tc>
        <w:tc>
          <w:tcPr>
            <w:tcW w:w="2854" w:type="dxa"/>
            <w:noWrap w:val="0"/>
            <w:vAlign w:val="center"/>
          </w:tcPr>
          <w:p>
            <w:pPr>
              <w:tabs>
                <w:tab w:val="left" w:pos="2118"/>
              </w:tabs>
              <w:adjustRightInd w:val="0"/>
              <w:snapToGrid w:val="0"/>
              <w:spacing w:line="300" w:lineRule="exact"/>
              <w:jc w:val="both"/>
              <w:rPr>
                <w:color w:val="auto"/>
                <w:kern w:val="0"/>
                <w:szCs w:val="21"/>
                <w:highlight w:val="none"/>
              </w:rPr>
            </w:pPr>
            <w:r>
              <w:rPr>
                <w:rFonts w:hint="eastAsia"/>
                <w:color w:val="auto"/>
                <w:kern w:val="0"/>
                <w:szCs w:val="21"/>
                <w:highlight w:val="none"/>
              </w:rPr>
              <w:t>硫酸镍200-420g/L、氯化镍30-50g/L、硼酸3</w:t>
            </w:r>
            <w:r>
              <w:rPr>
                <w:rFonts w:hint="eastAsia"/>
                <w:color w:val="auto"/>
                <w:kern w:val="0"/>
                <w:szCs w:val="21"/>
                <w:highlight w:val="none"/>
                <w:lang w:val="en-US" w:eastAsia="zh-CN"/>
              </w:rPr>
              <w:t>5</w:t>
            </w:r>
            <w:r>
              <w:rPr>
                <w:rFonts w:hint="eastAsia"/>
                <w:color w:val="auto"/>
                <w:kern w:val="0"/>
                <w:szCs w:val="21"/>
                <w:highlight w:val="none"/>
              </w:rPr>
              <w:t>-50g/L，光亮剂10</w:t>
            </w:r>
            <w:r>
              <w:rPr>
                <w:rFonts w:hint="eastAsia"/>
                <w:color w:val="auto"/>
                <w:kern w:val="0"/>
                <w:szCs w:val="21"/>
                <w:highlight w:val="none"/>
                <w:lang w:val="en-US" w:eastAsia="zh-CN"/>
              </w:rPr>
              <w:t>-20</w:t>
            </w:r>
            <w:r>
              <w:rPr>
                <w:rFonts w:hint="eastAsia"/>
                <w:color w:val="auto"/>
                <w:kern w:val="0"/>
                <w:szCs w:val="21"/>
                <w:highlight w:val="none"/>
              </w:rPr>
              <w:t>mL/L，</w:t>
            </w:r>
            <w:r>
              <w:rPr>
                <w:rFonts w:hint="eastAsia"/>
                <w:color w:val="auto"/>
                <w:kern w:val="0"/>
                <w:szCs w:val="21"/>
                <w:highlight w:val="none"/>
                <w:lang w:val="en-US" w:eastAsia="zh-CN"/>
              </w:rPr>
              <w:t>4</w:t>
            </w:r>
            <w:r>
              <w:rPr>
                <w:rFonts w:hint="eastAsia"/>
                <w:color w:val="auto"/>
                <w:kern w:val="0"/>
                <w:szCs w:val="21"/>
                <w:highlight w:val="none"/>
              </w:rPr>
              <w:t>0-60</w:t>
            </w:r>
            <w:r>
              <w:rPr>
                <w:rFonts w:hint="eastAsia" w:ascii="宋体" w:hAnsi="宋体" w:cs="宋体"/>
                <w:color w:val="auto"/>
                <w:kern w:val="0"/>
                <w:szCs w:val="21"/>
                <w:highlight w:val="none"/>
              </w:rPr>
              <w:t>℃，</w:t>
            </w:r>
            <w:r>
              <w:rPr>
                <w:rFonts w:hint="eastAsia"/>
                <w:color w:val="auto"/>
                <w:kern w:val="0"/>
                <w:szCs w:val="21"/>
                <w:highlight w:val="none"/>
              </w:rPr>
              <w:t>5</w:t>
            </w:r>
            <w:r>
              <w:rPr>
                <w:color w:val="auto"/>
                <w:kern w:val="0"/>
                <w:szCs w:val="21"/>
                <w:highlight w:val="none"/>
              </w:rPr>
              <w:t>-</w:t>
            </w:r>
            <w:r>
              <w:rPr>
                <w:rFonts w:hint="eastAsia"/>
                <w:color w:val="auto"/>
                <w:kern w:val="0"/>
                <w:szCs w:val="21"/>
                <w:highlight w:val="none"/>
              </w:rPr>
              <w:t>20</w:t>
            </w:r>
            <w:r>
              <w:rPr>
                <w:color w:val="auto"/>
                <w:kern w:val="0"/>
                <w:szCs w:val="21"/>
                <w:highlight w:val="none"/>
              </w:rPr>
              <w:t>min</w:t>
            </w:r>
            <w:r>
              <w:rPr>
                <w:rFonts w:hint="eastAsia"/>
                <w:color w:val="auto"/>
                <w:kern w:val="0"/>
                <w:szCs w:val="21"/>
                <w:highlight w:val="none"/>
              </w:rPr>
              <w:t>，电流：2-</w:t>
            </w:r>
            <w:r>
              <w:rPr>
                <w:rFonts w:hint="eastAsia"/>
                <w:color w:val="auto"/>
                <w:kern w:val="0"/>
                <w:szCs w:val="21"/>
                <w:highlight w:val="none"/>
                <w:lang w:val="en-US" w:eastAsia="zh-CN"/>
              </w:rPr>
              <w:t>6</w:t>
            </w:r>
            <w:r>
              <w:rPr>
                <w:rFonts w:hint="eastAsia"/>
                <w:color w:val="auto"/>
                <w:kern w:val="0"/>
                <w:szCs w:val="21"/>
                <w:highlight w:val="none"/>
              </w:rPr>
              <w:t>A/dm</w:t>
            </w:r>
            <w:r>
              <w:rPr>
                <w:rFonts w:hint="eastAsia"/>
                <w:color w:val="auto"/>
                <w:kern w:val="0"/>
                <w:szCs w:val="21"/>
                <w:highlight w:val="none"/>
                <w:vertAlign w:val="superscript"/>
              </w:rPr>
              <w:t>2</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1126" w:type="dxa"/>
            <w:noWrap w:val="0"/>
            <w:vAlign w:val="center"/>
          </w:tcPr>
          <w:p>
            <w:pPr>
              <w:adjustRightInd w:val="0"/>
              <w:snapToGrid w:val="0"/>
              <w:spacing w:line="300" w:lineRule="exact"/>
              <w:jc w:val="center"/>
              <w:rPr>
                <w:rFonts w:hint="eastAsia" w:eastAsia="宋体"/>
                <w:color w:val="auto"/>
                <w:kern w:val="0"/>
                <w:szCs w:val="21"/>
                <w:highlight w:val="none"/>
                <w:lang w:val="en-US" w:eastAsia="zh-CN"/>
              </w:rPr>
            </w:pPr>
            <w:r>
              <w:rPr>
                <w:rFonts w:hint="eastAsia"/>
                <w:color w:val="auto"/>
                <w:kern w:val="0"/>
                <w:szCs w:val="21"/>
                <w:highlight w:val="none"/>
                <w:lang w:val="en-US" w:eastAsia="zh-CN"/>
              </w:rPr>
              <w:t>镀铬</w:t>
            </w:r>
          </w:p>
        </w:tc>
        <w:tc>
          <w:tcPr>
            <w:tcW w:w="5306" w:type="dxa"/>
            <w:noWrap w:val="0"/>
            <w:vAlign w:val="center"/>
          </w:tcPr>
          <w:p>
            <w:pPr>
              <w:adjustRightInd w:val="0"/>
              <w:snapToGrid w:val="0"/>
              <w:rPr>
                <w:color w:val="auto"/>
                <w:kern w:val="0"/>
                <w:szCs w:val="21"/>
                <w:highlight w:val="none"/>
              </w:rPr>
            </w:pPr>
            <w:r>
              <w:rPr>
                <w:rFonts w:hint="eastAsia"/>
                <w:color w:val="auto"/>
                <w:kern w:val="0"/>
                <w:szCs w:val="21"/>
                <w:highlight w:val="none"/>
                <w:lang w:val="en-US" w:eastAsia="zh-CN"/>
              </w:rPr>
              <w:t>为了使工件表面获得铬的金属质感，及提高表面硬度、耐磨、耐蚀等性能</w:t>
            </w:r>
            <w:r>
              <w:rPr>
                <w:rFonts w:hint="eastAsia"/>
                <w:color w:val="auto"/>
                <w:kern w:val="0"/>
                <w:szCs w:val="21"/>
                <w:highlight w:val="none"/>
                <w:lang w:eastAsia="zh-CN"/>
              </w:rPr>
              <w:t>，</w:t>
            </w:r>
            <w:r>
              <w:rPr>
                <w:color w:val="auto"/>
                <w:kern w:val="0"/>
                <w:szCs w:val="21"/>
                <w:highlight w:val="none"/>
              </w:rPr>
              <w:t>或者用于修复被磨损的工具及机械零部件。</w:t>
            </w:r>
          </w:p>
        </w:tc>
        <w:tc>
          <w:tcPr>
            <w:tcW w:w="2854" w:type="dxa"/>
            <w:noWrap w:val="0"/>
            <w:vAlign w:val="center"/>
          </w:tcPr>
          <w:p>
            <w:pPr>
              <w:tabs>
                <w:tab w:val="left" w:pos="2118"/>
              </w:tabs>
              <w:adjustRightInd w:val="0"/>
              <w:snapToGrid w:val="0"/>
              <w:jc w:val="both"/>
              <w:rPr>
                <w:rFonts w:hint="eastAsia" w:eastAsia="宋体"/>
                <w:color w:val="auto"/>
                <w:kern w:val="0"/>
                <w:szCs w:val="21"/>
                <w:highlight w:val="none"/>
                <w:lang w:eastAsia="zh-CN"/>
              </w:rPr>
            </w:pPr>
            <w:r>
              <w:rPr>
                <w:color w:val="auto"/>
                <w:kern w:val="0"/>
                <w:szCs w:val="21"/>
                <w:highlight w:val="none"/>
              </w:rPr>
              <w:t>铬酐200-250g/L、硫酸2-2.5g/L</w:t>
            </w:r>
            <w:r>
              <w:rPr>
                <w:rFonts w:hint="eastAsia"/>
                <w:color w:val="auto"/>
                <w:kern w:val="0"/>
                <w:szCs w:val="21"/>
                <w:highlight w:val="none"/>
                <w:lang w:eastAsia="zh-CN"/>
              </w:rPr>
              <w:t>，</w:t>
            </w:r>
            <w:r>
              <w:rPr>
                <w:color w:val="auto"/>
                <w:highlight w:val="none"/>
              </w:rPr>
              <w:t>1h-3h</w:t>
            </w:r>
            <w:r>
              <w:rPr>
                <w:rFonts w:hint="eastAsia"/>
                <w:color w:val="auto"/>
                <w:highlight w:val="none"/>
                <w:lang w:eastAsia="zh-CN"/>
              </w:rPr>
              <w:t>，</w:t>
            </w:r>
            <w:r>
              <w:rPr>
                <w:rFonts w:hint="eastAsia"/>
                <w:color w:val="auto"/>
                <w:highlight w:val="none"/>
                <w:lang w:val="en-US" w:eastAsia="zh-CN"/>
              </w:rPr>
              <w:t>30-50</w:t>
            </w:r>
            <w:r>
              <w:rPr>
                <w:rFonts w:ascii="宋体"/>
                <w:color w:val="auto"/>
                <w:szCs w:val="21"/>
                <w:highlight w:val="none"/>
              </w:rPr>
              <w:t>℃</w:t>
            </w:r>
            <w:r>
              <w:rPr>
                <w:rFonts w:hint="eastAsia" w:ascii="宋体"/>
                <w:color w:val="auto"/>
                <w:szCs w:val="21"/>
                <w:highlight w:val="none"/>
                <w:lang w:eastAsia="zh-CN"/>
              </w:rPr>
              <w:t>，</w:t>
            </w:r>
            <w:r>
              <w:rPr>
                <w:rFonts w:hint="eastAsia"/>
                <w:color w:val="auto"/>
                <w:kern w:val="0"/>
                <w:szCs w:val="21"/>
                <w:highlight w:val="none"/>
              </w:rPr>
              <w:t>1</w:t>
            </w:r>
            <w:r>
              <w:rPr>
                <w:rFonts w:hint="eastAsia"/>
                <w:color w:val="auto"/>
                <w:kern w:val="0"/>
                <w:szCs w:val="21"/>
                <w:highlight w:val="none"/>
                <w:lang w:val="en-US" w:eastAsia="zh-CN"/>
              </w:rPr>
              <w:t>0</w:t>
            </w:r>
            <w:r>
              <w:rPr>
                <w:rFonts w:hint="eastAsia"/>
                <w:color w:val="auto"/>
                <w:kern w:val="0"/>
                <w:szCs w:val="21"/>
                <w:highlight w:val="none"/>
              </w:rPr>
              <w:t>-</w:t>
            </w:r>
            <w:r>
              <w:rPr>
                <w:rFonts w:hint="eastAsia"/>
                <w:color w:val="auto"/>
                <w:kern w:val="0"/>
                <w:szCs w:val="21"/>
                <w:highlight w:val="none"/>
                <w:lang w:val="en-US" w:eastAsia="zh-CN"/>
              </w:rPr>
              <w:t>30</w:t>
            </w:r>
            <w:r>
              <w:rPr>
                <w:rFonts w:hint="eastAsia"/>
                <w:color w:val="auto"/>
                <w:kern w:val="0"/>
                <w:szCs w:val="21"/>
                <w:highlight w:val="none"/>
              </w:rPr>
              <w:t>A/dm</w:t>
            </w:r>
            <w:r>
              <w:rPr>
                <w:rFonts w:hint="eastAsia"/>
                <w:color w:val="auto"/>
                <w:kern w:val="0"/>
                <w:szCs w:val="21"/>
                <w:highlight w:val="none"/>
                <w:vertAlign w:val="superscript"/>
              </w:rPr>
              <w:t>2</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9286" w:type="dxa"/>
            <w:gridSpan w:val="3"/>
            <w:tcBorders>
              <w:left w:val="nil"/>
            </w:tcBorders>
            <w:noWrap w:val="0"/>
            <w:vAlign w:val="center"/>
          </w:tcPr>
          <w:p>
            <w:pPr>
              <w:spacing w:line="300" w:lineRule="exact"/>
              <w:rPr>
                <w:rFonts w:eastAsia="黑体"/>
                <w:color w:val="auto"/>
                <w:kern w:val="0"/>
                <w:szCs w:val="21"/>
                <w:highlight w:val="none"/>
              </w:rPr>
            </w:pPr>
            <w:r>
              <w:rPr>
                <w:rFonts w:ascii="宋体" w:hAnsi="宋体"/>
                <w:b/>
                <w:color w:val="auto"/>
                <w:szCs w:val="21"/>
                <w:highlight w:val="none"/>
              </w:rPr>
              <w:t>后处理工序</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1126" w:type="dxa"/>
            <w:noWrap w:val="0"/>
            <w:vAlign w:val="center"/>
          </w:tcPr>
          <w:p>
            <w:pPr>
              <w:adjustRightInd w:val="0"/>
              <w:snapToGrid w:val="0"/>
              <w:spacing w:line="300" w:lineRule="exact"/>
              <w:jc w:val="center"/>
              <w:rPr>
                <w:rFonts w:hint="eastAsia" w:eastAsia="宋体"/>
                <w:color w:val="auto"/>
                <w:kern w:val="0"/>
                <w:szCs w:val="21"/>
                <w:highlight w:val="none"/>
                <w:lang w:eastAsia="zh-CN"/>
              </w:rPr>
            </w:pPr>
            <w:r>
              <w:rPr>
                <w:rFonts w:hint="eastAsia"/>
                <w:color w:val="auto"/>
                <w:kern w:val="0"/>
                <w:szCs w:val="21"/>
                <w:highlight w:val="none"/>
                <w:lang w:val="en-US" w:eastAsia="zh-CN"/>
              </w:rPr>
              <w:t>烘干</w:t>
            </w:r>
          </w:p>
        </w:tc>
        <w:tc>
          <w:tcPr>
            <w:tcW w:w="5306" w:type="dxa"/>
            <w:noWrap w:val="0"/>
            <w:vAlign w:val="center"/>
          </w:tcPr>
          <w:p>
            <w:pPr>
              <w:adjustRightInd w:val="0"/>
              <w:snapToGrid w:val="0"/>
              <w:jc w:val="left"/>
              <w:rPr>
                <w:color w:val="auto"/>
                <w:kern w:val="0"/>
                <w:szCs w:val="21"/>
                <w:highlight w:val="none"/>
              </w:rPr>
            </w:pPr>
            <w:r>
              <w:rPr>
                <w:color w:val="auto"/>
                <w:szCs w:val="21"/>
                <w:highlight w:val="none"/>
              </w:rPr>
              <w:t>工件经电镀后，需对镀件进行烘干处理，使镀件上的水分蒸发，提高镀件的防腐防锈能力。</w:t>
            </w:r>
          </w:p>
        </w:tc>
        <w:tc>
          <w:tcPr>
            <w:tcW w:w="2854" w:type="dxa"/>
            <w:noWrap w:val="0"/>
            <w:vAlign w:val="center"/>
          </w:tcPr>
          <w:p>
            <w:pPr>
              <w:adjustRightInd w:val="0"/>
              <w:snapToGrid w:val="0"/>
              <w:jc w:val="center"/>
              <w:rPr>
                <w:color w:val="auto"/>
                <w:kern w:val="0"/>
                <w:szCs w:val="21"/>
                <w:highlight w:val="none"/>
              </w:rPr>
            </w:pPr>
            <w:r>
              <w:rPr>
                <w:color w:val="auto"/>
                <w:kern w:val="0"/>
                <w:szCs w:val="21"/>
                <w:highlight w:val="none"/>
              </w:rPr>
              <w:t>70℃，2-3min</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9286" w:type="dxa"/>
            <w:gridSpan w:val="3"/>
            <w:noWrap w:val="0"/>
            <w:vAlign w:val="center"/>
          </w:tcPr>
          <w:p>
            <w:pPr>
              <w:adjustRightInd w:val="0"/>
              <w:snapToGrid w:val="0"/>
              <w:spacing w:line="300" w:lineRule="exact"/>
              <w:rPr>
                <w:rFonts w:hint="eastAsia"/>
                <w:color w:val="auto"/>
                <w:kern w:val="0"/>
                <w:szCs w:val="21"/>
                <w:highlight w:val="none"/>
              </w:rPr>
            </w:pPr>
            <w:r>
              <w:rPr>
                <w:rFonts w:hint="eastAsia"/>
                <w:b/>
                <w:bCs/>
                <w:color w:val="auto"/>
                <w:kern w:val="0"/>
                <w:szCs w:val="21"/>
                <w:highlight w:val="none"/>
              </w:rPr>
              <w:t>水洗</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1126" w:type="dxa"/>
            <w:noWrap w:val="0"/>
            <w:vAlign w:val="center"/>
          </w:tcPr>
          <w:p>
            <w:pPr>
              <w:adjustRightInd w:val="0"/>
              <w:snapToGrid w:val="0"/>
              <w:spacing w:line="300" w:lineRule="exact"/>
              <w:jc w:val="center"/>
              <w:rPr>
                <w:color w:val="auto"/>
                <w:kern w:val="0"/>
                <w:szCs w:val="21"/>
                <w:highlight w:val="none"/>
              </w:rPr>
            </w:pPr>
            <w:r>
              <w:rPr>
                <w:color w:val="auto"/>
                <w:kern w:val="0"/>
                <w:szCs w:val="21"/>
                <w:highlight w:val="none"/>
              </w:rPr>
              <w:t>水洗</w:t>
            </w:r>
          </w:p>
        </w:tc>
        <w:tc>
          <w:tcPr>
            <w:tcW w:w="5306" w:type="dxa"/>
            <w:noWrap w:val="0"/>
            <w:vAlign w:val="center"/>
          </w:tcPr>
          <w:p>
            <w:pPr>
              <w:spacing w:line="300" w:lineRule="exact"/>
              <w:jc w:val="left"/>
              <w:rPr>
                <w:color w:val="auto"/>
                <w:kern w:val="0"/>
                <w:szCs w:val="21"/>
                <w:highlight w:val="none"/>
              </w:rPr>
            </w:pPr>
            <w:r>
              <w:rPr>
                <w:color w:val="auto"/>
                <w:kern w:val="0"/>
                <w:szCs w:val="21"/>
                <w:highlight w:val="none"/>
              </w:rPr>
              <w:t>水洗是电镀工艺不可缺少的组成部分，水洗质量的好坏对于电镀工艺的稳定性和电镀产品的外观、耐腐蚀性等质量指标有较大的影响。水洗主要目的是洗去工件表明残留药液，每道工序后面都有2~</w:t>
            </w:r>
            <w:r>
              <w:rPr>
                <w:rFonts w:hint="eastAsia"/>
                <w:color w:val="auto"/>
                <w:kern w:val="0"/>
                <w:szCs w:val="21"/>
                <w:highlight w:val="none"/>
                <w:lang w:val="en-US" w:eastAsia="zh-CN"/>
              </w:rPr>
              <w:t>6</w:t>
            </w:r>
            <w:r>
              <w:rPr>
                <w:color w:val="auto"/>
                <w:kern w:val="0"/>
                <w:szCs w:val="21"/>
                <w:highlight w:val="none"/>
              </w:rPr>
              <w:t>道逆流漂洗操作。</w:t>
            </w:r>
          </w:p>
        </w:tc>
        <w:tc>
          <w:tcPr>
            <w:tcW w:w="2854" w:type="dxa"/>
            <w:noWrap w:val="0"/>
            <w:vAlign w:val="center"/>
          </w:tcPr>
          <w:p>
            <w:pPr>
              <w:tabs>
                <w:tab w:val="left" w:pos="2118"/>
              </w:tabs>
              <w:adjustRightInd w:val="0"/>
              <w:snapToGrid w:val="0"/>
              <w:spacing w:line="300" w:lineRule="exact"/>
              <w:jc w:val="center"/>
              <w:rPr>
                <w:color w:val="auto"/>
                <w:kern w:val="0"/>
                <w:szCs w:val="21"/>
                <w:highlight w:val="none"/>
              </w:rPr>
            </w:pPr>
            <w:r>
              <w:rPr>
                <w:color w:val="auto"/>
                <w:kern w:val="0"/>
                <w:szCs w:val="21"/>
                <w:highlight w:val="none"/>
              </w:rPr>
              <w:t>本项目</w:t>
            </w:r>
            <w:r>
              <w:rPr>
                <w:rFonts w:hint="eastAsia"/>
                <w:color w:val="auto"/>
                <w:kern w:val="0"/>
                <w:szCs w:val="21"/>
                <w:highlight w:val="none"/>
              </w:rPr>
              <w:t>前处理、电镀工序后续水洗采用</w:t>
            </w:r>
            <w:r>
              <w:rPr>
                <w:color w:val="auto"/>
                <w:kern w:val="0"/>
                <w:szCs w:val="21"/>
                <w:highlight w:val="none"/>
              </w:rPr>
              <w:t>纯水水洗</w:t>
            </w:r>
            <w:r>
              <w:rPr>
                <w:rFonts w:hint="eastAsia"/>
                <w:color w:val="auto"/>
                <w:kern w:val="0"/>
                <w:szCs w:val="21"/>
                <w:highlight w:val="none"/>
              </w:rPr>
              <w:t>。</w:t>
            </w:r>
          </w:p>
        </w:tc>
      </w:tr>
    </w:tbl>
    <w:p>
      <w:pPr>
        <w:pStyle w:val="34"/>
        <w:spacing w:before="0" w:beforeAutospacing="0" w:after="0" w:afterAutospacing="0" w:line="440" w:lineRule="exact"/>
        <w:ind w:firstLine="480" w:firstLineChars="200"/>
        <w:jc w:val="both"/>
        <w:rPr>
          <w:rFonts w:hint="eastAsia" w:ascii="Times New Roman" w:hAnsi="Times New Roman" w:cs="Times New Roman" w:eastAsiaTheme="minorEastAsia"/>
          <w:color w:val="auto"/>
          <w:highlight w:val="none"/>
          <w:lang w:eastAsia="zh-CN"/>
        </w:rPr>
      </w:pPr>
      <w:r>
        <w:rPr>
          <w:rFonts w:hint="eastAsia" w:ascii="Times New Roman" w:hAnsi="Times New Roman" w:cs="Times New Roman"/>
          <w:color w:val="auto"/>
          <w:highlight w:val="none"/>
          <w:lang w:val="en-US" w:eastAsia="zh-CN"/>
        </w:rPr>
        <w:t>3</w:t>
      </w:r>
      <w:r>
        <w:rPr>
          <w:rFonts w:hint="eastAsia" w:ascii="Times New Roman" w:hAnsi="Times New Roman" w:cs="Times New Roman"/>
          <w:color w:val="auto"/>
          <w:highlight w:val="none"/>
        </w:rPr>
        <w:t>、镀</w:t>
      </w:r>
      <w:r>
        <w:rPr>
          <w:rFonts w:hint="eastAsia" w:ascii="Times New Roman" w:hAnsi="Times New Roman" w:cs="Times New Roman"/>
          <w:color w:val="auto"/>
          <w:highlight w:val="none"/>
          <w:lang w:val="en-US" w:eastAsia="zh-CN"/>
        </w:rPr>
        <w:t>银</w:t>
      </w:r>
    </w:p>
    <w:p>
      <w:pPr>
        <w:pStyle w:val="34"/>
        <w:spacing w:before="0" w:beforeAutospacing="0" w:after="0" w:afterAutospacing="0" w:line="440" w:lineRule="exact"/>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镀</w:t>
      </w:r>
      <w:r>
        <w:rPr>
          <w:rFonts w:hint="eastAsia" w:ascii="Times New Roman" w:hAnsi="Times New Roman" w:cs="Times New Roman"/>
          <w:color w:val="auto"/>
          <w:highlight w:val="none"/>
          <w:lang w:val="en-US" w:eastAsia="zh-CN"/>
        </w:rPr>
        <w:t>银</w:t>
      </w:r>
      <w:r>
        <w:rPr>
          <w:rFonts w:hint="default" w:ascii="Times New Roman" w:hAnsi="Times New Roman" w:cs="Times New Roman"/>
          <w:color w:val="auto"/>
          <w:highlight w:val="none"/>
        </w:rPr>
        <w:t>工艺流程为：</w:t>
      </w:r>
      <w:r>
        <w:rPr>
          <w:rFonts w:hint="eastAsia" w:ascii="Times New Roman" w:hAnsi="Times New Roman" w:cs="Times New Roman"/>
          <w:color w:val="auto"/>
          <w:highlight w:val="none"/>
          <w:lang w:val="en-US" w:eastAsia="zh-CN"/>
        </w:rPr>
        <w:t>ABS制品</w:t>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除油</w:t>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6级</w:t>
      </w:r>
      <w:r>
        <w:rPr>
          <w:rFonts w:hint="default" w:ascii="Times New Roman" w:hAnsi="Times New Roman" w:cs="Times New Roman"/>
          <w:color w:val="auto"/>
          <w:highlight w:val="none"/>
        </w:rPr>
        <w:t>水洗→</w:t>
      </w:r>
      <w:r>
        <w:rPr>
          <w:rFonts w:hint="eastAsia" w:ascii="Times New Roman" w:hAnsi="Times New Roman" w:cs="Times New Roman"/>
          <w:color w:val="auto"/>
          <w:highlight w:val="none"/>
          <w:lang w:val="en-US" w:eastAsia="zh-CN"/>
        </w:rPr>
        <w:t>粗</w:t>
      </w:r>
      <w:r>
        <w:rPr>
          <w:rFonts w:hint="default" w:ascii="Times New Roman" w:hAnsi="Times New Roman" w:cs="Times New Roman"/>
          <w:color w:val="auto"/>
          <w:highlight w:val="none"/>
          <w:lang w:val="en-US" w:eastAsia="zh-CN"/>
        </w:rPr>
        <w:t>化</w:t>
      </w:r>
      <w:r>
        <w:rPr>
          <w:rFonts w:hint="default" w:ascii="Times New Roman" w:hAnsi="Times New Roman" w:cs="Times New Roman"/>
          <w:color w:val="auto"/>
          <w:highlight w:val="none"/>
        </w:rPr>
        <w:t>→水洗→</w:t>
      </w:r>
      <w:r>
        <w:rPr>
          <w:rFonts w:hint="eastAsia" w:ascii="Times New Roman" w:hAnsi="Times New Roman" w:cs="Times New Roman"/>
          <w:color w:val="auto"/>
          <w:highlight w:val="none"/>
          <w:lang w:val="en-US" w:eastAsia="zh-CN"/>
        </w:rPr>
        <w:t>还原</w:t>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敏化</w:t>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水洗</w:t>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化学镀银</w:t>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水洗</w:t>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无氰电镀</w:t>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水洗</w:t>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氯化</w:t>
      </w:r>
      <w:r>
        <w:rPr>
          <w:rFonts w:hint="default" w:ascii="Times New Roman" w:hAnsi="Times New Roman" w:cs="Times New Roman"/>
          <w:color w:val="auto"/>
          <w:highlight w:val="none"/>
        </w:rPr>
        <w:t>→水洗→</w:t>
      </w:r>
      <w:r>
        <w:rPr>
          <w:rFonts w:hint="eastAsia" w:ascii="Times New Roman" w:hAnsi="Times New Roman" w:cs="Times New Roman"/>
          <w:color w:val="auto"/>
          <w:highlight w:val="none"/>
          <w:lang w:val="en-US" w:eastAsia="zh-CN"/>
        </w:rPr>
        <w:t>晾干</w:t>
      </w:r>
      <w:r>
        <w:rPr>
          <w:rFonts w:hint="default" w:ascii="Times New Roman" w:hAnsi="Times New Roman" w:cs="Times New Roman"/>
          <w:color w:val="auto"/>
          <w:highlight w:val="none"/>
        </w:rPr>
        <w:t>→成品。主要工艺流程及产污环节见图</w:t>
      </w:r>
      <w:r>
        <w:rPr>
          <w:rFonts w:hint="default" w:ascii="Times New Roman" w:hAnsi="Times New Roman" w:eastAsia="黑体" w:cs="Times New Roman"/>
          <w:bCs/>
          <w:color w:val="auto"/>
          <w:sz w:val="24"/>
          <w:highlight w:val="none"/>
        </w:rPr>
        <w:t>2.</w:t>
      </w:r>
      <w:r>
        <w:rPr>
          <w:rFonts w:hint="eastAsia" w:ascii="Times New Roman" w:hAnsi="Times New Roman" w:eastAsia="黑体" w:cs="Times New Roman"/>
          <w:bCs/>
          <w:color w:val="auto"/>
          <w:sz w:val="24"/>
          <w:highlight w:val="none"/>
          <w:lang w:val="en-US" w:eastAsia="zh-CN"/>
        </w:rPr>
        <w:t>4</w:t>
      </w:r>
      <w:r>
        <w:rPr>
          <w:rFonts w:hint="default" w:ascii="Times New Roman" w:hAnsi="Times New Roman" w:eastAsia="黑体" w:cs="Times New Roman"/>
          <w:bCs/>
          <w:color w:val="auto"/>
          <w:sz w:val="24"/>
          <w:highlight w:val="none"/>
        </w:rPr>
        <w:t>-</w:t>
      </w:r>
      <w:r>
        <w:rPr>
          <w:rFonts w:hint="eastAsia" w:ascii="Times New Roman" w:hAnsi="Times New Roman" w:eastAsia="黑体" w:cs="Times New Roman"/>
          <w:bCs/>
          <w:color w:val="auto"/>
          <w:sz w:val="24"/>
          <w:highlight w:val="none"/>
          <w:lang w:val="en-US" w:eastAsia="zh-CN"/>
        </w:rPr>
        <w:t>3</w:t>
      </w:r>
      <w:r>
        <w:rPr>
          <w:rFonts w:hint="default" w:ascii="Times New Roman" w:hAnsi="Times New Roman" w:cs="Times New Roman"/>
          <w:color w:val="auto"/>
          <w:highlight w:val="none"/>
        </w:rPr>
        <w:t>。</w:t>
      </w:r>
    </w:p>
    <w:p>
      <w:pPr>
        <w:pStyle w:val="34"/>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both"/>
        <w:textAlignment w:val="auto"/>
        <w:outlineLvl w:val="9"/>
        <w:rPr>
          <w:rFonts w:hint="default" w:ascii="Times New Roman" w:hAnsi="Times New Roman" w:cs="Times New Roman"/>
          <w:color w:val="auto"/>
          <w:highlight w:val="none"/>
        </w:rPr>
      </w:pPr>
      <w:r>
        <w:rPr>
          <w:color w:val="auto"/>
          <w:sz w:val="21"/>
          <w:highlight w:val="none"/>
        </w:rPr>
        <w:pict>
          <v:group id="_x0000_s2459" o:spid="_x0000_s2459" o:spt="203" style="height:301.2pt;width:488.15pt;" coordsize="6199504,3825239" editas="canvas">
            <o:lock v:ext="edit"/>
            <v:shape id="_x0000_s2460" o:spid="_x0000_s2460" o:spt="75" type="#_x0000_t75" style="position:absolute;left:0;top:0;height:3825239;width:6199504;" filled="f" stroked="f" coordsize="21600,21600">
              <v:path/>
              <v:fill on="f" focussize="0,0"/>
              <v:stroke on="f"/>
              <v:imagedata o:title=""/>
              <o:lock v:ext="edit" aspectratio="f"/>
            </v:shape>
            <v:shape id="_x0000_s2461" o:spid="_x0000_s2461" o:spt="202" type="#_x0000_t202" style="position:absolute;left:883285;top:316865;height:292100;width:646430;" fillcolor="#FFFFFF" filled="t" stroked="t" coordsize="21600,21600">
              <v:path/>
              <v:fill on="t" color2="#FFFFFF" focussize="0,0"/>
              <v:stroke color="#000000" joinstyle="miter"/>
              <v:imagedata o:title=""/>
              <o:lock v:ext="edit" aspectratio="f"/>
              <v:textbox>
                <w:txbxContent>
                  <w:p>
                    <w:pPr>
                      <w:snapToGrid w:val="0"/>
                      <w:jc w:val="center"/>
                      <w:rPr>
                        <w:rFonts w:hint="eastAsia" w:asciiTheme="minorEastAsia" w:hAnsiTheme="minorEastAsia" w:eastAsiaTheme="minorEastAsia" w:cstheme="minorEastAsia"/>
                        <w:sz w:val="20"/>
                        <w:lang w:val="en-US"/>
                      </w:rPr>
                    </w:pPr>
                    <w:r>
                      <w:rPr>
                        <w:rFonts w:hint="eastAsia" w:asciiTheme="minorEastAsia" w:hAnsiTheme="minorEastAsia" w:eastAsiaTheme="minorEastAsia" w:cstheme="minorEastAsia"/>
                        <w:sz w:val="20"/>
                        <w:lang w:val="en-US" w:eastAsia="zh-CN"/>
                      </w:rPr>
                      <w:t>除油</w:t>
                    </w:r>
                  </w:p>
                </w:txbxContent>
              </v:textbox>
            </v:shape>
            <v:shape id="_x0000_s2462" o:spid="_x0000_s2462" o:spt="32" type="#_x0000_t32" style="position:absolute;left:668020;top:436245;height:0;width:250190;" filled="f" stroked="t" coordsize="21600,21600">
              <v:path arrowok="t"/>
              <v:fill on="f" focussize="0,0"/>
              <v:stroke color="#000000" endarrow="block"/>
              <v:imagedata o:title=""/>
              <o:lock v:ext="edit" aspectratio="f"/>
            </v:shape>
            <v:shape id="_x0000_s2463" o:spid="_x0000_s2463" o:spt="202" type="#_x0000_t202" style="position:absolute;left:52705;top:302895;height:231775;width:716280;" filled="f" stroked="f" coordsize="21600,21600">
              <v:path/>
              <v:fill on="f" focussize="0,0"/>
              <v:stroke on="f"/>
              <v:imagedata o:title=""/>
              <o:lock v:ext="edit" aspectratio="f"/>
              <v:textbox>
                <w:txbxContent>
                  <w:p>
                    <w:pPr>
                      <w:snapToGrid w:val="0"/>
                      <w:jc w:val="center"/>
                      <w:rPr>
                        <w:rFonts w:hint="eastAsia" w:eastAsia="宋体"/>
                        <w:sz w:val="20"/>
                        <w:lang w:val="en-US" w:eastAsia="zh-CN"/>
                      </w:rPr>
                    </w:pPr>
                    <w:r>
                      <w:rPr>
                        <w:rFonts w:hint="eastAsia"/>
                        <w:sz w:val="20"/>
                        <w:lang w:val="en-US" w:eastAsia="zh-CN"/>
                      </w:rPr>
                      <w:t>氢氧化钠</w:t>
                    </w:r>
                  </w:p>
                </w:txbxContent>
              </v:textbox>
            </v:shape>
            <v:shape id="_x0000_s2464" o:spid="_x0000_s2464" o:spt="32" type="#_x0000_t32" style="position:absolute;left:1167765;top:201295;height:139700;width:0;" filled="f" stroked="t" coordsize="21600,21600">
              <v:path arrowok="t"/>
              <v:fill on="f" focussize="0,0"/>
              <v:stroke color="#000000" endarrow="block"/>
              <v:imagedata o:title=""/>
              <o:lock v:ext="edit" aspectratio="f"/>
            </v:shape>
            <v:shape id="_x0000_s2465" o:spid="_x0000_s2465" o:spt="32" type="#_x0000_t32" style="position:absolute;left:1555115;top:430530;height:0;width:207645;" filled="f" stroked="t" coordsize="21600,21600">
              <v:path arrowok="t"/>
              <v:fill on="f" focussize="0,0"/>
              <v:stroke color="#000000" dashstyle="longDash" endarrow="block"/>
              <v:imagedata o:title=""/>
              <o:lock v:ext="edit" aspectratio="f"/>
            </v:shape>
            <v:shape id="_x0000_s2466" o:spid="_x0000_s2466" o:spt="202" type="#_x0000_t202" style="position:absolute;left:1705610;top:225425;height:469900;width:863600;" filled="f" stroked="f" coordsize="21600,21600">
              <v:path/>
              <v:fill on="f" focussize="0,0"/>
              <v:stroke on="f"/>
              <v:imagedata o:title=""/>
              <o:lock v:ext="edit" aspectratio="f"/>
              <v:textbox>
                <w:txbxContent>
                  <w:p>
                    <w:pPr>
                      <w:snapToGrid w:val="0"/>
                      <w:jc w:val="left"/>
                      <w:rPr>
                        <w:rFonts w:hint="eastAsia" w:eastAsia="宋体"/>
                        <w:sz w:val="20"/>
                        <w:lang w:val="en-US" w:eastAsia="zh-CN"/>
                      </w:rPr>
                    </w:pPr>
                    <w:r>
                      <w:rPr>
                        <w:rFonts w:hint="eastAsia"/>
                        <w:sz w:val="20"/>
                        <w:lang w:val="en-US" w:eastAsia="zh-CN"/>
                      </w:rPr>
                      <w:t>碱雾</w:t>
                    </w:r>
                  </w:p>
                  <w:p>
                    <w:pPr>
                      <w:snapToGrid w:val="0"/>
                      <w:jc w:val="left"/>
                      <w:rPr>
                        <w:rFonts w:hint="eastAsia" w:eastAsia="宋体"/>
                        <w:sz w:val="20"/>
                        <w:lang w:val="en-US" w:eastAsia="zh-CN"/>
                      </w:rPr>
                    </w:pPr>
                    <w:r>
                      <w:rPr>
                        <w:rFonts w:hint="eastAsia"/>
                        <w:sz w:val="20"/>
                      </w:rPr>
                      <w:t>S</w:t>
                    </w:r>
                    <w:r>
                      <w:rPr>
                        <w:rFonts w:hint="eastAsia"/>
                        <w:sz w:val="20"/>
                        <w:lang w:val="en-US" w:eastAsia="zh-CN"/>
                      </w:rPr>
                      <w:t>1废碱液</w:t>
                    </w:r>
                  </w:p>
                </w:txbxContent>
              </v:textbox>
            </v:shape>
            <v:shape id="_x0000_s2467" o:spid="_x0000_s2467" o:spt="202" type="#_x0000_t202" style="position:absolute;left:739775;top:0;height:231775;width:863600;" filled="f" stroked="f" coordsize="21600,21600">
              <v:path/>
              <v:fill on="f" focussize="0,0"/>
              <v:stroke on="f"/>
              <v:imagedata o:title=""/>
              <o:lock v:ext="edit" aspectratio="f"/>
              <v:textbox>
                <w:txbxContent>
                  <w:p>
                    <w:pPr>
                      <w:snapToGrid w:val="0"/>
                      <w:jc w:val="center"/>
                      <w:rPr>
                        <w:rFonts w:hint="eastAsia" w:eastAsia="宋体"/>
                        <w:sz w:val="20"/>
                        <w:lang w:val="en-US" w:eastAsia="zh-CN"/>
                      </w:rPr>
                    </w:pPr>
                    <w:r>
                      <w:rPr>
                        <w:rFonts w:hint="eastAsia"/>
                        <w:sz w:val="20"/>
                        <w:lang w:val="en-US" w:eastAsia="zh-CN"/>
                      </w:rPr>
                      <w:t>ABS制品</w:t>
                    </w:r>
                  </w:p>
                </w:txbxContent>
              </v:textbox>
            </v:shape>
            <v:shape id="_x0000_s2468" o:spid="_x0000_s2468" o:spt="202" type="#_x0000_t202" style="position:absolute;left:904240;top:740410;height:292100;width:694055;" fillcolor="#FFFFFF" filled="t" stroked="t" coordsize="21600,21600">
              <v:path/>
              <v:fill on="t" color2="#FFFFFF" focussize="0,0"/>
              <v:stroke color="#000000" joinstyle="miter"/>
              <v:imagedata o:title=""/>
              <o:lock v:ext="edit" aspectratio="f"/>
              <v:textbox>
                <w:txbxContent>
                  <w:p>
                    <w:pPr>
                      <w:snapToGrid w:val="0"/>
                      <w:jc w:val="center"/>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sz w:val="20"/>
                        <w:lang w:val="en-US" w:eastAsia="zh-CN"/>
                      </w:rPr>
                      <w:t>6级水洗</w:t>
                    </w:r>
                  </w:p>
                </w:txbxContent>
              </v:textbox>
            </v:shape>
            <v:shape id="_x0000_s2469" o:spid="_x0000_s2469" o:spt="32" type="#_x0000_t32" style="position:absolute;left:664210;top:890905;height:0;width:241300;" filled="f" stroked="t" coordsize="21600,21600">
              <v:path arrowok="t"/>
              <v:fill on="f" focussize="0,0"/>
              <v:stroke color="#000000" endarrow="block"/>
              <v:imagedata o:title=""/>
              <o:lock v:ext="edit" aspectratio="f"/>
            </v:shape>
            <v:shape id="_x0000_s2470" o:spid="_x0000_s2470" o:spt="202" type="#_x0000_t202" style="position:absolute;left:83185;top:763905;height:228600;width:676910;" filled="f" stroked="f" coordsize="21600,21600">
              <v:path/>
              <v:fill on="f" focussize="0,0"/>
              <v:stroke on="f"/>
              <v:imagedata o:title=""/>
              <o:lock v:ext="edit" aspectratio="f"/>
              <v:textbox>
                <w:txbxContent>
                  <w:p>
                    <w:pPr>
                      <w:snapToGrid w:val="0"/>
                      <w:jc w:val="center"/>
                      <w:rPr>
                        <w:sz w:val="20"/>
                        <w:highlight w:val="none"/>
                        <w:lang w:val="en-US"/>
                      </w:rPr>
                    </w:pPr>
                    <w:r>
                      <w:rPr>
                        <w:rFonts w:hint="eastAsia"/>
                        <w:sz w:val="20"/>
                        <w:highlight w:val="none"/>
                        <w:lang w:val="en-US" w:eastAsia="zh-CN"/>
                      </w:rPr>
                      <w:t>自来水</w:t>
                    </w:r>
                  </w:p>
                </w:txbxContent>
              </v:textbox>
            </v:shape>
            <v:shape id="_x0000_s2471" o:spid="_x0000_s2471" o:spt="32" type="#_x0000_t32" style="position:absolute;left:1630045;top:913765;height:0;width:203200;" filled="f" stroked="t" coordsize="21600,21600">
              <v:path arrowok="t"/>
              <v:fill on="f" focussize="0,0"/>
              <v:stroke color="#000000" dashstyle="longDash" endarrow="block"/>
              <v:imagedata o:title=""/>
              <o:lock v:ext="edit" aspectratio="f"/>
            </v:shape>
            <v:shape id="_x0000_s2472" o:spid="_x0000_s2472" o:spt="32" type="#_x0000_t32" style="position:absolute;left:1250950;top:619125;height:139700;width:0;" filled="f" stroked="t" coordsize="21600,21600">
              <v:path arrowok="t"/>
              <v:fill on="f" focussize="0,0"/>
              <v:stroke color="#000000" endarrow="block"/>
              <v:imagedata o:title=""/>
              <o:lock v:ext="edit" aspectratio="f"/>
            </v:shape>
            <v:shape id="_x0000_s2473" o:spid="_x0000_s2473" o:spt="202" type="#_x0000_t202" style="position:absolute;left:1689735;top:782320;height:315595;width:1017905;" filled="f" stroked="f" coordsize="21600,21600">
              <v:path/>
              <v:fill on="f" focussize="0,0"/>
              <v:stroke on="f"/>
              <v:imagedata o:title=""/>
              <o:lock v:ext="edit" aspectratio="f"/>
              <v:textbox>
                <w:txbxContent>
                  <w:p>
                    <w:pPr>
                      <w:snapToGrid w:val="0"/>
                      <w:jc w:val="center"/>
                      <w:rPr>
                        <w:rFonts w:hint="eastAsia" w:eastAsia="宋体"/>
                        <w:sz w:val="20"/>
                        <w:lang w:val="en-US" w:eastAsia="zh-CN"/>
                      </w:rPr>
                    </w:pPr>
                    <w:r>
                      <w:rPr>
                        <w:rFonts w:hint="eastAsia"/>
                        <w:sz w:val="20"/>
                        <w:lang w:val="en-US" w:eastAsia="zh-CN"/>
                      </w:rPr>
                      <w:t>W1综合废水</w:t>
                    </w:r>
                  </w:p>
                </w:txbxContent>
              </v:textbox>
            </v:shape>
            <v:shape id="_x0000_s2474" o:spid="_x0000_s2474" o:spt="32" type="#_x0000_t32" style="position:absolute;left:695960;top:1302385;height:0;width:241300;" filled="f" stroked="t" coordsize="21600,21600">
              <v:path arrowok="t"/>
              <v:fill on="f" focussize="0,0"/>
              <v:stroke color="#000000" endarrow="block"/>
              <v:imagedata o:title=""/>
              <o:lock v:ext="edit" aspectratio="f"/>
            </v:shape>
            <v:shape id="_x0000_s2475" o:spid="_x0000_s2475" o:spt="202" type="#_x0000_t202" style="position:absolute;left:0;top:1100455;height:442595;width:820420;" filled="f" stroked="f" coordsize="21600,21600">
              <v:path/>
              <v:fill on="f" focussize="0,0"/>
              <v:stroke on="f"/>
              <v:imagedata o:title=""/>
              <o:lock v:ext="edit" aspectratio="f"/>
              <v:textbox>
                <w:txbxContent>
                  <w:p>
                    <w:pPr>
                      <w:snapToGrid w:val="0"/>
                      <w:jc w:val="right"/>
                      <w:rPr>
                        <w:rFonts w:hint="eastAsia"/>
                        <w:sz w:val="20"/>
                        <w:lang w:val="en-US" w:eastAsia="zh-CN"/>
                      </w:rPr>
                    </w:pPr>
                    <w:r>
                      <w:rPr>
                        <w:rFonts w:hint="eastAsia"/>
                        <w:sz w:val="20"/>
                        <w:lang w:val="en-US" w:eastAsia="zh-CN"/>
                      </w:rPr>
                      <w:t>硫酸</w:t>
                    </w:r>
                  </w:p>
                  <w:p>
                    <w:pPr>
                      <w:pStyle w:val="35"/>
                      <w:ind w:left="0" w:leftChars="0" w:firstLine="0" w:firstLineChars="0"/>
                      <w:jc w:val="right"/>
                      <w:rPr>
                        <w:lang w:val="en-US"/>
                      </w:rPr>
                    </w:pPr>
                    <w:r>
                      <w:rPr>
                        <w:rFonts w:hint="eastAsia"/>
                        <w:sz w:val="20"/>
                        <w:lang w:val="en-US" w:eastAsia="zh-CN"/>
                      </w:rPr>
                      <w:t>三氧化铬</w:t>
                    </w:r>
                  </w:p>
                </w:txbxContent>
              </v:textbox>
            </v:shape>
            <v:shape id="_x0000_s2476" o:spid="_x0000_s2476" o:spt="32" type="#_x0000_t32" style="position:absolute;left:1611630;top:1265555;height:0;width:203200;" filled="f" stroked="t" coordsize="21600,21600">
              <v:path arrowok="t"/>
              <v:fill on="f" focussize="0,0"/>
              <v:stroke color="#000000" dashstyle="longDash" endarrow="block"/>
              <v:imagedata o:title=""/>
              <o:lock v:ext="edit" aspectratio="f"/>
            </v:shape>
            <v:shape id="_x0000_s2477" o:spid="_x0000_s2477" o:spt="32" type="#_x0000_t32" style="position:absolute;left:1243330;top:1060450;height:139700;width:0;" filled="f" stroked="t" coordsize="21600,21600">
              <v:path arrowok="t"/>
              <v:fill on="f" focussize="0,0"/>
              <v:stroke color="#000000" endarrow="block"/>
              <v:imagedata o:title=""/>
              <o:lock v:ext="edit" aspectratio="f"/>
            </v:shape>
            <v:shape id="_x0000_s2478" o:spid="_x0000_s2478" o:spt="202" type="#_x0000_t202" style="position:absolute;left:1747520;top:1092835;height:471170;width:1016000;" filled="f" stroked="f" coordsize="21600,21600">
              <v:path/>
              <v:fill on="f" focussize="0,0"/>
              <v:stroke on="f"/>
              <v:imagedata o:title=""/>
              <o:lock v:ext="edit" aspectratio="f"/>
              <v:textbox>
                <w:txbxContent>
                  <w:p>
                    <w:pPr>
                      <w:jc w:val="left"/>
                      <w:rPr>
                        <w:rFonts w:hint="eastAsia"/>
                        <w:sz w:val="20"/>
                        <w:lang w:val="en-US" w:eastAsia="zh-CN"/>
                      </w:rPr>
                    </w:pPr>
                    <w:r>
                      <w:rPr>
                        <w:rFonts w:hint="eastAsia"/>
                        <w:sz w:val="20"/>
                        <w:lang w:val="en-US" w:eastAsia="zh-CN"/>
                      </w:rPr>
                      <w:t>G1酸雾</w:t>
                    </w:r>
                  </w:p>
                  <w:p>
                    <w:pPr>
                      <w:pStyle w:val="35"/>
                      <w:ind w:left="0" w:leftChars="0" w:firstLine="0" w:firstLineChars="0"/>
                      <w:jc w:val="left"/>
                      <w:rPr>
                        <w:rFonts w:hint="eastAsia"/>
                        <w:lang w:val="en-US" w:eastAsia="zh-CN"/>
                      </w:rPr>
                    </w:pPr>
                    <w:r>
                      <w:rPr>
                        <w:rFonts w:hint="eastAsia"/>
                        <w:sz w:val="20"/>
                        <w:lang w:val="en-US" w:eastAsia="zh-CN"/>
                      </w:rPr>
                      <w:t>S2槽渣</w:t>
                    </w:r>
                  </w:p>
                  <w:p>
                    <w:pPr>
                      <w:pStyle w:val="35"/>
                      <w:ind w:left="0" w:leftChars="0" w:firstLine="0" w:firstLineChars="0"/>
                      <w:jc w:val="left"/>
                      <w:rPr>
                        <w:rFonts w:hint="eastAsia"/>
                        <w:lang w:val="en-US" w:eastAsia="zh-CN"/>
                      </w:rPr>
                    </w:pPr>
                  </w:p>
                </w:txbxContent>
              </v:textbox>
            </v:shape>
            <v:shape id="_x0000_s2479" o:spid="_x0000_s2479" o:spt="202" type="#_x0000_t202" style="position:absolute;left:912495;top:1163320;height:292100;width:685800;" fillcolor="#FFFFFF" filled="t" stroked="t" coordsize="21600,21600">
              <v:path/>
              <v:fill on="t" color2="#FFFFFF" focussize="0,0"/>
              <v:stroke color="#000000" joinstyle="miter"/>
              <v:imagedata o:title=""/>
              <o:lock v:ext="edit" aspectratio="f"/>
              <v:textbox>
                <w:txbxContent>
                  <w:p>
                    <w:pPr>
                      <w:snapToGrid w:val="0"/>
                      <w:jc w:val="center"/>
                      <w:rPr>
                        <w:rFonts w:hint="eastAsia" w:asciiTheme="minorEastAsia" w:hAnsiTheme="minorEastAsia" w:eastAsiaTheme="minorEastAsia" w:cstheme="minorEastAsia"/>
                        <w:sz w:val="20"/>
                        <w:lang w:val="en-US"/>
                      </w:rPr>
                    </w:pPr>
                    <w:r>
                      <w:rPr>
                        <w:rFonts w:hint="eastAsia" w:asciiTheme="minorEastAsia" w:hAnsiTheme="minorEastAsia" w:eastAsiaTheme="minorEastAsia" w:cstheme="minorEastAsia"/>
                        <w:sz w:val="20"/>
                        <w:lang w:val="en-US" w:eastAsia="zh-CN"/>
                      </w:rPr>
                      <w:t>粗化</w:t>
                    </w:r>
                  </w:p>
                </w:txbxContent>
              </v:textbox>
            </v:shape>
            <v:shape id="_x0000_s2480" o:spid="_x0000_s2480" o:spt="202" type="#_x0000_t202" style="position:absolute;left:1605280;top:2806065;height:304800;width:1016000;" filled="f" stroked="f" coordsize="21600,21600">
              <v:path/>
              <v:fill on="f" focussize="0,0"/>
              <v:stroke on="f"/>
              <v:imagedata o:title=""/>
              <o:lock v:ext="edit" aspectratio="f"/>
              <v:textbox>
                <w:txbxContent>
                  <w:p>
                    <w:pPr>
                      <w:snapToGrid w:val="0"/>
                      <w:jc w:val="center"/>
                      <w:rPr>
                        <w:rFonts w:hint="eastAsia" w:eastAsia="宋体"/>
                        <w:sz w:val="20"/>
                        <w:lang w:val="en-US" w:eastAsia="zh-CN"/>
                      </w:rPr>
                    </w:pPr>
                  </w:p>
                </w:txbxContent>
              </v:textbox>
            </v:shape>
            <v:shape id="_x0000_s2481" o:spid="_x0000_s2481" o:spt="202" type="#_x0000_t202" style="position:absolute;left:4207509;top:448945;height:292100;width:732155;" fillcolor="#FFFFFF" filled="t" stroked="t" coordsize="21600,21600">
              <v:path/>
              <v:fill on="t" color2="#FFFFFF" focussize="0,0"/>
              <v:stroke color="#000000" joinstyle="miter"/>
              <v:imagedata o:title=""/>
              <o:lock v:ext="edit" aspectratio="f"/>
              <v:textbox>
                <w:txbxContent>
                  <w:p>
                    <w:pPr>
                      <w:spacing w:line="320" w:lineRule="exact"/>
                      <w:jc w:val="both"/>
                    </w:pPr>
                    <w:r>
                      <w:rPr>
                        <w:rFonts w:hint="eastAsia"/>
                      </w:rPr>
                      <w:t>化学镀银</w:t>
                    </w:r>
                  </w:p>
                  <w:p>
                    <w:pPr>
                      <w:rPr>
                        <w:rFonts w:hint="eastAsia"/>
                      </w:rPr>
                    </w:pPr>
                  </w:p>
                </w:txbxContent>
              </v:textbox>
            </v:shape>
            <v:shape id="_x0000_s2482" o:spid="_x0000_s2482" o:spt="32" type="#_x0000_t32" style="position:absolute;left:4013200;top:575945;height:0;width:241300;" filled="f" stroked="t" coordsize="21600,21600">
              <v:path arrowok="t"/>
              <v:fill on="f" focussize="0,0"/>
              <v:stroke color="#000000" endarrow="block"/>
              <v:imagedata o:title=""/>
              <o:lock v:ext="edit" aspectratio="f"/>
            </v:shape>
            <v:shape id="_x0000_s2483" o:spid="_x0000_s2483" o:spt="202" type="#_x0000_t202" style="position:absolute;left:3169919;top:316865;height:764540;width:879475;" filled="f" stroked="f" coordsize="21600,21600">
              <v:path/>
              <v:fill on="f" focussize="0,0"/>
              <v:stroke on="f"/>
              <v:imagedata o:title=""/>
              <o:lock v:ext="edit" aspectratio="f"/>
              <v:textbox>
                <w:txbxContent>
                  <w:p>
                    <w:pPr>
                      <w:spacing w:line="240" w:lineRule="exact"/>
                      <w:jc w:val="right"/>
                      <w:rPr>
                        <w:rFonts w:hint="eastAsia"/>
                        <w:sz w:val="18"/>
                        <w:szCs w:val="18"/>
                      </w:rPr>
                    </w:pPr>
                    <w:r>
                      <w:rPr>
                        <w:rFonts w:hint="eastAsia"/>
                        <w:sz w:val="18"/>
                        <w:szCs w:val="18"/>
                      </w:rPr>
                      <w:t>硝酸银</w:t>
                    </w:r>
                  </w:p>
                  <w:p>
                    <w:pPr>
                      <w:spacing w:line="240" w:lineRule="exact"/>
                      <w:jc w:val="right"/>
                      <w:rPr>
                        <w:rFonts w:hint="eastAsia"/>
                        <w:sz w:val="18"/>
                        <w:szCs w:val="18"/>
                      </w:rPr>
                    </w:pPr>
                    <w:r>
                      <w:rPr>
                        <w:rFonts w:hint="eastAsia"/>
                        <w:sz w:val="18"/>
                        <w:szCs w:val="18"/>
                      </w:rPr>
                      <w:t>氢氧化钾</w:t>
                    </w:r>
                  </w:p>
                  <w:p>
                    <w:pPr>
                      <w:spacing w:line="240" w:lineRule="exact"/>
                      <w:jc w:val="right"/>
                      <w:rPr>
                        <w:rFonts w:hint="eastAsia"/>
                        <w:sz w:val="18"/>
                        <w:szCs w:val="18"/>
                      </w:rPr>
                    </w:pPr>
                    <w:r>
                      <w:rPr>
                        <w:rFonts w:hint="eastAsia"/>
                        <w:sz w:val="18"/>
                        <w:szCs w:val="18"/>
                      </w:rPr>
                      <w:t>葡萄糖</w:t>
                    </w:r>
                  </w:p>
                  <w:p>
                    <w:pPr>
                      <w:spacing w:line="240" w:lineRule="exact"/>
                      <w:jc w:val="right"/>
                      <w:rPr>
                        <w:rFonts w:hint="eastAsia" w:eastAsia="宋体"/>
                        <w:sz w:val="18"/>
                        <w:szCs w:val="18"/>
                        <w:lang w:val="en-US" w:eastAsia="zh-CN"/>
                      </w:rPr>
                    </w:pPr>
                    <w:r>
                      <w:rPr>
                        <w:rFonts w:hint="eastAsia"/>
                        <w:sz w:val="18"/>
                        <w:szCs w:val="18"/>
                      </w:rPr>
                      <w:t>酒石酸</w:t>
                    </w:r>
                    <w:r>
                      <w:rPr>
                        <w:rFonts w:hint="eastAsia"/>
                        <w:sz w:val="18"/>
                        <w:szCs w:val="18"/>
                        <w:lang w:eastAsia="zh-CN"/>
                      </w:rPr>
                      <w:t>、</w:t>
                    </w:r>
                    <w:r>
                      <w:rPr>
                        <w:rFonts w:hint="eastAsia"/>
                        <w:sz w:val="18"/>
                        <w:szCs w:val="18"/>
                        <w:lang w:val="en-US" w:eastAsia="zh-CN"/>
                      </w:rPr>
                      <w:t>氨水</w:t>
                    </w:r>
                  </w:p>
                  <w:p>
                    <w:pPr>
                      <w:rPr>
                        <w:lang w:val="en-US"/>
                      </w:rPr>
                    </w:pPr>
                  </w:p>
                </w:txbxContent>
              </v:textbox>
            </v:shape>
            <v:shape id="_x0000_s2484" o:spid="_x0000_s2484" o:spt="32" type="#_x0000_t32" style="position:absolute;left:4964429;top:608965;height:0;width:203200;" filled="f" stroked="t" coordsize="21600,21600">
              <v:path arrowok="t"/>
              <v:fill on="f" focussize="0,0"/>
              <v:stroke color="#000000" dashstyle="longDash" endarrow="block"/>
              <v:imagedata o:title=""/>
              <o:lock v:ext="edit" aspectratio="f"/>
            </v:shape>
            <v:shape id="_x0000_s2485" o:spid="_x0000_s2485" o:spt="32" type="#_x0000_t32" style="position:absolute;left:4572000;top:334645;height:139700;width:0;" filled="f" stroked="t" coordsize="21600,21600">
              <v:path arrowok="t"/>
              <v:fill on="f" focussize="0,0"/>
              <v:stroke color="#000000" endarrow="block"/>
              <v:imagedata o:title=""/>
              <o:lock v:ext="edit" aspectratio="f"/>
            </v:shape>
            <v:shape id="_x0000_s2486" o:spid="_x0000_s2486" o:spt="202" type="#_x0000_t202" style="position:absolute;left:5122544;top:338455;height:561975;width:900430;" filled="f" stroked="f" coordsize="21600,21600">
              <v:path/>
              <v:fill on="f" focussize="0,0"/>
              <v:stroke on="f"/>
              <v:imagedata o:title=""/>
              <o:lock v:ext="edit" aspectratio="f"/>
              <v:textbox>
                <w:txbxContent>
                  <w:p>
                    <w:pPr>
                      <w:spacing w:line="240" w:lineRule="exact"/>
                      <w:jc w:val="left"/>
                      <w:rPr>
                        <w:rFonts w:hint="eastAsia"/>
                        <w:sz w:val="21"/>
                        <w:szCs w:val="21"/>
                        <w:lang w:val="en-US" w:eastAsia="zh-CN"/>
                      </w:rPr>
                    </w:pPr>
                    <w:r>
                      <w:rPr>
                        <w:rFonts w:hint="eastAsia"/>
                        <w:sz w:val="21"/>
                        <w:szCs w:val="21"/>
                        <w:lang w:val="en-US" w:eastAsia="zh-CN"/>
                      </w:rPr>
                      <w:t>G3氨</w:t>
                    </w:r>
                  </w:p>
                  <w:p>
                    <w:pPr>
                      <w:spacing w:line="240" w:lineRule="exact"/>
                      <w:jc w:val="left"/>
                      <w:rPr>
                        <w:rFonts w:hint="eastAsia"/>
                        <w:sz w:val="21"/>
                        <w:szCs w:val="21"/>
                        <w:lang w:val="en-US" w:eastAsia="zh-CN"/>
                      </w:rPr>
                    </w:pPr>
                    <w:r>
                      <w:rPr>
                        <w:rFonts w:hint="eastAsia"/>
                        <w:sz w:val="21"/>
                        <w:szCs w:val="21"/>
                        <w:lang w:val="en-US" w:eastAsia="zh-CN"/>
                      </w:rPr>
                      <w:t>S2槽渣</w:t>
                    </w:r>
                  </w:p>
                  <w:p>
                    <w:pPr>
                      <w:snapToGrid w:val="0"/>
                      <w:jc w:val="center"/>
                      <w:rPr>
                        <w:rFonts w:hint="eastAsia" w:eastAsia="宋体"/>
                        <w:sz w:val="20"/>
                        <w:lang w:val="en-US" w:eastAsia="zh-CN"/>
                      </w:rPr>
                    </w:pPr>
                    <w:r>
                      <w:rPr>
                        <w:rFonts w:hint="eastAsia"/>
                        <w:sz w:val="20"/>
                        <w:lang w:val="en-US" w:eastAsia="zh-CN"/>
                      </w:rPr>
                      <w:t>W1综合废水</w:t>
                    </w:r>
                  </w:p>
                  <w:p>
                    <w:pPr>
                      <w:pStyle w:val="35"/>
                      <w:rPr>
                        <w:rFonts w:hint="eastAsia"/>
                        <w:lang w:val="en-US" w:eastAsia="zh-CN"/>
                      </w:rPr>
                    </w:pPr>
                  </w:p>
                  <w:p>
                    <w:pPr>
                      <w:rPr>
                        <w:rFonts w:hint="eastAsia"/>
                        <w:lang w:val="en-US" w:eastAsia="zh-CN"/>
                      </w:rPr>
                    </w:pPr>
                  </w:p>
                </w:txbxContent>
              </v:textbox>
            </v:shape>
            <v:shape id="_x0000_s2487" o:spid="_x0000_s2487" o:spt="202" type="#_x0000_t202" style="position:absolute;left:4241800;top:877570;height:292100;width:685800;" fillcolor="#FFFFFF" filled="t" stroked="t" coordsize="21600,21600">
              <v:path/>
              <v:fill on="t" color2="#FFFFFF" focussize="0,0"/>
              <v:stroke color="#000000" joinstyle="miter"/>
              <v:imagedata o:title=""/>
              <o:lock v:ext="edit" aspectratio="f"/>
              <v:textbox>
                <w:txbxContent>
                  <w:p>
                    <w:pPr>
                      <w:snapToGrid w:val="0"/>
                      <w:jc w:val="center"/>
                      <w:rPr>
                        <w:rFonts w:hint="eastAsia" w:asciiTheme="minorEastAsia" w:hAnsiTheme="minorEastAsia" w:eastAsiaTheme="minorEastAsia" w:cstheme="minorEastAsia"/>
                        <w:sz w:val="20"/>
                        <w:lang w:val="en-US"/>
                      </w:rPr>
                    </w:pPr>
                    <w:r>
                      <w:rPr>
                        <w:rFonts w:hint="eastAsia" w:asciiTheme="minorEastAsia" w:hAnsiTheme="minorEastAsia" w:eastAsiaTheme="minorEastAsia" w:cstheme="minorEastAsia"/>
                        <w:sz w:val="20"/>
                        <w:lang w:val="en-US" w:eastAsia="zh-CN"/>
                      </w:rPr>
                      <w:t>水洗</w:t>
                    </w:r>
                  </w:p>
                </w:txbxContent>
              </v:textbox>
            </v:shape>
            <v:shape id="_x0000_s2488" o:spid="_x0000_s2488" o:spt="32" type="#_x0000_t32" style="position:absolute;left:4013199;top:1038860;height:0;width:241300;" filled="f" stroked="t" coordsize="21600,21600">
              <v:path arrowok="t"/>
              <v:fill on="f" focussize="0,0"/>
              <v:stroke color="#000000" endarrow="block"/>
              <v:imagedata o:title=""/>
              <o:lock v:ext="edit" aspectratio="f"/>
            </v:shape>
            <v:shape id="_x0000_s2489" o:spid="_x0000_s2489" o:spt="202" type="#_x0000_t202" style="position:absolute;left:3498214;top:922020;height:228600;width:616585;" filled="f" stroked="f" coordsize="21600,21600">
              <v:path/>
              <v:fill on="f" focussize="0,0"/>
              <v:stroke on="f"/>
              <v:imagedata o:title=""/>
              <o:lock v:ext="edit" aspectratio="f"/>
              <v:textbox>
                <w:txbxContent>
                  <w:p>
                    <w:pPr>
                      <w:rPr>
                        <w:lang w:val="en-US"/>
                      </w:rPr>
                    </w:pPr>
                    <w:r>
                      <w:rPr>
                        <w:rFonts w:hint="eastAsia"/>
                        <w:sz w:val="20"/>
                        <w:lang w:val="en-US" w:eastAsia="zh-CN"/>
                      </w:rPr>
                      <w:t>自来水</w:t>
                    </w:r>
                  </w:p>
                </w:txbxContent>
              </v:textbox>
            </v:shape>
            <v:shape id="_x0000_s2490" o:spid="_x0000_s2490" o:spt="32" type="#_x0000_t32" style="position:absolute;left:4952999;top:1037590;height:0;width:203200;" filled="f" stroked="t" coordsize="21600,21600">
              <v:path arrowok="t"/>
              <v:fill on="f" focussize="0,0"/>
              <v:stroke color="#000000" dashstyle="longDash" endarrow="block"/>
              <v:imagedata o:title=""/>
              <o:lock v:ext="edit" aspectratio="f"/>
            </v:shape>
            <v:shape id="_x0000_s2491" o:spid="_x0000_s2491" o:spt="32" type="#_x0000_t32" style="position:absolute;left:4572000;top:763270;height:139700;width:0;" filled="f" stroked="t" coordsize="21600,21600">
              <v:path arrowok="t"/>
              <v:fill on="f" focussize="0,0"/>
              <v:stroke color="#000000" endarrow="block"/>
              <v:imagedata o:title=""/>
              <o:lock v:ext="edit" aspectratio="f"/>
            </v:shape>
            <v:shape id="_x0000_s2492" o:spid="_x0000_s2492" o:spt="202" type="#_x0000_t202" style="position:absolute;left:5128894;top:899795;height:304800;width:1016000;" filled="f" stroked="f" coordsize="21600,21600">
              <v:path/>
              <v:fill on="f" focussize="0,0"/>
              <v:stroke on="f"/>
              <v:imagedata o:title=""/>
              <o:lock v:ext="edit" aspectratio="f"/>
              <v:textbox>
                <w:txbxContent>
                  <w:p>
                    <w:pPr>
                      <w:rPr>
                        <w:rFonts w:hint="eastAsia" w:eastAsia="宋体"/>
                        <w:sz w:val="20"/>
                        <w:lang w:val="en-US" w:eastAsia="zh-CN"/>
                      </w:rPr>
                    </w:pPr>
                    <w:r>
                      <w:rPr>
                        <w:rFonts w:hint="eastAsia"/>
                        <w:sz w:val="20"/>
                        <w:lang w:val="en-US" w:eastAsia="zh-CN"/>
                      </w:rPr>
                      <w:t>W1综合废水</w:t>
                    </w:r>
                  </w:p>
                </w:txbxContent>
              </v:textbox>
            </v:shape>
            <v:shape id="_x0000_s2493" o:spid="_x0000_s2493" o:spt="202" type="#_x0000_t202" style="position:absolute;left:4207509;top:1294130;height:292100;width:733425;" fillcolor="#FFFFFF" filled="t" stroked="t" coordsize="21600,21600">
              <v:path/>
              <v:fill on="t" color2="#FFFFFF" focussize="0,0"/>
              <v:stroke color="#000000" joinstyle="miter"/>
              <v:imagedata o:title=""/>
              <o:lock v:ext="edit" aspectratio="f"/>
              <v:textbox>
                <w:txbxContent>
                  <w:p>
                    <w:pPr>
                      <w:snapToGrid w:val="0"/>
                      <w:jc w:val="center"/>
                      <w:rPr>
                        <w:rFonts w:hint="eastAsia" w:asciiTheme="minorEastAsia" w:hAnsiTheme="minorEastAsia" w:eastAsiaTheme="minorEastAsia" w:cstheme="minorEastAsia"/>
                        <w:sz w:val="20"/>
                        <w:lang w:val="en-US"/>
                      </w:rPr>
                    </w:pPr>
                    <w:r>
                      <w:rPr>
                        <w:rFonts w:hint="eastAsia" w:asciiTheme="minorEastAsia" w:hAnsiTheme="minorEastAsia" w:eastAsiaTheme="minorEastAsia" w:cstheme="minorEastAsia"/>
                        <w:sz w:val="20"/>
                        <w:lang w:val="en-US" w:eastAsia="zh-CN"/>
                      </w:rPr>
                      <w:t>无氰电镀</w:t>
                    </w:r>
                  </w:p>
                </w:txbxContent>
              </v:textbox>
            </v:shape>
            <v:shape id="_x0000_s2494" o:spid="_x0000_s2494" o:spt="32" type="#_x0000_t32" style="position:absolute;left:4013200;top:1421130;height:0;width:241300;" filled="f" stroked="t" coordsize="21600,21600">
              <v:path arrowok="t"/>
              <v:fill on="f" focussize="0,0"/>
              <v:stroke color="#000000" endarrow="block"/>
              <v:imagedata o:title=""/>
              <o:lock v:ext="edit" aspectratio="f"/>
            </v:shape>
            <v:shape id="_x0000_s2495" o:spid="_x0000_s2495" o:spt="202" type="#_x0000_t202" style="position:absolute;left:3235959;top:1092200;height:988695;width:831850;" filled="f" stroked="f" coordsize="21600,21600">
              <v:path/>
              <v:fill on="f" focussize="0,0"/>
              <v:stroke on="f"/>
              <v:imagedata o:title=""/>
              <o:lock v:ext="edit" aspectratio="f"/>
              <v:textbox>
                <w:txbxContent>
                  <w:p>
                    <w:pPr>
                      <w:spacing w:line="240" w:lineRule="exact"/>
                      <w:jc w:val="right"/>
                      <w:rPr>
                        <w:rFonts w:hint="eastAsia"/>
                        <w:sz w:val="18"/>
                        <w:szCs w:val="18"/>
                        <w:lang w:val="en-US" w:eastAsia="zh-CN"/>
                      </w:rPr>
                    </w:pPr>
                    <w:r>
                      <w:rPr>
                        <w:rFonts w:hint="eastAsia"/>
                        <w:sz w:val="18"/>
                        <w:szCs w:val="18"/>
                        <w:lang w:val="en-US" w:eastAsia="zh-CN"/>
                      </w:rPr>
                      <w:t>咪唑</w:t>
                    </w:r>
                  </w:p>
                  <w:p>
                    <w:pPr>
                      <w:spacing w:line="240" w:lineRule="exact"/>
                      <w:jc w:val="right"/>
                      <w:rPr>
                        <w:rFonts w:hint="eastAsia"/>
                        <w:sz w:val="18"/>
                        <w:szCs w:val="18"/>
                        <w:lang w:val="en-US" w:eastAsia="zh-CN"/>
                      </w:rPr>
                    </w:pPr>
                    <w:r>
                      <w:rPr>
                        <w:rFonts w:hint="eastAsia"/>
                        <w:sz w:val="18"/>
                        <w:szCs w:val="18"/>
                        <w:lang w:val="en-US" w:eastAsia="zh-CN"/>
                      </w:rPr>
                      <w:t>银</w:t>
                    </w:r>
                  </w:p>
                  <w:p>
                    <w:pPr>
                      <w:spacing w:line="240" w:lineRule="exact"/>
                      <w:jc w:val="right"/>
                      <w:rPr>
                        <w:rFonts w:hint="eastAsia"/>
                        <w:sz w:val="18"/>
                        <w:szCs w:val="18"/>
                      </w:rPr>
                    </w:pPr>
                    <w:r>
                      <w:rPr>
                        <w:rFonts w:hint="eastAsia"/>
                        <w:sz w:val="18"/>
                        <w:szCs w:val="18"/>
                      </w:rPr>
                      <w:t>硝酸银</w:t>
                    </w:r>
                  </w:p>
                  <w:p>
                    <w:pPr>
                      <w:spacing w:line="240" w:lineRule="exact"/>
                      <w:jc w:val="right"/>
                      <w:rPr>
                        <w:rFonts w:hint="eastAsia"/>
                        <w:sz w:val="18"/>
                        <w:szCs w:val="18"/>
                      </w:rPr>
                    </w:pPr>
                    <w:r>
                      <w:rPr>
                        <w:rFonts w:hint="eastAsia"/>
                        <w:sz w:val="18"/>
                        <w:szCs w:val="18"/>
                      </w:rPr>
                      <w:t>磺基水杨酸</w:t>
                    </w:r>
                  </w:p>
                  <w:p>
                    <w:pPr>
                      <w:pStyle w:val="35"/>
                      <w:rPr>
                        <w:rFonts w:hint="eastAsia"/>
                        <w:sz w:val="20"/>
                        <w:lang w:val="en-US" w:eastAsia="zh-CN"/>
                      </w:rPr>
                    </w:pPr>
                  </w:p>
                </w:txbxContent>
              </v:textbox>
            </v:shape>
            <v:shape id="_x0000_s2497" o:spid="_x0000_s2497" o:spt="32" type="#_x0000_t32" style="position:absolute;left:4572000;top:1179830;height:139700;width:0;" filled="f" stroked="t" coordsize="21600,21600">
              <v:path arrowok="t"/>
              <v:fill on="f" focussize="0,0"/>
              <v:stroke color="#000000" endarrow="block"/>
              <v:imagedata o:title=""/>
              <o:lock v:ext="edit" aspectratio="f"/>
            </v:shape>
            <v:shape id="_x0000_s2499" o:spid="_x0000_s2499" o:spt="202" type="#_x0000_t202" style="position:absolute;left:4241800;top:1711325;height:292100;width:685800;" fillcolor="#FFFFFF" filled="t" stroked="t" coordsize="21600,21600">
              <v:path/>
              <v:fill on="t" color2="#FFFFFF" focussize="0,0"/>
              <v:stroke color="#000000" joinstyle="miter"/>
              <v:imagedata o:title=""/>
              <o:lock v:ext="edit" aspectratio="f"/>
              <v:textbox>
                <w:txbxContent>
                  <w:p>
                    <w:pPr>
                      <w:snapToGrid w:val="0"/>
                      <w:jc w:val="center"/>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sz w:val="20"/>
                        <w:lang w:val="en-US" w:eastAsia="zh-CN"/>
                      </w:rPr>
                      <w:t>水洗</w:t>
                    </w:r>
                  </w:p>
                </w:txbxContent>
              </v:textbox>
            </v:shape>
            <v:shape id="_x0000_s2500" o:spid="_x0000_s2500" o:spt="32" type="#_x0000_t32" style="position:absolute;left:4013200;top:1838325;height:0;width:241300;" filled="f" stroked="t" coordsize="21600,21600">
              <v:path arrowok="t"/>
              <v:fill on="f" focussize="0,0"/>
              <v:stroke color="#000000" endarrow="block"/>
              <v:imagedata o:title=""/>
              <o:lock v:ext="edit" aspectratio="f"/>
            </v:shape>
            <v:shape id="_x0000_s2501" o:spid="_x0000_s2501" o:spt="202" type="#_x0000_t202" style="position:absolute;left:3402329;top:1698625;height:228600;width:712470;" filled="f" stroked="f" coordsize="21600,21600">
              <v:path/>
              <v:fill on="f" focussize="0,0"/>
              <v:stroke on="f"/>
              <v:imagedata o:title=""/>
              <o:lock v:ext="edit" aspectratio="f"/>
              <v:textbox>
                <w:txbxContent>
                  <w:p>
                    <w:pPr>
                      <w:snapToGrid w:val="0"/>
                      <w:jc w:val="center"/>
                      <w:rPr>
                        <w:sz w:val="20"/>
                        <w:lang w:val="en-US"/>
                      </w:rPr>
                    </w:pPr>
                    <w:r>
                      <w:rPr>
                        <w:rFonts w:hint="eastAsia"/>
                        <w:sz w:val="20"/>
                        <w:lang w:val="en-US" w:eastAsia="zh-CN"/>
                      </w:rPr>
                      <w:t>自来水</w:t>
                    </w:r>
                  </w:p>
                </w:txbxContent>
              </v:textbox>
            </v:shape>
            <v:shape id="_x0000_s2502" o:spid="_x0000_s2502" o:spt="32" type="#_x0000_t32" style="position:absolute;left:4953000;top:1825625;height:0;width:203200;" filled="f" stroked="t" coordsize="21600,21600">
              <v:path arrowok="t"/>
              <v:fill on="f" focussize="0,0"/>
              <v:stroke color="#000000" dashstyle="longDash" endarrow="block"/>
              <v:imagedata o:title=""/>
              <o:lock v:ext="edit" aspectratio="f"/>
            </v:shape>
            <v:shape id="_x0000_s2503" o:spid="_x0000_s2503" o:spt="32" type="#_x0000_t32" style="position:absolute;left:4572000;top:1597025;height:139700;width:0;" filled="f" stroked="t" coordsize="21600,21600">
              <v:path arrowok="t"/>
              <v:fill on="f" focussize="0,0"/>
              <v:stroke color="#000000" endarrow="block"/>
              <v:imagedata o:title=""/>
              <o:lock v:ext="edit" aspectratio="f"/>
            </v:shape>
            <v:shape id="_x0000_s2504" o:spid="_x0000_s2504" o:spt="202" type="#_x0000_t202" style="position:absolute;left:5052694;top:1711325;height:304800;width:1016000;" filled="f" stroked="f" coordsize="21600,21600">
              <v:path/>
              <v:fill on="f" focussize="0,0"/>
              <v:stroke on="f"/>
              <v:imagedata o:title=""/>
              <o:lock v:ext="edit" aspectratio="f"/>
              <v:textbox>
                <w:txbxContent>
                  <w:p>
                    <w:pPr>
                      <w:rPr>
                        <w:rFonts w:hint="eastAsia"/>
                        <w:lang w:val="en-US" w:eastAsia="zh-CN"/>
                      </w:rPr>
                    </w:pPr>
                    <w:r>
                      <w:rPr>
                        <w:rFonts w:hint="eastAsia"/>
                        <w:sz w:val="20"/>
                        <w:lang w:val="en-US" w:eastAsia="zh-CN"/>
                      </w:rPr>
                      <w:t>W1综合废水</w:t>
                    </w:r>
                  </w:p>
                  <w:p>
                    <w:pPr>
                      <w:rPr>
                        <w:rFonts w:hint="eastAsia"/>
                        <w:lang w:val="en-US" w:eastAsia="zh-CN"/>
                      </w:rPr>
                    </w:pPr>
                  </w:p>
                </w:txbxContent>
              </v:textbox>
            </v:shape>
            <v:shape id="_x0000_s2505" o:spid="_x0000_s2505" o:spt="202" type="#_x0000_t202" style="position:absolute;left:4241800;top:2139315;height:292100;width:685800;" fillcolor="#FFFFFF" filled="t" stroked="t" coordsize="21600,21600">
              <v:path/>
              <v:fill on="t" color2="#FFFFFF" focussize="0,0"/>
              <v:stroke color="#000000" joinstyle="miter"/>
              <v:imagedata o:title=""/>
              <o:lock v:ext="edit" aspectratio="f"/>
              <v:textbox>
                <w:txbxContent>
                  <w:p>
                    <w:pPr>
                      <w:snapToGrid w:val="0"/>
                      <w:jc w:val="center"/>
                      <w:rPr>
                        <w:rFonts w:hint="eastAsia" w:asciiTheme="minorEastAsia" w:hAnsiTheme="minorEastAsia" w:eastAsiaTheme="minorEastAsia" w:cstheme="minorEastAsia"/>
                        <w:sz w:val="20"/>
                        <w:lang w:val="en-US"/>
                      </w:rPr>
                    </w:pPr>
                    <w:r>
                      <w:rPr>
                        <w:rFonts w:hint="eastAsia" w:asciiTheme="minorEastAsia" w:hAnsiTheme="minorEastAsia" w:eastAsiaTheme="minorEastAsia" w:cstheme="minorEastAsia"/>
                        <w:sz w:val="20"/>
                        <w:lang w:val="en-US" w:eastAsia="zh-CN"/>
                      </w:rPr>
                      <w:t>氯化</w:t>
                    </w:r>
                  </w:p>
                </w:txbxContent>
              </v:textbox>
            </v:shape>
            <v:shape id="_x0000_s2506" o:spid="_x0000_s2506" o:spt="32" type="#_x0000_t32" style="position:absolute;left:4572000;top:2025015;height:139700;width:0;" filled="f" stroked="t" coordsize="21600,21600">
              <v:path arrowok="t"/>
              <v:fill on="f" focussize="0,0"/>
              <v:stroke color="#000000" endarrow="block"/>
              <v:imagedata o:title=""/>
              <o:lock v:ext="edit" aspectratio="f"/>
            </v:shape>
            <v:shape id="_x0000_s2507" o:spid="_x0000_s2507" o:spt="202" type="#_x0000_t202" style="position:absolute;left:4241800;top:2556510;height:292100;width:685800;" fillcolor="#FFFFFF" filled="t" stroked="t" coordsize="21600,21600">
              <v:path/>
              <v:fill on="t" color2="#FFFFFF" focussize="0,0"/>
              <v:stroke color="#000000" joinstyle="miter"/>
              <v:imagedata o:title=""/>
              <o:lock v:ext="edit" aspectratio="f"/>
              <v:textbox>
                <w:txbxContent>
                  <w:p>
                    <w:pPr>
                      <w:snapToGrid w:val="0"/>
                      <w:jc w:val="center"/>
                      <w:rPr>
                        <w:rFonts w:hint="eastAsia" w:asciiTheme="minorEastAsia" w:hAnsiTheme="minorEastAsia" w:eastAsiaTheme="minorEastAsia" w:cstheme="minorEastAsia"/>
                        <w:sz w:val="20"/>
                        <w:lang w:val="en-US"/>
                      </w:rPr>
                    </w:pPr>
                    <w:r>
                      <w:rPr>
                        <w:rFonts w:hint="eastAsia" w:asciiTheme="minorEastAsia" w:hAnsiTheme="minorEastAsia" w:eastAsiaTheme="minorEastAsia" w:cstheme="minorEastAsia"/>
                        <w:sz w:val="20"/>
                        <w:lang w:val="en-US" w:eastAsia="zh-CN"/>
                      </w:rPr>
                      <w:t>水洗</w:t>
                    </w:r>
                  </w:p>
                </w:txbxContent>
              </v:textbox>
            </v:shape>
            <v:shape id="_x0000_s2508" o:spid="_x0000_s2508" o:spt="32" type="#_x0000_t32" style="position:absolute;left:4572000;top:2442210;height:139700;width:0;" filled="f" stroked="t" coordsize="21600,21600">
              <v:path arrowok="t"/>
              <v:fill on="f" focussize="0,0"/>
              <v:stroke color="#000000" endarrow="block"/>
              <v:imagedata o:title=""/>
              <o:lock v:ext="edit" aspectratio="f"/>
            </v:shape>
            <v:shape id="_x0000_s2509" o:spid="_x0000_s2509" o:spt="202" type="#_x0000_t202" style="position:absolute;left:0;top:1576705;height:257810;width:729615;" filled="f" stroked="f" coordsize="21600,21600">
              <v:path/>
              <v:fill on="f" focussize="0,0"/>
              <v:stroke on="f"/>
              <v:imagedata o:title=""/>
              <o:lock v:ext="edit" aspectratio="f"/>
              <v:textbox>
                <w:txbxContent>
                  <w:p>
                    <w:pPr>
                      <w:snapToGrid w:val="0"/>
                      <w:jc w:val="right"/>
                      <w:rPr>
                        <w:rFonts w:hint="eastAsia"/>
                        <w:sz w:val="20"/>
                        <w:lang w:val="en-US" w:eastAsia="zh-CN"/>
                      </w:rPr>
                    </w:pPr>
                    <w:r>
                      <w:rPr>
                        <w:rFonts w:hint="eastAsia"/>
                        <w:sz w:val="20"/>
                        <w:lang w:val="en-US" w:eastAsia="zh-CN"/>
                      </w:rPr>
                      <w:t>自来水</w:t>
                    </w:r>
                  </w:p>
                </w:txbxContent>
              </v:textbox>
            </v:shape>
            <v:shape id="_x0000_s2510" o:spid="_x0000_s2510" o:spt="32" type="#_x0000_t32" style="position:absolute;left:1624965;top:1668780;height:0;width:203200;" filled="f" stroked="t" coordsize="21600,21600">
              <v:path arrowok="t"/>
              <v:fill on="f" focussize="0,0"/>
              <v:stroke color="#000000" dashstyle="longDash" endarrow="block"/>
              <v:imagedata o:title=""/>
              <o:lock v:ext="edit" aspectratio="f"/>
            </v:shape>
            <v:shape id="_x0000_s2511" o:spid="_x0000_s2511" o:spt="32" type="#_x0000_t32" style="position:absolute;left:1256665;top:1465580;height:139700;width:0;" filled="f" stroked="t" coordsize="21600,21600">
              <v:path arrowok="t"/>
              <v:fill on="f" focussize="0,0"/>
              <v:stroke color="#000000" endarrow="block"/>
              <v:imagedata o:title=""/>
              <o:lock v:ext="edit" aspectratio="f"/>
            </v:shape>
            <v:shape id="_x0000_s2512" o:spid="_x0000_s2512" o:spt="202" type="#_x0000_t202" style="position:absolute;left:1764665;top:1565910;height:244475;width:1016000;" filled="f" stroked="f" coordsize="21600,21600">
              <v:path/>
              <v:fill on="f" focussize="0,0"/>
              <v:stroke on="f"/>
              <v:imagedata o:title=""/>
              <o:lock v:ext="edit" aspectratio="f"/>
              <v:textbox>
                <w:txbxContent>
                  <w:p>
                    <w:pPr>
                      <w:rPr>
                        <w:rFonts w:hint="eastAsia"/>
                        <w:lang w:val="en-US" w:eastAsia="zh-CN"/>
                      </w:rPr>
                    </w:pPr>
                    <w:r>
                      <w:rPr>
                        <w:rFonts w:hint="eastAsia"/>
                        <w:sz w:val="20"/>
                        <w:lang w:val="en-US" w:eastAsia="zh-CN"/>
                      </w:rPr>
                      <w:t>W2含铬废水</w:t>
                    </w:r>
                  </w:p>
                </w:txbxContent>
              </v:textbox>
            </v:shape>
            <v:shape id="_x0000_s2513" o:spid="_x0000_s2513" o:spt="202" type="#_x0000_t202" style="position:absolute;left:926465;top:1567180;height:292100;width:685800;" fillcolor="#FFFFFF" filled="t" stroked="t" coordsize="21600,21600">
              <v:path/>
              <v:fill on="t" color2="#FFFFFF" focussize="0,0"/>
              <v:stroke color="#000000" joinstyle="miter"/>
              <v:imagedata o:title=""/>
              <o:lock v:ext="edit" aspectratio="f"/>
              <v:textbox>
                <w:txbxContent>
                  <w:p>
                    <w:pPr>
                      <w:snapToGrid w:val="0"/>
                      <w:jc w:val="center"/>
                      <w:rPr>
                        <w:rFonts w:hint="eastAsia" w:asciiTheme="minorEastAsia" w:hAnsiTheme="minorEastAsia" w:eastAsiaTheme="minorEastAsia" w:cstheme="minorEastAsia"/>
                        <w:sz w:val="20"/>
                        <w:lang w:val="en-US" w:eastAsia="zh-CN"/>
                      </w:rPr>
                    </w:pPr>
                    <w:r>
                      <w:rPr>
                        <w:rFonts w:hint="eastAsia" w:asciiTheme="minorEastAsia" w:hAnsiTheme="minorEastAsia" w:eastAsiaTheme="minorEastAsia" w:cstheme="minorEastAsia"/>
                        <w:sz w:val="20"/>
                        <w:lang w:val="en-US" w:eastAsia="zh-CN"/>
                      </w:rPr>
                      <w:t>水洗</w:t>
                    </w:r>
                  </w:p>
                </w:txbxContent>
              </v:textbox>
            </v:shape>
            <v:shape id="_x0000_s2514" o:spid="_x0000_s2514" o:spt="202" type="#_x0000_t202" style="position:absolute;left:0;top:1983739;height:425450;width:964565;" filled="f" stroked="f" coordsize="21600,21600">
              <v:path/>
              <v:fill on="f" focussize="0,0"/>
              <v:stroke on="f"/>
              <v:imagedata o:title=""/>
              <o:lock v:ext="edit" aspectratio="f"/>
              <v:textbox>
                <w:txbxContent>
                  <w:p>
                    <w:pPr>
                      <w:rPr>
                        <w:rFonts w:hint="eastAsia"/>
                        <w:sz w:val="20"/>
                        <w:lang w:val="en-US" w:eastAsia="zh-CN"/>
                      </w:rPr>
                    </w:pPr>
                    <w:r>
                      <w:rPr>
                        <w:rFonts w:hint="eastAsia"/>
                        <w:sz w:val="20"/>
                        <w:lang w:val="en-US" w:eastAsia="zh-CN"/>
                      </w:rPr>
                      <w:t>无水硫酸钠</w:t>
                    </w:r>
                  </w:p>
                  <w:p>
                    <w:pPr>
                      <w:pStyle w:val="35"/>
                      <w:ind w:left="0" w:leftChars="0" w:firstLine="0" w:firstLineChars="0"/>
                      <w:rPr>
                        <w:lang w:val="en-US"/>
                      </w:rPr>
                    </w:pPr>
                    <w:r>
                      <w:rPr>
                        <w:rFonts w:hint="eastAsia"/>
                        <w:sz w:val="20"/>
                        <w:lang w:val="en-US" w:eastAsia="zh-CN"/>
                      </w:rPr>
                      <w:t>焦亚硫酸钠</w:t>
                    </w:r>
                  </w:p>
                </w:txbxContent>
              </v:textbox>
            </v:shape>
            <v:shape id="_x0000_s2515" o:spid="_x0000_s2515" o:spt="32" type="#_x0000_t32" style="position:absolute;left:1649095;top:2119629;height:0;width:203200;" filled="f" stroked="t" coordsize="21600,21600">
              <v:path arrowok="t"/>
              <v:fill on="f" focussize="0,0"/>
              <v:stroke color="#000000" dashstyle="longDash" endarrow="block"/>
              <v:imagedata o:title=""/>
              <o:lock v:ext="edit" aspectratio="f"/>
            </v:shape>
            <v:shape id="_x0000_s2516" o:spid="_x0000_s2516" o:spt="32" type="#_x0000_t32" style="position:absolute;left:1280795;top:1882140;height:139700;width:0;" filled="f" stroked="t" coordsize="21600,21600">
              <v:path arrowok="t"/>
              <v:fill on="f" focussize="0,0"/>
              <v:stroke color="#000000" endarrow="block"/>
              <v:imagedata o:title=""/>
              <o:lock v:ext="edit" aspectratio="f"/>
            </v:shape>
            <v:shape id="_x0000_s2517" o:spid="_x0000_s2517" o:spt="202" type="#_x0000_t202" style="position:absolute;left:1777365;top:1983739;height:326390;width:1016000;" filled="f" stroked="f" coordsize="21600,21600">
              <v:path/>
              <v:fill on="f" focussize="0,0"/>
              <v:stroke on="f"/>
              <v:imagedata o:title=""/>
              <o:lock v:ext="edit" aspectratio="f"/>
              <v:textbox>
                <w:txbxContent>
                  <w:p>
                    <w:pPr>
                      <w:pStyle w:val="35"/>
                      <w:ind w:left="0" w:leftChars="0" w:firstLine="0" w:firstLineChars="0"/>
                      <w:jc w:val="left"/>
                      <w:rPr>
                        <w:rFonts w:hint="eastAsia"/>
                        <w:lang w:val="en-US" w:eastAsia="zh-CN"/>
                      </w:rPr>
                    </w:pPr>
                    <w:r>
                      <w:rPr>
                        <w:rFonts w:hint="eastAsia"/>
                        <w:sz w:val="20"/>
                        <w:lang w:val="en-US" w:eastAsia="zh-CN"/>
                      </w:rPr>
                      <w:t>S2槽渣</w:t>
                    </w:r>
                  </w:p>
                  <w:p>
                    <w:pPr>
                      <w:rPr>
                        <w:rFonts w:hint="eastAsia"/>
                        <w:lang w:val="en-US" w:eastAsia="zh-CN"/>
                      </w:rPr>
                    </w:pPr>
                  </w:p>
                </w:txbxContent>
              </v:textbox>
            </v:shape>
            <v:shape id="_x0000_s2518" o:spid="_x0000_s2518" o:spt="202" type="#_x0000_t202" style="position:absolute;left:950595;top:1983740;height:292100;width:685800;" fillcolor="#FFFFFF" filled="t" stroked="t" coordsize="21600,21600">
              <v:path/>
              <v:fill on="t" color2="#FFFFFF" focussize="0,0"/>
              <v:stroke color="#000000" joinstyle="miter"/>
              <v:imagedata o:title=""/>
              <o:lock v:ext="edit" aspectratio="f"/>
              <v:textbox>
                <w:txbxContent>
                  <w:p>
                    <w:pPr>
                      <w:snapToGrid w:val="0"/>
                      <w:jc w:val="center"/>
                      <w:rPr>
                        <w:rFonts w:hint="eastAsia" w:asciiTheme="minorEastAsia" w:hAnsiTheme="minorEastAsia" w:eastAsiaTheme="minorEastAsia" w:cstheme="minorEastAsia"/>
                        <w:sz w:val="20"/>
                        <w:lang w:val="en-US" w:eastAsia="zh-CN"/>
                      </w:rPr>
                    </w:pPr>
                    <w:r>
                      <w:rPr>
                        <w:rFonts w:hint="eastAsia" w:asciiTheme="minorEastAsia" w:hAnsiTheme="minorEastAsia" w:eastAsiaTheme="minorEastAsia" w:cstheme="minorEastAsia"/>
                        <w:sz w:val="20"/>
                        <w:lang w:val="en-US" w:eastAsia="zh-CN"/>
                      </w:rPr>
                      <w:t>还原</w:t>
                    </w:r>
                  </w:p>
                </w:txbxContent>
              </v:textbox>
            </v:shape>
            <v:shape id="_x0000_s2519" o:spid="_x0000_s2519" o:spt="202" type="#_x0000_t202" style="position:absolute;left:108585;top:2457449;height:304800;width:622300;" filled="f" stroked="f" coordsize="21600,21600">
              <v:path/>
              <v:fill on="f" focussize="0,0"/>
              <v:stroke on="f"/>
              <v:imagedata o:title=""/>
              <o:lock v:ext="edit" aspectratio="f"/>
              <v:textbox>
                <w:txbxContent>
                  <w:p>
                    <w:pPr>
                      <w:snapToGrid w:val="0"/>
                      <w:jc w:val="center"/>
                      <w:rPr>
                        <w:rFonts w:hint="eastAsia" w:eastAsia="宋体"/>
                        <w:sz w:val="20"/>
                        <w:lang w:val="en-US" w:eastAsia="zh-CN"/>
                      </w:rPr>
                    </w:pPr>
                    <w:r>
                      <w:rPr>
                        <w:rFonts w:hint="eastAsia"/>
                        <w:sz w:val="20"/>
                        <w:lang w:val="en-US" w:eastAsia="zh-CN"/>
                      </w:rPr>
                      <w:t>自来水</w:t>
                    </w:r>
                  </w:p>
                </w:txbxContent>
              </v:textbox>
            </v:shape>
            <v:shape id="_x0000_s2520" o:spid="_x0000_s2520" o:spt="32" type="#_x0000_t32" style="position:absolute;left:1649095;top:2490470;height:0;width:203200;" filled="f" stroked="t" coordsize="21600,21600">
              <v:path arrowok="t"/>
              <v:fill on="f" focussize="0,0"/>
              <v:stroke color="#000000" dashstyle="longDash" endarrow="block"/>
              <v:imagedata o:title=""/>
              <o:lock v:ext="edit" aspectratio="f"/>
            </v:shape>
            <v:shape id="_x0000_s2521" o:spid="_x0000_s2521" o:spt="32" type="#_x0000_t32" style="position:absolute;left:1280795;top:2287270;height:139700;width:0;" filled="f" stroked="t" coordsize="21600,21600">
              <v:path arrowok="t"/>
              <v:fill on="f" focussize="0,0"/>
              <v:stroke color="#000000" endarrow="block"/>
              <v:imagedata o:title=""/>
              <o:lock v:ext="edit" aspectratio="f"/>
            </v:shape>
            <v:shape id="_x0000_s2522" o:spid="_x0000_s2522" o:spt="202" type="#_x0000_t202" style="position:absolute;left:1743075;top:2376169;height:304800;width:1016000;" filled="f" stroked="f" coordsize="21600,21600">
              <v:path/>
              <v:fill on="f" focussize="0,0"/>
              <v:stroke on="f"/>
              <v:imagedata o:title=""/>
              <o:lock v:ext="edit" aspectratio="f"/>
              <v:textbox>
                <w:txbxContent>
                  <w:p>
                    <w:pPr>
                      <w:snapToGrid w:val="0"/>
                      <w:jc w:val="center"/>
                      <w:rPr>
                        <w:rFonts w:hint="eastAsia"/>
                        <w:lang w:val="en-US" w:eastAsia="zh-CN"/>
                      </w:rPr>
                    </w:pPr>
                    <w:r>
                      <w:rPr>
                        <w:rFonts w:hint="eastAsia"/>
                        <w:sz w:val="20"/>
                        <w:lang w:val="en-US" w:eastAsia="zh-CN"/>
                      </w:rPr>
                      <w:t>W1综合废水</w:t>
                    </w:r>
                  </w:p>
                </w:txbxContent>
              </v:textbox>
            </v:shape>
            <v:shape id="_x0000_s2523" o:spid="_x0000_s2523" o:spt="202" type="#_x0000_t202" style="position:absolute;left:950595;top:2388870;height:292100;width:685800;" fillcolor="#FFFFFF" filled="t" stroked="t" coordsize="21600,21600">
              <v:path/>
              <v:fill on="t" color2="#FFFFFF" focussize="0,0"/>
              <v:stroke color="#000000" joinstyle="miter"/>
              <v:imagedata o:title=""/>
              <o:lock v:ext="edit" aspectratio="f"/>
              <v:textbox>
                <w:txbxContent>
                  <w:p>
                    <w:pPr>
                      <w:snapToGrid w:val="0"/>
                      <w:jc w:val="center"/>
                      <w:rPr>
                        <w:rFonts w:hint="eastAsia" w:asciiTheme="minorEastAsia" w:hAnsiTheme="minorEastAsia" w:eastAsiaTheme="minorEastAsia" w:cstheme="minorEastAsia"/>
                        <w:sz w:val="20"/>
                        <w:lang w:val="en-US"/>
                      </w:rPr>
                    </w:pPr>
                    <w:r>
                      <w:rPr>
                        <w:rFonts w:hint="eastAsia" w:asciiTheme="minorEastAsia" w:hAnsiTheme="minorEastAsia" w:eastAsiaTheme="minorEastAsia" w:cstheme="minorEastAsia"/>
                        <w:sz w:val="20"/>
                        <w:lang w:val="en-US" w:eastAsia="zh-CN"/>
                      </w:rPr>
                      <w:t>水洗</w:t>
                    </w:r>
                  </w:p>
                </w:txbxContent>
              </v:textbox>
            </v:shape>
            <v:shape id="_x0000_s2524" o:spid="_x0000_s2524" o:spt="202" type="#_x0000_t202" style="position:absolute;left:0;top:2740024;height:412115;width:763270;" filled="f" stroked="f" coordsize="21600,21600">
              <v:path/>
              <v:fill on="f" focussize="0,0"/>
              <v:stroke on="f"/>
              <v:imagedata o:title=""/>
              <o:lock v:ext="edit" aspectratio="f"/>
              <v:textbox>
                <w:txbxContent>
                  <w:p>
                    <w:pPr>
                      <w:jc w:val="right"/>
                      <w:rPr>
                        <w:color w:val="auto"/>
                      </w:rPr>
                    </w:pPr>
                    <w:r>
                      <w:rPr>
                        <w:rFonts w:hint="eastAsia"/>
                        <w:color w:val="auto"/>
                      </w:rPr>
                      <w:t>氯化亚锡</w:t>
                    </w:r>
                  </w:p>
                  <w:p>
                    <w:pPr>
                      <w:jc w:val="right"/>
                      <w:rPr>
                        <w:color w:val="auto"/>
                      </w:rPr>
                    </w:pPr>
                    <w:r>
                      <w:rPr>
                        <w:rFonts w:hint="eastAsia"/>
                        <w:color w:val="auto"/>
                      </w:rPr>
                      <w:t>盐酸</w:t>
                    </w:r>
                  </w:p>
                  <w:p>
                    <w:pPr>
                      <w:jc w:val="right"/>
                      <w:rPr>
                        <w:rFonts w:hint="eastAsia"/>
                        <w:sz w:val="20"/>
                        <w:lang w:val="en-US" w:eastAsia="zh-CN"/>
                      </w:rPr>
                    </w:pPr>
                  </w:p>
                </w:txbxContent>
              </v:textbox>
            </v:shape>
            <v:shape id="_x0000_s2525" o:spid="_x0000_s2525" o:spt="32" type="#_x0000_t32" style="position:absolute;left:1661160;top:2907030;height:0;width:203200;" filled="f" stroked="t" coordsize="21600,21600">
              <v:path arrowok="t"/>
              <v:fill on="f" focussize="0,0"/>
              <v:stroke color="#000000" dashstyle="longDash" endarrow="block"/>
              <v:imagedata o:title=""/>
              <o:lock v:ext="edit" aspectratio="f"/>
            </v:shape>
            <v:shape id="_x0000_s2526" o:spid="_x0000_s2526" o:spt="32" type="#_x0000_t32" style="position:absolute;left:1292860;top:2703830;height:139700;width:0;" filled="f" stroked="t" coordsize="21600,21600">
              <v:path arrowok="t"/>
              <v:fill on="f" focussize="0,0"/>
              <v:stroke color="#000000" endarrow="block"/>
              <v:imagedata o:title=""/>
              <o:lock v:ext="edit" aspectratio="f"/>
            </v:shape>
            <v:shape id="_x0000_s2527" o:spid="_x0000_s2527" o:spt="202" type="#_x0000_t202" style="position:absolute;left:1800860;top:2724149;height:387985;width:1016000;" filled="f" stroked="f" coordsize="21600,21600">
              <v:path/>
              <v:fill on="f" focussize="0,0"/>
              <v:stroke on="f"/>
              <v:imagedata o:title=""/>
              <o:lock v:ext="edit" aspectratio="f"/>
              <v:textbox>
                <w:txbxContent>
                  <w:p>
                    <w:pPr>
                      <w:snapToGrid w:val="0"/>
                      <w:jc w:val="left"/>
                      <w:rPr>
                        <w:rFonts w:hint="eastAsia"/>
                        <w:sz w:val="20"/>
                        <w:lang w:val="en-US" w:eastAsia="zh-CN"/>
                      </w:rPr>
                    </w:pPr>
                    <w:r>
                      <w:rPr>
                        <w:rFonts w:hint="eastAsia"/>
                        <w:sz w:val="20"/>
                        <w:lang w:val="en-US" w:eastAsia="zh-CN"/>
                      </w:rPr>
                      <w:t>G1酸雾</w:t>
                    </w:r>
                  </w:p>
                  <w:p>
                    <w:pPr>
                      <w:pStyle w:val="35"/>
                      <w:ind w:left="0" w:leftChars="0" w:firstLine="0" w:firstLineChars="0"/>
                      <w:jc w:val="left"/>
                      <w:rPr>
                        <w:rFonts w:hint="eastAsia"/>
                        <w:lang w:val="en-US" w:eastAsia="zh-CN"/>
                      </w:rPr>
                    </w:pPr>
                    <w:r>
                      <w:rPr>
                        <w:rFonts w:hint="eastAsia"/>
                        <w:sz w:val="20"/>
                        <w:lang w:val="en-US" w:eastAsia="zh-CN"/>
                      </w:rPr>
                      <w:t>S2槽渣</w:t>
                    </w:r>
                  </w:p>
                  <w:p>
                    <w:pPr>
                      <w:rPr>
                        <w:rFonts w:hint="eastAsia"/>
                        <w:lang w:val="en-US" w:eastAsia="zh-CN"/>
                      </w:rPr>
                    </w:pPr>
                  </w:p>
                </w:txbxContent>
              </v:textbox>
            </v:shape>
            <v:shape id="_x0000_s2528" o:spid="_x0000_s2528" o:spt="202" type="#_x0000_t202" style="position:absolute;left:962660;top:2805430;height:292100;width:685800;" fillcolor="#FFFFFF" filled="t" stroked="t" coordsize="21600,21600">
              <v:path/>
              <v:fill on="t" color2="#FFFFFF" focussize="0,0"/>
              <v:stroke color="#000000" joinstyle="miter"/>
              <v:imagedata o:title=""/>
              <o:lock v:ext="edit" aspectratio="f"/>
              <v:textbox>
                <w:txbxContent>
                  <w:p>
                    <w:pPr>
                      <w:snapToGrid w:val="0"/>
                      <w:jc w:val="center"/>
                      <w:rPr>
                        <w:rFonts w:hint="eastAsia" w:asciiTheme="minorEastAsia" w:hAnsiTheme="minorEastAsia" w:eastAsiaTheme="minorEastAsia" w:cstheme="minorEastAsia"/>
                        <w:sz w:val="20"/>
                        <w:lang w:val="en-US"/>
                      </w:rPr>
                    </w:pPr>
                    <w:r>
                      <w:rPr>
                        <w:rFonts w:hint="eastAsia" w:asciiTheme="minorEastAsia" w:hAnsiTheme="minorEastAsia" w:eastAsiaTheme="minorEastAsia" w:cstheme="minorEastAsia"/>
                        <w:sz w:val="20"/>
                        <w:lang w:val="en-US" w:eastAsia="zh-CN"/>
                      </w:rPr>
                      <w:t>敏化</w:t>
                    </w:r>
                  </w:p>
                </w:txbxContent>
              </v:textbox>
            </v:shape>
            <v:shape id="_x0000_s2529" o:spid="_x0000_s2529" o:spt="32" type="#_x0000_t32" style="position:absolute;left:703580;top:1715135;height:0;width:241300;" filled="f" stroked="t" coordsize="21600,21600">
              <v:path arrowok="t"/>
              <v:fill on="f" focussize="0,0"/>
              <v:stroke color="#000000" endarrow="block"/>
              <v:imagedata o:title=""/>
              <o:lock v:ext="edit" aspectratio="f"/>
            </v:shape>
            <v:shape id="_x0000_s2530" o:spid="_x0000_s2530" o:spt="32" type="#_x0000_t32" style="position:absolute;left:715645;top:2156460;height:0;width:241300;" filled="f" stroked="t" coordsize="21600,21600">
              <v:path arrowok="t"/>
              <v:fill on="f" focussize="0,0"/>
              <v:stroke color="#000000" endarrow="block"/>
              <v:imagedata o:title=""/>
              <o:lock v:ext="edit" aspectratio="f"/>
            </v:shape>
            <v:shape id="_x0000_s2531" o:spid="_x0000_s2531" o:spt="32" type="#_x0000_t32" style="position:absolute;left:727710;top:2573020;height:0;width:241300;" filled="f" stroked="t" coordsize="21600,21600">
              <v:path arrowok="t"/>
              <v:fill on="f" focussize="0,0"/>
              <v:stroke color="#000000" endarrow="block"/>
              <v:imagedata o:title=""/>
              <o:lock v:ext="edit" aspectratio="f"/>
            </v:shape>
            <v:shape id="_x0000_s2532" o:spid="_x0000_s2532" o:spt="32" type="#_x0000_t32" style="position:absolute;left:751205;top:2977515;height:0;width:241300;" filled="f" stroked="t" coordsize="21600,21600">
              <v:path arrowok="t"/>
              <v:fill on="f" focussize="0,0"/>
              <v:stroke color="#000000" endarrow="block"/>
              <v:imagedata o:title=""/>
              <o:lock v:ext="edit" aspectratio="f"/>
            </v:shape>
            <v:shape id="_x0000_s2533" o:spid="_x0000_s2533" o:spt="32" type="#_x0000_t32" style="position:absolute;left:1287145;top:3108325;height:139700;width:0;" filled="f" stroked="t" coordsize="21600,21600">
              <v:path arrowok="t"/>
              <v:fill on="f" focussize="0,0"/>
              <v:stroke color="#000000" endarrow="block"/>
              <v:imagedata o:title=""/>
              <o:lock v:ext="edit" aspectratio="f"/>
            </v:shape>
            <v:line id="_x0000_s2534" o:spid="_x0000_s2534" o:spt="20" style="position:absolute;left:1280795;top:3645534;height:635;width:1536065;" filled="f" stroked="t" coordsize="21600,21600">
              <v:path arrowok="t"/>
              <v:fill on="f" focussize="0,0"/>
              <v:stroke color="#000000"/>
              <v:imagedata o:title=""/>
              <o:lock v:ext="edit" aspectratio="f"/>
            </v:line>
            <v:line id="_x0000_s2535" o:spid="_x0000_s2535" o:spt="20" style="position:absolute;left:2812415;top:322580;height:635;width:1772920;" filled="f" stroked="t" coordsize="21600,21600">
              <v:path arrowok="t"/>
              <v:fill on="f" focussize="0,0"/>
              <v:stroke color="#000000"/>
              <v:imagedata o:title=""/>
              <o:lock v:ext="edit" aspectratio="f"/>
            </v:line>
            <v:line id="_x0000_s2536" o:spid="_x0000_s2536" o:spt="20" style="position:absolute;left:2828290;top:323215;height:3333749;width:635;" filled="f" stroked="t" coordsize="21600,21600">
              <v:path arrowok="t"/>
              <v:fill on="f" focussize="0,0"/>
              <v:stroke color="#000000"/>
              <v:imagedata o:title=""/>
              <o:lock v:ext="edit" aspectratio="f"/>
            </v:line>
            <v:shape id="_x0000_s2719" o:spid="_x0000_s2719" o:spt="202" type="#_x0000_t202" style="position:absolute;left:966470;top:3197859;height:292100;width:685800;" fillcolor="#FFFFFF" filled="t" stroked="t" coordsize="21600,21600">
              <v:path/>
              <v:fill on="t" color2="#FFFFFF" focussize="0,0"/>
              <v:stroke color="#000000" joinstyle="miter"/>
              <v:imagedata o:title=""/>
              <o:lock v:ext="edit" aspectratio="f"/>
              <v:textbox>
                <w:txbxContent>
                  <w:p>
                    <w:pPr>
                      <w:snapToGrid w:val="0"/>
                      <w:jc w:val="center"/>
                      <w:rPr>
                        <w:rFonts w:hint="eastAsia" w:asciiTheme="minorEastAsia" w:hAnsiTheme="minorEastAsia" w:eastAsiaTheme="minorEastAsia" w:cstheme="minorEastAsia"/>
                        <w:sz w:val="20"/>
                        <w:lang w:val="en-US"/>
                      </w:rPr>
                    </w:pPr>
                    <w:r>
                      <w:rPr>
                        <w:rFonts w:hint="eastAsia" w:asciiTheme="minorEastAsia" w:hAnsiTheme="minorEastAsia" w:eastAsiaTheme="minorEastAsia" w:cstheme="minorEastAsia"/>
                        <w:sz w:val="20"/>
                        <w:lang w:val="en-US" w:eastAsia="zh-CN"/>
                      </w:rPr>
                      <w:t>水洗</w:t>
                    </w:r>
                  </w:p>
                </w:txbxContent>
              </v:textbox>
            </v:shape>
            <v:shape id="_x0000_s2720" o:spid="_x0000_s2720" o:spt="32" type="#_x0000_t32" style="position:absolute;left:740410;top:3375659;height:0;width:241300;" filled="f" stroked="t" coordsize="21600,21600">
              <v:path arrowok="t"/>
              <v:fill on="f" focussize="0,0"/>
              <v:stroke color="#000000" endarrow="block"/>
              <v:imagedata o:title=""/>
              <o:lock v:ext="edit" aspectratio="f"/>
            </v:shape>
            <v:shape id="_x0000_s2721" o:spid="_x0000_s2721" o:spt="32" type="#_x0000_t32" style="position:absolute;left:1296670;top:3502659;height:139700;width:0;" filled="f" stroked="t" coordsize="21600,21600">
              <v:path arrowok="t"/>
              <v:fill on="f" focussize="0,0"/>
              <v:stroke color="#000000" endarrow="block"/>
              <v:imagedata o:title=""/>
              <o:lock v:ext="edit" aspectratio="f"/>
            </v:shape>
            <v:shape id="_x0000_s2722" o:spid="_x0000_s2722" o:spt="202" type="#_x0000_t202" style="position:absolute;left:201930;top:3251199;height:304800;width:564515;" filled="f" stroked="f" coordsize="21600,21600">
              <v:path/>
              <v:fill on="f" focussize="0,0"/>
              <v:stroke on="f"/>
              <v:imagedata o:title=""/>
              <o:lock v:ext="edit" aspectratio="f"/>
              <v:textbox>
                <w:txbxContent>
                  <w:p>
                    <w:pPr>
                      <w:snapToGrid w:val="0"/>
                      <w:jc w:val="center"/>
                      <w:rPr>
                        <w:sz w:val="20"/>
                        <w:lang w:val="en-US"/>
                      </w:rPr>
                    </w:pPr>
                    <w:r>
                      <w:rPr>
                        <w:rFonts w:hint="eastAsia"/>
                        <w:sz w:val="20"/>
                        <w:lang w:val="en-US" w:eastAsia="zh-CN"/>
                      </w:rPr>
                      <w:t>自来水</w:t>
                    </w:r>
                  </w:p>
                </w:txbxContent>
              </v:textbox>
            </v:shape>
            <v:shape id="_x0000_s2723" o:spid="_x0000_s2723" o:spt="202" type="#_x0000_t202" style="position:absolute;left:1786890;top:3214369;height:304800;width:944880;" filled="f" stroked="f" coordsize="21600,21600">
              <v:path/>
              <v:fill on="f" focussize="0,0"/>
              <v:stroke on="f"/>
              <v:imagedata o:title=""/>
              <o:lock v:ext="edit" aspectratio="f"/>
              <v:textbox>
                <w:txbxContent>
                  <w:p>
                    <w:pPr>
                      <w:rPr>
                        <w:rFonts w:hint="eastAsia"/>
                        <w:lang w:val="en-US" w:eastAsia="zh-CN"/>
                      </w:rPr>
                    </w:pPr>
                    <w:r>
                      <w:rPr>
                        <w:rFonts w:hint="eastAsia"/>
                        <w:sz w:val="20"/>
                        <w:lang w:val="en-US" w:eastAsia="zh-CN"/>
                      </w:rPr>
                      <w:t>W4含锡废水</w:t>
                    </w:r>
                  </w:p>
                </w:txbxContent>
              </v:textbox>
            </v:shape>
            <v:shape id="_x0000_s2724" o:spid="_x0000_s2724" o:spt="32" type="#_x0000_t32" style="position:absolute;left:1644650;top:3335019;height:0;width:203200;" filled="f" stroked="t" coordsize="21600,21600">
              <v:path arrowok="t"/>
              <v:fill on="f" focussize="0,0"/>
              <v:stroke color="#000000" dashstyle="longDash" endarrow="block"/>
              <v:imagedata o:title=""/>
              <o:lock v:ext="edit" aspectratio="f"/>
            </v:shape>
            <v:shape id="_x0000_s2725" o:spid="_x0000_s2725" o:spt="202" type="#_x0000_t202" style="position:absolute;left:4251324;top:2984499;height:292100;width:685800;" fillcolor="#FFFFFF" filled="t" stroked="t" coordsize="21600,21600">
              <v:path/>
              <v:fill on="t" color2="#FFFFFF" focussize="0,0"/>
              <v:stroke color="#000000" joinstyle="miter"/>
              <v:imagedata o:title=""/>
              <o:lock v:ext="edit" aspectratio="f"/>
              <v:textbox>
                <w:txbxContent>
                  <w:p>
                    <w:pPr>
                      <w:snapToGrid w:val="0"/>
                      <w:jc w:val="center"/>
                      <w:rPr>
                        <w:rFonts w:hint="eastAsia" w:asciiTheme="minorEastAsia" w:hAnsiTheme="minorEastAsia" w:eastAsiaTheme="minorEastAsia" w:cstheme="minorEastAsia"/>
                        <w:sz w:val="20"/>
                        <w:lang w:val="en-US"/>
                      </w:rPr>
                    </w:pPr>
                    <w:r>
                      <w:rPr>
                        <w:rFonts w:hint="eastAsia" w:asciiTheme="minorEastAsia" w:hAnsiTheme="minorEastAsia" w:eastAsiaTheme="minorEastAsia" w:cstheme="minorEastAsia"/>
                        <w:sz w:val="20"/>
                        <w:lang w:val="en-US" w:eastAsia="zh-CN"/>
                      </w:rPr>
                      <w:t>晾干</w:t>
                    </w:r>
                  </w:p>
                </w:txbxContent>
              </v:textbox>
            </v:shape>
            <v:shape id="_x0000_s2726" o:spid="_x0000_s2726" o:spt="32" type="#_x0000_t32" style="position:absolute;left:4581524;top:2870199;height:139700;width:0;" filled="f" stroked="t" coordsize="21600,21600">
              <v:path arrowok="t"/>
              <v:fill on="f" focussize="0,0"/>
              <v:stroke color="#000000" endarrow="block"/>
              <v:imagedata o:title=""/>
              <o:lock v:ext="edit" aspectratio="f"/>
            </v:shape>
            <v:shape id="_x0000_s2727" o:spid="_x0000_s2727" o:spt="202" type="#_x0000_t202" style="position:absolute;left:4263389;top:3389629;height:292100;width:685800;" fillcolor="#FFFFFF" filled="t" stroked="t" coordsize="21600,21600">
              <v:path/>
              <v:fill on="t" color2="#FFFFFF" focussize="0,0"/>
              <v:stroke color="#000000" joinstyle="miter"/>
              <v:imagedata o:title=""/>
              <o:lock v:ext="edit" aspectratio="f"/>
              <v:textbox>
                <w:txbxContent>
                  <w:p>
                    <w:pPr>
                      <w:snapToGrid w:val="0"/>
                      <w:jc w:val="center"/>
                      <w:rPr>
                        <w:rFonts w:hint="eastAsia" w:asciiTheme="minorEastAsia" w:hAnsiTheme="minorEastAsia" w:eastAsiaTheme="minorEastAsia" w:cstheme="minorEastAsia"/>
                        <w:sz w:val="20"/>
                        <w:lang w:val="en-US"/>
                      </w:rPr>
                    </w:pPr>
                    <w:r>
                      <w:rPr>
                        <w:rFonts w:hint="eastAsia" w:asciiTheme="minorEastAsia" w:hAnsiTheme="minorEastAsia" w:eastAsiaTheme="minorEastAsia" w:cstheme="minorEastAsia"/>
                        <w:sz w:val="20"/>
                        <w:lang w:val="en-US" w:eastAsia="zh-CN"/>
                      </w:rPr>
                      <w:t>成品</w:t>
                    </w:r>
                  </w:p>
                </w:txbxContent>
              </v:textbox>
            </v:shape>
            <v:shape id="_x0000_s2728" o:spid="_x0000_s2728" o:spt="32" type="#_x0000_t32" style="position:absolute;left:4593589;top:3275329;height:139700;width:0;" filled="f" stroked="t" coordsize="21600,21600">
              <v:path arrowok="t"/>
              <v:fill on="f" focussize="0,0"/>
              <v:stroke color="#000000" endarrow="block"/>
              <v:imagedata o:title=""/>
              <o:lock v:ext="edit" aspectratio="f"/>
            </v:shape>
            <v:shape id="_x0000_s2729" o:spid="_x0000_s2729" o:spt="32" type="#_x0000_t32" style="position:absolute;left:4028439;top:2296159;height:0;width:241300;" filled="f" stroked="t" coordsize="21600,21600">
              <v:path arrowok="t"/>
              <v:fill on="f" focussize="0,0"/>
              <v:stroke color="#000000" endarrow="block"/>
              <v:imagedata o:title=""/>
              <o:lock v:ext="edit" aspectratio="f"/>
            </v:shape>
            <v:shape id="_x0000_s2730" o:spid="_x0000_s2730" o:spt="202" type="#_x0000_t202" style="position:absolute;left:3140709;top:2133599;height:537210;width:925830;" filled="f" stroked="f" coordsize="21600,21600">
              <v:path/>
              <v:fill on="f" focussize="0,0"/>
              <v:stroke on="f"/>
              <v:imagedata o:title=""/>
              <o:lock v:ext="edit" aspectratio="f"/>
              <v:textbox>
                <w:txbxContent>
                  <w:p>
                    <w:pPr>
                      <w:jc w:val="right"/>
                      <w:rPr>
                        <w:rFonts w:hint="eastAsia"/>
                        <w:sz w:val="20"/>
                        <w:lang w:val="en-US" w:eastAsia="zh-CN"/>
                      </w:rPr>
                    </w:pPr>
                    <w:r>
                      <w:rPr>
                        <w:rFonts w:hint="eastAsia"/>
                        <w:sz w:val="20"/>
                        <w:lang w:val="en-US" w:eastAsia="zh-CN"/>
                      </w:rPr>
                      <w:t>三氯化铁</w:t>
                    </w:r>
                  </w:p>
                  <w:p>
                    <w:pPr>
                      <w:jc w:val="right"/>
                      <w:rPr>
                        <w:rFonts w:hint="eastAsia"/>
                        <w:sz w:val="20"/>
                        <w:lang w:val="en-US" w:eastAsia="zh-CN"/>
                      </w:rPr>
                    </w:pPr>
                    <w:r>
                      <w:rPr>
                        <w:rFonts w:hint="eastAsia"/>
                        <w:sz w:val="20"/>
                        <w:lang w:val="en-US" w:eastAsia="zh-CN"/>
                      </w:rPr>
                      <w:t>硫化钠</w:t>
                    </w:r>
                  </w:p>
                  <w:p>
                    <w:pPr>
                      <w:rPr>
                        <w:lang w:val="en-US"/>
                      </w:rPr>
                    </w:pPr>
                  </w:p>
                </w:txbxContent>
              </v:textbox>
            </v:shape>
            <v:shape id="_x0000_s2731" o:spid="_x0000_s2731" o:spt="32" type="#_x0000_t32" style="position:absolute;left:4951729;top:2275204;height:0;width:203200;" filled="f" stroked="t" coordsize="21600,21600">
              <v:path arrowok="t"/>
              <v:fill on="f" focussize="0,0"/>
              <v:stroke color="#000000" dashstyle="longDash" endarrow="block"/>
              <v:imagedata o:title=""/>
              <o:lock v:ext="edit" aspectratio="f"/>
            </v:shape>
            <v:shape id="_x0000_s2732" o:spid="_x0000_s2732" o:spt="32" type="#_x0000_t32" style="position:absolute;left:4918074;top:2713989;height:0;width:203200;" filled="f" stroked="t" coordsize="21600,21600">
              <v:path arrowok="t"/>
              <v:fill on="f" focussize="0,0"/>
              <v:stroke color="#000000" dashstyle="longDash" endarrow="block"/>
              <v:imagedata o:title=""/>
              <o:lock v:ext="edit" aspectratio="f"/>
            </v:shape>
            <v:shape id="_x0000_s2733" o:spid="_x0000_s2733" o:spt="202" type="#_x0000_t202" style="position:absolute;left:5037454;top:2592069;height:304800;width:1016000;" filled="f" stroked="f" coordsize="21600,21600">
              <v:path/>
              <v:fill on="f" focussize="0,0"/>
              <v:stroke on="f"/>
              <v:imagedata o:title=""/>
              <o:lock v:ext="edit" aspectratio="f"/>
              <v:textbox>
                <w:txbxContent>
                  <w:p>
                    <w:pPr>
                      <w:rPr>
                        <w:rFonts w:hint="eastAsia"/>
                        <w:lang w:val="en-US" w:eastAsia="zh-CN"/>
                      </w:rPr>
                    </w:pPr>
                    <w:r>
                      <w:rPr>
                        <w:rFonts w:hint="eastAsia"/>
                        <w:sz w:val="20"/>
                        <w:lang w:val="en-US" w:eastAsia="zh-CN"/>
                      </w:rPr>
                      <w:t>W1综合废水</w:t>
                    </w:r>
                  </w:p>
                  <w:p>
                    <w:pPr>
                      <w:rPr>
                        <w:rFonts w:hint="eastAsia"/>
                        <w:lang w:val="en-US" w:eastAsia="zh-CN"/>
                      </w:rPr>
                    </w:pPr>
                  </w:p>
                </w:txbxContent>
              </v:textbox>
            </v:shape>
            <v:shape id="_x0000_s2734" o:spid="_x0000_s2734" o:spt="202" type="#_x0000_t202" style="position:absolute;left:5070474;top:2127884;height:292735;width:908050;" filled="f" stroked="f" coordsize="21600,21600">
              <v:path/>
              <v:fill on="f" focussize="0,0"/>
              <v:stroke on="f"/>
              <v:imagedata o:title=""/>
              <o:lock v:ext="edit" aspectratio="f"/>
              <v:textbox>
                <w:txbxContent>
                  <w:p>
                    <w:pPr>
                      <w:pStyle w:val="35"/>
                      <w:ind w:left="0" w:leftChars="0" w:firstLine="0" w:firstLineChars="0"/>
                      <w:jc w:val="left"/>
                      <w:rPr>
                        <w:rFonts w:hint="eastAsia"/>
                        <w:lang w:val="en-US" w:eastAsia="zh-CN"/>
                      </w:rPr>
                    </w:pPr>
                    <w:r>
                      <w:rPr>
                        <w:rFonts w:hint="eastAsia"/>
                        <w:sz w:val="20"/>
                        <w:lang w:val="en-US" w:eastAsia="zh-CN"/>
                      </w:rPr>
                      <w:t>S2槽渣</w:t>
                    </w:r>
                  </w:p>
                  <w:p>
                    <w:pPr>
                      <w:rPr>
                        <w:rFonts w:hint="eastAsia"/>
                        <w:lang w:val="en-US" w:eastAsia="zh-CN"/>
                      </w:rPr>
                    </w:pPr>
                  </w:p>
                </w:txbxContent>
              </v:textbox>
            </v:shape>
            <v:shape id="_x0000_s2735" o:spid="_x0000_s2735" o:spt="202" type="#_x0000_t202" style="position:absolute;left:3482339;top:2618104;height:319405;width:617220;" filled="f" stroked="f" coordsize="21600,21600">
              <v:path/>
              <v:fill on="f" focussize="0,0"/>
              <v:stroke on="f"/>
              <v:imagedata o:title=""/>
              <o:lock v:ext="edit" aspectratio="f"/>
              <v:textbox>
                <w:txbxContent>
                  <w:p>
                    <w:pPr>
                      <w:rPr>
                        <w:lang w:val="en-US"/>
                      </w:rPr>
                    </w:pPr>
                    <w:r>
                      <w:rPr>
                        <w:rFonts w:hint="eastAsia"/>
                        <w:sz w:val="20"/>
                        <w:lang w:val="en-US" w:eastAsia="zh-CN"/>
                      </w:rPr>
                      <w:t>自来水</w:t>
                    </w:r>
                  </w:p>
                </w:txbxContent>
              </v:textbox>
            </v:shape>
            <v:shape id="_x0000_s2736" o:spid="_x0000_s2736" o:spt="32" type="#_x0000_t32" style="position:absolute;left:4001134;top:2727324;height:0;width:241300;" filled="f" stroked="t" coordsize="21600,21600">
              <v:path arrowok="t"/>
              <v:fill on="f" focussize="0,0"/>
              <v:stroke color="#000000" endarrow="block"/>
              <v:imagedata o:title=""/>
              <o:lock v:ext="edit" aspectratio="f"/>
            </v:shape>
            <w10:wrap type="none"/>
            <w10:anchorlock/>
          </v:group>
        </w:pict>
      </w:r>
    </w:p>
    <w:p>
      <w:pPr>
        <w:tabs>
          <w:tab w:val="left" w:pos="1140"/>
        </w:tabs>
        <w:spacing w:line="360" w:lineRule="auto"/>
        <w:jc w:val="center"/>
        <w:rPr>
          <w:rFonts w:eastAsia="黑体"/>
          <w:bCs/>
          <w:color w:val="auto"/>
          <w:sz w:val="24"/>
          <w:highlight w:val="none"/>
        </w:rPr>
      </w:pPr>
      <w:r>
        <w:rPr>
          <w:rFonts w:hint="eastAsia" w:eastAsia="黑体"/>
          <w:bCs/>
          <w:color w:val="auto"/>
          <w:sz w:val="24"/>
          <w:highlight w:val="none"/>
        </w:rPr>
        <w:t>图2.</w:t>
      </w:r>
      <w:r>
        <w:rPr>
          <w:rFonts w:hint="eastAsia" w:eastAsia="黑体"/>
          <w:bCs/>
          <w:color w:val="auto"/>
          <w:sz w:val="24"/>
          <w:highlight w:val="none"/>
          <w:lang w:val="en-US" w:eastAsia="zh-CN"/>
        </w:rPr>
        <w:t>4</w:t>
      </w:r>
      <w:r>
        <w:rPr>
          <w:rFonts w:hint="eastAsia" w:eastAsia="黑体"/>
          <w:bCs/>
          <w:color w:val="auto"/>
          <w:sz w:val="24"/>
          <w:highlight w:val="none"/>
        </w:rPr>
        <w:t>-</w:t>
      </w:r>
      <w:r>
        <w:rPr>
          <w:rFonts w:hint="eastAsia" w:eastAsia="黑体"/>
          <w:bCs/>
          <w:color w:val="auto"/>
          <w:sz w:val="24"/>
          <w:highlight w:val="none"/>
          <w:lang w:val="en-US" w:eastAsia="zh-CN"/>
        </w:rPr>
        <w:t>3</w:t>
      </w:r>
      <w:r>
        <w:rPr>
          <w:rFonts w:hint="eastAsia" w:eastAsia="黑体"/>
          <w:bCs/>
          <w:color w:val="auto"/>
          <w:sz w:val="24"/>
          <w:highlight w:val="none"/>
        </w:rPr>
        <w:t xml:space="preserve">  </w:t>
      </w:r>
      <w:r>
        <w:rPr>
          <w:rFonts w:eastAsia="黑体"/>
          <w:bCs/>
          <w:color w:val="auto"/>
          <w:sz w:val="24"/>
          <w:highlight w:val="none"/>
        </w:rPr>
        <w:t>镀</w:t>
      </w:r>
      <w:r>
        <w:rPr>
          <w:rFonts w:hint="eastAsia" w:eastAsia="黑体"/>
          <w:bCs/>
          <w:color w:val="auto"/>
          <w:sz w:val="24"/>
          <w:highlight w:val="none"/>
          <w:lang w:val="en-US" w:eastAsia="zh-CN"/>
        </w:rPr>
        <w:t>银</w:t>
      </w:r>
      <w:r>
        <w:rPr>
          <w:rFonts w:eastAsia="黑体"/>
          <w:bCs/>
          <w:color w:val="auto"/>
          <w:sz w:val="24"/>
          <w:highlight w:val="none"/>
        </w:rPr>
        <w:t>生产工艺流程及产污环节图</w:t>
      </w:r>
    </w:p>
    <w:p>
      <w:pPr>
        <w:pStyle w:val="131"/>
        <w:spacing w:line="440" w:lineRule="exact"/>
        <w:ind w:firstLine="480"/>
        <w:jc w:val="both"/>
        <w:rPr>
          <w:rFonts w:ascii="Times New Roman"/>
          <w:snapToGrid w:val="0"/>
          <w:color w:val="auto"/>
          <w:kern w:val="0"/>
          <w:sz w:val="24"/>
          <w:szCs w:val="24"/>
          <w:highlight w:val="none"/>
        </w:rPr>
      </w:pPr>
      <w:r>
        <w:rPr>
          <w:rFonts w:hint="eastAsia" w:ascii="Times New Roman"/>
          <w:snapToGrid w:val="0"/>
          <w:color w:val="auto"/>
          <w:kern w:val="0"/>
          <w:sz w:val="24"/>
          <w:szCs w:val="24"/>
          <w:highlight w:val="none"/>
        </w:rPr>
        <w:t>镀</w:t>
      </w:r>
      <w:r>
        <w:rPr>
          <w:rFonts w:hint="eastAsia"/>
          <w:color w:val="auto"/>
          <w:sz w:val="24"/>
          <w:highlight w:val="none"/>
          <w:lang w:val="en-US" w:eastAsia="zh-CN"/>
        </w:rPr>
        <w:t>银</w:t>
      </w:r>
      <w:r>
        <w:rPr>
          <w:rFonts w:ascii="Times New Roman"/>
          <w:snapToGrid w:val="0"/>
          <w:color w:val="auto"/>
          <w:kern w:val="0"/>
          <w:sz w:val="24"/>
          <w:szCs w:val="24"/>
          <w:highlight w:val="none"/>
        </w:rPr>
        <w:t>工艺过程包括前处理、电镀、后处理等生产工序，详见表</w:t>
      </w:r>
      <w:r>
        <w:rPr>
          <w:rFonts w:hint="eastAsia" w:ascii="Times New Roman"/>
          <w:snapToGrid w:val="0"/>
          <w:color w:val="auto"/>
          <w:kern w:val="0"/>
          <w:sz w:val="24"/>
          <w:szCs w:val="24"/>
          <w:highlight w:val="none"/>
          <w:lang w:val="en-US" w:eastAsia="zh-CN"/>
        </w:rPr>
        <w:t>2.4</w:t>
      </w:r>
      <w:r>
        <w:rPr>
          <w:rFonts w:ascii="Times New Roman"/>
          <w:snapToGrid w:val="0"/>
          <w:color w:val="auto"/>
          <w:kern w:val="0"/>
          <w:sz w:val="24"/>
          <w:szCs w:val="24"/>
          <w:highlight w:val="none"/>
        </w:rPr>
        <w:t>-</w:t>
      </w:r>
      <w:r>
        <w:rPr>
          <w:rFonts w:hint="eastAsia" w:ascii="Times New Roman"/>
          <w:snapToGrid w:val="0"/>
          <w:color w:val="auto"/>
          <w:kern w:val="0"/>
          <w:sz w:val="24"/>
          <w:szCs w:val="24"/>
          <w:highlight w:val="none"/>
          <w:lang w:val="en-US" w:eastAsia="zh-CN"/>
        </w:rPr>
        <w:t>3</w:t>
      </w:r>
      <w:r>
        <w:rPr>
          <w:rFonts w:ascii="Times New Roman"/>
          <w:snapToGrid w:val="0"/>
          <w:color w:val="auto"/>
          <w:kern w:val="0"/>
          <w:sz w:val="24"/>
          <w:szCs w:val="24"/>
          <w:highlight w:val="none"/>
        </w:rPr>
        <w:t>。</w:t>
      </w:r>
    </w:p>
    <w:p>
      <w:pPr>
        <w:adjustRightInd w:val="0"/>
        <w:snapToGrid w:val="0"/>
        <w:spacing w:line="440" w:lineRule="exact"/>
        <w:jc w:val="center"/>
        <w:rPr>
          <w:rFonts w:hint="eastAsia" w:eastAsia="黑体"/>
          <w:color w:val="auto"/>
          <w:sz w:val="24"/>
          <w:highlight w:val="none"/>
        </w:rPr>
      </w:pPr>
      <w:r>
        <w:rPr>
          <w:rFonts w:eastAsia="黑体"/>
          <w:color w:val="auto"/>
          <w:sz w:val="24"/>
          <w:highlight w:val="none"/>
        </w:rPr>
        <w:t>表</w:t>
      </w:r>
      <w:r>
        <w:rPr>
          <w:rFonts w:hint="eastAsia" w:eastAsia="黑体"/>
          <w:color w:val="auto"/>
          <w:sz w:val="24"/>
          <w:highlight w:val="none"/>
          <w:lang w:val="en-US" w:eastAsia="zh-CN"/>
        </w:rPr>
        <w:t>2.4</w:t>
      </w:r>
      <w:r>
        <w:rPr>
          <w:rFonts w:eastAsia="黑体"/>
          <w:color w:val="auto"/>
          <w:sz w:val="24"/>
          <w:highlight w:val="none"/>
        </w:rPr>
        <w:t>-</w:t>
      </w:r>
      <w:r>
        <w:rPr>
          <w:rFonts w:hint="eastAsia" w:eastAsia="黑体"/>
          <w:color w:val="auto"/>
          <w:sz w:val="24"/>
          <w:highlight w:val="none"/>
          <w:lang w:val="en-US" w:eastAsia="zh-CN"/>
        </w:rPr>
        <w:t>3</w:t>
      </w:r>
      <w:r>
        <w:rPr>
          <w:rFonts w:eastAsia="黑体"/>
          <w:color w:val="auto"/>
          <w:sz w:val="24"/>
          <w:highlight w:val="none"/>
        </w:rPr>
        <w:t xml:space="preserve">  </w:t>
      </w:r>
      <w:r>
        <w:rPr>
          <w:rFonts w:hint="eastAsia" w:eastAsia="黑体"/>
          <w:color w:val="auto"/>
          <w:sz w:val="24"/>
          <w:highlight w:val="none"/>
        </w:rPr>
        <w:t>镀</w:t>
      </w:r>
      <w:r>
        <w:rPr>
          <w:rFonts w:hint="eastAsia" w:eastAsia="黑体"/>
          <w:color w:val="auto"/>
          <w:sz w:val="24"/>
          <w:highlight w:val="none"/>
          <w:lang w:val="en-US" w:eastAsia="zh-CN"/>
        </w:rPr>
        <w:t>银</w:t>
      </w:r>
      <w:r>
        <w:rPr>
          <w:rFonts w:eastAsia="黑体"/>
          <w:color w:val="auto"/>
          <w:sz w:val="24"/>
          <w:highlight w:val="none"/>
        </w:rPr>
        <w:t>工序工艺说明列表</w:t>
      </w:r>
    </w:p>
    <w:tbl>
      <w:tblPr>
        <w:tblStyle w:val="36"/>
        <w:tblW w:w="9286" w:type="dxa"/>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268"/>
        <w:gridCol w:w="4844"/>
        <w:gridCol w:w="3174"/>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1268" w:type="dxa"/>
            <w:tcBorders>
              <w:top w:val="single" w:color="auto" w:sz="12" w:space="0"/>
            </w:tcBorders>
            <w:noWrap w:val="0"/>
            <w:vAlign w:val="center"/>
          </w:tcPr>
          <w:p>
            <w:pPr>
              <w:spacing w:line="300" w:lineRule="exact"/>
              <w:jc w:val="center"/>
              <w:rPr>
                <w:rFonts w:ascii="宋体" w:hAnsi="宋体"/>
                <w:b/>
                <w:color w:val="auto"/>
                <w:szCs w:val="21"/>
                <w:highlight w:val="none"/>
              </w:rPr>
            </w:pPr>
            <w:r>
              <w:rPr>
                <w:rFonts w:ascii="宋体" w:hAnsi="宋体"/>
                <w:b/>
                <w:color w:val="auto"/>
                <w:szCs w:val="21"/>
                <w:highlight w:val="none"/>
              </w:rPr>
              <w:t>工艺名称</w:t>
            </w:r>
          </w:p>
        </w:tc>
        <w:tc>
          <w:tcPr>
            <w:tcW w:w="4844" w:type="dxa"/>
            <w:tcBorders>
              <w:top w:val="single" w:color="auto" w:sz="12" w:space="0"/>
            </w:tcBorders>
            <w:noWrap w:val="0"/>
            <w:vAlign w:val="center"/>
          </w:tcPr>
          <w:p>
            <w:pPr>
              <w:spacing w:line="300" w:lineRule="exact"/>
              <w:ind w:left="-357" w:leftChars="-170" w:firstLine="379" w:firstLineChars="180"/>
              <w:jc w:val="center"/>
              <w:rPr>
                <w:rFonts w:ascii="宋体" w:hAnsi="宋体"/>
                <w:b/>
                <w:color w:val="auto"/>
                <w:szCs w:val="21"/>
                <w:highlight w:val="none"/>
              </w:rPr>
            </w:pPr>
            <w:r>
              <w:rPr>
                <w:rFonts w:ascii="宋体" w:hAnsi="宋体"/>
                <w:b/>
                <w:color w:val="auto"/>
                <w:szCs w:val="21"/>
                <w:highlight w:val="none"/>
              </w:rPr>
              <w:t>主要功能及工艺介绍</w:t>
            </w:r>
          </w:p>
        </w:tc>
        <w:tc>
          <w:tcPr>
            <w:tcW w:w="3174" w:type="dxa"/>
            <w:tcBorders>
              <w:top w:val="single" w:color="auto" w:sz="12" w:space="0"/>
            </w:tcBorders>
            <w:noWrap w:val="0"/>
            <w:vAlign w:val="center"/>
          </w:tcPr>
          <w:p>
            <w:pPr>
              <w:spacing w:line="300" w:lineRule="exact"/>
              <w:ind w:left="-357" w:leftChars="-170" w:firstLine="379" w:firstLineChars="180"/>
              <w:jc w:val="center"/>
              <w:rPr>
                <w:rFonts w:ascii="宋体" w:hAnsi="宋体"/>
                <w:b/>
                <w:color w:val="auto"/>
                <w:szCs w:val="21"/>
                <w:highlight w:val="none"/>
              </w:rPr>
            </w:pPr>
            <w:r>
              <w:rPr>
                <w:rFonts w:ascii="宋体" w:hAnsi="宋体"/>
                <w:b/>
                <w:color w:val="auto"/>
                <w:szCs w:val="21"/>
                <w:highlight w:val="none"/>
              </w:rPr>
              <w:t>主要组分及控制条件</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9286" w:type="dxa"/>
            <w:gridSpan w:val="3"/>
            <w:noWrap w:val="0"/>
            <w:vAlign w:val="center"/>
          </w:tcPr>
          <w:p>
            <w:pPr>
              <w:spacing w:line="300" w:lineRule="exact"/>
              <w:rPr>
                <w:rFonts w:ascii="宋体" w:hAnsi="宋体"/>
                <w:b/>
                <w:color w:val="auto"/>
                <w:szCs w:val="21"/>
                <w:highlight w:val="none"/>
              </w:rPr>
            </w:pPr>
            <w:r>
              <w:rPr>
                <w:rFonts w:ascii="宋体" w:hAnsi="宋体"/>
                <w:b/>
                <w:color w:val="auto"/>
                <w:szCs w:val="21"/>
                <w:highlight w:val="none"/>
              </w:rPr>
              <w:t>前处理工序</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1268" w:type="dxa"/>
            <w:noWrap w:val="0"/>
            <w:vAlign w:val="center"/>
          </w:tcPr>
          <w:p>
            <w:pPr>
              <w:adjustRightInd w:val="0"/>
              <w:snapToGrid w:val="0"/>
              <w:spacing w:line="300" w:lineRule="exact"/>
              <w:jc w:val="center"/>
              <w:rPr>
                <w:rFonts w:hint="eastAsia" w:eastAsia="宋体"/>
                <w:color w:val="auto"/>
                <w:kern w:val="0"/>
                <w:szCs w:val="21"/>
                <w:highlight w:val="none"/>
                <w:lang w:eastAsia="zh-CN"/>
              </w:rPr>
            </w:pPr>
            <w:r>
              <w:rPr>
                <w:rFonts w:hint="eastAsia"/>
                <w:color w:val="auto"/>
                <w:kern w:val="0"/>
                <w:szCs w:val="21"/>
                <w:highlight w:val="none"/>
                <w:lang w:val="en-US" w:eastAsia="zh-CN"/>
              </w:rPr>
              <w:t>除油</w:t>
            </w:r>
          </w:p>
        </w:tc>
        <w:tc>
          <w:tcPr>
            <w:tcW w:w="4844" w:type="dxa"/>
            <w:noWrap w:val="0"/>
            <w:vAlign w:val="center"/>
          </w:tcPr>
          <w:p>
            <w:pPr>
              <w:adjustRightInd w:val="0"/>
              <w:snapToGrid w:val="0"/>
              <w:spacing w:line="300" w:lineRule="exact"/>
              <w:ind w:right="4" w:rightChars="2"/>
              <w:jc w:val="left"/>
              <w:rPr>
                <w:b/>
                <w:color w:val="auto"/>
                <w:kern w:val="0"/>
                <w:szCs w:val="21"/>
                <w:highlight w:val="none"/>
              </w:rPr>
            </w:pPr>
            <w:r>
              <w:rPr>
                <w:color w:val="auto"/>
                <w:kern w:val="0"/>
                <w:sz w:val="21"/>
                <w:szCs w:val="21"/>
                <w:highlight w:val="none"/>
              </w:rPr>
              <w:t>是在化学除油剂的作用下，除去镀件表面的油污，使镀件表面清洁，以利后面电镀工序的进行</w:t>
            </w:r>
            <w:r>
              <w:rPr>
                <w:rFonts w:hint="eastAsia"/>
                <w:color w:val="auto"/>
                <w:szCs w:val="21"/>
                <w:highlight w:val="none"/>
              </w:rPr>
              <w:t>。</w:t>
            </w:r>
          </w:p>
        </w:tc>
        <w:tc>
          <w:tcPr>
            <w:tcW w:w="3174" w:type="dxa"/>
            <w:noWrap w:val="0"/>
            <w:vAlign w:val="center"/>
          </w:tcPr>
          <w:p>
            <w:pPr>
              <w:adjustRightInd w:val="0"/>
              <w:snapToGrid w:val="0"/>
              <w:spacing w:line="300" w:lineRule="exact"/>
              <w:jc w:val="center"/>
              <w:rPr>
                <w:color w:val="auto"/>
                <w:kern w:val="0"/>
                <w:szCs w:val="21"/>
                <w:highlight w:val="none"/>
              </w:rPr>
            </w:pPr>
            <w:r>
              <w:rPr>
                <w:color w:val="auto"/>
                <w:kern w:val="0"/>
                <w:sz w:val="21"/>
                <w:szCs w:val="21"/>
                <w:highlight w:val="none"/>
              </w:rPr>
              <w:t>碱</w:t>
            </w:r>
            <w:r>
              <w:rPr>
                <w:rFonts w:hint="eastAsia"/>
                <w:color w:val="auto"/>
                <w:kern w:val="0"/>
                <w:sz w:val="21"/>
                <w:szCs w:val="21"/>
                <w:highlight w:val="none"/>
                <w:lang w:val="en-US" w:eastAsia="zh-CN"/>
              </w:rPr>
              <w:t>50</w:t>
            </w:r>
            <w:r>
              <w:rPr>
                <w:rFonts w:hint="eastAsia"/>
                <w:color w:val="auto"/>
                <w:sz w:val="20"/>
                <w:highlight w:val="none"/>
                <w:lang w:val="en-US" w:eastAsia="zh-CN"/>
              </w:rPr>
              <w:t>g/L</w:t>
            </w:r>
            <w:r>
              <w:rPr>
                <w:color w:val="auto"/>
                <w:kern w:val="0"/>
                <w:sz w:val="21"/>
                <w:szCs w:val="21"/>
                <w:highlight w:val="none"/>
              </w:rPr>
              <w:t>，50-60</w:t>
            </w:r>
            <w:r>
              <w:rPr>
                <w:rFonts w:hint="eastAsia" w:ascii="宋体" w:hAnsi="宋体" w:cs="宋体"/>
                <w:color w:val="auto"/>
                <w:kern w:val="0"/>
                <w:sz w:val="21"/>
                <w:szCs w:val="21"/>
                <w:highlight w:val="none"/>
              </w:rPr>
              <w:t>℃</w:t>
            </w:r>
            <w:r>
              <w:rPr>
                <w:color w:val="auto"/>
                <w:kern w:val="0"/>
                <w:sz w:val="21"/>
                <w:szCs w:val="21"/>
                <w:highlight w:val="none"/>
              </w:rPr>
              <w:t>，</w:t>
            </w:r>
            <w:r>
              <w:rPr>
                <w:rFonts w:hint="eastAsia"/>
                <w:color w:val="auto"/>
                <w:kern w:val="0"/>
                <w:sz w:val="21"/>
                <w:szCs w:val="21"/>
                <w:highlight w:val="none"/>
                <w:lang w:val="en-US" w:eastAsia="zh-CN"/>
              </w:rPr>
              <w:t>25</w:t>
            </w:r>
            <w:r>
              <w:rPr>
                <w:color w:val="auto"/>
                <w:kern w:val="0"/>
                <w:sz w:val="21"/>
                <w:szCs w:val="21"/>
                <w:highlight w:val="none"/>
              </w:rPr>
              <w:t>min</w:t>
            </w:r>
            <w:r>
              <w:rPr>
                <w:rFonts w:hint="eastAsia"/>
                <w:color w:val="auto"/>
                <w:kern w:val="0"/>
                <w:szCs w:val="21"/>
                <w:highlight w:val="none"/>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1268" w:type="dxa"/>
            <w:noWrap w:val="0"/>
            <w:vAlign w:val="center"/>
          </w:tcPr>
          <w:p>
            <w:pPr>
              <w:adjustRightInd w:val="0"/>
              <w:snapToGrid w:val="0"/>
              <w:spacing w:line="300" w:lineRule="exact"/>
              <w:jc w:val="center"/>
              <w:rPr>
                <w:rFonts w:hint="eastAsia"/>
                <w:color w:val="auto"/>
                <w:kern w:val="0"/>
                <w:szCs w:val="21"/>
                <w:highlight w:val="none"/>
                <w:lang w:val="en-US" w:eastAsia="zh-CN"/>
              </w:rPr>
            </w:pPr>
            <w:r>
              <w:rPr>
                <w:rFonts w:hint="eastAsia"/>
                <w:color w:val="auto"/>
                <w:kern w:val="0"/>
                <w:szCs w:val="21"/>
                <w:highlight w:val="none"/>
                <w:lang w:val="en-US" w:eastAsia="zh-CN"/>
              </w:rPr>
              <w:t>粗化</w:t>
            </w:r>
          </w:p>
        </w:tc>
        <w:tc>
          <w:tcPr>
            <w:tcW w:w="4844" w:type="dxa"/>
            <w:noWrap w:val="0"/>
            <w:vAlign w:val="center"/>
          </w:tcPr>
          <w:p>
            <w:pPr>
              <w:adjustRightInd w:val="0"/>
              <w:snapToGrid w:val="0"/>
              <w:spacing w:line="300" w:lineRule="exact"/>
              <w:ind w:right="4" w:rightChars="2"/>
              <w:jc w:val="both"/>
              <w:rPr>
                <w:rFonts w:hint="eastAsia" w:eastAsia="宋体"/>
                <w:color w:val="auto"/>
                <w:szCs w:val="21"/>
                <w:highlight w:val="none"/>
                <w:lang w:eastAsia="zh-CN"/>
              </w:rPr>
            </w:pPr>
            <w:r>
              <w:rPr>
                <w:rFonts w:hint="eastAsia"/>
                <w:color w:val="auto"/>
                <w:szCs w:val="21"/>
                <w:highlight w:val="none"/>
              </w:rPr>
              <w:t>使镀件表面变得</w:t>
            </w:r>
            <w:r>
              <w:rPr>
                <w:rFonts w:hint="eastAsia"/>
                <w:color w:val="auto"/>
                <w:szCs w:val="21"/>
                <w:highlight w:val="none"/>
                <w:lang w:val="en-US" w:eastAsia="zh-CN"/>
              </w:rPr>
              <w:t>微观</w:t>
            </w:r>
            <w:r>
              <w:rPr>
                <w:rFonts w:hint="eastAsia"/>
                <w:color w:val="auto"/>
                <w:szCs w:val="21"/>
                <w:highlight w:val="none"/>
              </w:rPr>
              <w:t>粗糙进而使被镀物质附着力增强不已脱落,并且粗化后可利于在镀件表面沉积某些化学物质,这样也可以改善镀层的附着力</w:t>
            </w:r>
            <w:r>
              <w:rPr>
                <w:rFonts w:hint="eastAsia"/>
                <w:color w:val="auto"/>
                <w:szCs w:val="21"/>
                <w:highlight w:val="none"/>
                <w:lang w:eastAsia="zh-CN"/>
              </w:rPr>
              <w:t>。</w:t>
            </w:r>
          </w:p>
        </w:tc>
        <w:tc>
          <w:tcPr>
            <w:tcW w:w="3174" w:type="dxa"/>
            <w:noWrap w:val="0"/>
            <w:vAlign w:val="center"/>
          </w:tcPr>
          <w:p>
            <w:pPr>
              <w:snapToGrid w:val="0"/>
              <w:jc w:val="both"/>
              <w:rPr>
                <w:rFonts w:hint="eastAsia"/>
                <w:color w:val="auto"/>
                <w:kern w:val="0"/>
                <w:szCs w:val="21"/>
                <w:highlight w:val="none"/>
              </w:rPr>
            </w:pPr>
            <w:r>
              <w:rPr>
                <w:rFonts w:hint="eastAsia"/>
                <w:color w:val="auto"/>
                <w:sz w:val="20"/>
                <w:highlight w:val="none"/>
                <w:lang w:val="en-US" w:eastAsia="zh-CN"/>
              </w:rPr>
              <w:t>硫酸100-350ml/L、三氧化铬50-100g/L，</w:t>
            </w:r>
            <w:r>
              <w:rPr>
                <w:rFonts w:hint="eastAsia"/>
                <w:color w:val="auto"/>
                <w:kern w:val="0"/>
                <w:sz w:val="21"/>
                <w:szCs w:val="21"/>
                <w:highlight w:val="none"/>
                <w:lang w:val="en-US" w:eastAsia="zh-CN"/>
              </w:rPr>
              <w:t>8</w:t>
            </w:r>
            <w:r>
              <w:rPr>
                <w:color w:val="auto"/>
                <w:kern w:val="0"/>
                <w:sz w:val="21"/>
                <w:szCs w:val="21"/>
                <w:highlight w:val="none"/>
              </w:rPr>
              <w:t>0</w:t>
            </w:r>
            <w:r>
              <w:rPr>
                <w:rFonts w:hint="eastAsia" w:ascii="宋体" w:hAnsi="宋体" w:cs="宋体"/>
                <w:color w:val="auto"/>
                <w:kern w:val="0"/>
                <w:sz w:val="21"/>
                <w:szCs w:val="21"/>
                <w:highlight w:val="none"/>
              </w:rPr>
              <w:t>℃</w:t>
            </w:r>
            <w:r>
              <w:rPr>
                <w:color w:val="auto"/>
                <w:kern w:val="0"/>
                <w:sz w:val="21"/>
                <w:szCs w:val="21"/>
                <w:highlight w:val="none"/>
              </w:rPr>
              <w:t>，</w:t>
            </w:r>
            <w:r>
              <w:rPr>
                <w:rFonts w:hint="eastAsia"/>
                <w:color w:val="auto"/>
                <w:kern w:val="0"/>
                <w:sz w:val="21"/>
                <w:szCs w:val="21"/>
                <w:highlight w:val="none"/>
                <w:lang w:val="en-US" w:eastAsia="zh-CN"/>
              </w:rPr>
              <w:t>40</w:t>
            </w:r>
            <w:r>
              <w:rPr>
                <w:color w:val="auto"/>
                <w:kern w:val="0"/>
                <w:sz w:val="21"/>
                <w:szCs w:val="21"/>
                <w:highlight w:val="none"/>
              </w:rPr>
              <w:t>min</w:t>
            </w:r>
            <w:r>
              <w:rPr>
                <w:rFonts w:hint="eastAsia"/>
                <w:color w:val="auto"/>
                <w:kern w:val="0"/>
                <w:szCs w:val="21"/>
                <w:highlight w:val="none"/>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1268" w:type="dxa"/>
            <w:noWrap w:val="0"/>
            <w:vAlign w:val="center"/>
          </w:tcPr>
          <w:p>
            <w:pPr>
              <w:adjustRightInd w:val="0"/>
              <w:snapToGrid w:val="0"/>
              <w:spacing w:line="300" w:lineRule="exact"/>
              <w:jc w:val="center"/>
              <w:rPr>
                <w:rFonts w:hint="eastAsia"/>
                <w:color w:val="auto"/>
                <w:kern w:val="0"/>
                <w:szCs w:val="21"/>
                <w:highlight w:val="none"/>
                <w:lang w:val="en-US" w:eastAsia="zh-CN"/>
              </w:rPr>
            </w:pPr>
            <w:r>
              <w:rPr>
                <w:rFonts w:hint="eastAsia"/>
                <w:color w:val="auto"/>
                <w:kern w:val="0"/>
                <w:szCs w:val="21"/>
                <w:highlight w:val="none"/>
                <w:lang w:val="en-US" w:eastAsia="zh-CN"/>
              </w:rPr>
              <w:t>还原</w:t>
            </w:r>
          </w:p>
        </w:tc>
        <w:tc>
          <w:tcPr>
            <w:tcW w:w="4844" w:type="dxa"/>
            <w:noWrap w:val="0"/>
            <w:vAlign w:val="center"/>
          </w:tcPr>
          <w:p>
            <w:pPr>
              <w:adjustRightInd w:val="0"/>
              <w:snapToGrid w:val="0"/>
              <w:spacing w:line="300" w:lineRule="exact"/>
              <w:ind w:right="4" w:rightChars="2"/>
              <w:jc w:val="both"/>
              <w:rPr>
                <w:rFonts w:hint="eastAsia" w:eastAsia="宋体"/>
                <w:color w:val="auto"/>
                <w:szCs w:val="21"/>
                <w:highlight w:val="none"/>
                <w:lang w:val="en-US" w:eastAsia="zh-CN"/>
              </w:rPr>
            </w:pPr>
            <w:r>
              <w:rPr>
                <w:rFonts w:hint="eastAsia"/>
                <w:color w:val="auto"/>
                <w:szCs w:val="21"/>
                <w:highlight w:val="none"/>
                <w:lang w:val="en-US" w:eastAsia="zh-CN"/>
              </w:rPr>
              <w:t>中和前段工艺的六价铬，让其转化为三价铬。</w:t>
            </w:r>
          </w:p>
        </w:tc>
        <w:tc>
          <w:tcPr>
            <w:tcW w:w="3174" w:type="dxa"/>
            <w:noWrap w:val="0"/>
            <w:vAlign w:val="center"/>
          </w:tcPr>
          <w:p>
            <w:pPr>
              <w:rPr>
                <w:rFonts w:hint="eastAsia"/>
                <w:color w:val="auto"/>
                <w:kern w:val="0"/>
                <w:szCs w:val="21"/>
                <w:highlight w:val="none"/>
              </w:rPr>
            </w:pPr>
            <w:r>
              <w:rPr>
                <w:rFonts w:hint="eastAsia"/>
                <w:color w:val="auto"/>
                <w:sz w:val="20"/>
                <w:highlight w:val="none"/>
                <w:lang w:val="en-US" w:eastAsia="zh-CN"/>
              </w:rPr>
              <w:t>无水硫酸钠50g/L、焦亚硫酸钠50g/L，</w:t>
            </w:r>
            <w:r>
              <w:rPr>
                <w:color w:val="auto"/>
                <w:kern w:val="0"/>
                <w:sz w:val="21"/>
                <w:szCs w:val="21"/>
                <w:highlight w:val="none"/>
              </w:rPr>
              <w:t>50-60</w:t>
            </w:r>
            <w:r>
              <w:rPr>
                <w:rFonts w:hint="eastAsia" w:ascii="宋体" w:hAnsi="宋体" w:cs="宋体"/>
                <w:color w:val="auto"/>
                <w:kern w:val="0"/>
                <w:sz w:val="21"/>
                <w:szCs w:val="21"/>
                <w:highlight w:val="none"/>
              </w:rPr>
              <w:t>℃</w:t>
            </w:r>
            <w:r>
              <w:rPr>
                <w:color w:val="auto"/>
                <w:kern w:val="0"/>
                <w:sz w:val="21"/>
                <w:szCs w:val="21"/>
                <w:highlight w:val="none"/>
              </w:rPr>
              <w:t>，3</w:t>
            </w:r>
            <w:r>
              <w:rPr>
                <w:rFonts w:hint="eastAsia"/>
                <w:color w:val="auto"/>
                <w:kern w:val="0"/>
                <w:sz w:val="21"/>
                <w:szCs w:val="21"/>
                <w:highlight w:val="none"/>
                <w:lang w:val="en-US" w:eastAsia="zh-CN"/>
              </w:rPr>
              <w:t>0</w:t>
            </w:r>
            <w:r>
              <w:rPr>
                <w:color w:val="auto"/>
                <w:kern w:val="0"/>
                <w:sz w:val="21"/>
                <w:szCs w:val="21"/>
                <w:highlight w:val="none"/>
              </w:rPr>
              <w:t>min</w:t>
            </w:r>
            <w:r>
              <w:rPr>
                <w:rFonts w:hint="eastAsia"/>
                <w:color w:val="auto"/>
                <w:kern w:val="0"/>
                <w:szCs w:val="21"/>
                <w:highlight w:val="none"/>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1268" w:type="dxa"/>
            <w:noWrap w:val="0"/>
            <w:vAlign w:val="center"/>
          </w:tcPr>
          <w:p>
            <w:pPr>
              <w:adjustRightInd w:val="0"/>
              <w:snapToGrid w:val="0"/>
              <w:spacing w:line="300" w:lineRule="exact"/>
              <w:jc w:val="center"/>
              <w:rPr>
                <w:rFonts w:hint="eastAsia"/>
                <w:color w:val="auto"/>
                <w:kern w:val="0"/>
                <w:szCs w:val="21"/>
                <w:highlight w:val="none"/>
                <w:lang w:val="en-US" w:eastAsia="zh-CN"/>
              </w:rPr>
            </w:pPr>
            <w:r>
              <w:rPr>
                <w:rFonts w:hint="eastAsia"/>
                <w:color w:val="auto"/>
                <w:kern w:val="0"/>
                <w:szCs w:val="21"/>
                <w:highlight w:val="none"/>
                <w:lang w:val="en-US" w:eastAsia="zh-CN"/>
              </w:rPr>
              <w:t>敏化</w:t>
            </w:r>
          </w:p>
        </w:tc>
        <w:tc>
          <w:tcPr>
            <w:tcW w:w="4844" w:type="dxa"/>
            <w:noWrap w:val="0"/>
            <w:vAlign w:val="center"/>
          </w:tcPr>
          <w:p>
            <w:pPr>
              <w:adjustRightInd w:val="0"/>
              <w:snapToGrid w:val="0"/>
              <w:spacing w:line="300" w:lineRule="exact"/>
              <w:ind w:right="4" w:rightChars="2"/>
              <w:jc w:val="both"/>
              <w:rPr>
                <w:color w:val="auto"/>
                <w:szCs w:val="21"/>
                <w:highlight w:val="none"/>
              </w:rPr>
            </w:pPr>
            <w:r>
              <w:rPr>
                <w:rFonts w:hint="eastAsia"/>
                <w:color w:val="auto"/>
                <w:szCs w:val="21"/>
                <w:highlight w:val="none"/>
              </w:rPr>
              <w:t>使镀件表面形成微小的凝结核,利于被镀物质在镀件表面析出.</w:t>
            </w:r>
          </w:p>
        </w:tc>
        <w:tc>
          <w:tcPr>
            <w:tcW w:w="3174" w:type="dxa"/>
            <w:noWrap w:val="0"/>
            <w:vAlign w:val="center"/>
          </w:tcPr>
          <w:p>
            <w:pPr>
              <w:adjustRightInd w:val="0"/>
              <w:snapToGrid w:val="0"/>
              <w:spacing w:line="300" w:lineRule="exact"/>
              <w:jc w:val="both"/>
              <w:rPr>
                <w:rFonts w:hint="eastAsia"/>
                <w:color w:val="auto"/>
                <w:kern w:val="0"/>
                <w:szCs w:val="21"/>
                <w:highlight w:val="none"/>
              </w:rPr>
            </w:pPr>
            <w:r>
              <w:rPr>
                <w:rFonts w:hint="eastAsia"/>
                <w:color w:val="auto"/>
                <w:kern w:val="0"/>
                <w:sz w:val="21"/>
                <w:szCs w:val="21"/>
                <w:highlight w:val="none"/>
                <w:lang w:val="en-US" w:eastAsia="zh-CN"/>
              </w:rPr>
              <w:t>氯化亚锡</w:t>
            </w:r>
            <w:r>
              <w:rPr>
                <w:rFonts w:hint="eastAsia"/>
                <w:color w:val="auto"/>
                <w:sz w:val="20"/>
                <w:highlight w:val="none"/>
                <w:lang w:val="en-US" w:eastAsia="zh-CN"/>
              </w:rPr>
              <w:t>150-40g/L</w:t>
            </w:r>
            <w:r>
              <w:rPr>
                <w:rFonts w:hint="eastAsia"/>
                <w:color w:val="auto"/>
                <w:kern w:val="0"/>
                <w:sz w:val="21"/>
                <w:szCs w:val="21"/>
                <w:highlight w:val="none"/>
                <w:lang w:val="en-US" w:eastAsia="zh-CN"/>
              </w:rPr>
              <w:t>、盐酸</w:t>
            </w:r>
            <w:r>
              <w:rPr>
                <w:rFonts w:hint="eastAsia"/>
                <w:color w:val="auto"/>
                <w:sz w:val="20"/>
                <w:highlight w:val="none"/>
                <w:lang w:val="en-US" w:eastAsia="zh-CN"/>
              </w:rPr>
              <w:t>50-60ml/L，</w:t>
            </w:r>
            <w:r>
              <w:rPr>
                <w:rFonts w:hint="eastAsia"/>
                <w:color w:val="auto"/>
                <w:kern w:val="0"/>
                <w:sz w:val="21"/>
                <w:szCs w:val="21"/>
                <w:highlight w:val="none"/>
                <w:lang w:val="en-US" w:eastAsia="zh-CN"/>
              </w:rPr>
              <w:t>室温</w:t>
            </w:r>
            <w:r>
              <w:rPr>
                <w:color w:val="auto"/>
                <w:kern w:val="0"/>
                <w:sz w:val="21"/>
                <w:szCs w:val="21"/>
                <w:highlight w:val="none"/>
              </w:rPr>
              <w:t>，</w:t>
            </w:r>
            <w:r>
              <w:rPr>
                <w:rFonts w:hint="eastAsia"/>
                <w:color w:val="auto"/>
                <w:kern w:val="0"/>
                <w:sz w:val="21"/>
                <w:szCs w:val="21"/>
                <w:highlight w:val="none"/>
                <w:lang w:val="en-US" w:eastAsia="zh-CN"/>
              </w:rPr>
              <w:t>20</w:t>
            </w:r>
            <w:r>
              <w:rPr>
                <w:color w:val="auto"/>
                <w:kern w:val="0"/>
                <w:sz w:val="21"/>
                <w:szCs w:val="21"/>
                <w:highlight w:val="none"/>
              </w:rPr>
              <w:t>min</w:t>
            </w:r>
            <w:r>
              <w:rPr>
                <w:rFonts w:hint="eastAsia"/>
                <w:color w:val="auto"/>
                <w:kern w:val="0"/>
                <w:szCs w:val="21"/>
                <w:highlight w:val="none"/>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9286" w:type="dxa"/>
            <w:gridSpan w:val="3"/>
            <w:tcBorders>
              <w:left w:val="nil"/>
            </w:tcBorders>
            <w:noWrap w:val="0"/>
            <w:vAlign w:val="center"/>
          </w:tcPr>
          <w:p>
            <w:pPr>
              <w:spacing w:line="300" w:lineRule="exact"/>
              <w:rPr>
                <w:rFonts w:eastAsia="黑体"/>
                <w:color w:val="auto"/>
                <w:kern w:val="0"/>
                <w:szCs w:val="21"/>
                <w:highlight w:val="none"/>
              </w:rPr>
            </w:pPr>
            <w:r>
              <w:rPr>
                <w:rFonts w:ascii="宋体" w:hAnsi="宋体"/>
                <w:b/>
                <w:color w:val="auto"/>
                <w:szCs w:val="21"/>
                <w:highlight w:val="none"/>
              </w:rPr>
              <w:t>电镀工序</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1268" w:type="dxa"/>
            <w:noWrap w:val="0"/>
            <w:vAlign w:val="center"/>
          </w:tcPr>
          <w:p>
            <w:pPr>
              <w:spacing w:line="320" w:lineRule="exact"/>
              <w:jc w:val="center"/>
              <w:rPr>
                <w:color w:val="auto"/>
                <w:kern w:val="0"/>
                <w:szCs w:val="21"/>
                <w:highlight w:val="none"/>
              </w:rPr>
            </w:pPr>
            <w:r>
              <w:rPr>
                <w:rFonts w:hint="eastAsia"/>
                <w:color w:val="auto"/>
                <w:highlight w:val="none"/>
              </w:rPr>
              <w:t>化学镀银</w:t>
            </w:r>
          </w:p>
        </w:tc>
        <w:tc>
          <w:tcPr>
            <w:tcW w:w="4844" w:type="dxa"/>
            <w:noWrap w:val="0"/>
            <w:vAlign w:val="center"/>
          </w:tcPr>
          <w:p>
            <w:pPr>
              <w:adjustRightInd w:val="0"/>
              <w:snapToGrid w:val="0"/>
              <w:spacing w:line="300" w:lineRule="exact"/>
              <w:ind w:right="4" w:rightChars="2"/>
              <w:jc w:val="left"/>
              <w:rPr>
                <w:rFonts w:hint="eastAsia" w:eastAsia="宋体"/>
                <w:color w:val="auto"/>
                <w:kern w:val="0"/>
                <w:szCs w:val="21"/>
                <w:highlight w:val="none"/>
                <w:lang w:val="en-US" w:eastAsia="zh-CN"/>
              </w:rPr>
            </w:pPr>
            <w:r>
              <w:rPr>
                <w:rFonts w:hint="eastAsia" w:ascii="Arial" w:hAnsi="Arial" w:eastAsia="宋体" w:cs="Arial"/>
                <w:i w:val="0"/>
                <w:caps w:val="0"/>
                <w:color w:val="auto"/>
                <w:spacing w:val="0"/>
                <w:sz w:val="21"/>
                <w:szCs w:val="21"/>
                <w:highlight w:val="none"/>
                <w:shd w:val="clear" w:fill="FFFFFF"/>
              </w:rPr>
              <w:t>非金属材料表面进行化学镀银</w:t>
            </w:r>
            <w:r>
              <w:rPr>
                <w:rFonts w:hint="eastAsia" w:ascii="Arial" w:hAnsi="Arial" w:cs="Arial"/>
                <w:i w:val="0"/>
                <w:caps w:val="0"/>
                <w:color w:val="auto"/>
                <w:spacing w:val="0"/>
                <w:sz w:val="21"/>
                <w:szCs w:val="21"/>
                <w:highlight w:val="none"/>
                <w:shd w:val="clear" w:fill="FFFFFF"/>
                <w:lang w:eastAsia="zh-CN"/>
              </w:rPr>
              <w:t>，</w:t>
            </w:r>
            <w:r>
              <w:rPr>
                <w:rFonts w:hint="eastAsia" w:ascii="Arial" w:hAnsi="Arial" w:eastAsia="宋体" w:cs="Arial"/>
                <w:i w:val="0"/>
                <w:caps w:val="0"/>
                <w:color w:val="auto"/>
                <w:spacing w:val="0"/>
                <w:sz w:val="21"/>
                <w:szCs w:val="21"/>
                <w:highlight w:val="none"/>
                <w:shd w:val="clear" w:fill="FFFFFF"/>
              </w:rPr>
              <w:t>具有较高的电导率和良好的导热性能、焊接性能及很好的反光能力</w:t>
            </w:r>
            <w:r>
              <w:rPr>
                <w:color w:val="auto"/>
                <w:kern w:val="0"/>
                <w:szCs w:val="21"/>
                <w:highlight w:val="none"/>
              </w:rPr>
              <w:t>。</w:t>
            </w:r>
            <w:r>
              <w:rPr>
                <w:color w:val="auto"/>
                <w:kern w:val="0"/>
                <w:sz w:val="21"/>
                <w:szCs w:val="21"/>
                <w:highlight w:val="none"/>
              </w:rPr>
              <w:t>温度</w:t>
            </w:r>
            <w:r>
              <w:rPr>
                <w:rFonts w:hint="eastAsia"/>
                <w:color w:val="auto"/>
                <w:kern w:val="0"/>
                <w:sz w:val="21"/>
                <w:szCs w:val="21"/>
                <w:highlight w:val="none"/>
                <w:lang w:val="en-US" w:eastAsia="zh-CN"/>
              </w:rPr>
              <w:t>1</w:t>
            </w:r>
            <w:r>
              <w:rPr>
                <w:color w:val="auto"/>
                <w:kern w:val="0"/>
                <w:sz w:val="21"/>
                <w:szCs w:val="21"/>
                <w:highlight w:val="none"/>
              </w:rPr>
              <w:t>0</w:t>
            </w:r>
            <w:r>
              <w:rPr>
                <w:rFonts w:hint="eastAsia" w:ascii="宋体" w:hAnsi="宋体" w:cs="宋体"/>
                <w:color w:val="auto"/>
                <w:kern w:val="0"/>
                <w:sz w:val="21"/>
                <w:szCs w:val="21"/>
                <w:highlight w:val="none"/>
              </w:rPr>
              <w:t>℃</w:t>
            </w:r>
            <w:r>
              <w:rPr>
                <w:rFonts w:hint="eastAsia"/>
                <w:color w:val="auto"/>
                <w:kern w:val="0"/>
                <w:szCs w:val="21"/>
                <w:highlight w:val="none"/>
              </w:rPr>
              <w:t>，</w:t>
            </w:r>
            <w:r>
              <w:rPr>
                <w:rFonts w:hint="eastAsia"/>
                <w:color w:val="auto"/>
                <w:kern w:val="0"/>
                <w:szCs w:val="21"/>
                <w:highlight w:val="none"/>
                <w:lang w:val="en-US" w:eastAsia="zh-CN"/>
              </w:rPr>
              <w:t>采用</w:t>
            </w:r>
            <w:r>
              <w:rPr>
                <w:rFonts w:hint="eastAsia"/>
                <w:color w:val="auto"/>
                <w:kern w:val="0"/>
                <w:szCs w:val="21"/>
                <w:highlight w:val="none"/>
              </w:rPr>
              <w:t>硝酸银</w:t>
            </w:r>
            <w:r>
              <w:rPr>
                <w:rFonts w:hint="eastAsia"/>
                <w:color w:val="auto"/>
                <w:kern w:val="0"/>
                <w:szCs w:val="21"/>
                <w:highlight w:val="none"/>
                <w:lang w:val="en-US" w:eastAsia="zh-CN"/>
              </w:rPr>
              <w:t>-葡萄糖液体系镀银。</w:t>
            </w:r>
          </w:p>
        </w:tc>
        <w:tc>
          <w:tcPr>
            <w:tcW w:w="3174" w:type="dxa"/>
            <w:noWrap w:val="0"/>
            <w:vAlign w:val="center"/>
          </w:tcPr>
          <w:p>
            <w:pPr>
              <w:adjustRightInd w:val="0"/>
              <w:snapToGrid w:val="0"/>
              <w:spacing w:line="300" w:lineRule="exact"/>
              <w:jc w:val="both"/>
              <w:rPr>
                <w:rFonts w:hint="eastAsia"/>
                <w:color w:val="auto"/>
                <w:kern w:val="0"/>
                <w:szCs w:val="21"/>
                <w:highlight w:val="none"/>
              </w:rPr>
            </w:pPr>
            <w:r>
              <w:rPr>
                <w:rFonts w:hint="eastAsia"/>
                <w:color w:val="auto"/>
                <w:kern w:val="0"/>
                <w:szCs w:val="21"/>
                <w:highlight w:val="none"/>
              </w:rPr>
              <w:t>硝酸银</w:t>
            </w:r>
            <w:r>
              <w:rPr>
                <w:rFonts w:hint="eastAsia"/>
                <w:color w:val="auto"/>
                <w:sz w:val="20"/>
                <w:highlight w:val="none"/>
                <w:lang w:val="en-US" w:eastAsia="zh-CN"/>
              </w:rPr>
              <w:t>1.5-5g/L</w:t>
            </w:r>
            <w:r>
              <w:rPr>
                <w:rFonts w:hint="eastAsia"/>
                <w:color w:val="auto"/>
                <w:kern w:val="0"/>
                <w:szCs w:val="21"/>
                <w:highlight w:val="none"/>
                <w:lang w:eastAsia="zh-CN"/>
              </w:rPr>
              <w:t>、</w:t>
            </w:r>
            <w:r>
              <w:rPr>
                <w:rFonts w:hint="eastAsia"/>
                <w:color w:val="auto"/>
                <w:kern w:val="0"/>
                <w:szCs w:val="21"/>
                <w:highlight w:val="none"/>
              </w:rPr>
              <w:t>氢氧化钾</w:t>
            </w:r>
            <w:r>
              <w:rPr>
                <w:rFonts w:hint="eastAsia"/>
                <w:color w:val="auto"/>
                <w:sz w:val="20"/>
                <w:highlight w:val="none"/>
                <w:lang w:val="en-US" w:eastAsia="zh-CN"/>
              </w:rPr>
              <w:t>2-3g/L</w:t>
            </w:r>
            <w:r>
              <w:rPr>
                <w:rFonts w:hint="eastAsia"/>
                <w:color w:val="auto"/>
                <w:kern w:val="0"/>
                <w:szCs w:val="21"/>
                <w:highlight w:val="none"/>
                <w:lang w:eastAsia="zh-CN"/>
              </w:rPr>
              <w:t>、</w:t>
            </w:r>
            <w:r>
              <w:rPr>
                <w:rFonts w:hint="eastAsia"/>
                <w:color w:val="auto"/>
                <w:kern w:val="0"/>
                <w:szCs w:val="21"/>
                <w:highlight w:val="none"/>
              </w:rPr>
              <w:t>葡萄糖</w:t>
            </w:r>
            <w:r>
              <w:rPr>
                <w:rFonts w:hint="eastAsia"/>
                <w:color w:val="auto"/>
                <w:sz w:val="20"/>
                <w:highlight w:val="none"/>
                <w:lang w:val="en-US" w:eastAsia="zh-CN"/>
              </w:rPr>
              <w:t>5-50g/L</w:t>
            </w:r>
            <w:r>
              <w:rPr>
                <w:rFonts w:hint="eastAsia"/>
                <w:color w:val="auto"/>
                <w:kern w:val="0"/>
                <w:szCs w:val="21"/>
                <w:highlight w:val="none"/>
                <w:lang w:eastAsia="zh-CN"/>
              </w:rPr>
              <w:t>、</w:t>
            </w:r>
            <w:r>
              <w:rPr>
                <w:rFonts w:hint="eastAsia"/>
                <w:color w:val="auto"/>
                <w:kern w:val="0"/>
                <w:szCs w:val="21"/>
                <w:highlight w:val="none"/>
              </w:rPr>
              <w:t>酒石酸</w:t>
            </w:r>
            <w:r>
              <w:rPr>
                <w:rFonts w:hint="eastAsia"/>
                <w:color w:val="auto"/>
                <w:sz w:val="20"/>
                <w:highlight w:val="none"/>
                <w:lang w:val="en-US" w:eastAsia="zh-CN"/>
              </w:rPr>
              <w:t>3-5g/L</w:t>
            </w:r>
            <w:r>
              <w:rPr>
                <w:rFonts w:hint="eastAsia"/>
                <w:color w:val="auto"/>
                <w:kern w:val="0"/>
                <w:szCs w:val="21"/>
                <w:highlight w:val="none"/>
              </w:rPr>
              <w:t>、氨水</w:t>
            </w:r>
            <w:r>
              <w:rPr>
                <w:rFonts w:hint="eastAsia"/>
                <w:color w:val="auto"/>
                <w:sz w:val="20"/>
                <w:highlight w:val="none"/>
                <w:lang w:val="en-US" w:eastAsia="zh-CN"/>
              </w:rPr>
              <w:t>3-6ml/L</w:t>
            </w:r>
            <w:r>
              <w:rPr>
                <w:rFonts w:hint="eastAsia"/>
                <w:color w:val="auto"/>
                <w:kern w:val="0"/>
                <w:szCs w:val="21"/>
                <w:highlight w:val="none"/>
              </w:rPr>
              <w:t>，</w:t>
            </w:r>
            <w:r>
              <w:rPr>
                <w:rFonts w:hint="eastAsia"/>
                <w:color w:val="auto"/>
                <w:kern w:val="0"/>
                <w:sz w:val="21"/>
                <w:szCs w:val="21"/>
                <w:highlight w:val="none"/>
                <w:lang w:val="en-US" w:eastAsia="zh-CN"/>
              </w:rPr>
              <w:t>1</w:t>
            </w:r>
            <w:r>
              <w:rPr>
                <w:color w:val="auto"/>
                <w:kern w:val="0"/>
                <w:sz w:val="21"/>
                <w:szCs w:val="21"/>
                <w:highlight w:val="none"/>
              </w:rPr>
              <w:t>0</w:t>
            </w:r>
            <w:r>
              <w:rPr>
                <w:rFonts w:hint="eastAsia" w:ascii="宋体" w:hAnsi="宋体" w:cs="宋体"/>
                <w:color w:val="auto"/>
                <w:kern w:val="0"/>
                <w:sz w:val="21"/>
                <w:szCs w:val="21"/>
                <w:highlight w:val="none"/>
              </w:rPr>
              <w:t>℃</w:t>
            </w:r>
            <w:r>
              <w:rPr>
                <w:rFonts w:hint="eastAsia"/>
                <w:color w:val="auto"/>
                <w:kern w:val="0"/>
                <w:szCs w:val="21"/>
                <w:highlight w:val="none"/>
              </w:rPr>
              <w:t>，1</w:t>
            </w:r>
            <w:r>
              <w:rPr>
                <w:rFonts w:hint="eastAsia"/>
                <w:color w:val="auto"/>
                <w:kern w:val="0"/>
                <w:szCs w:val="21"/>
                <w:highlight w:val="none"/>
                <w:lang w:val="en-US" w:eastAsia="zh-CN"/>
              </w:rPr>
              <w:t>0</w:t>
            </w:r>
            <w:r>
              <w:rPr>
                <w:rFonts w:hint="eastAsia"/>
                <w:color w:val="auto"/>
                <w:kern w:val="0"/>
                <w:szCs w:val="21"/>
                <w:highlight w:val="none"/>
              </w:rPr>
              <w:t>0min</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1268" w:type="dxa"/>
            <w:noWrap w:val="0"/>
            <w:vAlign w:val="center"/>
          </w:tcPr>
          <w:p>
            <w:pPr>
              <w:snapToGrid w:val="0"/>
              <w:jc w:val="center"/>
              <w:rPr>
                <w:color w:val="auto"/>
                <w:kern w:val="0"/>
                <w:szCs w:val="21"/>
                <w:highlight w:val="none"/>
              </w:rPr>
            </w:pPr>
            <w:r>
              <w:rPr>
                <w:rFonts w:hint="eastAsia" w:asciiTheme="minorEastAsia" w:hAnsiTheme="minorEastAsia" w:eastAsiaTheme="minorEastAsia" w:cstheme="minorEastAsia"/>
                <w:color w:val="auto"/>
                <w:sz w:val="20"/>
                <w:highlight w:val="none"/>
                <w:lang w:val="en-US" w:eastAsia="zh-CN"/>
              </w:rPr>
              <w:t>无氰电镀</w:t>
            </w:r>
          </w:p>
        </w:tc>
        <w:tc>
          <w:tcPr>
            <w:tcW w:w="4844" w:type="dxa"/>
            <w:noWrap w:val="0"/>
            <w:vAlign w:val="center"/>
          </w:tcPr>
          <w:p>
            <w:pPr>
              <w:adjustRightInd w:val="0"/>
              <w:snapToGrid w:val="0"/>
              <w:spacing w:line="300" w:lineRule="exact"/>
              <w:ind w:right="4" w:rightChars="2"/>
              <w:jc w:val="left"/>
              <w:rPr>
                <w:color w:val="auto"/>
                <w:kern w:val="0"/>
                <w:szCs w:val="21"/>
                <w:highlight w:val="none"/>
              </w:rPr>
            </w:pPr>
            <w:r>
              <w:rPr>
                <w:rFonts w:hint="eastAsia"/>
                <w:color w:val="auto"/>
                <w:kern w:val="0"/>
                <w:szCs w:val="21"/>
                <w:highlight w:val="none"/>
                <w:lang w:val="en-US" w:eastAsia="zh-CN"/>
              </w:rPr>
              <w:t>采用磺基水杨酸-咪唑双络合体系</w:t>
            </w:r>
            <w:r>
              <w:rPr>
                <w:color w:val="auto"/>
                <w:kern w:val="0"/>
                <w:szCs w:val="21"/>
                <w:highlight w:val="none"/>
              </w:rPr>
              <w:t>，极板为</w:t>
            </w:r>
            <w:r>
              <w:rPr>
                <w:rFonts w:hint="eastAsia"/>
                <w:color w:val="auto"/>
                <w:kern w:val="0"/>
                <w:szCs w:val="21"/>
                <w:highlight w:val="none"/>
                <w:lang w:val="en-US" w:eastAsia="zh-CN"/>
              </w:rPr>
              <w:t>银片</w:t>
            </w:r>
            <w:r>
              <w:rPr>
                <w:rFonts w:hint="eastAsia"/>
                <w:color w:val="auto"/>
                <w:kern w:val="0"/>
                <w:szCs w:val="21"/>
                <w:highlight w:val="none"/>
              </w:rPr>
              <w:t>。</w:t>
            </w:r>
          </w:p>
        </w:tc>
        <w:tc>
          <w:tcPr>
            <w:tcW w:w="3174" w:type="dxa"/>
            <w:noWrap w:val="0"/>
            <w:vAlign w:val="center"/>
          </w:tcPr>
          <w:p>
            <w:pPr>
              <w:tabs>
                <w:tab w:val="left" w:pos="2118"/>
              </w:tabs>
              <w:adjustRightInd w:val="0"/>
              <w:snapToGrid w:val="0"/>
              <w:spacing w:line="300" w:lineRule="exact"/>
              <w:jc w:val="center"/>
              <w:rPr>
                <w:color w:val="auto"/>
                <w:kern w:val="0"/>
                <w:szCs w:val="21"/>
                <w:highlight w:val="none"/>
              </w:rPr>
            </w:pPr>
            <w:r>
              <w:rPr>
                <w:rFonts w:hint="eastAsia"/>
                <w:color w:val="auto"/>
                <w:kern w:val="0"/>
                <w:szCs w:val="21"/>
                <w:highlight w:val="none"/>
              </w:rPr>
              <w:t>咪唑</w:t>
            </w:r>
            <w:r>
              <w:rPr>
                <w:rFonts w:hint="eastAsia"/>
                <w:color w:val="auto"/>
                <w:kern w:val="0"/>
                <w:szCs w:val="21"/>
                <w:highlight w:val="none"/>
                <w:lang w:val="en-US" w:eastAsia="zh-CN"/>
              </w:rPr>
              <w:t>50</w:t>
            </w:r>
            <w:r>
              <w:rPr>
                <w:rFonts w:hint="eastAsia"/>
                <w:color w:val="auto"/>
                <w:kern w:val="0"/>
                <w:szCs w:val="21"/>
                <w:highlight w:val="none"/>
              </w:rPr>
              <w:t>-</w:t>
            </w:r>
            <w:r>
              <w:rPr>
                <w:rFonts w:hint="eastAsia"/>
                <w:color w:val="auto"/>
                <w:kern w:val="0"/>
                <w:szCs w:val="21"/>
                <w:highlight w:val="none"/>
                <w:lang w:val="en-US" w:eastAsia="zh-CN"/>
              </w:rPr>
              <w:t>1</w:t>
            </w:r>
            <w:r>
              <w:rPr>
                <w:rFonts w:hint="eastAsia"/>
                <w:color w:val="auto"/>
                <w:kern w:val="0"/>
                <w:szCs w:val="21"/>
                <w:highlight w:val="none"/>
              </w:rPr>
              <w:t>50g/L</w:t>
            </w:r>
            <w:r>
              <w:rPr>
                <w:rFonts w:hint="eastAsia"/>
                <w:color w:val="auto"/>
                <w:kern w:val="0"/>
                <w:szCs w:val="21"/>
                <w:highlight w:val="none"/>
                <w:lang w:eastAsia="zh-CN"/>
              </w:rPr>
              <w:t>、</w:t>
            </w:r>
            <w:r>
              <w:rPr>
                <w:rFonts w:hint="eastAsia"/>
                <w:color w:val="auto"/>
                <w:kern w:val="0"/>
                <w:szCs w:val="21"/>
                <w:highlight w:val="none"/>
              </w:rPr>
              <w:t>硝酸</w:t>
            </w:r>
            <w:r>
              <w:rPr>
                <w:rFonts w:hint="eastAsia"/>
                <w:color w:val="auto"/>
                <w:kern w:val="0"/>
                <w:szCs w:val="21"/>
                <w:highlight w:val="none"/>
                <w:lang w:val="en-US" w:eastAsia="zh-CN"/>
              </w:rPr>
              <w:t>10</w:t>
            </w:r>
            <w:r>
              <w:rPr>
                <w:rFonts w:hint="eastAsia"/>
                <w:color w:val="auto"/>
                <w:kern w:val="0"/>
                <w:szCs w:val="21"/>
                <w:highlight w:val="none"/>
              </w:rPr>
              <w:t>-50g/L</w:t>
            </w:r>
            <w:r>
              <w:rPr>
                <w:rFonts w:hint="eastAsia"/>
                <w:color w:val="auto"/>
                <w:kern w:val="0"/>
                <w:szCs w:val="21"/>
                <w:highlight w:val="none"/>
                <w:lang w:eastAsia="zh-CN"/>
              </w:rPr>
              <w:t>、</w:t>
            </w:r>
            <w:r>
              <w:rPr>
                <w:rFonts w:hint="eastAsia"/>
                <w:color w:val="auto"/>
                <w:kern w:val="0"/>
                <w:szCs w:val="21"/>
                <w:highlight w:val="none"/>
              </w:rPr>
              <w:t>磺基水杨酸</w:t>
            </w:r>
            <w:r>
              <w:rPr>
                <w:rFonts w:hint="eastAsia"/>
                <w:color w:val="auto"/>
                <w:kern w:val="0"/>
                <w:szCs w:val="21"/>
                <w:highlight w:val="none"/>
                <w:lang w:val="en-US" w:eastAsia="zh-CN"/>
              </w:rPr>
              <w:t>150</w:t>
            </w:r>
            <w:r>
              <w:rPr>
                <w:rFonts w:hint="eastAsia"/>
                <w:color w:val="auto"/>
                <w:kern w:val="0"/>
                <w:szCs w:val="21"/>
                <w:highlight w:val="none"/>
              </w:rPr>
              <w:t>-</w:t>
            </w:r>
            <w:r>
              <w:rPr>
                <w:rFonts w:hint="eastAsia"/>
                <w:color w:val="auto"/>
                <w:kern w:val="0"/>
                <w:szCs w:val="21"/>
                <w:highlight w:val="none"/>
                <w:lang w:val="en-US" w:eastAsia="zh-CN"/>
              </w:rPr>
              <w:t>18</w:t>
            </w:r>
            <w:r>
              <w:rPr>
                <w:rFonts w:hint="eastAsia"/>
                <w:color w:val="auto"/>
                <w:kern w:val="0"/>
                <w:szCs w:val="21"/>
                <w:highlight w:val="none"/>
              </w:rPr>
              <w:t>0g/L</w:t>
            </w:r>
            <w:r>
              <w:rPr>
                <w:rFonts w:hint="eastAsia"/>
                <w:color w:val="auto"/>
                <w:kern w:val="0"/>
                <w:szCs w:val="21"/>
                <w:highlight w:val="none"/>
                <w:lang w:eastAsia="zh-CN"/>
              </w:rPr>
              <w:t>，</w:t>
            </w:r>
            <w:r>
              <w:rPr>
                <w:rFonts w:hint="eastAsia"/>
                <w:color w:val="auto"/>
                <w:kern w:val="0"/>
                <w:sz w:val="21"/>
                <w:szCs w:val="21"/>
                <w:highlight w:val="none"/>
                <w:lang w:val="en-US" w:eastAsia="zh-CN"/>
              </w:rPr>
              <w:t>室温</w:t>
            </w:r>
            <w:r>
              <w:rPr>
                <w:rFonts w:hint="eastAsia" w:ascii="宋体" w:hAnsi="宋体" w:cs="宋体"/>
                <w:color w:val="auto"/>
                <w:kern w:val="0"/>
                <w:szCs w:val="21"/>
                <w:highlight w:val="none"/>
              </w:rPr>
              <w:t>，</w:t>
            </w:r>
            <w:r>
              <w:rPr>
                <w:rFonts w:hint="eastAsia"/>
                <w:color w:val="auto"/>
                <w:kern w:val="0"/>
                <w:szCs w:val="21"/>
                <w:highlight w:val="none"/>
              </w:rPr>
              <w:t>时间</w:t>
            </w:r>
            <w:r>
              <w:rPr>
                <w:rFonts w:hint="eastAsia"/>
                <w:color w:val="auto"/>
                <w:kern w:val="0"/>
                <w:szCs w:val="21"/>
                <w:highlight w:val="none"/>
                <w:lang w:val="en-US" w:eastAsia="zh-CN"/>
              </w:rPr>
              <w:t>40</w:t>
            </w:r>
            <w:r>
              <w:rPr>
                <w:rFonts w:hint="eastAsia"/>
                <w:color w:val="auto"/>
                <w:kern w:val="0"/>
                <w:szCs w:val="21"/>
                <w:highlight w:val="none"/>
              </w:rPr>
              <w:t>0</w:t>
            </w:r>
            <w:r>
              <w:rPr>
                <w:color w:val="auto"/>
                <w:kern w:val="0"/>
                <w:szCs w:val="21"/>
                <w:highlight w:val="none"/>
              </w:rPr>
              <w:t>min</w:t>
            </w:r>
            <w:r>
              <w:rPr>
                <w:rFonts w:hint="eastAsia"/>
                <w:color w:val="auto"/>
                <w:kern w:val="0"/>
                <w:szCs w:val="21"/>
                <w:highlight w:val="none"/>
              </w:rPr>
              <w:t>，电流：</w:t>
            </w:r>
            <w:r>
              <w:rPr>
                <w:rFonts w:hint="eastAsia"/>
                <w:color w:val="auto"/>
                <w:kern w:val="0"/>
                <w:szCs w:val="21"/>
                <w:highlight w:val="none"/>
                <w:lang w:val="en-US" w:eastAsia="zh-CN"/>
              </w:rPr>
              <w:t>0.</w:t>
            </w:r>
            <w:r>
              <w:rPr>
                <w:rFonts w:hint="eastAsia"/>
                <w:color w:val="auto"/>
                <w:kern w:val="0"/>
                <w:szCs w:val="21"/>
                <w:highlight w:val="none"/>
              </w:rPr>
              <w:t>2-5A/dm</w:t>
            </w:r>
            <w:r>
              <w:rPr>
                <w:rFonts w:hint="eastAsia"/>
                <w:color w:val="auto"/>
                <w:kern w:val="0"/>
                <w:szCs w:val="21"/>
                <w:highlight w:val="none"/>
                <w:vertAlign w:val="superscript"/>
              </w:rPr>
              <w:t>2</w:t>
            </w:r>
            <w:r>
              <w:rPr>
                <w:rFonts w:hint="eastAsia"/>
                <w:color w:val="auto"/>
                <w:kern w:val="0"/>
                <w:szCs w:val="21"/>
                <w:highlight w:val="none"/>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9286" w:type="dxa"/>
            <w:gridSpan w:val="3"/>
            <w:tcBorders>
              <w:left w:val="nil"/>
            </w:tcBorders>
            <w:noWrap w:val="0"/>
            <w:vAlign w:val="center"/>
          </w:tcPr>
          <w:p>
            <w:pPr>
              <w:spacing w:line="300" w:lineRule="exact"/>
              <w:rPr>
                <w:rFonts w:eastAsia="黑体"/>
                <w:color w:val="auto"/>
                <w:kern w:val="0"/>
                <w:szCs w:val="21"/>
                <w:highlight w:val="none"/>
              </w:rPr>
            </w:pPr>
            <w:r>
              <w:rPr>
                <w:rFonts w:ascii="宋体" w:hAnsi="宋体"/>
                <w:b/>
                <w:color w:val="auto"/>
                <w:szCs w:val="21"/>
                <w:highlight w:val="none"/>
              </w:rPr>
              <w:t>后处理工序</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1268" w:type="dxa"/>
            <w:noWrap w:val="0"/>
            <w:vAlign w:val="center"/>
          </w:tcPr>
          <w:p>
            <w:pPr>
              <w:adjustRightInd w:val="0"/>
              <w:snapToGrid w:val="0"/>
              <w:spacing w:line="300" w:lineRule="exact"/>
              <w:jc w:val="center"/>
              <w:rPr>
                <w:rFonts w:hint="eastAsia"/>
                <w:color w:val="auto"/>
                <w:kern w:val="0"/>
                <w:szCs w:val="21"/>
                <w:highlight w:val="none"/>
                <w:lang w:val="en-US" w:eastAsia="zh-CN"/>
              </w:rPr>
            </w:pPr>
            <w:r>
              <w:rPr>
                <w:rFonts w:hint="eastAsia"/>
                <w:color w:val="auto"/>
                <w:kern w:val="0"/>
                <w:szCs w:val="21"/>
                <w:highlight w:val="none"/>
                <w:lang w:val="en-US" w:eastAsia="zh-CN"/>
              </w:rPr>
              <w:t>氯化</w:t>
            </w:r>
          </w:p>
        </w:tc>
        <w:tc>
          <w:tcPr>
            <w:tcW w:w="4844" w:type="dxa"/>
            <w:noWrap w:val="0"/>
            <w:vAlign w:val="center"/>
          </w:tcPr>
          <w:p>
            <w:pPr>
              <w:adjustRightInd w:val="0"/>
              <w:snapToGrid w:val="0"/>
              <w:jc w:val="left"/>
              <w:rPr>
                <w:color w:val="auto"/>
                <w:szCs w:val="21"/>
                <w:highlight w:val="none"/>
              </w:rPr>
            </w:pPr>
            <w:r>
              <w:rPr>
                <w:color w:val="auto"/>
                <w:szCs w:val="21"/>
                <w:highlight w:val="none"/>
              </w:rPr>
              <w:t>采用三氯化铁将</w:t>
            </w:r>
            <w:r>
              <w:rPr>
                <w:rFonts w:hint="eastAsia"/>
                <w:color w:val="auto"/>
                <w:szCs w:val="21"/>
                <w:highlight w:val="none"/>
                <w:lang w:val="en-US" w:eastAsia="zh-CN"/>
              </w:rPr>
              <w:t>镀件上的部分</w:t>
            </w:r>
            <w:r>
              <w:rPr>
                <w:color w:val="auto"/>
                <w:szCs w:val="21"/>
                <w:highlight w:val="none"/>
              </w:rPr>
              <w:t>银镀层转化为氯化银</w:t>
            </w:r>
            <w:r>
              <w:rPr>
                <w:rFonts w:hint="eastAsia"/>
                <w:color w:val="auto"/>
                <w:szCs w:val="21"/>
                <w:highlight w:val="none"/>
                <w:lang w:eastAsia="zh-CN"/>
              </w:rPr>
              <w:t>，</w:t>
            </w:r>
            <w:r>
              <w:rPr>
                <w:rFonts w:hint="eastAsia"/>
                <w:color w:val="auto"/>
                <w:szCs w:val="21"/>
                <w:highlight w:val="none"/>
                <w:lang w:val="en-US" w:eastAsia="zh-CN"/>
              </w:rPr>
              <w:t>使镀件具有</w:t>
            </w:r>
            <w:r>
              <w:rPr>
                <w:color w:val="auto"/>
                <w:szCs w:val="21"/>
                <w:highlight w:val="none"/>
              </w:rPr>
              <w:t>银/氯化银电极</w:t>
            </w:r>
            <w:r>
              <w:rPr>
                <w:rFonts w:hint="eastAsia"/>
                <w:color w:val="auto"/>
                <w:szCs w:val="21"/>
                <w:highlight w:val="none"/>
                <w:lang w:val="en-US" w:eastAsia="zh-CN"/>
              </w:rPr>
              <w:t>特性</w:t>
            </w:r>
            <w:r>
              <w:rPr>
                <w:color w:val="auto"/>
                <w:szCs w:val="21"/>
                <w:highlight w:val="none"/>
              </w:rPr>
              <w:t>。</w:t>
            </w:r>
          </w:p>
        </w:tc>
        <w:tc>
          <w:tcPr>
            <w:tcW w:w="3174" w:type="dxa"/>
            <w:noWrap w:val="0"/>
            <w:vAlign w:val="center"/>
          </w:tcPr>
          <w:p>
            <w:pPr>
              <w:adjustRightInd w:val="0"/>
              <w:snapToGrid w:val="0"/>
              <w:jc w:val="both"/>
              <w:rPr>
                <w:color w:val="auto"/>
                <w:kern w:val="0"/>
                <w:szCs w:val="21"/>
                <w:highlight w:val="none"/>
              </w:rPr>
            </w:pPr>
            <w:r>
              <w:rPr>
                <w:rFonts w:hint="eastAsia"/>
                <w:color w:val="auto"/>
                <w:kern w:val="0"/>
                <w:sz w:val="21"/>
                <w:szCs w:val="21"/>
                <w:highlight w:val="none"/>
                <w:lang w:val="en-US" w:eastAsia="zh-CN"/>
              </w:rPr>
              <w:t>三氯化铁</w:t>
            </w:r>
            <w:r>
              <w:rPr>
                <w:rFonts w:hint="eastAsia"/>
                <w:color w:val="auto"/>
                <w:kern w:val="0"/>
                <w:szCs w:val="21"/>
                <w:highlight w:val="none"/>
                <w:lang w:val="en-US" w:eastAsia="zh-CN"/>
              </w:rPr>
              <w:t>50</w:t>
            </w:r>
            <w:r>
              <w:rPr>
                <w:rFonts w:hint="eastAsia"/>
                <w:color w:val="auto"/>
                <w:kern w:val="0"/>
                <w:szCs w:val="21"/>
                <w:highlight w:val="none"/>
              </w:rPr>
              <w:t>-</w:t>
            </w:r>
            <w:r>
              <w:rPr>
                <w:rFonts w:hint="eastAsia"/>
                <w:color w:val="auto"/>
                <w:kern w:val="0"/>
                <w:szCs w:val="21"/>
                <w:highlight w:val="none"/>
                <w:lang w:val="en-US" w:eastAsia="zh-CN"/>
              </w:rPr>
              <w:t>1</w:t>
            </w:r>
            <w:r>
              <w:rPr>
                <w:rFonts w:hint="eastAsia"/>
                <w:color w:val="auto"/>
                <w:kern w:val="0"/>
                <w:szCs w:val="21"/>
                <w:highlight w:val="none"/>
              </w:rPr>
              <w:t>50g/L</w:t>
            </w:r>
            <w:r>
              <w:rPr>
                <w:rFonts w:hint="eastAsia"/>
                <w:color w:val="auto"/>
                <w:kern w:val="0"/>
                <w:sz w:val="21"/>
                <w:szCs w:val="21"/>
                <w:highlight w:val="none"/>
                <w:lang w:val="en-US" w:eastAsia="zh-CN"/>
              </w:rPr>
              <w:t>、硫化钠</w:t>
            </w:r>
            <w:r>
              <w:rPr>
                <w:rFonts w:hint="eastAsia"/>
                <w:color w:val="auto"/>
                <w:kern w:val="0"/>
                <w:szCs w:val="21"/>
                <w:highlight w:val="none"/>
                <w:lang w:val="en-US" w:eastAsia="zh-CN"/>
              </w:rPr>
              <w:t>50</w:t>
            </w:r>
            <w:r>
              <w:rPr>
                <w:rFonts w:hint="eastAsia"/>
                <w:color w:val="auto"/>
                <w:kern w:val="0"/>
                <w:szCs w:val="21"/>
                <w:highlight w:val="none"/>
              </w:rPr>
              <w:t>-</w:t>
            </w:r>
            <w:r>
              <w:rPr>
                <w:rFonts w:hint="eastAsia"/>
                <w:color w:val="auto"/>
                <w:kern w:val="0"/>
                <w:szCs w:val="21"/>
                <w:highlight w:val="none"/>
                <w:lang w:val="en-US" w:eastAsia="zh-CN"/>
              </w:rPr>
              <w:t>1</w:t>
            </w:r>
            <w:r>
              <w:rPr>
                <w:rFonts w:hint="eastAsia"/>
                <w:color w:val="auto"/>
                <w:kern w:val="0"/>
                <w:szCs w:val="21"/>
                <w:highlight w:val="none"/>
              </w:rPr>
              <w:t>50g/L</w:t>
            </w:r>
            <w:r>
              <w:rPr>
                <w:rFonts w:hint="eastAsia"/>
                <w:color w:val="auto"/>
                <w:kern w:val="0"/>
                <w:sz w:val="21"/>
                <w:szCs w:val="21"/>
                <w:highlight w:val="none"/>
                <w:lang w:val="en-US" w:eastAsia="zh-CN"/>
              </w:rPr>
              <w:t>，室温</w:t>
            </w:r>
            <w:r>
              <w:rPr>
                <w:color w:val="auto"/>
                <w:kern w:val="0"/>
                <w:sz w:val="21"/>
                <w:szCs w:val="21"/>
                <w:highlight w:val="none"/>
              </w:rPr>
              <w:t>，</w:t>
            </w:r>
            <w:r>
              <w:rPr>
                <w:rFonts w:hint="eastAsia"/>
                <w:color w:val="auto"/>
                <w:kern w:val="0"/>
                <w:sz w:val="21"/>
                <w:szCs w:val="21"/>
                <w:highlight w:val="none"/>
                <w:lang w:val="en-US" w:eastAsia="zh-CN"/>
              </w:rPr>
              <w:t>160</w:t>
            </w:r>
            <w:r>
              <w:rPr>
                <w:color w:val="auto"/>
                <w:kern w:val="0"/>
                <w:sz w:val="21"/>
                <w:szCs w:val="21"/>
                <w:highlight w:val="none"/>
              </w:rPr>
              <w:t>min</w:t>
            </w:r>
            <w:r>
              <w:rPr>
                <w:rFonts w:hint="eastAsia"/>
                <w:color w:val="auto"/>
                <w:kern w:val="0"/>
                <w:szCs w:val="21"/>
                <w:highlight w:val="none"/>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1268" w:type="dxa"/>
            <w:noWrap w:val="0"/>
            <w:vAlign w:val="center"/>
          </w:tcPr>
          <w:p>
            <w:pPr>
              <w:adjustRightInd w:val="0"/>
              <w:snapToGrid w:val="0"/>
              <w:spacing w:line="300" w:lineRule="exact"/>
              <w:jc w:val="center"/>
              <w:rPr>
                <w:rFonts w:hint="eastAsia" w:eastAsia="宋体"/>
                <w:color w:val="auto"/>
                <w:kern w:val="0"/>
                <w:szCs w:val="21"/>
                <w:highlight w:val="none"/>
                <w:lang w:eastAsia="zh-CN"/>
              </w:rPr>
            </w:pPr>
            <w:r>
              <w:rPr>
                <w:rFonts w:hint="eastAsia"/>
                <w:color w:val="auto"/>
                <w:kern w:val="0"/>
                <w:szCs w:val="21"/>
                <w:highlight w:val="none"/>
                <w:lang w:val="en-US" w:eastAsia="zh-CN"/>
              </w:rPr>
              <w:t>晾干</w:t>
            </w:r>
          </w:p>
        </w:tc>
        <w:tc>
          <w:tcPr>
            <w:tcW w:w="4844" w:type="dxa"/>
            <w:noWrap w:val="0"/>
            <w:vAlign w:val="center"/>
          </w:tcPr>
          <w:p>
            <w:pPr>
              <w:adjustRightInd w:val="0"/>
              <w:snapToGrid w:val="0"/>
              <w:jc w:val="left"/>
              <w:rPr>
                <w:color w:val="auto"/>
                <w:kern w:val="0"/>
                <w:szCs w:val="21"/>
                <w:highlight w:val="none"/>
              </w:rPr>
            </w:pPr>
            <w:r>
              <w:rPr>
                <w:color w:val="auto"/>
                <w:szCs w:val="21"/>
                <w:highlight w:val="none"/>
              </w:rPr>
              <w:t>工件经电镀后，需对镀件进行</w:t>
            </w:r>
            <w:r>
              <w:rPr>
                <w:rFonts w:hint="eastAsia"/>
                <w:color w:val="auto"/>
                <w:szCs w:val="21"/>
                <w:highlight w:val="none"/>
                <w:lang w:val="en-US" w:eastAsia="zh-CN"/>
              </w:rPr>
              <w:t>晾干</w:t>
            </w:r>
            <w:r>
              <w:rPr>
                <w:color w:val="auto"/>
                <w:szCs w:val="21"/>
                <w:highlight w:val="none"/>
              </w:rPr>
              <w:t>处理，使镀件上的水分蒸发，提高镀件的防腐防锈能力。</w:t>
            </w:r>
          </w:p>
        </w:tc>
        <w:tc>
          <w:tcPr>
            <w:tcW w:w="3174" w:type="dxa"/>
            <w:noWrap w:val="0"/>
            <w:vAlign w:val="center"/>
          </w:tcPr>
          <w:p>
            <w:pPr>
              <w:adjustRightInd w:val="0"/>
              <w:snapToGrid w:val="0"/>
              <w:jc w:val="center"/>
              <w:rPr>
                <w:color w:val="auto"/>
                <w:kern w:val="0"/>
                <w:szCs w:val="21"/>
                <w:highlight w:val="none"/>
              </w:rPr>
            </w:pPr>
            <w:r>
              <w:rPr>
                <w:rFonts w:hint="eastAsia"/>
                <w:color w:val="auto"/>
                <w:kern w:val="0"/>
                <w:sz w:val="21"/>
                <w:szCs w:val="21"/>
                <w:highlight w:val="none"/>
                <w:lang w:val="en-US" w:eastAsia="zh-CN"/>
              </w:rPr>
              <w:t>室温</w:t>
            </w:r>
            <w:r>
              <w:rPr>
                <w:color w:val="auto"/>
                <w:kern w:val="0"/>
                <w:szCs w:val="21"/>
                <w:highlight w:val="none"/>
              </w:rPr>
              <w:t>，</w:t>
            </w:r>
            <w:r>
              <w:rPr>
                <w:rFonts w:hint="eastAsia"/>
                <w:color w:val="auto"/>
                <w:kern w:val="0"/>
                <w:szCs w:val="21"/>
                <w:highlight w:val="none"/>
                <w:lang w:val="en-US" w:eastAsia="zh-CN"/>
              </w:rPr>
              <w:t>360</w:t>
            </w:r>
            <w:r>
              <w:rPr>
                <w:color w:val="auto"/>
                <w:kern w:val="0"/>
                <w:szCs w:val="21"/>
                <w:highlight w:val="none"/>
              </w:rPr>
              <w:t>min</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9286" w:type="dxa"/>
            <w:gridSpan w:val="3"/>
            <w:noWrap w:val="0"/>
            <w:vAlign w:val="center"/>
          </w:tcPr>
          <w:p>
            <w:pPr>
              <w:adjustRightInd w:val="0"/>
              <w:snapToGrid w:val="0"/>
              <w:spacing w:line="300" w:lineRule="exact"/>
              <w:rPr>
                <w:rFonts w:hint="eastAsia"/>
                <w:color w:val="auto"/>
                <w:kern w:val="0"/>
                <w:szCs w:val="21"/>
                <w:highlight w:val="none"/>
              </w:rPr>
            </w:pPr>
            <w:r>
              <w:rPr>
                <w:rFonts w:hint="eastAsia"/>
                <w:b/>
                <w:bCs/>
                <w:color w:val="auto"/>
                <w:kern w:val="0"/>
                <w:szCs w:val="21"/>
                <w:highlight w:val="none"/>
              </w:rPr>
              <w:t>水洗</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1268" w:type="dxa"/>
            <w:noWrap w:val="0"/>
            <w:vAlign w:val="center"/>
          </w:tcPr>
          <w:p>
            <w:pPr>
              <w:adjustRightInd w:val="0"/>
              <w:snapToGrid w:val="0"/>
              <w:spacing w:line="300" w:lineRule="exact"/>
              <w:jc w:val="center"/>
              <w:rPr>
                <w:color w:val="auto"/>
                <w:kern w:val="0"/>
                <w:szCs w:val="21"/>
                <w:highlight w:val="none"/>
              </w:rPr>
            </w:pPr>
            <w:r>
              <w:rPr>
                <w:color w:val="auto"/>
                <w:kern w:val="0"/>
                <w:szCs w:val="21"/>
                <w:highlight w:val="none"/>
              </w:rPr>
              <w:t>水洗</w:t>
            </w:r>
          </w:p>
        </w:tc>
        <w:tc>
          <w:tcPr>
            <w:tcW w:w="4844" w:type="dxa"/>
            <w:noWrap w:val="0"/>
            <w:vAlign w:val="center"/>
          </w:tcPr>
          <w:p>
            <w:pPr>
              <w:spacing w:line="300" w:lineRule="exact"/>
              <w:jc w:val="left"/>
              <w:rPr>
                <w:color w:val="auto"/>
                <w:kern w:val="0"/>
                <w:szCs w:val="21"/>
                <w:highlight w:val="none"/>
              </w:rPr>
            </w:pPr>
            <w:r>
              <w:rPr>
                <w:color w:val="auto"/>
                <w:kern w:val="0"/>
                <w:szCs w:val="21"/>
                <w:highlight w:val="none"/>
              </w:rPr>
              <w:t>水洗是电镀工艺不可缺少的组成部分，水洗质量的好坏对于电镀工艺的稳定性和电镀产品的外观、耐腐蚀性等质量指标有较大的影响。水洗主要目的是洗去工件表明残留药液，每道工序后面都有2~4道逆流漂洗操作。</w:t>
            </w:r>
          </w:p>
        </w:tc>
        <w:tc>
          <w:tcPr>
            <w:tcW w:w="3174" w:type="dxa"/>
            <w:noWrap w:val="0"/>
            <w:vAlign w:val="center"/>
          </w:tcPr>
          <w:p>
            <w:pPr>
              <w:tabs>
                <w:tab w:val="left" w:pos="2118"/>
              </w:tabs>
              <w:adjustRightInd w:val="0"/>
              <w:snapToGrid w:val="0"/>
              <w:spacing w:line="300" w:lineRule="exact"/>
              <w:jc w:val="center"/>
              <w:rPr>
                <w:color w:val="auto"/>
                <w:kern w:val="0"/>
                <w:szCs w:val="21"/>
                <w:highlight w:val="none"/>
              </w:rPr>
            </w:pPr>
            <w:r>
              <w:rPr>
                <w:color w:val="auto"/>
                <w:kern w:val="0"/>
                <w:szCs w:val="21"/>
                <w:highlight w:val="none"/>
              </w:rPr>
              <w:t>本项目</w:t>
            </w:r>
            <w:r>
              <w:rPr>
                <w:rFonts w:hint="eastAsia"/>
                <w:color w:val="auto"/>
                <w:kern w:val="0"/>
                <w:szCs w:val="21"/>
                <w:highlight w:val="none"/>
              </w:rPr>
              <w:t>前处理、电镀工序后续水洗</w:t>
            </w:r>
            <w:r>
              <w:rPr>
                <w:rFonts w:hint="eastAsia"/>
                <w:color w:val="auto"/>
                <w:kern w:val="0"/>
                <w:szCs w:val="21"/>
                <w:highlight w:val="none"/>
              </w:rPr>
              <w:t>采用</w:t>
            </w:r>
            <w:r>
              <w:rPr>
                <w:color w:val="auto"/>
                <w:kern w:val="0"/>
                <w:szCs w:val="21"/>
                <w:highlight w:val="none"/>
              </w:rPr>
              <w:t>纯水水洗</w:t>
            </w:r>
            <w:r>
              <w:rPr>
                <w:rFonts w:hint="eastAsia"/>
                <w:color w:val="auto"/>
                <w:kern w:val="0"/>
                <w:szCs w:val="21"/>
                <w:highlight w:val="none"/>
              </w:rPr>
              <w:t>。</w:t>
            </w:r>
          </w:p>
        </w:tc>
      </w:tr>
    </w:tbl>
    <w:p>
      <w:pPr>
        <w:pStyle w:val="34"/>
        <w:spacing w:before="0" w:beforeAutospacing="0" w:after="0" w:afterAutospacing="0" w:line="440" w:lineRule="exact"/>
        <w:ind w:firstLine="480" w:firstLineChars="200"/>
        <w:jc w:val="both"/>
        <w:rPr>
          <w:rFonts w:hint="eastAsia" w:ascii="Times New Roman" w:hAnsi="Times New Roman" w:cs="Times New Roman" w:eastAsiaTheme="minorEastAsia"/>
          <w:color w:val="auto"/>
          <w:highlight w:val="none"/>
          <w:lang w:eastAsia="zh-CN"/>
        </w:rPr>
      </w:pPr>
      <w:r>
        <w:rPr>
          <w:rFonts w:hint="eastAsia" w:ascii="Times New Roman" w:hAnsi="Times New Roman" w:cs="Times New Roman"/>
          <w:color w:val="auto"/>
          <w:highlight w:val="none"/>
          <w:lang w:val="en-US" w:eastAsia="zh-CN"/>
        </w:rPr>
        <w:t>4</w:t>
      </w:r>
      <w:r>
        <w:rPr>
          <w:rFonts w:hint="eastAsia" w:ascii="Times New Roman" w:hAnsi="Times New Roman" w:cs="Times New Roman"/>
          <w:color w:val="auto"/>
          <w:highlight w:val="none"/>
        </w:rPr>
        <w:t>、镀</w:t>
      </w:r>
      <w:r>
        <w:rPr>
          <w:rFonts w:hint="eastAsia" w:ascii="Times New Roman" w:hAnsi="Times New Roman" w:cs="Times New Roman"/>
          <w:color w:val="auto"/>
          <w:highlight w:val="none"/>
          <w:lang w:val="en-US" w:eastAsia="zh-CN"/>
        </w:rPr>
        <w:t>锡</w:t>
      </w:r>
    </w:p>
    <w:p>
      <w:pPr>
        <w:pStyle w:val="34"/>
        <w:spacing w:before="0" w:beforeAutospacing="0" w:after="0" w:afterAutospacing="0" w:line="440" w:lineRule="exact"/>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镀</w:t>
      </w:r>
      <w:r>
        <w:rPr>
          <w:rFonts w:hint="eastAsia" w:ascii="Times New Roman" w:hAnsi="Times New Roman" w:cs="Times New Roman"/>
          <w:color w:val="auto"/>
          <w:highlight w:val="none"/>
          <w:lang w:val="en-US" w:eastAsia="zh-CN"/>
        </w:rPr>
        <w:t>锡</w:t>
      </w:r>
      <w:r>
        <w:rPr>
          <w:rFonts w:hint="default" w:ascii="Times New Roman" w:hAnsi="Times New Roman" w:cs="Times New Roman"/>
          <w:color w:val="auto"/>
          <w:highlight w:val="none"/>
        </w:rPr>
        <w:t>工艺流程为：</w:t>
      </w:r>
      <w:r>
        <w:rPr>
          <w:rFonts w:hint="eastAsia" w:ascii="Times New Roman" w:hAnsi="Times New Roman" w:cs="Times New Roman"/>
          <w:color w:val="auto"/>
          <w:highlight w:val="none"/>
          <w:lang w:val="en-US" w:eastAsia="zh-CN"/>
        </w:rPr>
        <w:t>除油</w:t>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水洗</w:t>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酸洗</w:t>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水洗</w:t>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去胶</w:t>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除油</w:t>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水洗</w:t>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抛光</w:t>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水洗</w:t>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活化</w:t>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水洗</w:t>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表面处理</w:t>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水洗</w:t>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中和</w:t>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水洗</w:t>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超声清洗</w:t>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热纯水洗</w:t>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甩干</w:t>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烘干</w:t>
      </w:r>
      <w:r>
        <w:rPr>
          <w:rFonts w:hint="default" w:ascii="Times New Roman" w:hAnsi="Times New Roman" w:cs="Times New Roman"/>
          <w:color w:val="auto"/>
          <w:highlight w:val="none"/>
        </w:rPr>
        <w:t>。主要工艺流程及产污环节见图</w:t>
      </w:r>
      <w:r>
        <w:rPr>
          <w:rFonts w:hint="default" w:ascii="Times New Roman" w:hAnsi="Times New Roman" w:eastAsia="黑体" w:cs="Times New Roman"/>
          <w:bCs/>
          <w:color w:val="auto"/>
          <w:sz w:val="24"/>
          <w:highlight w:val="none"/>
        </w:rPr>
        <w:t>2.</w:t>
      </w:r>
      <w:r>
        <w:rPr>
          <w:rFonts w:hint="eastAsia" w:ascii="Times New Roman" w:hAnsi="Times New Roman" w:eastAsia="黑体" w:cs="Times New Roman"/>
          <w:bCs/>
          <w:color w:val="auto"/>
          <w:sz w:val="24"/>
          <w:highlight w:val="none"/>
          <w:lang w:val="en-US" w:eastAsia="zh-CN"/>
        </w:rPr>
        <w:t>4</w:t>
      </w:r>
      <w:r>
        <w:rPr>
          <w:rFonts w:hint="default" w:ascii="Times New Roman" w:hAnsi="Times New Roman" w:eastAsia="黑体" w:cs="Times New Roman"/>
          <w:bCs/>
          <w:color w:val="auto"/>
          <w:sz w:val="24"/>
          <w:highlight w:val="none"/>
        </w:rPr>
        <w:t>-</w:t>
      </w:r>
      <w:r>
        <w:rPr>
          <w:rFonts w:hint="eastAsia" w:ascii="Times New Roman" w:hAnsi="Times New Roman" w:eastAsia="黑体" w:cs="Times New Roman"/>
          <w:bCs/>
          <w:color w:val="auto"/>
          <w:sz w:val="24"/>
          <w:highlight w:val="none"/>
          <w:lang w:val="en-US" w:eastAsia="zh-CN"/>
        </w:rPr>
        <w:t>4</w:t>
      </w:r>
      <w:r>
        <w:rPr>
          <w:rFonts w:hint="default" w:ascii="Times New Roman" w:hAnsi="Times New Roman" w:cs="Times New Roman"/>
          <w:color w:val="auto"/>
          <w:highlight w:val="none"/>
        </w:rPr>
        <w:t>。</w:t>
      </w:r>
    </w:p>
    <w:p>
      <w:pPr>
        <w:pStyle w:val="34"/>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both"/>
        <w:textAlignment w:val="auto"/>
        <w:outlineLvl w:val="9"/>
        <w:rPr>
          <w:rFonts w:hint="default" w:ascii="Times New Roman" w:hAnsi="Times New Roman" w:cs="Times New Roman"/>
          <w:color w:val="auto"/>
          <w:highlight w:val="none"/>
        </w:rPr>
      </w:pPr>
      <w:r>
        <w:rPr>
          <w:color w:val="auto"/>
          <w:sz w:val="21"/>
          <w:highlight w:val="none"/>
        </w:rPr>
        <w:pict>
          <v:group id="_x0000_s2205" o:spid="_x0000_s2205" o:spt="203" style="height:374.2pt;width:488.15pt;" coordsize="6199504,4752338" editas="canvas">
            <o:lock v:ext="edit"/>
            <v:shape id="_x0000_s2206" o:spid="_x0000_s2206" o:spt="75" type="#_x0000_t75" style="position:absolute;left:0;top:0;height:4752338;width:6199504;" filled="f" stroked="f" coordsize="21600,21600">
              <v:path/>
              <v:fill on="f" focussize="0,0"/>
              <v:stroke on="f"/>
              <v:imagedata o:title=""/>
              <o:lock v:ext="edit" aspectratio="f"/>
            </v:shape>
            <v:shape id="_x0000_s2207" o:spid="_x0000_s2207" o:spt="202" type="#_x0000_t202" style="position:absolute;left:883285;top:316865;height:292100;width:646430;" fillcolor="#FFFFFF" filled="t" stroked="t" coordsize="21600,21600">
              <v:path/>
              <v:fill on="t" color2="#FFFFFF" focussize="0,0"/>
              <v:stroke color="#000000" joinstyle="miter"/>
              <v:imagedata o:title=""/>
              <o:lock v:ext="edit" aspectratio="f"/>
              <v:textbox>
                <w:txbxContent>
                  <w:p>
                    <w:pPr>
                      <w:snapToGrid w:val="0"/>
                      <w:jc w:val="center"/>
                      <w:rPr>
                        <w:rFonts w:hint="eastAsia" w:asciiTheme="minorEastAsia" w:hAnsiTheme="minorEastAsia" w:eastAsiaTheme="minorEastAsia" w:cstheme="minorEastAsia"/>
                        <w:sz w:val="20"/>
                        <w:highlight w:val="none"/>
                        <w:lang w:val="en-US" w:eastAsia="zh-CN"/>
                      </w:rPr>
                    </w:pPr>
                    <w:r>
                      <w:rPr>
                        <w:rFonts w:hint="eastAsia" w:asciiTheme="minorEastAsia" w:hAnsiTheme="minorEastAsia" w:eastAsiaTheme="minorEastAsia" w:cstheme="minorEastAsia"/>
                        <w:sz w:val="20"/>
                        <w:highlight w:val="none"/>
                        <w:lang w:val="en-US" w:eastAsia="zh-CN"/>
                      </w:rPr>
                      <w:t>碱蚀</w:t>
                    </w:r>
                  </w:p>
                </w:txbxContent>
              </v:textbox>
            </v:shape>
            <v:shape id="_x0000_s2208" o:spid="_x0000_s2208" o:spt="32" type="#_x0000_t32" style="position:absolute;left:668020;top:436245;height:0;width:250190;" filled="f" stroked="t" coordsize="21600,21600">
              <v:path arrowok="t"/>
              <v:fill on="f" focussize="0,0"/>
              <v:stroke color="#000000" endarrow="block"/>
              <v:imagedata o:title=""/>
              <o:lock v:ext="edit" aspectratio="f"/>
            </v:shape>
            <v:shape id="_x0000_s2209" o:spid="_x0000_s2209" o:spt="202" type="#_x0000_t202" style="position:absolute;left:233045;top:302895;height:231775;width:535940;" filled="f" stroked="f" coordsize="21600,21600">
              <v:path/>
              <v:fill on="f" focussize="0,0"/>
              <v:stroke on="f"/>
              <v:imagedata o:title=""/>
              <o:lock v:ext="edit" aspectratio="f"/>
              <v:textbox>
                <w:txbxContent>
                  <w:p>
                    <w:pPr>
                      <w:snapToGrid w:val="0"/>
                      <w:jc w:val="center"/>
                      <w:rPr>
                        <w:rFonts w:hint="eastAsia" w:eastAsia="宋体"/>
                        <w:sz w:val="20"/>
                        <w:lang w:val="en-US" w:eastAsia="zh-CN"/>
                      </w:rPr>
                    </w:pPr>
                    <w:r>
                      <w:rPr>
                        <w:rFonts w:hint="eastAsia"/>
                        <w:sz w:val="20"/>
                        <w:lang w:val="en-US" w:eastAsia="zh-CN"/>
                      </w:rPr>
                      <w:t>碱</w:t>
                    </w:r>
                  </w:p>
                </w:txbxContent>
              </v:textbox>
            </v:shape>
            <v:shape id="_x0000_s2210" o:spid="_x0000_s2210" o:spt="32" type="#_x0000_t32" style="position:absolute;left:1167765;top:201295;height:139700;width:0;" filled="f" stroked="t" coordsize="21600,21600">
              <v:path arrowok="t"/>
              <v:fill on="f" focussize="0,0"/>
              <v:stroke color="#000000" endarrow="block"/>
              <v:imagedata o:title=""/>
              <o:lock v:ext="edit" aspectratio="f"/>
            </v:shape>
            <v:shape id="_x0000_s2211" o:spid="_x0000_s2211" o:spt="32" type="#_x0000_t32" style="position:absolute;left:1555115;top:430530;height:0;width:207645;" filled="f" stroked="t" coordsize="21600,21600">
              <v:path arrowok="t"/>
              <v:fill on="f" focussize="0,0"/>
              <v:stroke color="#000000" dashstyle="longDash" endarrow="block"/>
              <v:imagedata o:title=""/>
              <o:lock v:ext="edit" aspectratio="f"/>
            </v:shape>
            <v:shape id="_x0000_s2212" o:spid="_x0000_s2212" o:spt="202" type="#_x0000_t202" style="position:absolute;left:1705610;top:225425;height:469900;width:863600;" filled="f" stroked="f" coordsize="21600,21600">
              <v:path/>
              <v:fill on="f" focussize="0,0"/>
              <v:stroke on="f"/>
              <v:imagedata o:title=""/>
              <o:lock v:ext="edit" aspectratio="f"/>
              <v:textbox>
                <w:txbxContent>
                  <w:p>
                    <w:pPr>
                      <w:snapToGrid w:val="0"/>
                      <w:jc w:val="left"/>
                      <w:rPr>
                        <w:rFonts w:hint="eastAsia" w:eastAsia="宋体"/>
                        <w:sz w:val="20"/>
                        <w:lang w:val="en-US" w:eastAsia="zh-CN"/>
                      </w:rPr>
                    </w:pPr>
                    <w:r>
                      <w:rPr>
                        <w:rFonts w:hint="eastAsia"/>
                        <w:sz w:val="20"/>
                        <w:lang w:val="en-US" w:eastAsia="zh-CN"/>
                      </w:rPr>
                      <w:t>碱雾</w:t>
                    </w:r>
                  </w:p>
                  <w:p>
                    <w:pPr>
                      <w:snapToGrid w:val="0"/>
                      <w:jc w:val="left"/>
                      <w:rPr>
                        <w:rFonts w:hint="eastAsia" w:eastAsia="宋体"/>
                        <w:sz w:val="20"/>
                        <w:lang w:val="en-US" w:eastAsia="zh-CN"/>
                      </w:rPr>
                    </w:pPr>
                    <w:r>
                      <w:rPr>
                        <w:rFonts w:hint="eastAsia"/>
                        <w:sz w:val="20"/>
                      </w:rPr>
                      <w:t>S</w:t>
                    </w:r>
                    <w:r>
                      <w:rPr>
                        <w:rFonts w:hint="eastAsia"/>
                        <w:sz w:val="20"/>
                        <w:lang w:val="en-US" w:eastAsia="zh-CN"/>
                      </w:rPr>
                      <w:t>1废碱液</w:t>
                    </w:r>
                  </w:p>
                </w:txbxContent>
              </v:textbox>
            </v:shape>
            <v:shape id="_x0000_s2213" o:spid="_x0000_s2213" o:spt="202" type="#_x0000_t202" style="position:absolute;left:739775;top:0;height:248920;width:863600;" filled="f" stroked="f" coordsize="21600,21600">
              <v:path/>
              <v:fill on="f" focussize="0,0"/>
              <v:stroke on="f"/>
              <v:imagedata o:title=""/>
              <o:lock v:ext="edit" aspectratio="f"/>
              <v:textbox>
                <w:txbxContent>
                  <w:p>
                    <w:pPr>
                      <w:snapToGrid w:val="0"/>
                      <w:jc w:val="center"/>
                      <w:rPr>
                        <w:rFonts w:hint="default" w:eastAsia="宋体"/>
                        <w:sz w:val="20"/>
                        <w:highlight w:val="none"/>
                        <w:lang w:val="en-US" w:eastAsia="zh-CN"/>
                      </w:rPr>
                    </w:pPr>
                    <w:r>
                      <w:rPr>
                        <w:rFonts w:hint="eastAsia"/>
                        <w:sz w:val="20"/>
                        <w:highlight w:val="none"/>
                        <w:lang w:val="en-US" w:eastAsia="zh-CN"/>
                      </w:rPr>
                      <w:t>二极管</w:t>
                    </w:r>
                  </w:p>
                </w:txbxContent>
              </v:textbox>
            </v:shape>
            <v:shape id="_x0000_s2214" o:spid="_x0000_s2214" o:spt="202" type="#_x0000_t202" style="position:absolute;left:904240;top:740410;height:292100;width:694055;" fillcolor="#FFFFFF" filled="t" stroked="t" coordsize="21600,21600">
              <v:path/>
              <v:fill on="t" color2="#FFFFFF" focussize="0,0"/>
              <v:stroke color="#000000" joinstyle="miter"/>
              <v:imagedata o:title=""/>
              <o:lock v:ext="edit" aspectratio="f"/>
              <v:textbox>
                <w:txbxContent>
                  <w:p>
                    <w:pPr>
                      <w:snapToGrid w:val="0"/>
                      <w:jc w:val="center"/>
                      <w:rPr>
                        <w:rFonts w:hint="eastAsia" w:asciiTheme="minorEastAsia" w:hAnsiTheme="minorEastAsia" w:eastAsiaTheme="minorEastAsia" w:cstheme="minorEastAsia"/>
                        <w:sz w:val="20"/>
                      </w:rPr>
                    </w:pPr>
                    <w:r>
                      <w:rPr>
                        <w:rFonts w:hint="eastAsia" w:asciiTheme="minorEastAsia" w:hAnsiTheme="minorEastAsia" w:eastAsiaTheme="minorEastAsia" w:cstheme="minorEastAsia"/>
                        <w:sz w:val="20"/>
                        <w:lang w:val="en-US" w:eastAsia="zh-CN"/>
                      </w:rPr>
                      <w:t>水洗</w:t>
                    </w:r>
                  </w:p>
                </w:txbxContent>
              </v:textbox>
            </v:shape>
            <v:shape id="_x0000_s2215" o:spid="_x0000_s2215" o:spt="32" type="#_x0000_t32" style="position:absolute;left:664210;top:890905;height:0;width:241300;" filled="f" stroked="t" coordsize="21600,21600">
              <v:path arrowok="t"/>
              <v:fill on="f" focussize="0,0"/>
              <v:stroke color="#000000" endarrow="block"/>
              <v:imagedata o:title=""/>
              <o:lock v:ext="edit" aspectratio="f"/>
            </v:shape>
            <v:shape id="_x0000_s2216" o:spid="_x0000_s2216" o:spt="202" type="#_x0000_t202" style="position:absolute;left:83185;top:763905;height:228600;width:676910;" filled="f" stroked="f" coordsize="21600,21600">
              <v:path/>
              <v:fill on="f" focussize="0,0"/>
              <v:stroke on="f"/>
              <v:imagedata o:title=""/>
              <o:lock v:ext="edit" aspectratio="f"/>
              <v:textbox>
                <w:txbxContent>
                  <w:p>
                    <w:pPr>
                      <w:snapToGrid w:val="0"/>
                      <w:jc w:val="center"/>
                      <w:rPr>
                        <w:sz w:val="20"/>
                        <w:highlight w:val="none"/>
                        <w:lang w:val="en-US"/>
                      </w:rPr>
                    </w:pPr>
                    <w:r>
                      <w:rPr>
                        <w:rFonts w:hint="eastAsia"/>
                        <w:sz w:val="20"/>
                        <w:highlight w:val="none"/>
                        <w:lang w:val="en-US" w:eastAsia="zh-CN"/>
                      </w:rPr>
                      <w:t>自来水</w:t>
                    </w:r>
                  </w:p>
                </w:txbxContent>
              </v:textbox>
            </v:shape>
            <v:shape id="_x0000_s2217" o:spid="_x0000_s2217" o:spt="32" type="#_x0000_t32" style="position:absolute;left:1630045;top:913765;height:0;width:203200;" filled="f" stroked="t" coordsize="21600,21600">
              <v:path arrowok="t"/>
              <v:fill on="f" focussize="0,0"/>
              <v:stroke color="#000000" dashstyle="longDash" endarrow="block"/>
              <v:imagedata o:title=""/>
              <o:lock v:ext="edit" aspectratio="f"/>
            </v:shape>
            <v:shape id="_x0000_s2218" o:spid="_x0000_s2218" o:spt="32" type="#_x0000_t32" style="position:absolute;left:1250950;top:619125;height:139700;width:0;" filled="f" stroked="t" coordsize="21600,21600">
              <v:path arrowok="t"/>
              <v:fill on="f" focussize="0,0"/>
              <v:stroke color="#000000" endarrow="block"/>
              <v:imagedata o:title=""/>
              <o:lock v:ext="edit" aspectratio="f"/>
            </v:shape>
            <v:shape id="_x0000_s2219" o:spid="_x0000_s2219" o:spt="202" type="#_x0000_t202" style="position:absolute;left:1689735;top:782320;height:315595;width:1017905;" filled="f" stroked="f" coordsize="21600,21600">
              <v:path/>
              <v:fill on="f" focussize="0,0"/>
              <v:stroke on="f"/>
              <v:imagedata o:title=""/>
              <o:lock v:ext="edit" aspectratio="f"/>
              <v:textbox>
                <w:txbxContent>
                  <w:p>
                    <w:pPr>
                      <w:snapToGrid w:val="0"/>
                      <w:jc w:val="center"/>
                      <w:rPr>
                        <w:rFonts w:hint="eastAsia" w:eastAsia="宋体"/>
                        <w:sz w:val="20"/>
                        <w:lang w:val="en-US" w:eastAsia="zh-CN"/>
                      </w:rPr>
                    </w:pPr>
                    <w:r>
                      <w:rPr>
                        <w:rFonts w:hint="eastAsia"/>
                        <w:sz w:val="20"/>
                        <w:lang w:val="en-US" w:eastAsia="zh-CN"/>
                      </w:rPr>
                      <w:t>W1综合废水</w:t>
                    </w:r>
                  </w:p>
                </w:txbxContent>
              </v:textbox>
            </v:shape>
            <v:shape id="_x0000_s2220" o:spid="_x0000_s2220" o:spt="32" type="#_x0000_t32" style="position:absolute;left:695960;top:1302385;height:0;width:241300;" filled="f" stroked="t" coordsize="21600,21600">
              <v:path arrowok="t"/>
              <v:fill on="f" focussize="0,0"/>
              <v:stroke color="#000000" endarrow="block"/>
              <v:imagedata o:title=""/>
              <o:lock v:ext="edit" aspectratio="f"/>
            </v:shape>
            <v:shape id="_x0000_s2221" o:spid="_x0000_s2221" o:spt="202" type="#_x0000_t202" style="position:absolute;left:0;top:1169035;height:252095;width:821055;" filled="f" stroked="f" coordsize="21600,21600">
              <v:path/>
              <v:fill on="f" focussize="0,0"/>
              <v:stroke on="f"/>
              <v:imagedata o:title=""/>
              <o:lock v:ext="edit" aspectratio="f"/>
              <v:textbox>
                <w:txbxContent>
                  <w:p>
                    <w:pPr>
                      <w:snapToGrid w:val="0"/>
                      <w:jc w:val="right"/>
                      <w:rPr>
                        <w:lang w:val="en-US"/>
                      </w:rPr>
                    </w:pPr>
                    <w:r>
                      <w:rPr>
                        <w:rFonts w:hint="eastAsia"/>
                        <w:sz w:val="20"/>
                        <w:lang w:val="en-US" w:eastAsia="zh-CN"/>
                      </w:rPr>
                      <w:t>5-10%硫酸</w:t>
                    </w:r>
                  </w:p>
                </w:txbxContent>
              </v:textbox>
            </v:shape>
            <v:shape id="_x0000_s2222" o:spid="_x0000_s2222" o:spt="32" type="#_x0000_t32" style="position:absolute;left:1611630;top:1265555;height:0;width:203200;" filled="f" stroked="t" coordsize="21600,21600">
              <v:path arrowok="t"/>
              <v:fill on="f" focussize="0,0"/>
              <v:stroke color="#000000" dashstyle="longDash" endarrow="block"/>
              <v:imagedata o:title=""/>
              <o:lock v:ext="edit" aspectratio="f"/>
            </v:shape>
            <v:shape id="_x0000_s2223" o:spid="_x0000_s2223" o:spt="32" type="#_x0000_t32" style="position:absolute;left:1243330;top:1060450;height:139700;width:0;" filled="f" stroked="t" coordsize="21600,21600">
              <v:path arrowok="t"/>
              <v:fill on="f" focussize="0,0"/>
              <v:stroke color="#000000" endarrow="block"/>
              <v:imagedata o:title=""/>
              <o:lock v:ext="edit" aspectratio="f"/>
            </v:shape>
            <v:shape id="_x0000_s2224" o:spid="_x0000_s2224" o:spt="202" type="#_x0000_t202" style="position:absolute;left:1770380;top:1071880;height:400050;width:766445;" filled="f" stroked="f" coordsize="21600,21600">
              <v:path/>
              <v:fill on="f" focussize="0,0"/>
              <v:stroke on="f"/>
              <v:imagedata o:title=""/>
              <o:lock v:ext="edit" aspectratio="f"/>
              <v:textbox>
                <w:txbxContent>
                  <w:p>
                    <w:pPr>
                      <w:snapToGrid w:val="0"/>
                      <w:jc w:val="left"/>
                      <w:rPr>
                        <w:rFonts w:hint="eastAsia" w:eastAsia="宋体"/>
                        <w:sz w:val="20"/>
                        <w:lang w:val="en-US" w:eastAsia="zh-CN"/>
                      </w:rPr>
                    </w:pPr>
                    <w:r>
                      <w:rPr>
                        <w:rFonts w:hint="eastAsia" w:eastAsia="宋体"/>
                        <w:sz w:val="20"/>
                        <w:lang w:val="en-US" w:eastAsia="zh-CN"/>
                      </w:rPr>
                      <w:t>G1酸雾</w:t>
                    </w:r>
                  </w:p>
                  <w:p>
                    <w:pPr>
                      <w:snapToGrid w:val="0"/>
                      <w:jc w:val="left"/>
                      <w:rPr>
                        <w:rFonts w:hint="eastAsia"/>
                        <w:lang w:val="en-US" w:eastAsia="zh-CN"/>
                      </w:rPr>
                    </w:pPr>
                    <w:r>
                      <w:rPr>
                        <w:rFonts w:hint="eastAsia" w:eastAsia="宋体"/>
                        <w:sz w:val="20"/>
                        <w:lang w:val="en-US" w:eastAsia="zh-CN"/>
                      </w:rPr>
                      <w:t>S2废酸</w:t>
                    </w:r>
                    <w:r>
                      <w:rPr>
                        <w:rFonts w:hint="eastAsia"/>
                        <w:sz w:val="20"/>
                        <w:lang w:val="en-US" w:eastAsia="zh-CN"/>
                      </w:rPr>
                      <w:t>液</w:t>
                    </w:r>
                  </w:p>
                  <w:p>
                    <w:pPr>
                      <w:pStyle w:val="35"/>
                      <w:ind w:left="0" w:leftChars="0" w:firstLine="0" w:firstLineChars="0"/>
                      <w:jc w:val="left"/>
                      <w:rPr>
                        <w:rFonts w:hint="eastAsia"/>
                        <w:lang w:val="en-US" w:eastAsia="zh-CN"/>
                      </w:rPr>
                    </w:pPr>
                  </w:p>
                </w:txbxContent>
              </v:textbox>
            </v:shape>
            <v:shape id="_x0000_s2225" o:spid="_x0000_s2225" o:spt="202" type="#_x0000_t202" style="position:absolute;left:912495;top:1163320;height:292100;width:685800;" fillcolor="#FFFFFF" filled="t" stroked="t" coordsize="21600,21600">
              <v:path/>
              <v:fill on="t" color2="#FFFFFF" focussize="0,0"/>
              <v:stroke color="#000000" joinstyle="miter"/>
              <v:imagedata o:title=""/>
              <o:lock v:ext="edit" aspectratio="f"/>
              <v:textbox>
                <w:txbxContent>
                  <w:p>
                    <w:pPr>
                      <w:snapToGrid w:val="0"/>
                      <w:jc w:val="center"/>
                      <w:rPr>
                        <w:rFonts w:hint="eastAsia" w:asciiTheme="minorEastAsia" w:hAnsiTheme="minorEastAsia" w:eastAsiaTheme="minorEastAsia" w:cstheme="minorEastAsia"/>
                        <w:sz w:val="20"/>
                        <w:lang w:val="en-US" w:eastAsia="zh-CN"/>
                      </w:rPr>
                    </w:pPr>
                    <w:r>
                      <w:rPr>
                        <w:rFonts w:hint="eastAsia" w:asciiTheme="minorEastAsia" w:hAnsiTheme="minorEastAsia" w:eastAsiaTheme="minorEastAsia" w:cstheme="minorEastAsia"/>
                        <w:sz w:val="20"/>
                        <w:lang w:val="en-US" w:eastAsia="zh-CN"/>
                      </w:rPr>
                      <w:t>酸洗</w:t>
                    </w:r>
                  </w:p>
                </w:txbxContent>
              </v:textbox>
            </v:shape>
            <v:shape id="_x0000_s2226" o:spid="_x0000_s2226" o:spt="202" type="#_x0000_t202" style="position:absolute;left:1605280;top:2806065;height:304800;width:1016000;" filled="f" stroked="f" coordsize="21600,21600">
              <v:path/>
              <v:fill on="f" focussize="0,0"/>
              <v:stroke on="f"/>
              <v:imagedata o:title=""/>
              <o:lock v:ext="edit" aspectratio="f"/>
              <v:textbox>
                <w:txbxContent>
                  <w:p>
                    <w:pPr>
                      <w:snapToGrid w:val="0"/>
                      <w:jc w:val="center"/>
                      <w:rPr>
                        <w:rFonts w:hint="eastAsia" w:eastAsia="宋体"/>
                        <w:sz w:val="20"/>
                        <w:lang w:val="en-US" w:eastAsia="zh-CN"/>
                      </w:rPr>
                    </w:pPr>
                  </w:p>
                </w:txbxContent>
              </v:textbox>
            </v:shape>
            <v:shape id="_x0000_s2227" o:spid="_x0000_s2227" o:spt="202" type="#_x0000_t202" style="position:absolute;left:4207509;top:448945;height:292100;width:732155;" fillcolor="#FFFFFF" filled="t" stroked="t" coordsize="21600,21600">
              <v:path/>
              <v:fill on="t" color2="#FFFFFF" focussize="0,0"/>
              <v:stroke color="#000000" joinstyle="miter"/>
              <v:imagedata o:title=""/>
              <o:lock v:ext="edit" aspectratio="f"/>
              <v:textbox>
                <w:txbxContent>
                  <w:p>
                    <w:pPr>
                      <w:jc w:val="center"/>
                      <w:rPr>
                        <w:rFonts w:hint="eastAsia" w:eastAsia="宋体"/>
                        <w:lang w:eastAsia="zh-CN"/>
                      </w:rPr>
                    </w:pPr>
                    <w:r>
                      <w:rPr>
                        <w:rFonts w:hint="eastAsia"/>
                        <w:lang w:val="en-US" w:eastAsia="zh-CN"/>
                      </w:rPr>
                      <w:t>水洗</w:t>
                    </w:r>
                  </w:p>
                </w:txbxContent>
              </v:textbox>
            </v:shape>
            <v:shape id="_x0000_s2228" o:spid="_x0000_s2228" o:spt="32" type="#_x0000_t32" style="position:absolute;left:4013200;top:575945;height:0;width:241300;" filled="f" stroked="t" coordsize="21600,21600">
              <v:path arrowok="t"/>
              <v:fill on="f" focussize="0,0"/>
              <v:stroke color="#000000" endarrow="block"/>
              <v:imagedata o:title=""/>
              <o:lock v:ext="edit" aspectratio="f"/>
            </v:shape>
            <v:shape id="_x0000_s2230" o:spid="_x0000_s2230" o:spt="32" type="#_x0000_t32" style="position:absolute;left:4964429;top:608965;height:0;width:203200;" filled="f" stroked="t" coordsize="21600,21600">
              <v:path arrowok="t"/>
              <v:fill on="f" focussize="0,0"/>
              <v:stroke color="#000000" dashstyle="longDash" endarrow="block"/>
              <v:imagedata o:title=""/>
              <o:lock v:ext="edit" aspectratio="f"/>
            </v:shape>
            <v:shape id="_x0000_s2231" o:spid="_x0000_s2231" o:spt="32" type="#_x0000_t32" style="position:absolute;left:4572000;top:334645;height:139700;width:0;" filled="f" stroked="t" coordsize="21600,21600">
              <v:path arrowok="t"/>
              <v:fill on="f" focussize="0,0"/>
              <v:stroke color="#000000" endarrow="block"/>
              <v:imagedata o:title=""/>
              <o:lock v:ext="edit" aspectratio="f"/>
            </v:shape>
            <v:shape id="_x0000_s2232" o:spid="_x0000_s2232" o:spt="202" type="#_x0000_t202" style="position:absolute;left:5111749;top:483235;height:305435;width:944880;" filled="f" stroked="f" coordsize="21600,21600">
              <v:path/>
              <v:fill on="f" focussize="0,0"/>
              <v:stroke on="f"/>
              <v:imagedata o:title=""/>
              <o:lock v:ext="edit" aspectratio="f"/>
              <v:textbox>
                <w:txbxContent>
                  <w:p>
                    <w:pPr>
                      <w:rPr>
                        <w:rFonts w:hint="eastAsia"/>
                        <w:lang w:val="en-US" w:eastAsia="zh-CN"/>
                      </w:rPr>
                    </w:pPr>
                    <w:r>
                      <w:rPr>
                        <w:rFonts w:hint="eastAsia"/>
                        <w:sz w:val="21"/>
                        <w:szCs w:val="21"/>
                        <w:lang w:val="en-US" w:eastAsia="zh-CN"/>
                      </w:rPr>
                      <w:t>W</w:t>
                    </w:r>
                    <w:r>
                      <w:rPr>
                        <w:rFonts w:hint="eastAsia"/>
                        <w:sz w:val="20"/>
                        <w:lang w:val="en-US" w:eastAsia="zh-CN"/>
                      </w:rPr>
                      <w:t>1综合废水</w:t>
                    </w:r>
                  </w:p>
                </w:txbxContent>
              </v:textbox>
            </v:shape>
            <v:shape id="_x0000_s2233" o:spid="_x0000_s2233" o:spt="202" type="#_x0000_t202" style="position:absolute;left:4241799;top:877570;height:292100;width:744855;" fillcolor="#FFFFFF" filled="t" stroked="t" coordsize="21600,21600">
              <v:path/>
              <v:fill on="t" color2="#FFFFFF" focussize="0,0"/>
              <v:stroke color="#000000" joinstyle="miter"/>
              <v:imagedata o:title=""/>
              <o:lock v:ext="edit" aspectratio="f"/>
              <v:textbox>
                <w:txbxContent>
                  <w:p>
                    <w:pPr>
                      <w:snapToGrid w:val="0"/>
                      <w:jc w:val="center"/>
                      <w:rPr>
                        <w:rFonts w:hint="eastAsia" w:asciiTheme="minorEastAsia" w:hAnsiTheme="minorEastAsia" w:eastAsiaTheme="minorEastAsia" w:cstheme="minorEastAsia"/>
                        <w:sz w:val="20"/>
                        <w:lang w:val="en-US"/>
                      </w:rPr>
                    </w:pPr>
                    <w:r>
                      <w:rPr>
                        <w:rFonts w:hint="eastAsia" w:asciiTheme="minorEastAsia" w:hAnsiTheme="minorEastAsia" w:eastAsiaTheme="minorEastAsia" w:cstheme="minorEastAsia"/>
                        <w:sz w:val="20"/>
                        <w:lang w:val="en-US" w:eastAsia="zh-CN"/>
                      </w:rPr>
                      <w:t>电镀锡</w:t>
                    </w:r>
                  </w:p>
                </w:txbxContent>
              </v:textbox>
            </v:shape>
            <v:shape id="_x0000_s2234" o:spid="_x0000_s2234" o:spt="32" type="#_x0000_t32" style="position:absolute;left:4013199;top:1038860;height:0;width:241300;" filled="f" stroked="t" coordsize="21600,21600">
              <v:path arrowok="t"/>
              <v:fill on="f" focussize="0,0"/>
              <v:stroke color="#000000" endarrow="block"/>
              <v:imagedata o:title=""/>
              <o:lock v:ext="edit" aspectratio="f"/>
            </v:shape>
            <v:shape id="_x0000_s2235" o:spid="_x0000_s2235" o:spt="202" type="#_x0000_t202" style="position:absolute;left:3507104;top:1290955;height:228600;width:616585;" filled="f" stroked="f" coordsize="21600,21600">
              <v:path/>
              <v:fill on="f" focussize="0,0"/>
              <v:stroke on="f"/>
              <v:imagedata o:title=""/>
              <o:lock v:ext="edit" aspectratio="f"/>
              <v:textbox>
                <w:txbxContent>
                  <w:p>
                    <w:pPr>
                      <w:rPr>
                        <w:lang w:val="en-US"/>
                      </w:rPr>
                    </w:pPr>
                    <w:r>
                      <w:rPr>
                        <w:rFonts w:hint="eastAsia"/>
                        <w:sz w:val="20"/>
                        <w:lang w:val="en-US" w:eastAsia="zh-CN"/>
                      </w:rPr>
                      <w:t>自来水</w:t>
                    </w:r>
                  </w:p>
                </w:txbxContent>
              </v:textbox>
            </v:shape>
            <v:shape id="_x0000_s2236" o:spid="_x0000_s2236" o:spt="32" type="#_x0000_t32" style="position:absolute;left:4952999;top:1037590;height:0;width:203200;" filled="f" stroked="t" coordsize="21600,21600">
              <v:path arrowok="t"/>
              <v:fill on="f" focussize="0,0"/>
              <v:stroke color="#000000" dashstyle="longDash" endarrow="block"/>
              <v:imagedata o:title=""/>
              <o:lock v:ext="edit" aspectratio="f"/>
            </v:shape>
            <v:shape id="_x0000_s2237" o:spid="_x0000_s2237" o:spt="32" type="#_x0000_t32" style="position:absolute;left:4572000;top:763270;height:139700;width:0;" filled="f" stroked="t" coordsize="21600,21600">
              <v:path arrowok="t"/>
              <v:fill on="f" focussize="0,0"/>
              <v:stroke color="#000000" endarrow="block"/>
              <v:imagedata o:title=""/>
              <o:lock v:ext="edit" aspectratio="f"/>
            </v:shape>
            <v:shape id="_x0000_s2238" o:spid="_x0000_s2238" o:spt="202" type="#_x0000_t202" style="position:absolute;left:5132704;top:796925;height:441325;width:781050;" filled="f" stroked="f" coordsize="21600,21600">
              <v:path/>
              <v:fill on="f" focussize="0,0"/>
              <v:stroke on="f"/>
              <v:imagedata o:title=""/>
              <o:lock v:ext="edit" aspectratio="f"/>
              <v:textbox>
                <w:txbxContent>
                  <w:p>
                    <w:pPr>
                      <w:rPr>
                        <w:rFonts w:hint="eastAsia"/>
                        <w:sz w:val="20"/>
                        <w:lang w:val="en-US" w:eastAsia="zh-CN"/>
                      </w:rPr>
                    </w:pPr>
                    <w:r>
                      <w:rPr>
                        <w:rFonts w:hint="eastAsia"/>
                        <w:sz w:val="20"/>
                        <w:lang w:val="en-US" w:eastAsia="zh-CN"/>
                      </w:rPr>
                      <w:t>G1酸雾</w:t>
                    </w:r>
                  </w:p>
                  <w:p>
                    <w:pPr>
                      <w:snapToGrid w:val="0"/>
                      <w:jc w:val="left"/>
                      <w:rPr>
                        <w:rFonts w:hint="eastAsia"/>
                        <w:lang w:val="en-US" w:eastAsia="zh-CN"/>
                      </w:rPr>
                    </w:pPr>
                    <w:r>
                      <w:rPr>
                        <w:rFonts w:hint="eastAsia" w:eastAsia="宋体"/>
                        <w:sz w:val="20"/>
                        <w:lang w:val="en-US" w:eastAsia="zh-CN"/>
                      </w:rPr>
                      <w:t>S</w:t>
                    </w:r>
                    <w:r>
                      <w:rPr>
                        <w:rFonts w:hint="eastAsia"/>
                        <w:sz w:val="20"/>
                        <w:lang w:val="en-US" w:eastAsia="zh-CN"/>
                      </w:rPr>
                      <w:t>3槽渣</w:t>
                    </w:r>
                  </w:p>
                  <w:p>
                    <w:pPr>
                      <w:snapToGrid w:val="0"/>
                      <w:jc w:val="center"/>
                      <w:rPr>
                        <w:rFonts w:hint="eastAsia" w:eastAsia="宋体"/>
                        <w:sz w:val="20"/>
                        <w:lang w:val="en-US" w:eastAsia="zh-CN"/>
                      </w:rPr>
                    </w:pPr>
                  </w:p>
                </w:txbxContent>
              </v:textbox>
            </v:shape>
            <v:shape id="_x0000_s2239" o:spid="_x0000_s2239" o:spt="202" type="#_x0000_t202" style="position:absolute;left:4207509;top:1294130;height:292100;width:733425;" fillcolor="#FFFFFF" filled="t" stroked="t" coordsize="21600,21600">
              <v:path/>
              <v:fill on="t" color2="#FFFFFF" focussize="0,0"/>
              <v:stroke color="#000000" joinstyle="miter"/>
              <v:imagedata o:title=""/>
              <o:lock v:ext="edit" aspectratio="f"/>
              <v:textbox>
                <w:txbxContent>
                  <w:p>
                    <w:pPr>
                      <w:snapToGrid w:val="0"/>
                      <w:jc w:val="center"/>
                      <w:rPr>
                        <w:rFonts w:hint="eastAsia" w:asciiTheme="minorEastAsia" w:hAnsiTheme="minorEastAsia" w:eastAsiaTheme="minorEastAsia" w:cstheme="minorEastAsia"/>
                        <w:sz w:val="20"/>
                        <w:lang w:val="en-US"/>
                      </w:rPr>
                    </w:pPr>
                    <w:r>
                      <w:rPr>
                        <w:rFonts w:hint="eastAsia" w:asciiTheme="minorEastAsia" w:hAnsiTheme="minorEastAsia" w:eastAsiaTheme="minorEastAsia" w:cstheme="minorEastAsia"/>
                        <w:sz w:val="20"/>
                        <w:lang w:val="en-US" w:eastAsia="zh-CN"/>
                      </w:rPr>
                      <w:t>水洗</w:t>
                    </w:r>
                  </w:p>
                </w:txbxContent>
              </v:textbox>
            </v:shape>
            <v:shape id="_x0000_s2240" o:spid="_x0000_s2240" o:spt="32" type="#_x0000_t32" style="position:absolute;left:4013200;top:1421130;height:0;width:241300;" filled="f" stroked="t" coordsize="21600,21600">
              <v:path arrowok="t"/>
              <v:fill on="f" focussize="0,0"/>
              <v:stroke color="#000000" endarrow="block"/>
              <v:imagedata o:title=""/>
              <o:lock v:ext="edit" aspectratio="f"/>
            </v:shape>
            <v:shape id="_x0000_s2241" o:spid="_x0000_s2241" o:spt="202" type="#_x0000_t202" style="position:absolute;left:3250564;top:740410;height:618490;width:831850;" filled="f" stroked="f" coordsize="21600,21600">
              <v:path/>
              <v:fill on="f" focussize="0,0"/>
              <v:stroke on="f"/>
              <v:imagedata o:title=""/>
              <o:lock v:ext="edit" aspectratio="f"/>
              <v:textbox>
                <w:txbxContent>
                  <w:p>
                    <w:pPr>
                      <w:snapToGrid w:val="0"/>
                      <w:jc w:val="left"/>
                      <w:rPr>
                        <w:rFonts w:hint="eastAsia" w:eastAsia="宋体"/>
                        <w:sz w:val="20"/>
                        <w:lang w:val="en-US" w:eastAsia="zh-CN"/>
                      </w:rPr>
                    </w:pPr>
                    <w:r>
                      <w:rPr>
                        <w:rFonts w:hint="eastAsia" w:eastAsia="宋体"/>
                        <w:sz w:val="20"/>
                        <w:lang w:val="en-US" w:eastAsia="zh-CN"/>
                      </w:rPr>
                      <w:t>甲基磺酸</w:t>
                    </w:r>
                  </w:p>
                  <w:p>
                    <w:pPr>
                      <w:snapToGrid w:val="0"/>
                      <w:jc w:val="left"/>
                      <w:rPr>
                        <w:rFonts w:hint="eastAsia" w:eastAsia="宋体"/>
                        <w:sz w:val="20"/>
                        <w:lang w:val="en-US" w:eastAsia="zh-CN"/>
                      </w:rPr>
                    </w:pPr>
                    <w:r>
                      <w:rPr>
                        <w:rFonts w:hint="eastAsia" w:eastAsia="宋体"/>
                        <w:sz w:val="20"/>
                        <w:lang w:val="en-US" w:eastAsia="zh-CN"/>
                      </w:rPr>
                      <w:t>甲基磺酸锡</w:t>
                    </w:r>
                  </w:p>
                  <w:p>
                    <w:pPr>
                      <w:pStyle w:val="35"/>
                      <w:ind w:left="0" w:leftChars="0" w:firstLine="0" w:firstLineChars="0"/>
                      <w:rPr>
                        <w:rFonts w:hint="eastAsia"/>
                        <w:lang w:val="en-US" w:eastAsia="zh-CN"/>
                      </w:rPr>
                    </w:pPr>
                    <w:r>
                      <w:rPr>
                        <w:rFonts w:hint="eastAsia"/>
                        <w:sz w:val="20"/>
                        <w:lang w:val="en-US" w:eastAsia="zh-CN"/>
                      </w:rPr>
                      <w:t>锡</w:t>
                    </w:r>
                  </w:p>
                </w:txbxContent>
              </v:textbox>
            </v:shape>
            <v:shape id="_x0000_s2242" o:spid="_x0000_s2242" o:spt="32" type="#_x0000_t32" style="position:absolute;left:4572000;top:1179830;height:139700;width:0;" filled="f" stroked="t" coordsize="21600,21600">
              <v:path arrowok="t"/>
              <v:fill on="f" focussize="0,0"/>
              <v:stroke color="#000000" endarrow="block"/>
              <v:imagedata o:title=""/>
              <o:lock v:ext="edit" aspectratio="f"/>
            </v:shape>
            <v:shape id="_x0000_s2243" o:spid="_x0000_s2243" o:spt="202" type="#_x0000_t202" style="position:absolute;left:4241800;top:1711325;height:292100;width:685800;" fillcolor="#FFFFFF" filled="t" stroked="t" coordsize="21600,21600">
              <v:path/>
              <v:fill on="t" color2="#FFFFFF" focussize="0,0"/>
              <v:stroke color="#000000" joinstyle="miter"/>
              <v:imagedata o:title=""/>
              <o:lock v:ext="edit" aspectratio="f"/>
              <v:textbox>
                <w:txbxContent>
                  <w:p>
                    <w:pPr>
                      <w:snapToGrid w:val="0"/>
                      <w:jc w:val="center"/>
                      <w:rPr>
                        <w:rFonts w:hint="eastAsia" w:asciiTheme="minorEastAsia" w:hAnsiTheme="minorEastAsia" w:eastAsiaTheme="minorEastAsia" w:cstheme="minorEastAsia"/>
                        <w:sz w:val="20"/>
                        <w:lang w:val="en-US"/>
                      </w:rPr>
                    </w:pPr>
                    <w:r>
                      <w:rPr>
                        <w:rFonts w:hint="eastAsia" w:asciiTheme="minorEastAsia" w:hAnsiTheme="minorEastAsia" w:eastAsiaTheme="minorEastAsia" w:cstheme="minorEastAsia"/>
                        <w:sz w:val="20"/>
                        <w:lang w:val="en-US" w:eastAsia="zh-CN"/>
                      </w:rPr>
                      <w:t>中和</w:t>
                    </w:r>
                  </w:p>
                </w:txbxContent>
              </v:textbox>
            </v:shape>
            <v:shape id="_x0000_s2244" o:spid="_x0000_s2244" o:spt="32" type="#_x0000_t32" style="position:absolute;left:4013200;top:1838325;height:0;width:241300;" filled="f" stroked="t" coordsize="21600,21600">
              <v:path arrowok="t"/>
              <v:fill on="f" focussize="0,0"/>
              <v:stroke color="#000000" endarrow="block"/>
              <v:imagedata o:title=""/>
              <o:lock v:ext="edit" aspectratio="f"/>
            </v:shape>
            <v:shape id="_x0000_s2245" o:spid="_x0000_s2245" o:spt="202" type="#_x0000_t202" style="position:absolute;left:3400424;top:2174239;height:228600;width:712470;" filled="f" stroked="f" coordsize="21600,21600">
              <v:path/>
              <v:fill on="f" focussize="0,0"/>
              <v:stroke on="f"/>
              <v:imagedata o:title=""/>
              <o:lock v:ext="edit" aspectratio="f"/>
              <v:textbox>
                <w:txbxContent>
                  <w:p>
                    <w:pPr>
                      <w:snapToGrid w:val="0"/>
                      <w:jc w:val="center"/>
                      <w:rPr>
                        <w:sz w:val="20"/>
                        <w:lang w:val="en-US"/>
                      </w:rPr>
                    </w:pPr>
                    <w:r>
                      <w:rPr>
                        <w:rFonts w:hint="eastAsia"/>
                        <w:sz w:val="20"/>
                        <w:lang w:val="en-US" w:eastAsia="zh-CN"/>
                      </w:rPr>
                      <w:t>自来水</w:t>
                    </w:r>
                  </w:p>
                </w:txbxContent>
              </v:textbox>
            </v:shape>
            <v:shape id="_x0000_s2246" o:spid="_x0000_s2246" o:spt="32" type="#_x0000_t32" style="position:absolute;left:4953000;top:1825625;height:0;width:203200;" filled="f" stroked="t" coordsize="21600,21600">
              <v:path arrowok="t"/>
              <v:fill on="f" focussize="0,0"/>
              <v:stroke color="#000000" dashstyle="longDash" endarrow="block"/>
              <v:imagedata o:title=""/>
              <o:lock v:ext="edit" aspectratio="f"/>
            </v:shape>
            <v:shape id="_x0000_s2247" o:spid="_x0000_s2247" o:spt="32" type="#_x0000_t32" style="position:absolute;left:4572000;top:1597025;height:139700;width:0;" filled="f" stroked="t" coordsize="21600,21600">
              <v:path arrowok="t"/>
              <v:fill on="f" focussize="0,0"/>
              <v:stroke color="#000000" endarrow="block"/>
              <v:imagedata o:title=""/>
              <o:lock v:ext="edit" aspectratio="f"/>
            </v:shape>
            <v:shape id="_x0000_s2248" o:spid="_x0000_s2248" o:spt="202" type="#_x0000_t202" style="position:absolute;left:5120004;top:2163444;height:304800;width:1016000;" filled="f" stroked="f" coordsize="21600,21600">
              <v:path/>
              <v:fill on="f" focussize="0,0"/>
              <v:stroke on="f"/>
              <v:imagedata o:title=""/>
              <o:lock v:ext="edit" aspectratio="f"/>
              <v:textbox>
                <w:txbxContent>
                  <w:p>
                    <w:pPr>
                      <w:rPr>
                        <w:rFonts w:hint="eastAsia"/>
                        <w:highlight w:val="none"/>
                        <w:lang w:val="en-US" w:eastAsia="zh-CN"/>
                      </w:rPr>
                    </w:pPr>
                    <w:r>
                      <w:rPr>
                        <w:rFonts w:hint="eastAsia"/>
                        <w:sz w:val="20"/>
                        <w:highlight w:val="none"/>
                        <w:lang w:val="en-US" w:eastAsia="zh-CN"/>
                      </w:rPr>
                      <w:t>W1综合废水</w:t>
                    </w:r>
                  </w:p>
                  <w:p>
                    <w:pPr>
                      <w:rPr>
                        <w:rFonts w:hint="eastAsia"/>
                        <w:lang w:val="en-US" w:eastAsia="zh-CN"/>
                      </w:rPr>
                    </w:pPr>
                  </w:p>
                </w:txbxContent>
              </v:textbox>
            </v:shape>
            <v:shape id="_x0000_s2249" o:spid="_x0000_s2249" o:spt="202" type="#_x0000_t202" style="position:absolute;left:4241800;top:2139315;height:292100;width:685800;" fillcolor="#FFFFFF" filled="t" stroked="t" coordsize="21600,21600">
              <v:path/>
              <v:fill on="t" color2="#FFFFFF" focussize="0,0"/>
              <v:stroke color="#000000" joinstyle="miter"/>
              <v:imagedata o:title=""/>
              <o:lock v:ext="edit" aspectratio="f"/>
              <v:textbox>
                <w:txbxContent>
                  <w:p>
                    <w:pPr>
                      <w:snapToGrid w:val="0"/>
                      <w:jc w:val="center"/>
                      <w:rPr>
                        <w:rFonts w:hint="eastAsia" w:asciiTheme="minorEastAsia" w:hAnsiTheme="minorEastAsia" w:eastAsiaTheme="minorEastAsia" w:cstheme="minorEastAsia"/>
                        <w:sz w:val="20"/>
                        <w:lang w:val="en-US"/>
                      </w:rPr>
                    </w:pPr>
                    <w:r>
                      <w:rPr>
                        <w:rFonts w:hint="eastAsia" w:asciiTheme="minorEastAsia" w:hAnsiTheme="minorEastAsia" w:eastAsiaTheme="minorEastAsia" w:cstheme="minorEastAsia"/>
                        <w:sz w:val="20"/>
                        <w:lang w:val="en-US" w:eastAsia="zh-CN"/>
                      </w:rPr>
                      <w:t>水洗</w:t>
                    </w:r>
                  </w:p>
                </w:txbxContent>
              </v:textbox>
            </v:shape>
            <v:shape id="_x0000_s2250" o:spid="_x0000_s2250" o:spt="32" type="#_x0000_t32" style="position:absolute;left:4572000;top:2025015;height:139700;width:0;" filled="f" stroked="t" coordsize="21600,21600">
              <v:path arrowok="t"/>
              <v:fill on="f" focussize="0,0"/>
              <v:stroke color="#000000" endarrow="block"/>
              <v:imagedata o:title=""/>
              <o:lock v:ext="edit" aspectratio="f"/>
            </v:shape>
            <v:shape id="_x0000_s2251" o:spid="_x0000_s2251" o:spt="202" type="#_x0000_t202" style="position:absolute;left:4230369;top:2556509;height:292100;width:720725;" fillcolor="#FFFFFF" filled="t" stroked="t" coordsize="21600,21600">
              <v:path/>
              <v:fill on="t" color2="#FFFFFF" focussize="0,0"/>
              <v:stroke color="#000000" joinstyle="miter"/>
              <v:imagedata o:title=""/>
              <o:lock v:ext="edit" aspectratio="f"/>
              <v:textbox>
                <w:txbxContent>
                  <w:p>
                    <w:pPr>
                      <w:snapToGrid w:val="0"/>
                      <w:jc w:val="center"/>
                      <w:rPr>
                        <w:rFonts w:hint="eastAsia" w:asciiTheme="minorEastAsia" w:hAnsiTheme="minorEastAsia" w:eastAsiaTheme="minorEastAsia" w:cstheme="minorEastAsia"/>
                        <w:sz w:val="20"/>
                        <w:lang w:val="en-US"/>
                      </w:rPr>
                    </w:pPr>
                    <w:r>
                      <w:rPr>
                        <w:rFonts w:hint="eastAsia" w:asciiTheme="minorEastAsia" w:hAnsiTheme="minorEastAsia" w:eastAsiaTheme="minorEastAsia" w:cstheme="minorEastAsia"/>
                        <w:sz w:val="20"/>
                        <w:lang w:val="en-US" w:eastAsia="zh-CN"/>
                      </w:rPr>
                      <w:t>超声清洗</w:t>
                    </w:r>
                  </w:p>
                </w:txbxContent>
              </v:textbox>
            </v:shape>
            <v:shape id="_x0000_s2252" o:spid="_x0000_s2252" o:spt="32" type="#_x0000_t32" style="position:absolute;left:4572000;top:2442210;height:139700;width:0;" filled="f" stroked="t" coordsize="21600,21600">
              <v:path arrowok="t"/>
              <v:fill on="f" focussize="0,0"/>
              <v:stroke color="#000000" endarrow="block"/>
              <v:imagedata o:title=""/>
              <o:lock v:ext="edit" aspectratio="f"/>
            </v:shape>
            <v:shape id="_x0000_s2253" o:spid="_x0000_s2253" o:spt="202" type="#_x0000_t202" style="position:absolute;left:0;top:1576705;height:257810;width:729615;" filled="f" stroked="f" coordsize="21600,21600">
              <v:path/>
              <v:fill on="f" focussize="0,0"/>
              <v:stroke on="f"/>
              <v:imagedata o:title=""/>
              <o:lock v:ext="edit" aspectratio="f"/>
              <v:textbox>
                <w:txbxContent>
                  <w:p>
                    <w:pPr>
                      <w:snapToGrid w:val="0"/>
                      <w:jc w:val="right"/>
                      <w:rPr>
                        <w:rFonts w:hint="eastAsia"/>
                        <w:sz w:val="20"/>
                        <w:lang w:val="en-US" w:eastAsia="zh-CN"/>
                      </w:rPr>
                    </w:pPr>
                    <w:r>
                      <w:rPr>
                        <w:rFonts w:hint="eastAsia"/>
                        <w:sz w:val="20"/>
                        <w:lang w:val="en-US" w:eastAsia="zh-CN"/>
                      </w:rPr>
                      <w:t>自来水</w:t>
                    </w:r>
                  </w:p>
                </w:txbxContent>
              </v:textbox>
            </v:shape>
            <v:shape id="_x0000_s2254" o:spid="_x0000_s2254" o:spt="32" type="#_x0000_t32" style="position:absolute;left:1624965;top:1668780;height:0;width:203200;" filled="f" stroked="t" coordsize="21600,21600">
              <v:path arrowok="t"/>
              <v:fill on="f" focussize="0,0"/>
              <v:stroke color="#000000" dashstyle="longDash" endarrow="block"/>
              <v:imagedata o:title=""/>
              <o:lock v:ext="edit" aspectratio="f"/>
            </v:shape>
            <v:shape id="_x0000_s2255" o:spid="_x0000_s2255" o:spt="32" type="#_x0000_t32" style="position:absolute;left:1256665;top:1465580;height:139700;width:0;" filled="f" stroked="t" coordsize="21600,21600">
              <v:path arrowok="t"/>
              <v:fill on="f" focussize="0,0"/>
              <v:stroke color="#000000" endarrow="block"/>
              <v:imagedata o:title=""/>
              <o:lock v:ext="edit" aspectratio="f"/>
            </v:shape>
            <v:shape id="_x0000_s2256" o:spid="_x0000_s2256" o:spt="202" type="#_x0000_t202" style="position:absolute;left:1764665;top:1565910;height:244475;width:1016000;" filled="f" stroked="f" coordsize="21600,21600">
              <v:path/>
              <v:fill on="f" focussize="0,0"/>
              <v:stroke on="f"/>
              <v:imagedata o:title=""/>
              <o:lock v:ext="edit" aspectratio="f"/>
              <v:textbox>
                <w:txbxContent>
                  <w:p>
                    <w:pPr>
                      <w:rPr>
                        <w:rFonts w:hint="eastAsia"/>
                        <w:lang w:val="en-US" w:eastAsia="zh-CN"/>
                      </w:rPr>
                    </w:pPr>
                    <w:r>
                      <w:rPr>
                        <w:rFonts w:hint="eastAsia"/>
                        <w:sz w:val="20"/>
                        <w:lang w:val="en-US" w:eastAsia="zh-CN"/>
                      </w:rPr>
                      <w:t>W1综合废水</w:t>
                    </w:r>
                  </w:p>
                </w:txbxContent>
              </v:textbox>
            </v:shape>
            <v:shape id="_x0000_s2257" o:spid="_x0000_s2257" o:spt="202" type="#_x0000_t202" style="position:absolute;left:926465;top:1567180;height:292100;width:685800;" fillcolor="#FFFFFF" filled="t" stroked="t" coordsize="21600,21600">
              <v:path/>
              <v:fill on="t" color2="#FFFFFF" focussize="0,0"/>
              <v:stroke color="#000000" joinstyle="miter"/>
              <v:imagedata o:title=""/>
              <o:lock v:ext="edit" aspectratio="f"/>
              <v:textbox>
                <w:txbxContent>
                  <w:p>
                    <w:pPr>
                      <w:snapToGrid w:val="0"/>
                      <w:jc w:val="center"/>
                      <w:rPr>
                        <w:rFonts w:hint="eastAsia" w:asciiTheme="minorEastAsia" w:hAnsiTheme="minorEastAsia" w:eastAsiaTheme="minorEastAsia" w:cstheme="minorEastAsia"/>
                        <w:sz w:val="20"/>
                        <w:lang w:val="en-US" w:eastAsia="zh-CN"/>
                      </w:rPr>
                    </w:pPr>
                    <w:r>
                      <w:rPr>
                        <w:rFonts w:hint="eastAsia" w:asciiTheme="minorEastAsia" w:hAnsiTheme="minorEastAsia" w:eastAsiaTheme="minorEastAsia" w:cstheme="minorEastAsia"/>
                        <w:sz w:val="20"/>
                        <w:lang w:val="en-US" w:eastAsia="zh-CN"/>
                      </w:rPr>
                      <w:t>水洗</w:t>
                    </w:r>
                  </w:p>
                </w:txbxContent>
              </v:textbox>
            </v:shape>
            <v:shape id="_x0000_s2274" o:spid="_x0000_s2274" o:spt="32" type="#_x0000_t32" style="position:absolute;left:1649095;top:2119629;height:0;width:203200;" filled="f" stroked="t" coordsize="21600,21600">
              <v:path arrowok="t"/>
              <v:fill on="f" focussize="0,0"/>
              <v:stroke color="#000000" dashstyle="longDash" endarrow="block"/>
              <v:imagedata o:title=""/>
              <o:lock v:ext="edit" aspectratio="f"/>
            </v:shape>
            <v:shape id="_x0000_s2280" o:spid="_x0000_s2280" o:spt="32" type="#_x0000_t32" style="position:absolute;left:1280795;top:1882140;height:139700;width:0;" filled="f" stroked="t" coordsize="21600,21600">
              <v:path arrowok="t"/>
              <v:fill on="f" focussize="0,0"/>
              <v:stroke color="#000000" endarrow="block"/>
              <v:imagedata o:title=""/>
              <o:lock v:ext="edit" aspectratio="f"/>
            </v:shape>
            <v:shape id="_x0000_s2281" o:spid="_x0000_s2281" o:spt="202" type="#_x0000_t202" style="position:absolute;left:1777365;top:2005329;height:304800;width:1016000;" filled="f" stroked="f" coordsize="21600,21600">
              <v:path/>
              <v:fill on="f" focussize="0,0"/>
              <v:stroke on="f"/>
              <v:imagedata o:title=""/>
              <o:lock v:ext="edit" aspectratio="f"/>
              <v:textbox>
                <w:txbxContent>
                  <w:p>
                    <w:pPr>
                      <w:pStyle w:val="35"/>
                      <w:ind w:left="0" w:leftChars="0" w:firstLine="0" w:firstLineChars="0"/>
                      <w:jc w:val="left"/>
                      <w:rPr>
                        <w:rFonts w:hint="eastAsia"/>
                        <w:lang w:val="en-US" w:eastAsia="zh-CN"/>
                      </w:rPr>
                    </w:pPr>
                    <w:r>
                      <w:rPr>
                        <w:rFonts w:hint="eastAsia"/>
                        <w:sz w:val="20"/>
                        <w:lang w:val="en-US" w:eastAsia="zh-CN"/>
                      </w:rPr>
                      <w:t>S4废胶</w:t>
                    </w:r>
                  </w:p>
                  <w:p>
                    <w:pPr>
                      <w:rPr>
                        <w:rFonts w:hint="eastAsia"/>
                        <w:lang w:val="en-US" w:eastAsia="zh-CN"/>
                      </w:rPr>
                    </w:pPr>
                  </w:p>
                </w:txbxContent>
              </v:textbox>
            </v:shape>
            <v:shape id="_x0000_s2282" o:spid="_x0000_s2282" o:spt="202" type="#_x0000_t202" style="position:absolute;left:950595;top:1983740;height:292100;width:685800;" fillcolor="#FFFFFF" filled="t" stroked="t" coordsize="21600,21600">
              <v:path/>
              <v:fill on="t" color2="#FFFFFF" focussize="0,0"/>
              <v:stroke color="#000000" joinstyle="miter"/>
              <v:imagedata o:title=""/>
              <o:lock v:ext="edit" aspectratio="f"/>
              <v:textbox>
                <w:txbxContent>
                  <w:p>
                    <w:pPr>
                      <w:snapToGrid w:val="0"/>
                      <w:jc w:val="center"/>
                      <w:rPr>
                        <w:rFonts w:hint="eastAsia" w:asciiTheme="minorEastAsia" w:hAnsiTheme="minorEastAsia" w:eastAsiaTheme="minorEastAsia" w:cstheme="minorEastAsia"/>
                        <w:sz w:val="20"/>
                        <w:lang w:val="en-US" w:eastAsia="zh-CN"/>
                      </w:rPr>
                    </w:pPr>
                    <w:r>
                      <w:rPr>
                        <w:rFonts w:hint="eastAsia" w:asciiTheme="minorEastAsia" w:hAnsiTheme="minorEastAsia" w:eastAsiaTheme="minorEastAsia" w:cstheme="minorEastAsia"/>
                        <w:sz w:val="20"/>
                        <w:lang w:val="en-US" w:eastAsia="zh-CN"/>
                      </w:rPr>
                      <w:t>去胶</w:t>
                    </w:r>
                  </w:p>
                </w:txbxContent>
              </v:textbox>
            </v:shape>
            <v:shape id="_x0000_s2283" o:spid="_x0000_s2283" o:spt="202" type="#_x0000_t202" style="position:absolute;left:144780;top:2409824;height:304800;width:622300;" filled="f" stroked="f" coordsize="21600,21600">
              <v:path/>
              <v:fill on="f" focussize="0,0"/>
              <v:stroke on="f"/>
              <v:imagedata o:title=""/>
              <o:lock v:ext="edit" aspectratio="f"/>
              <v:textbox>
                <w:txbxContent>
                  <w:p>
                    <w:pPr>
                      <w:snapToGrid w:val="0"/>
                      <w:jc w:val="center"/>
                      <w:rPr>
                        <w:rFonts w:hint="eastAsia" w:eastAsia="宋体"/>
                        <w:sz w:val="20"/>
                        <w:lang w:val="en-US" w:eastAsia="zh-CN"/>
                      </w:rPr>
                    </w:pPr>
                    <w:r>
                      <w:rPr>
                        <w:rFonts w:hint="eastAsia"/>
                        <w:sz w:val="20"/>
                        <w:lang w:val="en-US" w:eastAsia="zh-CN"/>
                      </w:rPr>
                      <w:t>除油剂</w:t>
                    </w:r>
                  </w:p>
                </w:txbxContent>
              </v:textbox>
            </v:shape>
            <v:shape id="_x0000_s2284" o:spid="_x0000_s2284" o:spt="32" type="#_x0000_t32" style="position:absolute;left:1649095;top:2490470;height:0;width:203200;" filled="f" stroked="t" coordsize="21600,21600">
              <v:path arrowok="t"/>
              <v:fill on="f" focussize="0,0"/>
              <v:stroke color="#000000" dashstyle="longDash" endarrow="block"/>
              <v:imagedata o:title=""/>
              <o:lock v:ext="edit" aspectratio="f"/>
            </v:shape>
            <v:shape id="_x0000_s2285" o:spid="_x0000_s2285" o:spt="32" type="#_x0000_t32" style="position:absolute;left:1280795;top:2287270;height:139700;width:0;" filled="f" stroked="t" coordsize="21600,21600">
              <v:path arrowok="t"/>
              <v:fill on="f" focussize="0,0"/>
              <v:stroke color="#000000" endarrow="block"/>
              <v:imagedata o:title=""/>
              <o:lock v:ext="edit" aspectratio="f"/>
            </v:shape>
            <v:shape id="_x0000_s2287" o:spid="_x0000_s2287" o:spt="202" type="#_x0000_t202" style="position:absolute;left:1789430;top:2292984;height:400050;width:765810;" filled="f" stroked="f" coordsize="21600,21600">
              <v:path/>
              <v:fill on="f" focussize="0,0"/>
              <v:stroke on="f"/>
              <v:imagedata o:title=""/>
              <o:lock v:ext="edit" aspectratio="f"/>
              <v:textbox>
                <w:txbxContent>
                  <w:p>
                    <w:pPr>
                      <w:snapToGrid w:val="0"/>
                      <w:jc w:val="left"/>
                      <w:rPr>
                        <w:rFonts w:hint="eastAsia" w:eastAsia="宋体"/>
                        <w:sz w:val="20"/>
                        <w:lang w:val="en-US" w:eastAsia="zh-CN"/>
                      </w:rPr>
                    </w:pPr>
                    <w:r>
                      <w:rPr>
                        <w:rFonts w:hint="eastAsia"/>
                        <w:sz w:val="20"/>
                        <w:lang w:val="en-US" w:eastAsia="zh-CN"/>
                      </w:rPr>
                      <w:t>碱雾</w:t>
                    </w:r>
                  </w:p>
                  <w:p>
                    <w:pPr>
                      <w:snapToGrid w:val="0"/>
                      <w:jc w:val="left"/>
                      <w:rPr>
                        <w:rFonts w:hint="eastAsia" w:eastAsia="宋体"/>
                        <w:sz w:val="20"/>
                        <w:lang w:val="en-US" w:eastAsia="zh-CN"/>
                      </w:rPr>
                    </w:pPr>
                    <w:r>
                      <w:rPr>
                        <w:rFonts w:hint="eastAsia"/>
                        <w:sz w:val="20"/>
                      </w:rPr>
                      <w:t>S</w:t>
                    </w:r>
                    <w:r>
                      <w:rPr>
                        <w:rFonts w:hint="eastAsia"/>
                        <w:sz w:val="20"/>
                        <w:lang w:val="en-US" w:eastAsia="zh-CN"/>
                      </w:rPr>
                      <w:t>1废碱液</w:t>
                    </w:r>
                  </w:p>
                  <w:p>
                    <w:pPr>
                      <w:rPr>
                        <w:rFonts w:hint="eastAsia"/>
                        <w:lang w:val="en-US" w:eastAsia="zh-CN"/>
                      </w:rPr>
                    </w:pPr>
                  </w:p>
                </w:txbxContent>
              </v:textbox>
            </v:shape>
            <v:shape id="_x0000_s2288" o:spid="_x0000_s2288" o:spt="202" type="#_x0000_t202" style="position:absolute;left:950595;top:2388870;height:292100;width:685800;" fillcolor="#FFFFFF" filled="t" stroked="t" coordsize="21600,21600">
              <v:path/>
              <v:fill on="t" color2="#FFFFFF" focussize="0,0"/>
              <v:stroke color="#000000" joinstyle="miter"/>
              <v:imagedata o:title=""/>
              <o:lock v:ext="edit" aspectratio="f"/>
              <v:textbox>
                <w:txbxContent>
                  <w:p>
                    <w:pPr>
                      <w:snapToGrid w:val="0"/>
                      <w:jc w:val="center"/>
                      <w:rPr>
                        <w:rFonts w:hint="eastAsia" w:asciiTheme="minorEastAsia" w:hAnsiTheme="minorEastAsia" w:eastAsiaTheme="minorEastAsia" w:cstheme="minorEastAsia"/>
                        <w:sz w:val="20"/>
                        <w:lang w:val="en-US" w:eastAsia="zh-CN"/>
                      </w:rPr>
                    </w:pPr>
                    <w:r>
                      <w:rPr>
                        <w:rFonts w:hint="eastAsia" w:asciiTheme="minorEastAsia" w:hAnsiTheme="minorEastAsia" w:eastAsiaTheme="minorEastAsia" w:cstheme="minorEastAsia"/>
                        <w:sz w:val="20"/>
                        <w:lang w:val="en-US" w:eastAsia="zh-CN"/>
                      </w:rPr>
                      <w:t>除油</w:t>
                    </w:r>
                  </w:p>
                </w:txbxContent>
              </v:textbox>
            </v:shape>
            <v:shape id="_x0000_s2289" o:spid="_x0000_s2289" o:spt="202" type="#_x0000_t202" style="position:absolute;left:307975;top:3190239;height:483870;width:454025;" filled="f" stroked="f" coordsize="21600,21600">
              <v:path/>
              <v:fill on="f" focussize="0,0"/>
              <v:stroke on="f"/>
              <v:imagedata o:title=""/>
              <o:lock v:ext="edit" aspectratio="f"/>
              <v:textbox>
                <w:txbxContent>
                  <w:p>
                    <w:pPr>
                      <w:jc w:val="left"/>
                      <w:rPr>
                        <w:rFonts w:hint="eastAsia"/>
                        <w:color w:val="auto"/>
                        <w:lang w:val="en-US" w:eastAsia="zh-CN"/>
                      </w:rPr>
                    </w:pPr>
                    <w:r>
                      <w:rPr>
                        <w:rFonts w:hint="eastAsia"/>
                        <w:color w:val="auto"/>
                        <w:lang w:val="en-US" w:eastAsia="zh-CN"/>
                      </w:rPr>
                      <w:t>硝酸</w:t>
                    </w:r>
                  </w:p>
                  <w:p>
                    <w:pPr>
                      <w:pStyle w:val="35"/>
                      <w:ind w:left="0" w:leftChars="0" w:firstLine="0" w:firstLineChars="0"/>
                      <w:jc w:val="left"/>
                      <w:rPr>
                        <w:rFonts w:hint="eastAsia"/>
                        <w:lang w:val="en-US" w:eastAsia="zh-CN"/>
                      </w:rPr>
                    </w:pPr>
                    <w:r>
                      <w:rPr>
                        <w:rFonts w:hint="eastAsia"/>
                        <w:color w:val="auto"/>
                        <w:lang w:val="en-US" w:eastAsia="zh-CN"/>
                      </w:rPr>
                      <w:t>硫酸</w:t>
                    </w:r>
                  </w:p>
                </w:txbxContent>
              </v:textbox>
            </v:shape>
            <v:shape id="_x0000_s2290" o:spid="_x0000_s2290" o:spt="32" type="#_x0000_t32" style="position:absolute;left:1661160;top:2907030;height:0;width:203200;" filled="f" stroked="t" coordsize="21600,21600">
              <v:path arrowok="t"/>
              <v:fill on="f" focussize="0,0"/>
              <v:stroke color="#000000" dashstyle="longDash" endarrow="block"/>
              <v:imagedata o:title=""/>
              <o:lock v:ext="edit" aspectratio="f"/>
            </v:shape>
            <v:shape id="_x0000_s2291" o:spid="_x0000_s2291" o:spt="32" type="#_x0000_t32" style="position:absolute;left:1292860;top:2703830;height:139700;width:0;" filled="f" stroked="t" coordsize="21600,21600">
              <v:path arrowok="t"/>
              <v:fill on="f" focussize="0,0"/>
              <v:stroke color="#000000" endarrow="block"/>
              <v:imagedata o:title=""/>
              <o:lock v:ext="edit" aspectratio="f"/>
            </v:shape>
            <v:shape id="_x0000_s2292" o:spid="_x0000_s2292" o:spt="202" type="#_x0000_t202" style="position:absolute;left:1800860;top:2804159;height:293370;width:944880;" filled="f" stroked="f" coordsize="21600,21600">
              <v:path/>
              <v:fill on="f" focussize="0,0"/>
              <v:stroke on="f"/>
              <v:imagedata o:title=""/>
              <o:lock v:ext="edit" aspectratio="f"/>
              <v:textbox>
                <w:txbxContent>
                  <w:p>
                    <w:pPr>
                      <w:rPr>
                        <w:rFonts w:hint="eastAsia"/>
                        <w:lang w:val="en-US" w:eastAsia="zh-CN"/>
                      </w:rPr>
                    </w:pPr>
                    <w:r>
                      <w:rPr>
                        <w:rFonts w:hint="eastAsia"/>
                        <w:sz w:val="20"/>
                        <w:lang w:val="en-US" w:eastAsia="zh-CN"/>
                      </w:rPr>
                      <w:t>W1综合废水</w:t>
                    </w:r>
                  </w:p>
                </w:txbxContent>
              </v:textbox>
            </v:shape>
            <v:shape id="_x0000_s2293" o:spid="_x0000_s2293" o:spt="202" type="#_x0000_t202" style="position:absolute;left:962660;top:2805430;height:292100;width:685800;" fillcolor="#FFFFFF" filled="t" stroked="t" coordsize="21600,21600">
              <v:path/>
              <v:fill on="t" color2="#FFFFFF" focussize="0,0"/>
              <v:stroke color="#000000" joinstyle="miter"/>
              <v:imagedata o:title=""/>
              <o:lock v:ext="edit" aspectratio="f"/>
              <v:textbox>
                <w:txbxContent>
                  <w:p>
                    <w:pPr>
                      <w:snapToGrid w:val="0"/>
                      <w:jc w:val="center"/>
                      <w:rPr>
                        <w:rFonts w:hint="eastAsia" w:asciiTheme="minorEastAsia" w:hAnsiTheme="minorEastAsia" w:eastAsiaTheme="minorEastAsia" w:cstheme="minorEastAsia"/>
                        <w:sz w:val="20"/>
                        <w:lang w:val="en-US"/>
                      </w:rPr>
                    </w:pPr>
                    <w:r>
                      <w:rPr>
                        <w:rFonts w:hint="eastAsia" w:asciiTheme="minorEastAsia" w:hAnsiTheme="minorEastAsia" w:eastAsiaTheme="minorEastAsia" w:cstheme="minorEastAsia"/>
                        <w:sz w:val="20"/>
                        <w:lang w:val="en-US" w:eastAsia="zh-CN"/>
                      </w:rPr>
                      <w:t>水洗</w:t>
                    </w:r>
                  </w:p>
                </w:txbxContent>
              </v:textbox>
            </v:shape>
            <v:shape id="_x0000_s2294" o:spid="_x0000_s2294" o:spt="32" type="#_x0000_t32" style="position:absolute;left:703580;top:1715135;height:0;width:241300;" filled="f" stroked="t" coordsize="21600,21600">
              <v:path arrowok="t"/>
              <v:fill on="f" focussize="0,0"/>
              <v:stroke color="#000000" endarrow="block"/>
              <v:imagedata o:title=""/>
              <o:lock v:ext="edit" aspectratio="f"/>
            </v:shape>
            <v:shape id="_x0000_s2296" o:spid="_x0000_s2296" o:spt="32" type="#_x0000_t32" style="position:absolute;left:727710;top:2573020;height:0;width:241300;" filled="f" stroked="t" coordsize="21600,21600">
              <v:path arrowok="t"/>
              <v:fill on="f" focussize="0,0"/>
              <v:stroke color="#000000" endarrow="block"/>
              <v:imagedata o:title=""/>
              <o:lock v:ext="edit" aspectratio="f"/>
            </v:shape>
            <v:shape id="_x0000_s2297" o:spid="_x0000_s2297" o:spt="32" type="#_x0000_t32" style="position:absolute;left:751205;top:2977515;height:0;width:241300;" filled="f" stroked="t" coordsize="21600,21600">
              <v:path arrowok="t"/>
              <v:fill on="f" focussize="0,0"/>
              <v:stroke color="#000000" endarrow="block"/>
              <v:imagedata o:title=""/>
              <o:lock v:ext="edit" aspectratio="f"/>
            </v:shape>
            <v:shape id="_x0000_s2298" o:spid="_x0000_s2298" o:spt="32" type="#_x0000_t32" style="position:absolute;left:1287145;top:3108325;height:139700;width:0;" filled="f" stroked="t" coordsize="21600,21600">
              <v:path arrowok="t"/>
              <v:fill on="f" focussize="0,0"/>
              <v:stroke color="#000000" endarrow="block"/>
              <v:imagedata o:title=""/>
              <o:lock v:ext="edit" aspectratio="f"/>
            </v:shape>
            <v:line id="_x0000_s2299" o:spid="_x0000_s2299" o:spt="20" style="position:absolute;left:1304925;top:4478654;height:635;width:1536065;" filled="f" stroked="t" coordsize="21600,21600">
              <v:path arrowok="t"/>
              <v:fill on="f" focussize="0,0"/>
              <v:stroke color="#000000"/>
              <v:imagedata o:title=""/>
              <o:lock v:ext="edit" aspectratio="f"/>
            </v:line>
            <v:line id="_x0000_s2300" o:spid="_x0000_s2300" o:spt="20" style="position:absolute;left:2812415;top:322580;height:635;width:1772920;" filled="f" stroked="t" coordsize="21600,21600">
              <v:path arrowok="t"/>
              <v:fill on="f" focussize="0,0"/>
              <v:stroke color="#000000"/>
              <v:imagedata o:title=""/>
              <o:lock v:ext="edit" aspectratio="f"/>
            </v:line>
            <v:line id="_x0000_s2301" o:spid="_x0000_s2301" o:spt="20" style="position:absolute;left:2828290;top:323215;height:4178299;width:635;" filled="f" stroked="t" coordsize="21600,21600">
              <v:path arrowok="t"/>
              <v:fill on="f" focussize="0,0"/>
              <v:stroke color="#000000"/>
              <v:imagedata o:title=""/>
              <o:lock v:ext="edit" aspectratio="f"/>
            </v:line>
            <v:shape id="_x0000_s2302" o:spid="_x0000_s2302" o:spt="202" type="#_x0000_t202" style="position:absolute;left:966470;top:3197859;height:292100;width:685800;" fillcolor="#FFFFFF" filled="t" stroked="t" coordsize="21600,21600">
              <v:path/>
              <v:fill on="t" color2="#FFFFFF" focussize="0,0"/>
              <v:stroke color="#000000" joinstyle="miter"/>
              <v:imagedata o:title=""/>
              <o:lock v:ext="edit" aspectratio="f"/>
              <v:textbox>
                <w:txbxContent>
                  <w:p>
                    <w:pPr>
                      <w:snapToGrid w:val="0"/>
                      <w:jc w:val="center"/>
                      <w:rPr>
                        <w:rFonts w:hint="eastAsia" w:asciiTheme="minorEastAsia" w:hAnsiTheme="minorEastAsia" w:eastAsiaTheme="minorEastAsia" w:cstheme="minorEastAsia"/>
                        <w:sz w:val="20"/>
                        <w:highlight w:val="none"/>
                        <w:lang w:val="en-US"/>
                      </w:rPr>
                    </w:pPr>
                    <w:r>
                      <w:rPr>
                        <w:rFonts w:hint="eastAsia" w:asciiTheme="minorEastAsia" w:hAnsiTheme="minorEastAsia" w:eastAsiaTheme="minorEastAsia" w:cstheme="minorEastAsia"/>
                        <w:sz w:val="20"/>
                        <w:highlight w:val="none"/>
                        <w:lang w:val="en-US" w:eastAsia="zh-CN"/>
                      </w:rPr>
                      <w:t>抛光</w:t>
                    </w:r>
                  </w:p>
                </w:txbxContent>
              </v:textbox>
            </v:shape>
            <v:shape id="_x0000_s2304" o:spid="_x0000_s2304" o:spt="32" type="#_x0000_t32" style="position:absolute;left:740410;top:3375659;height:0;width:241300;" filled="f" stroked="t" coordsize="21600,21600">
              <v:path arrowok="t"/>
              <v:fill on="f" focussize="0,0"/>
              <v:stroke color="#000000" endarrow="block"/>
              <v:imagedata o:title=""/>
              <o:lock v:ext="edit" aspectratio="f"/>
            </v:shape>
            <v:shape id="_x0000_s2305" o:spid="_x0000_s2305" o:spt="32" type="#_x0000_t32" style="position:absolute;left:1296670;top:3502659;height:139700;width:0;" filled="f" stroked="t" coordsize="21600,21600">
              <v:path arrowok="t"/>
              <v:fill on="f" focussize="0,0"/>
              <v:stroke color="#000000" endarrow="block"/>
              <v:imagedata o:title=""/>
              <o:lock v:ext="edit" aspectratio="f"/>
            </v:shape>
            <v:shape id="_x0000_s2306" o:spid="_x0000_s2306" o:spt="202" type="#_x0000_t202" style="position:absolute;left:189865;top:2834004;height:304800;width:564515;" filled="f" stroked="f" coordsize="21600,21600">
              <v:path/>
              <v:fill on="f" focussize="0,0"/>
              <v:stroke on="f"/>
              <v:imagedata o:title=""/>
              <o:lock v:ext="edit" aspectratio="f"/>
              <v:textbox>
                <w:txbxContent>
                  <w:p>
                    <w:pPr>
                      <w:snapToGrid w:val="0"/>
                      <w:jc w:val="center"/>
                      <w:rPr>
                        <w:sz w:val="20"/>
                        <w:lang w:val="en-US"/>
                      </w:rPr>
                    </w:pPr>
                    <w:r>
                      <w:rPr>
                        <w:rFonts w:hint="eastAsia"/>
                        <w:sz w:val="20"/>
                        <w:lang w:val="en-US" w:eastAsia="zh-CN"/>
                      </w:rPr>
                      <w:t>自来水</w:t>
                    </w:r>
                  </w:p>
                </w:txbxContent>
              </v:textbox>
            </v:shape>
            <v:shape id="_x0000_s2307" o:spid="_x0000_s2307" o:spt="202" type="#_x0000_t202" style="position:absolute;left:1786890;top:3134359;height:388620;width:944880;" filled="f" stroked="f" coordsize="21600,21600">
              <v:path/>
              <v:fill on="f" focussize="0,0"/>
              <v:stroke on="f"/>
              <v:imagedata o:title=""/>
              <o:lock v:ext="edit" aspectratio="f"/>
              <v:textbox>
                <w:txbxContent>
                  <w:p>
                    <w:pPr>
                      <w:snapToGrid w:val="0"/>
                      <w:jc w:val="left"/>
                      <w:rPr>
                        <w:rFonts w:hint="eastAsia" w:eastAsia="宋体"/>
                        <w:sz w:val="20"/>
                        <w:lang w:val="en-US" w:eastAsia="zh-CN"/>
                      </w:rPr>
                    </w:pPr>
                    <w:r>
                      <w:rPr>
                        <w:rFonts w:hint="eastAsia" w:eastAsia="宋体"/>
                        <w:sz w:val="20"/>
                        <w:lang w:val="en-US" w:eastAsia="zh-CN"/>
                      </w:rPr>
                      <w:t>G1酸雾</w:t>
                    </w:r>
                  </w:p>
                  <w:p>
                    <w:pPr>
                      <w:snapToGrid w:val="0"/>
                      <w:jc w:val="left"/>
                      <w:rPr>
                        <w:rFonts w:hint="eastAsia"/>
                        <w:lang w:val="en-US" w:eastAsia="zh-CN"/>
                      </w:rPr>
                    </w:pPr>
                    <w:r>
                      <w:rPr>
                        <w:rFonts w:hint="eastAsia" w:eastAsia="宋体"/>
                        <w:sz w:val="20"/>
                        <w:lang w:val="en-US" w:eastAsia="zh-CN"/>
                      </w:rPr>
                      <w:t>S2废酸</w:t>
                    </w:r>
                    <w:r>
                      <w:rPr>
                        <w:rFonts w:hint="eastAsia"/>
                        <w:sz w:val="20"/>
                        <w:lang w:val="en-US" w:eastAsia="zh-CN"/>
                      </w:rPr>
                      <w:t>液</w:t>
                    </w:r>
                  </w:p>
                  <w:p>
                    <w:pPr>
                      <w:rPr>
                        <w:rFonts w:hint="eastAsia"/>
                        <w:lang w:val="en-US" w:eastAsia="zh-CN"/>
                      </w:rPr>
                    </w:pPr>
                  </w:p>
                </w:txbxContent>
              </v:textbox>
            </v:shape>
            <v:shape id="_x0000_s2308" o:spid="_x0000_s2308" o:spt="32" type="#_x0000_t32" style="position:absolute;left:1644650;top:3335019;height:0;width:203200;" filled="f" stroked="t" coordsize="21600,21600">
              <v:path arrowok="t"/>
              <v:fill on="f" focussize="0,0"/>
              <v:stroke color="#000000" dashstyle="longDash" endarrow="block"/>
              <v:imagedata o:title=""/>
              <o:lock v:ext="edit" aspectratio="f"/>
            </v:shape>
            <v:shape id="_x0000_s2309" o:spid="_x0000_s2309" o:spt="202" type="#_x0000_t202" style="position:absolute;left:4228464;top:2984499;height:292100;width:781050;" fillcolor="#FFFFFF" filled="t" stroked="t" coordsize="21600,21600">
              <v:path/>
              <v:fill on="t" color2="#FFFFFF" focussize="0,0"/>
              <v:stroke color="#000000" joinstyle="miter"/>
              <v:imagedata o:title=""/>
              <o:lock v:ext="edit" aspectratio="f"/>
              <v:textbox>
                <w:txbxContent>
                  <w:p>
                    <w:pPr>
                      <w:snapToGrid w:val="0"/>
                      <w:jc w:val="center"/>
                      <w:rPr>
                        <w:rFonts w:hint="eastAsia" w:asciiTheme="minorEastAsia" w:hAnsiTheme="minorEastAsia" w:eastAsiaTheme="minorEastAsia" w:cstheme="minorEastAsia"/>
                        <w:sz w:val="20"/>
                        <w:lang w:val="en-US"/>
                      </w:rPr>
                    </w:pPr>
                    <w:r>
                      <w:rPr>
                        <w:rFonts w:hint="eastAsia" w:asciiTheme="minorEastAsia" w:hAnsiTheme="minorEastAsia" w:eastAsiaTheme="minorEastAsia" w:cstheme="minorEastAsia"/>
                        <w:sz w:val="20"/>
                        <w:lang w:val="en-US" w:eastAsia="zh-CN"/>
                      </w:rPr>
                      <w:t>热纯水洗</w:t>
                    </w:r>
                  </w:p>
                </w:txbxContent>
              </v:textbox>
            </v:shape>
            <v:shape id="_x0000_s2335" o:spid="_x0000_s2335" o:spt="32" type="#_x0000_t32" style="position:absolute;left:4581524;top:2870199;height:139700;width:0;" filled="f" stroked="t" coordsize="21600,21600">
              <v:path arrowok="t"/>
              <v:fill on="f" focussize="0,0"/>
              <v:stroke color="#000000" endarrow="block"/>
              <v:imagedata o:title=""/>
              <o:lock v:ext="edit" aspectratio="f"/>
            </v:shape>
            <v:shape id="_x0000_s2336" o:spid="_x0000_s2336" o:spt="202" type="#_x0000_t202" style="position:absolute;left:4263389;top:3389629;height:292100;width:685800;" fillcolor="#FFFFFF" filled="t" stroked="t" coordsize="21600,21600">
              <v:path/>
              <v:fill on="t" color2="#FFFFFF" focussize="0,0"/>
              <v:stroke color="#000000" joinstyle="miter"/>
              <v:imagedata o:title=""/>
              <o:lock v:ext="edit" aspectratio="f"/>
              <v:textbox>
                <w:txbxContent>
                  <w:p>
                    <w:pPr>
                      <w:snapToGrid w:val="0"/>
                      <w:jc w:val="center"/>
                      <w:rPr>
                        <w:rFonts w:hint="eastAsia" w:asciiTheme="minorEastAsia" w:hAnsiTheme="minorEastAsia" w:eastAsiaTheme="minorEastAsia" w:cstheme="minorEastAsia"/>
                        <w:sz w:val="20"/>
                        <w:lang w:val="en-US"/>
                      </w:rPr>
                    </w:pPr>
                    <w:r>
                      <w:rPr>
                        <w:rFonts w:hint="eastAsia" w:asciiTheme="minorEastAsia" w:hAnsiTheme="minorEastAsia" w:eastAsiaTheme="minorEastAsia" w:cstheme="minorEastAsia"/>
                        <w:sz w:val="20"/>
                        <w:lang w:val="en-US" w:eastAsia="zh-CN"/>
                      </w:rPr>
                      <w:t>甩干</w:t>
                    </w:r>
                  </w:p>
                </w:txbxContent>
              </v:textbox>
            </v:shape>
            <v:shape id="_x0000_s2337" o:spid="_x0000_s2337" o:spt="32" type="#_x0000_t32" style="position:absolute;left:4593589;top:3275329;height:139700;width:0;" filled="f" stroked="t" coordsize="21600,21600">
              <v:path arrowok="t"/>
              <v:fill on="f" focussize="0,0"/>
              <v:stroke color="#000000" endarrow="block"/>
              <v:imagedata o:title=""/>
              <o:lock v:ext="edit" aspectratio="f"/>
            </v:shape>
            <v:shape id="_x0000_s2339" o:spid="_x0000_s2339" o:spt="32" type="#_x0000_t32" style="position:absolute;left:4028439;top:2296159;height:0;width:241300;" filled="f" stroked="t" coordsize="21600,21600">
              <v:path arrowok="t"/>
              <v:fill on="f" focussize="0,0"/>
              <v:stroke color="#000000" endarrow="block"/>
              <v:imagedata o:title=""/>
              <o:lock v:ext="edit" aspectratio="f"/>
            </v:shape>
            <v:shape id="_x0000_s2341" o:spid="_x0000_s2341" o:spt="202" type="#_x0000_t202" style="position:absolute;left:3340734;top:1691640;height:276860;width:772160;" filled="f" stroked="f" coordsize="21600,21600">
              <v:path/>
              <v:fill on="f" focussize="0,0"/>
              <v:stroke on="f"/>
              <v:imagedata o:title=""/>
              <o:lock v:ext="edit" aspectratio="f"/>
              <v:textbox>
                <w:txbxContent>
                  <w:p>
                    <w:pPr>
                      <w:rPr>
                        <w:lang w:val="en-US"/>
                      </w:rPr>
                    </w:pPr>
                    <w:r>
                      <w:rPr>
                        <w:rFonts w:hint="eastAsia"/>
                        <w:sz w:val="20"/>
                        <w:lang w:val="en-US" w:eastAsia="zh-CN"/>
                      </w:rPr>
                      <w:t>磷酸三钠</w:t>
                    </w:r>
                  </w:p>
                </w:txbxContent>
              </v:textbox>
            </v:shape>
            <v:shape id="_x0000_s2342" o:spid="_x0000_s2342" o:spt="32" type="#_x0000_t32" style="position:absolute;left:4951729;top:2275204;height:0;width:203200;" filled="f" stroked="t" coordsize="21600,21600">
              <v:path arrowok="t"/>
              <v:fill on="f" focussize="0,0"/>
              <v:stroke color="#000000" dashstyle="longDash" endarrow="block"/>
              <v:imagedata o:title=""/>
              <o:lock v:ext="edit" aspectratio="f"/>
            </v:shape>
            <v:shape id="_x0000_s2343" o:spid="_x0000_s2343" o:spt="32" type="#_x0000_t32" style="position:absolute;left:4963794;top:2713989;height:0;width:203200;" filled="f" stroked="t" coordsize="21600,21600">
              <v:path arrowok="t"/>
              <v:fill on="f" focussize="0,0"/>
              <v:stroke color="#000000" dashstyle="longDash" endarrow="block"/>
              <v:imagedata o:title=""/>
              <o:lock v:ext="edit" aspectratio="f"/>
            </v:shape>
            <v:shape id="_x0000_s2345" o:spid="_x0000_s2345" o:spt="202" type="#_x0000_t202" style="position:absolute;left:5094604;top:2592069;height:304800;width:1016000;" filled="f" stroked="f" coordsize="21600,21600">
              <v:path/>
              <v:fill on="f" focussize="0,0"/>
              <v:stroke on="f"/>
              <v:imagedata o:title=""/>
              <o:lock v:ext="edit" aspectratio="f"/>
              <v:textbox>
                <w:txbxContent>
                  <w:p>
                    <w:pPr>
                      <w:rPr>
                        <w:rFonts w:hint="eastAsia"/>
                        <w:lang w:val="en-US" w:eastAsia="zh-CN"/>
                      </w:rPr>
                    </w:pPr>
                    <w:r>
                      <w:rPr>
                        <w:rFonts w:hint="eastAsia"/>
                        <w:sz w:val="20"/>
                        <w:lang w:val="en-US" w:eastAsia="zh-CN"/>
                      </w:rPr>
                      <w:t>W1综合废水</w:t>
                    </w:r>
                  </w:p>
                  <w:p>
                    <w:pPr>
                      <w:rPr>
                        <w:rFonts w:hint="eastAsia"/>
                        <w:lang w:val="en-US" w:eastAsia="zh-CN"/>
                      </w:rPr>
                    </w:pPr>
                  </w:p>
                </w:txbxContent>
              </v:textbox>
            </v:shape>
            <v:shape id="_x0000_s2346" o:spid="_x0000_s2346" o:spt="202" type="#_x0000_t202" style="position:absolute;left:5130164;top:1689735;height:304800;width:622935;" filled="f" stroked="f" coordsize="21600,21600">
              <v:path/>
              <v:fill on="f" focussize="0,0"/>
              <v:stroke on="f"/>
              <v:imagedata o:title=""/>
              <o:lock v:ext="edit" aspectratio="f"/>
              <v:textbox>
                <w:txbxContent>
                  <w:p>
                    <w:pPr>
                      <w:pStyle w:val="35"/>
                      <w:ind w:left="0" w:leftChars="0" w:firstLine="0" w:firstLineChars="0"/>
                      <w:jc w:val="left"/>
                      <w:rPr>
                        <w:rFonts w:hint="eastAsia"/>
                        <w:lang w:val="en-US" w:eastAsia="zh-CN"/>
                      </w:rPr>
                    </w:pPr>
                    <w:r>
                      <w:rPr>
                        <w:rFonts w:hint="eastAsia"/>
                        <w:sz w:val="20"/>
                        <w:lang w:val="en-US" w:eastAsia="zh-CN"/>
                      </w:rPr>
                      <w:t>S3槽渣</w:t>
                    </w:r>
                  </w:p>
                  <w:p>
                    <w:pPr>
                      <w:rPr>
                        <w:rFonts w:hint="eastAsia"/>
                        <w:lang w:val="en-US" w:eastAsia="zh-CN"/>
                      </w:rPr>
                    </w:pPr>
                  </w:p>
                </w:txbxContent>
              </v:textbox>
            </v:shape>
            <v:shape id="_x0000_s2347" o:spid="_x0000_s2347" o:spt="202" type="#_x0000_t202" style="position:absolute;left:3482339;top:2618104;height:319405;width:617220;" filled="f" stroked="f" coordsize="21600,21600">
              <v:path/>
              <v:fill on="f" focussize="0,0"/>
              <v:stroke on="f"/>
              <v:imagedata o:title=""/>
              <o:lock v:ext="edit" aspectratio="f"/>
              <v:textbox>
                <w:txbxContent>
                  <w:p>
                    <w:pPr>
                      <w:rPr>
                        <w:lang w:val="en-US"/>
                      </w:rPr>
                    </w:pPr>
                    <w:r>
                      <w:rPr>
                        <w:rFonts w:hint="eastAsia"/>
                        <w:sz w:val="20"/>
                        <w:lang w:val="en-US" w:eastAsia="zh-CN"/>
                      </w:rPr>
                      <w:t>自来水</w:t>
                    </w:r>
                  </w:p>
                </w:txbxContent>
              </v:textbox>
            </v:shape>
            <v:shape id="_x0000_s2348" o:spid="_x0000_s2348" o:spt="32" type="#_x0000_t32" style="position:absolute;left:4001134;top:2727324;height:0;width:241300;" filled="f" stroked="t" coordsize="21600,21600">
              <v:path arrowok="t"/>
              <v:fill on="f" focussize="0,0"/>
              <v:stroke color="#000000" endarrow="block"/>
              <v:imagedata o:title=""/>
              <o:lock v:ext="edit" aspectratio="f"/>
            </v:shape>
            <v:shape id="_x0000_s2350" o:spid="_x0000_s2350" o:spt="202" type="#_x0000_t202" style="position:absolute;left:979805;top:3613784;height:292100;width:685800;" fillcolor="#FFFFFF" filled="t" stroked="t" coordsize="21600,21600">
              <v:path/>
              <v:fill on="t" color2="#FFFFFF" focussize="0,0"/>
              <v:stroke color="#000000" joinstyle="miter"/>
              <v:imagedata o:title=""/>
              <o:lock v:ext="edit" aspectratio="f"/>
              <v:textbox>
                <w:txbxContent>
                  <w:p>
                    <w:pPr>
                      <w:snapToGrid w:val="0"/>
                      <w:jc w:val="center"/>
                      <w:rPr>
                        <w:rFonts w:hint="eastAsia" w:asciiTheme="minorEastAsia" w:hAnsiTheme="minorEastAsia" w:eastAsiaTheme="minorEastAsia" w:cstheme="minorEastAsia"/>
                        <w:sz w:val="20"/>
                        <w:lang w:val="en-US" w:eastAsia="zh-CN"/>
                      </w:rPr>
                    </w:pPr>
                    <w:r>
                      <w:rPr>
                        <w:rFonts w:hint="eastAsia" w:asciiTheme="minorEastAsia" w:hAnsiTheme="minorEastAsia" w:eastAsiaTheme="minorEastAsia" w:cstheme="minorEastAsia"/>
                        <w:sz w:val="20"/>
                        <w:lang w:val="en-US" w:eastAsia="zh-CN"/>
                      </w:rPr>
                      <w:t>水洗</w:t>
                    </w:r>
                  </w:p>
                </w:txbxContent>
              </v:textbox>
            </v:shape>
            <v:shape id="_x0000_s2351" o:spid="_x0000_s2351" o:spt="32" type="#_x0000_t32" style="position:absolute;left:751205;top:3791584;height:0;width:241300;" filled="f" stroked="t" coordsize="21600,21600">
              <v:path arrowok="t"/>
              <v:fill on="f" focussize="0,0"/>
              <v:stroke color="#000000" endarrow="block"/>
              <v:imagedata o:title=""/>
              <o:lock v:ext="edit" aspectratio="f"/>
            </v:shape>
            <v:shape id="_x0000_s2352" o:spid="_x0000_s2352" o:spt="32" type="#_x0000_t32" style="position:absolute;left:1310005;top:3918584;height:139700;width:0;" filled="f" stroked="t" coordsize="21600,21600">
              <v:path arrowok="t"/>
              <v:fill on="f" focussize="0,0"/>
              <v:stroke color="#000000" endarrow="block"/>
              <v:imagedata o:title=""/>
              <o:lock v:ext="edit" aspectratio="f"/>
            </v:shape>
            <v:shape id="_x0000_s2381" o:spid="_x0000_s2381" o:spt="202" type="#_x0000_t202" style="position:absolute;left:1804670;top:3637279;height:257175;width:939800;" filled="f" stroked="f" coordsize="21600,21600">
              <v:path/>
              <v:fill on="f" focussize="0,0"/>
              <v:stroke on="f"/>
              <v:imagedata o:title=""/>
              <o:lock v:ext="edit" aspectratio="f"/>
              <v:textbox>
                <w:txbxContent>
                  <w:p>
                    <w:pPr>
                      <w:rPr>
                        <w:rFonts w:hint="eastAsia"/>
                        <w:lang w:val="en-US" w:eastAsia="zh-CN"/>
                      </w:rPr>
                    </w:pPr>
                    <w:r>
                      <w:rPr>
                        <w:rFonts w:hint="eastAsia"/>
                        <w:sz w:val="20"/>
                        <w:lang w:val="en-US" w:eastAsia="zh-CN"/>
                      </w:rPr>
                      <w:t>W1综合废水</w:t>
                    </w:r>
                  </w:p>
                </w:txbxContent>
              </v:textbox>
            </v:shape>
            <v:shape id="_x0000_s2382" o:spid="_x0000_s2382" o:spt="32" type="#_x0000_t32" style="position:absolute;left:1652905;top:3753484;height:0;width:203200;" filled="f" stroked="t" coordsize="21600,21600">
              <v:path arrowok="t"/>
              <v:fill on="f" focussize="0,0"/>
              <v:stroke color="#000000" dashstyle="longDash" endarrow="block"/>
              <v:imagedata o:title=""/>
              <o:lock v:ext="edit" aspectratio="f"/>
            </v:shape>
            <v:shape id="_x0000_s2384" o:spid="_x0000_s2384" o:spt="202" type="#_x0000_t202" style="position:absolute;left:991870;top:4018914;height:292100;width:685800;" fillcolor="#FFFFFF" filled="t" stroked="t" coordsize="21600,21600">
              <v:path/>
              <v:fill on="t" color2="#FFFFFF" focussize="0,0"/>
              <v:stroke color="#000000" joinstyle="miter"/>
              <v:imagedata o:title=""/>
              <o:lock v:ext="edit" aspectratio="f"/>
              <v:textbox>
                <w:txbxContent>
                  <w:p>
                    <w:pPr>
                      <w:snapToGrid w:val="0"/>
                      <w:jc w:val="center"/>
                      <w:rPr>
                        <w:rFonts w:hint="eastAsia" w:asciiTheme="minorEastAsia" w:hAnsiTheme="minorEastAsia" w:eastAsiaTheme="minorEastAsia" w:cstheme="minorEastAsia"/>
                        <w:sz w:val="20"/>
                        <w:lang w:val="en-US"/>
                      </w:rPr>
                    </w:pPr>
                    <w:r>
                      <w:rPr>
                        <w:rFonts w:hint="eastAsia" w:asciiTheme="minorEastAsia" w:hAnsiTheme="minorEastAsia" w:eastAsiaTheme="minorEastAsia" w:cstheme="minorEastAsia"/>
                        <w:sz w:val="20"/>
                        <w:lang w:val="en-US" w:eastAsia="zh-CN"/>
                      </w:rPr>
                      <w:t>活化</w:t>
                    </w:r>
                  </w:p>
                </w:txbxContent>
              </v:textbox>
            </v:shape>
            <v:shape id="_x0000_s2385" o:spid="_x0000_s2385" o:spt="32" type="#_x0000_t32" style="position:absolute;left:763270;top:4196714;height:0;width:241300;" filled="f" stroked="t" coordsize="21600,21600">
              <v:path arrowok="t"/>
              <v:fill on="f" focussize="0,0"/>
              <v:stroke color="#000000" endarrow="block"/>
              <v:imagedata o:title=""/>
              <o:lock v:ext="edit" aspectratio="f"/>
            </v:shape>
            <v:shape id="_x0000_s2387" o:spid="_x0000_s2387" o:spt="202" type="#_x0000_t202" style="position:absolute;left:1804670;top:3975734;height:388620;width:939800;" filled="f" stroked="f" coordsize="21600,21600">
              <v:path/>
              <v:fill on="f" focussize="0,0"/>
              <v:stroke on="f"/>
              <v:imagedata o:title=""/>
              <o:lock v:ext="edit" aspectratio="f"/>
              <v:textbox>
                <w:txbxContent>
                  <w:p>
                    <w:pPr>
                      <w:rPr>
                        <w:rFonts w:hint="eastAsia"/>
                        <w:sz w:val="20"/>
                        <w:lang w:val="en-US" w:eastAsia="zh-CN"/>
                      </w:rPr>
                    </w:pPr>
                    <w:r>
                      <w:rPr>
                        <w:rFonts w:hint="eastAsia"/>
                        <w:sz w:val="20"/>
                        <w:lang w:val="en-US" w:eastAsia="zh-CN"/>
                      </w:rPr>
                      <w:t>G1酸雾</w:t>
                    </w:r>
                  </w:p>
                  <w:p>
                    <w:pPr>
                      <w:snapToGrid w:val="0"/>
                      <w:jc w:val="left"/>
                      <w:rPr>
                        <w:rFonts w:hint="eastAsia"/>
                        <w:lang w:val="en-US" w:eastAsia="zh-CN"/>
                      </w:rPr>
                    </w:pPr>
                    <w:r>
                      <w:rPr>
                        <w:rFonts w:hint="eastAsia" w:eastAsia="宋体"/>
                        <w:sz w:val="20"/>
                        <w:lang w:val="en-US" w:eastAsia="zh-CN"/>
                      </w:rPr>
                      <w:t>S2废酸</w:t>
                    </w:r>
                    <w:r>
                      <w:rPr>
                        <w:rFonts w:hint="eastAsia"/>
                        <w:sz w:val="20"/>
                        <w:lang w:val="en-US" w:eastAsia="zh-CN"/>
                      </w:rPr>
                      <w:t>液</w:t>
                    </w:r>
                  </w:p>
                  <w:p>
                    <w:pPr>
                      <w:pStyle w:val="35"/>
                      <w:rPr>
                        <w:rFonts w:hint="eastAsia"/>
                        <w:lang w:val="en-US" w:eastAsia="zh-CN"/>
                      </w:rPr>
                    </w:pPr>
                  </w:p>
                </w:txbxContent>
              </v:textbox>
            </v:shape>
            <v:shape id="_x0000_s2388" o:spid="_x0000_s2388" o:spt="32" type="#_x0000_t32" style="position:absolute;left:1664970;top:4158614;height:0;width:203200;" filled="f" stroked="t" coordsize="21600,21600">
              <v:path arrowok="t"/>
              <v:fill on="f" focussize="0,0"/>
              <v:stroke color="#000000" dashstyle="longDash" endarrow="block"/>
              <v:imagedata o:title=""/>
              <o:lock v:ext="edit" aspectratio="f"/>
            </v:shape>
            <v:shape id="_x0000_s2401" o:spid="_x0000_s2401" o:spt="202" type="#_x0000_t202" style="position:absolute;left:155575;top:3656329;height:304800;width:642620;" filled="f" stroked="f" coordsize="21600,21600">
              <v:path/>
              <v:fill on="f" focussize="0,0"/>
              <v:stroke on="f"/>
              <v:imagedata o:title=""/>
              <o:lock v:ext="edit" aspectratio="f"/>
              <v:textbox>
                <w:txbxContent>
                  <w:p>
                    <w:pPr>
                      <w:snapToGrid w:val="0"/>
                      <w:jc w:val="center"/>
                      <w:rPr>
                        <w:sz w:val="20"/>
                        <w:lang w:val="en-US"/>
                      </w:rPr>
                    </w:pPr>
                    <w:r>
                      <w:rPr>
                        <w:rFonts w:hint="eastAsia"/>
                        <w:sz w:val="20"/>
                        <w:lang w:val="en-US" w:eastAsia="zh-CN"/>
                      </w:rPr>
                      <w:t>自来水</w:t>
                    </w:r>
                  </w:p>
                </w:txbxContent>
              </v:textbox>
            </v:shape>
            <v:shape id="_x0000_s2402" o:spid="_x0000_s2402" o:spt="202" type="#_x0000_t202" style="position:absolute;left:0;top:4061459;height:304800;width:957580;" filled="f" stroked="f" coordsize="21600,21600">
              <v:path/>
              <v:fill on="f" focussize="0,0"/>
              <v:stroke on="f"/>
              <v:imagedata o:title=""/>
              <o:lock v:ext="edit" aspectratio="f"/>
              <v:textbox>
                <w:txbxContent>
                  <w:p>
                    <w:pPr>
                      <w:rPr>
                        <w:rFonts w:hint="eastAsia"/>
                        <w:sz w:val="20"/>
                        <w:lang w:val="en-US" w:eastAsia="zh-CN"/>
                      </w:rPr>
                    </w:pPr>
                    <w:r>
                      <w:rPr>
                        <w:rFonts w:hint="eastAsia"/>
                        <w:sz w:val="20"/>
                        <w:lang w:val="en-US" w:eastAsia="zh-CN"/>
                      </w:rPr>
                      <w:t>10%甲基磺酸</w:t>
                    </w:r>
                  </w:p>
                </w:txbxContent>
              </v:textbox>
            </v:shape>
            <v:shape id="_x0000_s2403" o:spid="_x0000_s2403" o:spt="202" type="#_x0000_t202" style="position:absolute;left:3430904;top:417195;height:304800;width:654050;" filled="f" stroked="f" coordsize="21600,21600">
              <v:path/>
              <v:fill on="f" focussize="0,0"/>
              <v:stroke on="f"/>
              <v:imagedata o:title=""/>
              <o:lock v:ext="edit" aspectratio="f"/>
              <v:textbox>
                <w:txbxContent>
                  <w:p>
                    <w:pPr>
                      <w:snapToGrid w:val="0"/>
                      <w:jc w:val="center"/>
                      <w:rPr>
                        <w:sz w:val="20"/>
                        <w:lang w:val="en-US"/>
                      </w:rPr>
                    </w:pPr>
                    <w:r>
                      <w:rPr>
                        <w:rFonts w:hint="eastAsia"/>
                        <w:sz w:val="20"/>
                        <w:lang w:val="en-US" w:eastAsia="zh-CN"/>
                      </w:rPr>
                      <w:t>自来水</w:t>
                    </w:r>
                  </w:p>
                </w:txbxContent>
              </v:textbox>
            </v:shape>
            <v:shape id="_x0000_s2405" o:spid="_x0000_s2405" o:spt="202" type="#_x0000_t202" style="position:absolute;left:4275454;top:3794124;height:292100;width:685800;" fillcolor="#FFFFFF" filled="t" stroked="t" coordsize="21600,21600">
              <v:path/>
              <v:fill on="t" color2="#FFFFFF" focussize="0,0"/>
              <v:stroke color="#000000" joinstyle="miter"/>
              <v:imagedata o:title=""/>
              <o:lock v:ext="edit" aspectratio="f"/>
              <v:textbox>
                <w:txbxContent>
                  <w:p>
                    <w:pPr>
                      <w:snapToGrid w:val="0"/>
                      <w:jc w:val="center"/>
                      <w:rPr>
                        <w:rFonts w:hint="eastAsia" w:asciiTheme="minorEastAsia" w:hAnsiTheme="minorEastAsia" w:eastAsiaTheme="minorEastAsia" w:cstheme="minorEastAsia"/>
                        <w:sz w:val="20"/>
                        <w:lang w:val="en-US"/>
                      </w:rPr>
                    </w:pPr>
                    <w:r>
                      <w:rPr>
                        <w:rFonts w:hint="eastAsia" w:asciiTheme="minorEastAsia" w:hAnsiTheme="minorEastAsia" w:eastAsiaTheme="minorEastAsia" w:cstheme="minorEastAsia"/>
                        <w:sz w:val="20"/>
                        <w:lang w:val="en-US" w:eastAsia="zh-CN"/>
                      </w:rPr>
                      <w:t>烘干</w:t>
                    </w:r>
                  </w:p>
                </w:txbxContent>
              </v:textbox>
            </v:shape>
            <v:shape id="_x0000_s2406" o:spid="_x0000_s2406" o:spt="32" type="#_x0000_t32" style="position:absolute;left:4605654;top:3679824;height:139700;width:0;" filled="f" stroked="t" coordsize="21600,21600">
              <v:path arrowok="t"/>
              <v:fill on="f" focussize="0,0"/>
              <v:stroke color="#000000" endarrow="block"/>
              <v:imagedata o:title=""/>
              <o:lock v:ext="edit" aspectratio="f"/>
            </v:shape>
            <v:shape id="_x0000_s2407" o:spid="_x0000_s2407" o:spt="202" type="#_x0000_t202" style="position:absolute;left:4286884;top:4211319;height:292100;width:685800;" fillcolor="#FFFFFF" filled="t" stroked="t" coordsize="21600,21600">
              <v:path/>
              <v:fill on="t" color2="#FFFFFF" focussize="0,0"/>
              <v:stroke color="#000000" joinstyle="miter"/>
              <v:imagedata o:title=""/>
              <o:lock v:ext="edit" aspectratio="f"/>
              <v:textbox>
                <w:txbxContent>
                  <w:p>
                    <w:pPr>
                      <w:snapToGrid w:val="0"/>
                      <w:jc w:val="center"/>
                      <w:rPr>
                        <w:rFonts w:hint="eastAsia" w:asciiTheme="minorEastAsia" w:hAnsiTheme="minorEastAsia" w:eastAsiaTheme="minorEastAsia" w:cstheme="minorEastAsia"/>
                        <w:sz w:val="20"/>
                        <w:lang w:val="en-US"/>
                      </w:rPr>
                    </w:pPr>
                    <w:r>
                      <w:rPr>
                        <w:rFonts w:hint="eastAsia" w:asciiTheme="minorEastAsia" w:hAnsiTheme="minorEastAsia" w:eastAsiaTheme="minorEastAsia" w:cstheme="minorEastAsia"/>
                        <w:sz w:val="20"/>
                        <w:lang w:val="en-US" w:eastAsia="zh-CN"/>
                      </w:rPr>
                      <w:t>成品</w:t>
                    </w:r>
                  </w:p>
                </w:txbxContent>
              </v:textbox>
            </v:shape>
            <v:shape id="_x0000_s2408" o:spid="_x0000_s2408" o:spt="32" type="#_x0000_t32" style="position:absolute;left:4617084;top:4097019;height:139700;width:0;" filled="f" stroked="t" coordsize="21600,21600">
              <v:path arrowok="t"/>
              <v:fill on="f" focussize="0,0"/>
              <v:stroke color="#000000" endarrow="block"/>
              <v:imagedata o:title=""/>
              <o:lock v:ext="edit" aspectratio="f"/>
            </v:shape>
            <v:shape id="_x0000_s2409" o:spid="_x0000_s2409" o:spt="32" type="#_x0000_t32" style="position:absolute;left:1322705;top:4335144;height:139700;width:0;" filled="f" stroked="t" coordsize="21600,21600">
              <v:path arrowok="t"/>
              <v:fill on="f" focussize="0,0"/>
              <v:stroke color="#000000" endarrow="block"/>
              <v:imagedata o:title=""/>
              <o:lock v:ext="edit" aspectratio="f"/>
            </v:shape>
            <v:shape id="_x0000_s2410" o:spid="_x0000_s2410" o:spt="32" type="#_x0000_t32" style="position:absolute;left:4954269;top:1448435;height:0;width:203200;" filled="f" stroked="t" coordsize="21600,21600">
              <v:path arrowok="t"/>
              <v:fill on="f" focussize="0,0"/>
              <v:stroke color="#000000" dashstyle="longDash" endarrow="block"/>
              <v:imagedata o:title=""/>
              <o:lock v:ext="edit" aspectratio="f"/>
            </v:shape>
            <v:shape id="_x0000_s2411" o:spid="_x0000_s2411" o:spt="202" type="#_x0000_t202" style="position:absolute;left:5106669;top:1299845;height:304800;width:939800;" filled="f" stroked="f" coordsize="21600,21600">
              <v:path/>
              <v:fill on="f" focussize="0,0"/>
              <v:stroke on="f"/>
              <v:imagedata o:title=""/>
              <o:lock v:ext="edit" aspectratio="f"/>
              <v:textbox>
                <w:txbxContent>
                  <w:p>
                    <w:pPr>
                      <w:rPr>
                        <w:rFonts w:hint="eastAsia"/>
                        <w:lang w:val="en-US" w:eastAsia="zh-CN"/>
                      </w:rPr>
                    </w:pPr>
                    <w:r>
                      <w:rPr>
                        <w:rFonts w:hint="eastAsia"/>
                        <w:sz w:val="21"/>
                        <w:szCs w:val="21"/>
                        <w:lang w:val="en-US" w:eastAsia="zh-CN"/>
                      </w:rPr>
                      <w:t>W</w:t>
                    </w:r>
                    <w:r>
                      <w:rPr>
                        <w:rFonts w:hint="eastAsia"/>
                        <w:sz w:val="20"/>
                        <w:lang w:val="en-US" w:eastAsia="zh-CN"/>
                      </w:rPr>
                      <w:t>1综合废水</w:t>
                    </w:r>
                  </w:p>
                </w:txbxContent>
              </v:textbox>
            </v:shape>
            <v:shape id="_x0000_s2412" o:spid="_x0000_s2412" o:spt="202" type="#_x0000_t202" style="position:absolute;left:3549014;top:3049269;height:317500;width:514350;" filled="f" stroked="f" coordsize="21600,21600">
              <v:path/>
              <v:fill on="f" focussize="0,0"/>
              <v:stroke on="f"/>
              <v:imagedata o:title=""/>
              <o:lock v:ext="edit" aspectratio="f"/>
              <v:textbox>
                <w:txbxContent>
                  <w:p>
                    <w:pPr>
                      <w:rPr>
                        <w:lang w:val="en-US"/>
                      </w:rPr>
                    </w:pPr>
                    <w:r>
                      <w:rPr>
                        <w:rFonts w:hint="eastAsia"/>
                        <w:sz w:val="20"/>
                        <w:lang w:val="en-US" w:eastAsia="zh-CN"/>
                      </w:rPr>
                      <w:t>纯水</w:t>
                    </w:r>
                  </w:p>
                </w:txbxContent>
              </v:textbox>
            </v:shape>
            <v:shape id="_x0000_s2413" o:spid="_x0000_s2413" o:spt="32" type="#_x0000_t32" style="position:absolute;left:3974464;top:3150869;height:0;width:241300;" filled="f" stroked="t" coordsize="21600,21600">
              <v:path arrowok="t"/>
              <v:fill on="f" focussize="0,0"/>
              <v:stroke color="#000000" endarrow="block"/>
              <v:imagedata o:title=""/>
              <o:lock v:ext="edit" aspectratio="f"/>
            </v:shape>
            <v:shape id="_x0000_s2414" o:spid="_x0000_s2414" o:spt="32" type="#_x0000_t32" style="position:absolute;left:4989829;top:3132454;height:0;width:203200;" filled="f" stroked="t" coordsize="21600,21600">
              <v:path arrowok="t"/>
              <v:fill on="f" focussize="0,0"/>
              <v:stroke color="#000000" dashstyle="longDash" endarrow="block"/>
              <v:imagedata o:title=""/>
              <o:lock v:ext="edit" aspectratio="f"/>
            </v:shape>
            <v:shape id="_x0000_s2415" o:spid="_x0000_s2415" o:spt="202" type="#_x0000_t202" style="position:absolute;left:5096509;top:3022599;height:304800;width:1016000;" filled="f" stroked="f" coordsize="21600,21600">
              <v:path/>
              <v:fill on="f" focussize="0,0"/>
              <v:stroke on="f"/>
              <v:imagedata o:title=""/>
              <o:lock v:ext="edit" aspectratio="f"/>
              <v:textbox>
                <w:txbxContent>
                  <w:p>
                    <w:pPr>
                      <w:rPr>
                        <w:rFonts w:hint="eastAsia"/>
                        <w:lang w:val="en-US" w:eastAsia="zh-CN"/>
                      </w:rPr>
                    </w:pPr>
                    <w:r>
                      <w:rPr>
                        <w:rFonts w:hint="eastAsia"/>
                        <w:sz w:val="20"/>
                        <w:lang w:val="en-US" w:eastAsia="zh-CN"/>
                      </w:rPr>
                      <w:t>W1综合废水</w:t>
                    </w:r>
                  </w:p>
                  <w:p>
                    <w:pPr>
                      <w:rPr>
                        <w:rFonts w:hint="eastAsia"/>
                        <w:lang w:val="en-US" w:eastAsia="zh-CN"/>
                      </w:rPr>
                    </w:pPr>
                  </w:p>
                </w:txbxContent>
              </v:textbox>
            </v:shape>
            <v:shape id="_x0000_s2416" o:spid="_x0000_s2416" o:spt="32" type="#_x0000_t32" style="position:absolute;left:4954269;top:3510914;height:0;width:203200;" filled="f" stroked="t" coordsize="21600,21600">
              <v:path arrowok="t"/>
              <v:fill on="f" focussize="0,0"/>
              <v:stroke color="#000000" dashstyle="longDash" endarrow="block"/>
              <v:imagedata o:title=""/>
              <o:lock v:ext="edit" aspectratio="f"/>
            </v:shape>
            <v:shape id="_x0000_s2417" o:spid="_x0000_s2417" o:spt="202" type="#_x0000_t202" style="position:absolute;left:5068569;top:3396614;height:304800;width:1016000;" filled="f" stroked="f" coordsize="21600,21600">
              <v:path/>
              <v:fill on="f" focussize="0,0"/>
              <v:stroke on="f"/>
              <v:imagedata o:title=""/>
              <o:lock v:ext="edit" aspectratio="f"/>
              <v:textbox>
                <w:txbxContent>
                  <w:p>
                    <w:pPr>
                      <w:rPr>
                        <w:rFonts w:hint="eastAsia"/>
                        <w:lang w:val="en-US" w:eastAsia="zh-CN"/>
                      </w:rPr>
                    </w:pPr>
                    <w:r>
                      <w:rPr>
                        <w:rFonts w:hint="eastAsia"/>
                        <w:sz w:val="20"/>
                        <w:lang w:val="en-US" w:eastAsia="zh-CN"/>
                      </w:rPr>
                      <w:t>W1综合废水</w:t>
                    </w:r>
                  </w:p>
                  <w:p>
                    <w:pPr>
                      <w:rPr>
                        <w:rFonts w:hint="eastAsia"/>
                        <w:lang w:val="en-US" w:eastAsia="zh-CN"/>
                      </w:rPr>
                    </w:pPr>
                  </w:p>
                </w:txbxContent>
              </v:textbox>
            </v:shape>
            <w10:wrap type="none"/>
            <w10:anchorlock/>
          </v:group>
        </w:pict>
      </w:r>
    </w:p>
    <w:p>
      <w:pPr>
        <w:tabs>
          <w:tab w:val="left" w:pos="1140"/>
        </w:tabs>
        <w:spacing w:line="360" w:lineRule="auto"/>
        <w:jc w:val="center"/>
        <w:rPr>
          <w:rFonts w:eastAsia="黑体"/>
          <w:bCs/>
          <w:color w:val="auto"/>
          <w:sz w:val="24"/>
          <w:highlight w:val="none"/>
        </w:rPr>
      </w:pPr>
      <w:r>
        <w:rPr>
          <w:rFonts w:hint="eastAsia" w:eastAsia="黑体"/>
          <w:bCs/>
          <w:color w:val="auto"/>
          <w:sz w:val="24"/>
          <w:highlight w:val="none"/>
        </w:rPr>
        <w:t>图2.</w:t>
      </w:r>
      <w:r>
        <w:rPr>
          <w:rFonts w:hint="eastAsia" w:eastAsia="黑体"/>
          <w:bCs/>
          <w:color w:val="auto"/>
          <w:sz w:val="24"/>
          <w:highlight w:val="none"/>
          <w:lang w:val="en-US" w:eastAsia="zh-CN"/>
        </w:rPr>
        <w:t>4</w:t>
      </w:r>
      <w:r>
        <w:rPr>
          <w:rFonts w:hint="eastAsia" w:eastAsia="黑体"/>
          <w:bCs/>
          <w:color w:val="auto"/>
          <w:sz w:val="24"/>
          <w:highlight w:val="none"/>
        </w:rPr>
        <w:t>-</w:t>
      </w:r>
      <w:r>
        <w:rPr>
          <w:rFonts w:hint="eastAsia" w:eastAsia="黑体"/>
          <w:bCs/>
          <w:color w:val="auto"/>
          <w:sz w:val="24"/>
          <w:highlight w:val="none"/>
          <w:lang w:val="en-US" w:eastAsia="zh-CN"/>
        </w:rPr>
        <w:t>4</w:t>
      </w:r>
      <w:r>
        <w:rPr>
          <w:rFonts w:hint="eastAsia" w:eastAsia="黑体"/>
          <w:bCs/>
          <w:color w:val="auto"/>
          <w:sz w:val="24"/>
          <w:highlight w:val="none"/>
        </w:rPr>
        <w:t xml:space="preserve">  </w:t>
      </w:r>
      <w:r>
        <w:rPr>
          <w:rFonts w:eastAsia="黑体"/>
          <w:bCs/>
          <w:color w:val="auto"/>
          <w:sz w:val="24"/>
          <w:highlight w:val="none"/>
        </w:rPr>
        <w:t>镀</w:t>
      </w:r>
      <w:r>
        <w:rPr>
          <w:rFonts w:hint="eastAsia" w:eastAsia="黑体"/>
          <w:bCs/>
          <w:color w:val="auto"/>
          <w:sz w:val="24"/>
          <w:highlight w:val="none"/>
        </w:rPr>
        <w:t>锡</w:t>
      </w:r>
      <w:r>
        <w:rPr>
          <w:rFonts w:eastAsia="黑体"/>
          <w:bCs/>
          <w:color w:val="auto"/>
          <w:sz w:val="24"/>
          <w:highlight w:val="none"/>
        </w:rPr>
        <w:t>生产工艺流程及产污环节图</w:t>
      </w:r>
    </w:p>
    <w:p>
      <w:pPr>
        <w:pStyle w:val="131"/>
        <w:spacing w:line="440" w:lineRule="exact"/>
        <w:ind w:firstLine="480"/>
        <w:jc w:val="both"/>
        <w:rPr>
          <w:rFonts w:ascii="Times New Roman"/>
          <w:snapToGrid w:val="0"/>
          <w:color w:val="auto"/>
          <w:kern w:val="0"/>
          <w:sz w:val="24"/>
          <w:szCs w:val="24"/>
          <w:highlight w:val="none"/>
        </w:rPr>
      </w:pPr>
      <w:r>
        <w:rPr>
          <w:rFonts w:hint="eastAsia" w:ascii="Times New Roman"/>
          <w:snapToGrid w:val="0"/>
          <w:color w:val="auto"/>
          <w:kern w:val="0"/>
          <w:sz w:val="24"/>
          <w:szCs w:val="24"/>
          <w:highlight w:val="none"/>
        </w:rPr>
        <w:t>镀锡</w:t>
      </w:r>
      <w:r>
        <w:rPr>
          <w:rFonts w:ascii="Times New Roman"/>
          <w:snapToGrid w:val="0"/>
          <w:color w:val="auto"/>
          <w:kern w:val="0"/>
          <w:sz w:val="24"/>
          <w:szCs w:val="24"/>
          <w:highlight w:val="none"/>
        </w:rPr>
        <w:t>工艺过程包括前处理、电镀、后处理等生产工序，详见表</w:t>
      </w:r>
      <w:r>
        <w:rPr>
          <w:rFonts w:hint="eastAsia" w:ascii="Times New Roman"/>
          <w:snapToGrid w:val="0"/>
          <w:color w:val="auto"/>
          <w:kern w:val="0"/>
          <w:sz w:val="24"/>
          <w:szCs w:val="24"/>
          <w:highlight w:val="none"/>
          <w:lang w:val="en-US" w:eastAsia="zh-CN"/>
        </w:rPr>
        <w:t>2.4</w:t>
      </w:r>
      <w:r>
        <w:rPr>
          <w:rFonts w:ascii="Times New Roman"/>
          <w:snapToGrid w:val="0"/>
          <w:color w:val="auto"/>
          <w:kern w:val="0"/>
          <w:sz w:val="24"/>
          <w:szCs w:val="24"/>
          <w:highlight w:val="none"/>
        </w:rPr>
        <w:t>-</w:t>
      </w:r>
      <w:r>
        <w:rPr>
          <w:rFonts w:hint="eastAsia" w:ascii="Times New Roman"/>
          <w:snapToGrid w:val="0"/>
          <w:color w:val="auto"/>
          <w:kern w:val="0"/>
          <w:sz w:val="24"/>
          <w:szCs w:val="24"/>
          <w:highlight w:val="none"/>
          <w:lang w:val="en-US" w:eastAsia="zh-CN"/>
        </w:rPr>
        <w:t>4</w:t>
      </w:r>
      <w:r>
        <w:rPr>
          <w:rFonts w:ascii="Times New Roman"/>
          <w:snapToGrid w:val="0"/>
          <w:color w:val="auto"/>
          <w:kern w:val="0"/>
          <w:sz w:val="24"/>
          <w:szCs w:val="24"/>
          <w:highlight w:val="none"/>
        </w:rPr>
        <w:t>。</w:t>
      </w:r>
    </w:p>
    <w:p>
      <w:pPr>
        <w:adjustRightInd w:val="0"/>
        <w:snapToGrid w:val="0"/>
        <w:spacing w:line="440" w:lineRule="exact"/>
        <w:jc w:val="center"/>
        <w:rPr>
          <w:rFonts w:ascii="Times New Roman"/>
          <w:snapToGrid w:val="0"/>
          <w:color w:val="auto"/>
          <w:kern w:val="0"/>
          <w:sz w:val="24"/>
          <w:szCs w:val="24"/>
          <w:highlight w:val="none"/>
        </w:rPr>
      </w:pPr>
      <w:r>
        <w:rPr>
          <w:rFonts w:eastAsia="黑体"/>
          <w:color w:val="auto"/>
          <w:sz w:val="24"/>
          <w:highlight w:val="none"/>
        </w:rPr>
        <w:t>表</w:t>
      </w:r>
      <w:r>
        <w:rPr>
          <w:rFonts w:hint="eastAsia" w:eastAsia="黑体"/>
          <w:color w:val="auto"/>
          <w:sz w:val="24"/>
          <w:highlight w:val="none"/>
          <w:lang w:val="en-US" w:eastAsia="zh-CN"/>
        </w:rPr>
        <w:t>2.4</w:t>
      </w:r>
      <w:r>
        <w:rPr>
          <w:rFonts w:eastAsia="黑体"/>
          <w:color w:val="auto"/>
          <w:sz w:val="24"/>
          <w:highlight w:val="none"/>
        </w:rPr>
        <w:t>-</w:t>
      </w:r>
      <w:r>
        <w:rPr>
          <w:rFonts w:hint="eastAsia" w:eastAsia="黑体"/>
          <w:color w:val="auto"/>
          <w:sz w:val="24"/>
          <w:highlight w:val="none"/>
          <w:lang w:val="en-US" w:eastAsia="zh-CN"/>
        </w:rPr>
        <w:t>4</w:t>
      </w:r>
      <w:r>
        <w:rPr>
          <w:rFonts w:eastAsia="黑体"/>
          <w:color w:val="auto"/>
          <w:sz w:val="24"/>
          <w:highlight w:val="none"/>
        </w:rPr>
        <w:t xml:space="preserve">  </w:t>
      </w:r>
      <w:r>
        <w:rPr>
          <w:rFonts w:hint="eastAsia" w:eastAsia="黑体"/>
          <w:color w:val="auto"/>
          <w:sz w:val="24"/>
          <w:highlight w:val="none"/>
        </w:rPr>
        <w:t>镀</w:t>
      </w:r>
      <w:r>
        <w:rPr>
          <w:rFonts w:hint="eastAsia" w:eastAsia="黑体"/>
          <w:color w:val="auto"/>
          <w:sz w:val="24"/>
          <w:highlight w:val="none"/>
          <w:lang w:val="en-US" w:eastAsia="zh-CN"/>
        </w:rPr>
        <w:t>锡</w:t>
      </w:r>
      <w:r>
        <w:rPr>
          <w:rFonts w:eastAsia="黑体"/>
          <w:color w:val="auto"/>
          <w:sz w:val="24"/>
          <w:highlight w:val="none"/>
        </w:rPr>
        <w:t>工序工艺说明列表</w:t>
      </w:r>
    </w:p>
    <w:tbl>
      <w:tblPr>
        <w:tblStyle w:val="36"/>
        <w:tblW w:w="9230" w:type="dxa"/>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242"/>
        <w:gridCol w:w="133"/>
        <w:gridCol w:w="5625"/>
        <w:gridCol w:w="2230"/>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1375" w:type="dxa"/>
            <w:gridSpan w:val="2"/>
            <w:vAlign w:val="center"/>
          </w:tcPr>
          <w:p>
            <w:pPr>
              <w:jc w:val="center"/>
              <w:rPr>
                <w:b/>
                <w:bCs/>
                <w:color w:val="auto"/>
                <w:szCs w:val="21"/>
                <w:highlight w:val="none"/>
              </w:rPr>
            </w:pPr>
            <w:r>
              <w:rPr>
                <w:b/>
                <w:bCs/>
                <w:color w:val="auto"/>
                <w:szCs w:val="21"/>
                <w:highlight w:val="none"/>
              </w:rPr>
              <w:t>工艺名称</w:t>
            </w:r>
          </w:p>
        </w:tc>
        <w:tc>
          <w:tcPr>
            <w:tcW w:w="5625" w:type="dxa"/>
            <w:vAlign w:val="center"/>
          </w:tcPr>
          <w:p>
            <w:pPr>
              <w:ind w:left="-357" w:leftChars="-170" w:firstLine="379" w:firstLineChars="180"/>
              <w:jc w:val="center"/>
              <w:rPr>
                <w:b/>
                <w:bCs/>
                <w:color w:val="auto"/>
                <w:szCs w:val="21"/>
                <w:highlight w:val="none"/>
              </w:rPr>
            </w:pPr>
            <w:r>
              <w:rPr>
                <w:b/>
                <w:bCs/>
                <w:color w:val="auto"/>
                <w:szCs w:val="21"/>
                <w:highlight w:val="none"/>
              </w:rPr>
              <w:t>主要功能及工艺介绍</w:t>
            </w:r>
          </w:p>
        </w:tc>
        <w:tc>
          <w:tcPr>
            <w:tcW w:w="2230" w:type="dxa"/>
            <w:vAlign w:val="center"/>
          </w:tcPr>
          <w:p>
            <w:pPr>
              <w:ind w:left="-357" w:leftChars="-170" w:firstLine="379" w:firstLineChars="180"/>
              <w:jc w:val="center"/>
              <w:rPr>
                <w:b/>
                <w:bCs/>
                <w:color w:val="auto"/>
                <w:szCs w:val="21"/>
                <w:highlight w:val="none"/>
              </w:rPr>
            </w:pPr>
            <w:r>
              <w:rPr>
                <w:b/>
                <w:bCs/>
                <w:color w:val="auto"/>
                <w:szCs w:val="21"/>
                <w:highlight w:val="none"/>
              </w:rPr>
              <w:t>主要组分及控制条件</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9230" w:type="dxa"/>
            <w:gridSpan w:val="4"/>
            <w:vAlign w:val="center"/>
          </w:tcPr>
          <w:p>
            <w:pPr>
              <w:jc w:val="left"/>
              <w:rPr>
                <w:b/>
                <w:bCs/>
                <w:color w:val="auto"/>
                <w:szCs w:val="21"/>
                <w:highlight w:val="none"/>
              </w:rPr>
            </w:pPr>
            <w:r>
              <w:rPr>
                <w:rFonts w:hint="eastAsia"/>
                <w:b/>
                <w:bCs/>
                <w:color w:val="auto"/>
                <w:szCs w:val="21"/>
                <w:highlight w:val="none"/>
              </w:rPr>
              <w:t>镀</w:t>
            </w:r>
            <w:r>
              <w:rPr>
                <w:b/>
                <w:bCs/>
                <w:color w:val="auto"/>
                <w:szCs w:val="21"/>
                <w:highlight w:val="none"/>
              </w:rPr>
              <w:t>前处理工段</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1375" w:type="dxa"/>
            <w:gridSpan w:val="2"/>
            <w:vAlign w:val="center"/>
          </w:tcPr>
          <w:p>
            <w:pPr>
              <w:adjustRightInd w:val="0"/>
              <w:snapToGrid w:val="0"/>
              <w:spacing w:line="340" w:lineRule="exact"/>
              <w:jc w:val="center"/>
              <w:rPr>
                <w:rFonts w:hint="eastAsia" w:ascii="Times New Roman" w:hAnsi="Times New Roman" w:eastAsia="宋体"/>
                <w:color w:val="auto"/>
                <w:kern w:val="0"/>
                <w:szCs w:val="21"/>
                <w:highlight w:val="none"/>
                <w:lang w:eastAsia="zh-CN"/>
              </w:rPr>
            </w:pPr>
            <w:r>
              <w:rPr>
                <w:rFonts w:hint="eastAsia"/>
                <w:color w:val="auto"/>
                <w:kern w:val="0"/>
                <w:szCs w:val="21"/>
                <w:highlight w:val="none"/>
                <w:lang w:val="en-US" w:eastAsia="zh-CN"/>
              </w:rPr>
              <w:t>碱蚀</w:t>
            </w:r>
          </w:p>
        </w:tc>
        <w:tc>
          <w:tcPr>
            <w:tcW w:w="5625" w:type="dxa"/>
            <w:vAlign w:val="center"/>
          </w:tcPr>
          <w:p>
            <w:pPr>
              <w:adjustRightInd w:val="0"/>
              <w:snapToGrid w:val="0"/>
              <w:spacing w:line="340" w:lineRule="exact"/>
              <w:ind w:right="4" w:rightChars="2"/>
              <w:rPr>
                <w:rFonts w:hint="eastAsia" w:ascii="Times New Roman" w:hAnsi="Times New Roman"/>
                <w:color w:val="auto"/>
                <w:kern w:val="0"/>
                <w:szCs w:val="21"/>
                <w:highlight w:val="none"/>
              </w:rPr>
            </w:pPr>
            <w:r>
              <w:rPr>
                <w:rFonts w:hint="eastAsia" w:ascii="Times New Roman" w:hAnsi="Times New Roman"/>
                <w:color w:val="auto"/>
                <w:kern w:val="0"/>
                <w:szCs w:val="21"/>
                <w:highlight w:val="none"/>
              </w:rPr>
              <w:t>在化学除油剂的作用下，除去镀件表面的油污</w:t>
            </w:r>
            <w:r>
              <w:rPr>
                <w:rFonts w:hint="eastAsia"/>
                <w:color w:val="auto"/>
                <w:kern w:val="0"/>
                <w:szCs w:val="21"/>
                <w:highlight w:val="none"/>
                <w:lang w:val="en-US" w:eastAsia="zh-CN"/>
              </w:rPr>
              <w:t>或表面蜡质</w:t>
            </w:r>
            <w:r>
              <w:rPr>
                <w:rFonts w:hint="eastAsia" w:ascii="Times New Roman" w:hAnsi="Times New Roman"/>
                <w:color w:val="auto"/>
                <w:kern w:val="0"/>
                <w:szCs w:val="21"/>
                <w:highlight w:val="none"/>
              </w:rPr>
              <w:t>，使镀件表面清洁，以利后面电镀工序的进行，采用电加热。</w:t>
            </w:r>
          </w:p>
        </w:tc>
        <w:tc>
          <w:tcPr>
            <w:tcW w:w="2230" w:type="dxa"/>
            <w:vAlign w:val="center"/>
          </w:tcPr>
          <w:p>
            <w:pPr>
              <w:adjustRightInd w:val="0"/>
              <w:snapToGrid w:val="0"/>
              <w:spacing w:line="340" w:lineRule="exact"/>
              <w:jc w:val="both"/>
              <w:rPr>
                <w:rFonts w:hint="eastAsia"/>
                <w:color w:val="auto"/>
                <w:kern w:val="0"/>
                <w:szCs w:val="21"/>
                <w:highlight w:val="none"/>
                <w:lang w:val="en-US" w:eastAsia="zh-CN"/>
              </w:rPr>
            </w:pPr>
            <w:r>
              <w:rPr>
                <w:rFonts w:hint="eastAsia"/>
                <w:color w:val="auto"/>
                <w:kern w:val="0"/>
                <w:szCs w:val="21"/>
                <w:highlight w:val="none"/>
                <w:lang w:val="en-US" w:eastAsia="zh-CN"/>
              </w:rPr>
              <w:t>碱</w:t>
            </w:r>
            <w:r>
              <w:rPr>
                <w:rFonts w:hint="eastAsia"/>
                <w:color w:val="auto"/>
                <w:kern w:val="0"/>
                <w:szCs w:val="21"/>
                <w:highlight w:val="none"/>
                <w:lang w:eastAsia="zh-CN"/>
              </w:rPr>
              <w:t>，</w:t>
            </w:r>
            <w:r>
              <w:rPr>
                <w:rFonts w:hint="eastAsia"/>
                <w:color w:val="auto"/>
                <w:kern w:val="0"/>
                <w:szCs w:val="21"/>
                <w:highlight w:val="none"/>
                <w:lang w:val="en-US" w:eastAsia="zh-CN"/>
              </w:rPr>
              <w:t>80</w:t>
            </w:r>
            <w:r>
              <w:rPr>
                <w:rFonts w:ascii="Times New Roman" w:hAnsi="Times New Roman"/>
                <w:color w:val="auto"/>
                <w:kern w:val="0"/>
                <w:szCs w:val="21"/>
                <w:highlight w:val="none"/>
              </w:rPr>
              <w:t>~</w:t>
            </w:r>
            <w:r>
              <w:rPr>
                <w:rFonts w:hint="eastAsia"/>
                <w:color w:val="auto"/>
                <w:kern w:val="0"/>
                <w:szCs w:val="21"/>
                <w:highlight w:val="none"/>
                <w:lang w:val="en-US" w:eastAsia="zh-CN"/>
              </w:rPr>
              <w:t>90</w:t>
            </w:r>
            <w:r>
              <w:rPr>
                <w:rFonts w:hint="eastAsia" w:ascii="宋体" w:hAnsi="宋体" w:cs="宋体"/>
                <w:color w:val="auto"/>
                <w:kern w:val="0"/>
                <w:szCs w:val="21"/>
                <w:highlight w:val="none"/>
              </w:rPr>
              <w:t>℃</w:t>
            </w:r>
            <w:r>
              <w:rPr>
                <w:rFonts w:hint="eastAsia" w:ascii="Times New Roman" w:hAnsi="Times New Roman"/>
                <w:color w:val="auto"/>
                <w:kern w:val="0"/>
                <w:szCs w:val="21"/>
                <w:highlight w:val="none"/>
              </w:rPr>
              <w:t>，</w:t>
            </w:r>
            <w:r>
              <w:rPr>
                <w:rFonts w:hint="eastAsia"/>
                <w:color w:val="auto"/>
                <w:kern w:val="0"/>
                <w:szCs w:val="21"/>
                <w:highlight w:val="none"/>
                <w:lang w:val="en-US" w:eastAsia="zh-CN"/>
              </w:rPr>
              <w:t>1-35</w:t>
            </w:r>
            <w:r>
              <w:rPr>
                <w:rFonts w:ascii="Times New Roman" w:hAnsi="Times New Roman"/>
                <w:color w:val="auto"/>
                <w:kern w:val="0"/>
                <w:szCs w:val="21"/>
                <w:highlight w:val="none"/>
              </w:rPr>
              <w:t>min</w:t>
            </w:r>
            <w:r>
              <w:rPr>
                <w:rFonts w:hint="eastAsia" w:ascii="Times New Roman" w:hAnsi="Times New Roman"/>
                <w:color w:val="auto"/>
                <w:kern w:val="0"/>
                <w:szCs w:val="21"/>
                <w:highlight w:val="none"/>
              </w:rPr>
              <w:t>，</w:t>
            </w:r>
            <w:r>
              <w:rPr>
                <w:rFonts w:hint="eastAsia"/>
                <w:color w:val="auto"/>
                <w:kern w:val="0"/>
                <w:szCs w:val="21"/>
                <w:highlight w:val="none"/>
                <w:lang w:val="en-US" w:eastAsia="zh-CN"/>
              </w:rPr>
              <w:t>电</w:t>
            </w:r>
            <w:r>
              <w:rPr>
                <w:rFonts w:hint="eastAsia" w:ascii="Times New Roman" w:hAnsi="Times New Roman"/>
                <w:color w:val="auto"/>
                <w:kern w:val="0"/>
                <w:szCs w:val="21"/>
                <w:highlight w:val="none"/>
              </w:rPr>
              <w:t>加热</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1375" w:type="dxa"/>
            <w:gridSpan w:val="2"/>
            <w:vAlign w:val="center"/>
          </w:tcPr>
          <w:p>
            <w:pPr>
              <w:adjustRightInd w:val="0"/>
              <w:snapToGrid w:val="0"/>
              <w:spacing w:line="340" w:lineRule="exact"/>
              <w:jc w:val="center"/>
              <w:rPr>
                <w:rFonts w:hint="eastAsia"/>
                <w:b/>
                <w:bCs/>
                <w:color w:val="auto"/>
                <w:kern w:val="0"/>
                <w:szCs w:val="21"/>
                <w:highlight w:val="none"/>
              </w:rPr>
            </w:pPr>
            <w:r>
              <w:rPr>
                <w:rFonts w:hint="eastAsia" w:ascii="Times New Roman" w:hAnsi="Times New Roman"/>
                <w:color w:val="auto"/>
                <w:kern w:val="0"/>
                <w:szCs w:val="21"/>
                <w:highlight w:val="none"/>
              </w:rPr>
              <w:t>化学除油</w:t>
            </w:r>
          </w:p>
        </w:tc>
        <w:tc>
          <w:tcPr>
            <w:tcW w:w="5625" w:type="dxa"/>
            <w:vAlign w:val="center"/>
          </w:tcPr>
          <w:p>
            <w:pPr>
              <w:adjustRightInd w:val="0"/>
              <w:snapToGrid w:val="0"/>
              <w:spacing w:line="340" w:lineRule="exact"/>
              <w:ind w:right="4" w:rightChars="2"/>
              <w:rPr>
                <w:color w:val="auto"/>
                <w:szCs w:val="21"/>
                <w:highlight w:val="none"/>
              </w:rPr>
            </w:pPr>
            <w:r>
              <w:rPr>
                <w:rFonts w:hint="eastAsia" w:ascii="Times New Roman" w:hAnsi="Times New Roman"/>
                <w:color w:val="auto"/>
                <w:kern w:val="0"/>
                <w:szCs w:val="21"/>
                <w:highlight w:val="none"/>
              </w:rPr>
              <w:t>在化学除油剂的作用下，除去镀件表面的油污</w:t>
            </w:r>
            <w:r>
              <w:rPr>
                <w:rFonts w:hint="eastAsia"/>
                <w:color w:val="auto"/>
                <w:kern w:val="0"/>
                <w:szCs w:val="21"/>
                <w:highlight w:val="none"/>
                <w:lang w:val="en-US" w:eastAsia="zh-CN"/>
              </w:rPr>
              <w:t>或表面蜡质</w:t>
            </w:r>
            <w:r>
              <w:rPr>
                <w:rFonts w:hint="eastAsia" w:ascii="Times New Roman" w:hAnsi="Times New Roman"/>
                <w:color w:val="auto"/>
                <w:kern w:val="0"/>
                <w:szCs w:val="21"/>
                <w:highlight w:val="none"/>
              </w:rPr>
              <w:t>，使镀件表面清洁，以利后面电镀工序的进行，采用电加热。</w:t>
            </w:r>
          </w:p>
        </w:tc>
        <w:tc>
          <w:tcPr>
            <w:tcW w:w="2230" w:type="dxa"/>
            <w:vAlign w:val="center"/>
          </w:tcPr>
          <w:p>
            <w:pPr>
              <w:adjustRightInd w:val="0"/>
              <w:snapToGrid w:val="0"/>
              <w:spacing w:line="340" w:lineRule="exact"/>
              <w:jc w:val="both"/>
              <w:rPr>
                <w:rFonts w:hint="eastAsia"/>
                <w:color w:val="auto"/>
                <w:kern w:val="0"/>
                <w:szCs w:val="21"/>
                <w:highlight w:val="none"/>
              </w:rPr>
            </w:pPr>
            <w:r>
              <w:rPr>
                <w:rFonts w:hint="eastAsia"/>
                <w:color w:val="auto"/>
                <w:kern w:val="0"/>
                <w:szCs w:val="21"/>
                <w:highlight w:val="none"/>
                <w:lang w:val="en-US" w:eastAsia="zh-CN"/>
              </w:rPr>
              <w:t>碱性除油</w:t>
            </w:r>
            <w:r>
              <w:rPr>
                <w:rFonts w:hint="eastAsia" w:ascii="Times New Roman" w:hAnsi="Times New Roman"/>
                <w:color w:val="auto"/>
                <w:kern w:val="0"/>
                <w:szCs w:val="21"/>
                <w:highlight w:val="none"/>
              </w:rPr>
              <w:t>剂</w:t>
            </w:r>
            <w:r>
              <w:rPr>
                <w:rFonts w:hint="eastAsia"/>
                <w:color w:val="auto"/>
                <w:kern w:val="0"/>
                <w:szCs w:val="21"/>
                <w:highlight w:val="none"/>
                <w:lang w:eastAsia="zh-CN"/>
              </w:rPr>
              <w:t>，</w:t>
            </w:r>
            <w:r>
              <w:rPr>
                <w:rFonts w:hint="eastAsia"/>
                <w:color w:val="auto"/>
                <w:kern w:val="0"/>
                <w:szCs w:val="21"/>
                <w:highlight w:val="none"/>
                <w:lang w:val="en-US" w:eastAsia="zh-CN"/>
              </w:rPr>
              <w:t>55</w:t>
            </w:r>
            <w:r>
              <w:rPr>
                <w:rFonts w:ascii="Times New Roman" w:hAnsi="Times New Roman"/>
                <w:color w:val="auto"/>
                <w:kern w:val="0"/>
                <w:szCs w:val="21"/>
                <w:highlight w:val="none"/>
              </w:rPr>
              <w:t>~</w:t>
            </w:r>
            <w:r>
              <w:rPr>
                <w:rFonts w:hint="eastAsia"/>
                <w:color w:val="auto"/>
                <w:kern w:val="0"/>
                <w:szCs w:val="21"/>
                <w:highlight w:val="none"/>
                <w:lang w:val="en-US" w:eastAsia="zh-CN"/>
              </w:rPr>
              <w:t>65</w:t>
            </w:r>
            <w:r>
              <w:rPr>
                <w:rFonts w:hint="eastAsia" w:ascii="宋体" w:hAnsi="宋体" w:cs="宋体"/>
                <w:color w:val="auto"/>
                <w:kern w:val="0"/>
                <w:szCs w:val="21"/>
                <w:highlight w:val="none"/>
              </w:rPr>
              <w:t>℃</w:t>
            </w:r>
            <w:r>
              <w:rPr>
                <w:rFonts w:hint="eastAsia" w:ascii="Times New Roman" w:hAnsi="Times New Roman"/>
                <w:color w:val="auto"/>
                <w:kern w:val="0"/>
                <w:szCs w:val="21"/>
                <w:highlight w:val="none"/>
              </w:rPr>
              <w:t>，</w:t>
            </w:r>
            <w:r>
              <w:rPr>
                <w:rFonts w:ascii="Times New Roman" w:hAnsi="Times New Roman"/>
                <w:color w:val="auto"/>
                <w:kern w:val="0"/>
                <w:szCs w:val="21"/>
                <w:highlight w:val="none"/>
              </w:rPr>
              <w:t>5min</w:t>
            </w:r>
            <w:r>
              <w:rPr>
                <w:rFonts w:hint="eastAsia" w:ascii="Times New Roman" w:hAnsi="Times New Roman"/>
                <w:color w:val="auto"/>
                <w:kern w:val="0"/>
                <w:szCs w:val="21"/>
                <w:highlight w:val="none"/>
              </w:rPr>
              <w:t>，</w:t>
            </w:r>
            <w:r>
              <w:rPr>
                <w:rFonts w:hint="eastAsia"/>
                <w:color w:val="auto"/>
                <w:kern w:val="0"/>
                <w:szCs w:val="21"/>
                <w:highlight w:val="none"/>
                <w:lang w:val="en-US" w:eastAsia="zh-CN"/>
              </w:rPr>
              <w:t>电</w:t>
            </w:r>
            <w:r>
              <w:rPr>
                <w:rFonts w:hint="eastAsia" w:ascii="Times New Roman" w:hAnsi="Times New Roman"/>
                <w:color w:val="auto"/>
                <w:kern w:val="0"/>
                <w:szCs w:val="21"/>
                <w:highlight w:val="none"/>
              </w:rPr>
              <w:t>加热</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1375" w:type="dxa"/>
            <w:gridSpan w:val="2"/>
            <w:vAlign w:val="center"/>
          </w:tcPr>
          <w:p>
            <w:pPr>
              <w:adjustRightInd w:val="0"/>
              <w:snapToGrid w:val="0"/>
              <w:jc w:val="center"/>
              <w:rPr>
                <w:b w:val="0"/>
                <w:bCs w:val="0"/>
                <w:color w:val="auto"/>
                <w:kern w:val="0"/>
                <w:szCs w:val="21"/>
                <w:highlight w:val="none"/>
              </w:rPr>
            </w:pPr>
            <w:r>
              <w:rPr>
                <w:b w:val="0"/>
                <w:bCs w:val="0"/>
                <w:color w:val="auto"/>
                <w:kern w:val="0"/>
                <w:szCs w:val="21"/>
                <w:highlight w:val="none"/>
              </w:rPr>
              <w:t>酸洗</w:t>
            </w:r>
          </w:p>
        </w:tc>
        <w:tc>
          <w:tcPr>
            <w:tcW w:w="5625" w:type="dxa"/>
            <w:vAlign w:val="center"/>
          </w:tcPr>
          <w:p>
            <w:pPr>
              <w:adjustRightInd w:val="0"/>
              <w:snapToGrid w:val="0"/>
              <w:ind w:right="4" w:rightChars="2"/>
              <w:jc w:val="left"/>
              <w:rPr>
                <w:color w:val="auto"/>
                <w:kern w:val="0"/>
                <w:szCs w:val="21"/>
                <w:highlight w:val="none"/>
              </w:rPr>
            </w:pPr>
            <w:r>
              <w:rPr>
                <w:color w:val="auto"/>
                <w:szCs w:val="21"/>
                <w:highlight w:val="none"/>
              </w:rPr>
              <w:t>除油完全后的镀件表面仍残存有薄的氧化膜、钝化膜，会阻碍电镀层的密着性，须使用酸将金属表面活化，以保持镀件表面的金属活性，以便后续电镀。</w:t>
            </w:r>
            <w:r>
              <w:rPr>
                <w:rFonts w:hint="eastAsia"/>
                <w:color w:val="auto"/>
                <w:szCs w:val="21"/>
                <w:highlight w:val="none"/>
              </w:rPr>
              <w:t>本项目</w:t>
            </w:r>
            <w:r>
              <w:rPr>
                <w:color w:val="auto"/>
                <w:szCs w:val="21"/>
                <w:highlight w:val="none"/>
              </w:rPr>
              <w:t>酸洗工序</w:t>
            </w:r>
            <w:r>
              <w:rPr>
                <w:rFonts w:hint="eastAsia"/>
                <w:color w:val="auto"/>
                <w:szCs w:val="21"/>
                <w:highlight w:val="none"/>
                <w:lang w:val="en-US" w:eastAsia="zh-CN"/>
              </w:rPr>
              <w:t>使用5-10%硫酸</w:t>
            </w:r>
            <w:r>
              <w:rPr>
                <w:color w:val="auto"/>
                <w:szCs w:val="21"/>
                <w:highlight w:val="none"/>
              </w:rPr>
              <w:t>。</w:t>
            </w:r>
          </w:p>
        </w:tc>
        <w:tc>
          <w:tcPr>
            <w:tcW w:w="2230" w:type="dxa"/>
            <w:vAlign w:val="center"/>
          </w:tcPr>
          <w:p>
            <w:pPr>
              <w:adjustRightInd w:val="0"/>
              <w:snapToGrid w:val="0"/>
              <w:jc w:val="center"/>
              <w:rPr>
                <w:rFonts w:hint="eastAsia" w:eastAsia="宋体"/>
                <w:color w:val="auto"/>
                <w:kern w:val="0"/>
                <w:szCs w:val="21"/>
                <w:highlight w:val="none"/>
                <w:lang w:val="en-US" w:eastAsia="zh-CN"/>
              </w:rPr>
            </w:pPr>
            <w:r>
              <w:rPr>
                <w:rFonts w:hint="eastAsia"/>
                <w:color w:val="auto"/>
                <w:szCs w:val="21"/>
                <w:highlight w:val="none"/>
                <w:lang w:val="en-US" w:eastAsia="zh-CN"/>
              </w:rPr>
              <w:t>5-10</w:t>
            </w:r>
            <w:r>
              <w:rPr>
                <w:color w:val="auto"/>
                <w:szCs w:val="21"/>
                <w:highlight w:val="none"/>
              </w:rPr>
              <w:t>%</w:t>
            </w:r>
            <w:r>
              <w:rPr>
                <w:rFonts w:hint="eastAsia"/>
                <w:color w:val="auto"/>
                <w:szCs w:val="21"/>
                <w:highlight w:val="none"/>
                <w:lang w:val="en-US" w:eastAsia="zh-CN"/>
              </w:rPr>
              <w:t>硫酸</w:t>
            </w:r>
            <w:r>
              <w:rPr>
                <w:color w:val="auto"/>
                <w:kern w:val="0"/>
                <w:szCs w:val="21"/>
                <w:highlight w:val="none"/>
              </w:rPr>
              <w:t>，室温，</w:t>
            </w:r>
            <w:r>
              <w:rPr>
                <w:rFonts w:hint="eastAsia"/>
                <w:color w:val="auto"/>
                <w:kern w:val="0"/>
                <w:szCs w:val="21"/>
                <w:highlight w:val="none"/>
                <w:lang w:val="en-US" w:eastAsia="zh-CN"/>
              </w:rPr>
              <w:t>2-8h</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1375" w:type="dxa"/>
            <w:gridSpan w:val="2"/>
            <w:vAlign w:val="center"/>
          </w:tcPr>
          <w:p>
            <w:pPr>
              <w:adjustRightInd w:val="0"/>
              <w:snapToGrid w:val="0"/>
              <w:jc w:val="center"/>
              <w:rPr>
                <w:rFonts w:hint="eastAsia" w:eastAsia="宋体"/>
                <w:b w:val="0"/>
                <w:bCs w:val="0"/>
                <w:color w:val="auto"/>
                <w:kern w:val="0"/>
                <w:szCs w:val="21"/>
                <w:highlight w:val="none"/>
                <w:lang w:val="en-US" w:eastAsia="zh-CN"/>
              </w:rPr>
            </w:pPr>
            <w:r>
              <w:rPr>
                <w:rFonts w:hint="eastAsia"/>
                <w:b w:val="0"/>
                <w:bCs w:val="0"/>
                <w:color w:val="auto"/>
                <w:kern w:val="0"/>
                <w:szCs w:val="21"/>
                <w:highlight w:val="none"/>
                <w:lang w:val="en-US" w:eastAsia="zh-CN"/>
              </w:rPr>
              <w:t>抛光</w:t>
            </w:r>
          </w:p>
        </w:tc>
        <w:tc>
          <w:tcPr>
            <w:tcW w:w="5625" w:type="dxa"/>
            <w:vAlign w:val="center"/>
          </w:tcPr>
          <w:p>
            <w:pPr>
              <w:adjustRightInd w:val="0"/>
              <w:snapToGrid w:val="0"/>
              <w:ind w:right="4" w:rightChars="2"/>
              <w:rPr>
                <w:color w:val="auto"/>
                <w:szCs w:val="21"/>
                <w:highlight w:val="none"/>
              </w:rPr>
            </w:pPr>
            <w:r>
              <w:rPr>
                <w:color w:val="auto"/>
                <w:highlight w:val="none"/>
              </w:rPr>
              <w:t>工件上脱离的金属离子与抛光液形成一层膜吸附在工件表面，随黏膜流动，凹凸不断变化，粗糙表面逐渐被整平的过程。采用抛光(</w:t>
            </w:r>
            <w:r>
              <w:rPr>
                <w:rFonts w:hint="eastAsia"/>
                <w:color w:val="auto"/>
                <w:highlight w:val="none"/>
              </w:rPr>
              <w:t>15%硫酸、15%硝酸</w:t>
            </w:r>
            <w:r>
              <w:rPr>
                <w:color w:val="auto"/>
                <w:highlight w:val="none"/>
              </w:rPr>
              <w:t>)工艺。</w:t>
            </w:r>
          </w:p>
        </w:tc>
        <w:tc>
          <w:tcPr>
            <w:tcW w:w="2230" w:type="dxa"/>
            <w:vAlign w:val="center"/>
          </w:tcPr>
          <w:p>
            <w:pPr>
              <w:adjustRightInd w:val="0"/>
              <w:snapToGrid w:val="0"/>
              <w:jc w:val="left"/>
              <w:rPr>
                <w:rFonts w:hint="eastAsia" w:eastAsia="宋体"/>
                <w:color w:val="auto"/>
                <w:kern w:val="0"/>
                <w:szCs w:val="21"/>
                <w:highlight w:val="none"/>
                <w:lang w:eastAsia="zh-CN"/>
              </w:rPr>
            </w:pPr>
            <w:r>
              <w:rPr>
                <w:rFonts w:hint="eastAsia"/>
                <w:color w:val="auto"/>
                <w:kern w:val="0"/>
                <w:szCs w:val="21"/>
                <w:highlight w:val="none"/>
                <w:lang w:val="en-US" w:eastAsia="zh-CN"/>
              </w:rPr>
              <w:t>15</w:t>
            </w:r>
            <w:r>
              <w:rPr>
                <w:color w:val="auto"/>
                <w:kern w:val="0"/>
                <w:szCs w:val="21"/>
                <w:highlight w:val="none"/>
              </w:rPr>
              <w:t>%硫酸、</w:t>
            </w:r>
            <w:r>
              <w:rPr>
                <w:rFonts w:hint="eastAsia"/>
                <w:color w:val="auto"/>
                <w:kern w:val="0"/>
                <w:szCs w:val="21"/>
                <w:highlight w:val="none"/>
                <w:lang w:val="en-US" w:eastAsia="zh-CN"/>
              </w:rPr>
              <w:t>15%硝酸</w:t>
            </w:r>
          </w:p>
          <w:p>
            <w:pPr>
              <w:adjustRightInd w:val="0"/>
              <w:snapToGrid w:val="0"/>
              <w:jc w:val="left"/>
              <w:rPr>
                <w:color w:val="auto"/>
                <w:kern w:val="0"/>
                <w:szCs w:val="21"/>
                <w:highlight w:val="none"/>
              </w:rPr>
            </w:pPr>
            <w:r>
              <w:rPr>
                <w:rFonts w:hint="eastAsia"/>
                <w:color w:val="auto"/>
                <w:highlight w:val="none"/>
                <w:lang w:val="en-US" w:eastAsia="zh-CN"/>
              </w:rPr>
              <w:t>，15-25s</w:t>
            </w:r>
            <w:r>
              <w:rPr>
                <w:rFonts w:hint="eastAsia"/>
                <w:color w:val="auto"/>
                <w:highlight w:val="none"/>
                <w:lang w:eastAsia="zh-CN"/>
              </w:rPr>
              <w:t>，</w:t>
            </w:r>
            <w:r>
              <w:rPr>
                <w:rFonts w:hint="eastAsia"/>
                <w:color w:val="auto"/>
                <w:highlight w:val="none"/>
                <w:lang w:val="en-US" w:eastAsia="zh-CN"/>
              </w:rPr>
              <w:t>35</w:t>
            </w:r>
            <w:r>
              <w:rPr>
                <w:rFonts w:ascii="宋体"/>
                <w:color w:val="auto"/>
                <w:szCs w:val="21"/>
                <w:highlight w:val="none"/>
              </w:rPr>
              <w:t>℃</w:t>
            </w:r>
            <w:r>
              <w:rPr>
                <w:color w:val="auto"/>
                <w:szCs w:val="21"/>
                <w:highlight w:val="none"/>
              </w:rPr>
              <w:t>-</w:t>
            </w:r>
            <w:r>
              <w:rPr>
                <w:rFonts w:hint="eastAsia"/>
                <w:color w:val="auto"/>
                <w:szCs w:val="21"/>
                <w:highlight w:val="none"/>
                <w:lang w:val="en-US" w:eastAsia="zh-CN"/>
              </w:rPr>
              <w:t>45</w:t>
            </w:r>
            <w:r>
              <w:rPr>
                <w:rFonts w:ascii="宋体"/>
                <w:color w:val="auto"/>
                <w:szCs w:val="21"/>
                <w:highlight w:val="none"/>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PrEx>
        <w:trPr>
          <w:trHeight w:val="340" w:hRule="atLeast"/>
          <w:jc w:val="center"/>
        </w:trPr>
        <w:tc>
          <w:tcPr>
            <w:tcW w:w="1375" w:type="dxa"/>
            <w:gridSpan w:val="2"/>
            <w:vAlign w:val="center"/>
          </w:tcPr>
          <w:p>
            <w:pPr>
              <w:spacing w:line="300" w:lineRule="exact"/>
              <w:ind w:firstLine="0" w:firstLineChars="0"/>
              <w:jc w:val="center"/>
              <w:rPr>
                <w:rFonts w:hint="eastAsia"/>
                <w:b w:val="0"/>
                <w:bCs w:val="0"/>
                <w:color w:val="auto"/>
                <w:kern w:val="0"/>
                <w:szCs w:val="21"/>
                <w:highlight w:val="none"/>
                <w:lang w:val="en-US" w:eastAsia="zh-CN"/>
              </w:rPr>
            </w:pPr>
            <w:r>
              <w:rPr>
                <w:color w:val="auto"/>
                <w:kern w:val="0"/>
                <w:sz w:val="21"/>
                <w:szCs w:val="21"/>
                <w:highlight w:val="none"/>
              </w:rPr>
              <w:t>活化</w:t>
            </w:r>
          </w:p>
        </w:tc>
        <w:tc>
          <w:tcPr>
            <w:tcW w:w="5625" w:type="dxa"/>
            <w:vAlign w:val="center"/>
          </w:tcPr>
          <w:p>
            <w:pPr>
              <w:spacing w:line="300" w:lineRule="exact"/>
              <w:ind w:firstLine="0" w:firstLineChars="0"/>
              <w:rPr>
                <w:color w:val="auto"/>
                <w:szCs w:val="21"/>
                <w:highlight w:val="none"/>
              </w:rPr>
            </w:pPr>
            <w:r>
              <w:rPr>
                <w:color w:val="auto"/>
                <w:kern w:val="0"/>
                <w:sz w:val="21"/>
                <w:szCs w:val="21"/>
                <w:highlight w:val="none"/>
              </w:rPr>
              <w:t>去除产品表面锈迹及氧化膜，使工件露出新鲜表面，以便有好的结合力。采用</w:t>
            </w:r>
            <w:r>
              <w:rPr>
                <w:rFonts w:hint="eastAsia"/>
                <w:color w:val="auto"/>
                <w:kern w:val="0"/>
                <w:sz w:val="21"/>
                <w:szCs w:val="21"/>
                <w:highlight w:val="none"/>
              </w:rPr>
              <w:t>甲基磺酸</w:t>
            </w:r>
            <w:r>
              <w:rPr>
                <w:color w:val="auto"/>
                <w:kern w:val="0"/>
                <w:sz w:val="21"/>
                <w:szCs w:val="21"/>
                <w:highlight w:val="none"/>
              </w:rPr>
              <w:t>。</w:t>
            </w:r>
          </w:p>
        </w:tc>
        <w:tc>
          <w:tcPr>
            <w:tcW w:w="2230" w:type="dxa"/>
            <w:vAlign w:val="center"/>
          </w:tcPr>
          <w:p>
            <w:pPr>
              <w:spacing w:line="300" w:lineRule="exact"/>
              <w:ind w:firstLine="0" w:firstLineChars="0"/>
              <w:rPr>
                <w:rFonts w:hint="eastAsia"/>
                <w:color w:val="auto"/>
                <w:szCs w:val="21"/>
                <w:highlight w:val="none"/>
              </w:rPr>
            </w:pPr>
            <w:r>
              <w:rPr>
                <w:rFonts w:hint="eastAsia"/>
                <w:color w:val="auto"/>
                <w:kern w:val="0"/>
                <w:sz w:val="21"/>
                <w:szCs w:val="21"/>
                <w:highlight w:val="none"/>
              </w:rPr>
              <w:t>甲基磺酸</w:t>
            </w:r>
            <w:r>
              <w:rPr>
                <w:rFonts w:hint="eastAsia"/>
                <w:color w:val="auto"/>
                <w:kern w:val="0"/>
                <w:sz w:val="21"/>
                <w:szCs w:val="21"/>
                <w:highlight w:val="none"/>
                <w:lang w:val="en-US" w:eastAsia="zh-CN"/>
              </w:rPr>
              <w:t>1</w:t>
            </w:r>
            <w:r>
              <w:rPr>
                <w:color w:val="auto"/>
                <w:kern w:val="0"/>
                <w:sz w:val="21"/>
                <w:szCs w:val="21"/>
                <w:highlight w:val="none"/>
              </w:rPr>
              <w:t>0%，常温，10-30s</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1375" w:type="dxa"/>
            <w:gridSpan w:val="2"/>
            <w:vAlign w:val="center"/>
          </w:tcPr>
          <w:p>
            <w:pPr>
              <w:spacing w:line="300" w:lineRule="exact"/>
              <w:ind w:firstLine="0" w:firstLineChars="0"/>
              <w:jc w:val="center"/>
              <w:rPr>
                <w:rFonts w:hint="eastAsia" w:eastAsia="宋体"/>
                <w:color w:val="auto"/>
                <w:kern w:val="0"/>
                <w:sz w:val="21"/>
                <w:szCs w:val="21"/>
                <w:highlight w:val="none"/>
                <w:lang w:val="en-US" w:eastAsia="zh-CN"/>
              </w:rPr>
            </w:pPr>
            <w:r>
              <w:rPr>
                <w:rFonts w:hint="eastAsia"/>
                <w:color w:val="auto"/>
                <w:kern w:val="0"/>
                <w:sz w:val="21"/>
                <w:szCs w:val="21"/>
                <w:highlight w:val="none"/>
                <w:lang w:val="en-US" w:eastAsia="zh-CN"/>
              </w:rPr>
              <w:t>去胶</w:t>
            </w:r>
          </w:p>
        </w:tc>
        <w:tc>
          <w:tcPr>
            <w:tcW w:w="5625" w:type="dxa"/>
            <w:vAlign w:val="center"/>
          </w:tcPr>
          <w:p>
            <w:pPr>
              <w:spacing w:line="300" w:lineRule="exact"/>
              <w:ind w:firstLine="0" w:firstLineChars="0"/>
              <w:rPr>
                <w:rFonts w:hint="eastAsia" w:eastAsia="宋体"/>
                <w:color w:val="auto"/>
                <w:kern w:val="0"/>
                <w:sz w:val="21"/>
                <w:szCs w:val="21"/>
                <w:highlight w:val="none"/>
                <w:lang w:eastAsia="zh-CN"/>
              </w:rPr>
            </w:pPr>
            <w:r>
              <w:rPr>
                <w:rFonts w:hint="eastAsia"/>
                <w:color w:val="auto"/>
                <w:kern w:val="0"/>
                <w:sz w:val="21"/>
                <w:szCs w:val="21"/>
                <w:highlight w:val="none"/>
              </w:rPr>
              <w:t>使用水刀机</w:t>
            </w:r>
            <w:r>
              <w:rPr>
                <w:rFonts w:hint="eastAsia"/>
                <w:color w:val="auto"/>
                <w:kern w:val="0"/>
                <w:sz w:val="21"/>
                <w:szCs w:val="21"/>
                <w:highlight w:val="none"/>
                <w:lang w:val="en-US" w:eastAsia="zh-CN"/>
              </w:rPr>
              <w:t>切割</w:t>
            </w:r>
            <w:r>
              <w:rPr>
                <w:rFonts w:hint="eastAsia"/>
                <w:color w:val="auto"/>
                <w:kern w:val="0"/>
                <w:sz w:val="21"/>
                <w:szCs w:val="21"/>
                <w:highlight w:val="none"/>
              </w:rPr>
              <w:t>去</w:t>
            </w:r>
            <w:r>
              <w:rPr>
                <w:rFonts w:hint="eastAsia"/>
                <w:color w:val="auto"/>
                <w:kern w:val="0"/>
                <w:sz w:val="21"/>
                <w:szCs w:val="21"/>
                <w:highlight w:val="none"/>
                <w:lang w:val="en-US" w:eastAsia="zh-CN"/>
              </w:rPr>
              <w:t>除工件上的毛刺(环氧树脂塑料皮)</w:t>
            </w:r>
            <w:r>
              <w:rPr>
                <w:rFonts w:hint="eastAsia"/>
                <w:color w:val="auto"/>
                <w:kern w:val="0"/>
                <w:sz w:val="21"/>
                <w:szCs w:val="21"/>
                <w:highlight w:val="none"/>
                <w:lang w:eastAsia="zh-CN"/>
              </w:rPr>
              <w:t>。</w:t>
            </w:r>
          </w:p>
        </w:tc>
        <w:tc>
          <w:tcPr>
            <w:tcW w:w="2230" w:type="dxa"/>
            <w:vAlign w:val="center"/>
          </w:tcPr>
          <w:p>
            <w:pPr>
              <w:spacing w:line="300" w:lineRule="exact"/>
              <w:ind w:firstLine="0" w:firstLineChars="0"/>
              <w:rPr>
                <w:rFonts w:hint="eastAsia" w:eastAsia="宋体"/>
                <w:color w:val="auto"/>
                <w:kern w:val="0"/>
                <w:sz w:val="21"/>
                <w:szCs w:val="21"/>
                <w:highlight w:val="none"/>
                <w:lang w:val="en-US" w:eastAsia="zh-CN"/>
              </w:rPr>
            </w:pPr>
            <w:r>
              <w:rPr>
                <w:rFonts w:hint="eastAsia"/>
                <w:color w:val="auto"/>
                <w:kern w:val="0"/>
                <w:sz w:val="21"/>
                <w:szCs w:val="21"/>
                <w:highlight w:val="none"/>
              </w:rPr>
              <w:t>压力：3-4.5Mpa,</w:t>
            </w:r>
            <w:r>
              <w:rPr>
                <w:rFonts w:hint="eastAsia"/>
                <w:color w:val="auto"/>
                <w:kern w:val="0"/>
                <w:sz w:val="21"/>
                <w:szCs w:val="21"/>
                <w:highlight w:val="none"/>
                <w:lang w:val="en-US" w:eastAsia="zh-CN"/>
              </w:rPr>
              <w:t>常温</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9230" w:type="dxa"/>
            <w:gridSpan w:val="4"/>
            <w:vAlign w:val="center"/>
          </w:tcPr>
          <w:p>
            <w:pPr>
              <w:tabs>
                <w:tab w:val="left" w:pos="2118"/>
              </w:tabs>
              <w:adjustRightInd w:val="0"/>
              <w:snapToGrid w:val="0"/>
              <w:ind w:right="6" w:rightChars="3"/>
              <w:jc w:val="left"/>
              <w:rPr>
                <w:b/>
                <w:bCs/>
                <w:color w:val="auto"/>
                <w:kern w:val="0"/>
                <w:szCs w:val="21"/>
                <w:highlight w:val="none"/>
              </w:rPr>
            </w:pPr>
            <w:r>
              <w:rPr>
                <w:b/>
                <w:bCs/>
                <w:color w:val="auto"/>
                <w:kern w:val="0"/>
                <w:szCs w:val="21"/>
                <w:highlight w:val="none"/>
              </w:rPr>
              <w:t>电镀工段</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1375" w:type="dxa"/>
            <w:gridSpan w:val="2"/>
            <w:vAlign w:val="center"/>
          </w:tcPr>
          <w:p>
            <w:pPr>
              <w:adjustRightInd w:val="0"/>
              <w:snapToGrid w:val="0"/>
              <w:jc w:val="center"/>
              <w:rPr>
                <w:rFonts w:hint="eastAsia" w:eastAsia="宋体"/>
                <w:b w:val="0"/>
                <w:bCs w:val="0"/>
                <w:color w:val="auto"/>
                <w:kern w:val="0"/>
                <w:szCs w:val="21"/>
                <w:highlight w:val="none"/>
                <w:lang w:eastAsia="zh-CN"/>
              </w:rPr>
            </w:pPr>
            <w:r>
              <w:rPr>
                <w:rFonts w:hint="eastAsia"/>
                <w:b w:val="0"/>
                <w:bCs w:val="0"/>
                <w:color w:val="auto"/>
                <w:kern w:val="0"/>
                <w:szCs w:val="21"/>
                <w:highlight w:val="none"/>
                <w:lang w:val="en-US" w:eastAsia="zh-CN"/>
              </w:rPr>
              <w:t>电镀锡</w:t>
            </w:r>
          </w:p>
        </w:tc>
        <w:tc>
          <w:tcPr>
            <w:tcW w:w="5625" w:type="dxa"/>
            <w:vAlign w:val="center"/>
          </w:tcPr>
          <w:p>
            <w:pPr>
              <w:adjustRightInd w:val="0"/>
              <w:snapToGrid w:val="0"/>
              <w:jc w:val="left"/>
              <w:rPr>
                <w:color w:val="auto"/>
                <w:szCs w:val="21"/>
                <w:highlight w:val="none"/>
              </w:rPr>
            </w:pPr>
            <w:r>
              <w:rPr>
                <w:color w:val="auto"/>
                <w:kern w:val="0"/>
                <w:szCs w:val="21"/>
                <w:highlight w:val="none"/>
              </w:rPr>
              <w:t>电解法镀</w:t>
            </w:r>
            <w:r>
              <w:rPr>
                <w:rFonts w:hint="eastAsia"/>
                <w:color w:val="auto"/>
                <w:kern w:val="0"/>
                <w:szCs w:val="21"/>
                <w:highlight w:val="none"/>
                <w:lang w:val="en-US" w:eastAsia="zh-CN"/>
              </w:rPr>
              <w:t>锡</w:t>
            </w:r>
            <w:r>
              <w:rPr>
                <w:color w:val="auto"/>
                <w:kern w:val="0"/>
                <w:szCs w:val="21"/>
                <w:highlight w:val="none"/>
              </w:rPr>
              <w:t>，镀液成分主要有</w:t>
            </w:r>
            <w:r>
              <w:rPr>
                <w:rFonts w:hint="eastAsia" w:eastAsia="宋体"/>
                <w:color w:val="auto"/>
                <w:sz w:val="20"/>
                <w:highlight w:val="none"/>
                <w:lang w:val="en-US" w:eastAsia="zh-CN"/>
              </w:rPr>
              <w:t>甲基磺酸</w:t>
            </w:r>
            <w:r>
              <w:rPr>
                <w:rFonts w:hint="eastAsia"/>
                <w:color w:val="auto"/>
                <w:sz w:val="20"/>
                <w:highlight w:val="none"/>
                <w:lang w:val="en-US" w:eastAsia="zh-CN"/>
              </w:rPr>
              <w:t>、</w:t>
            </w:r>
            <w:r>
              <w:rPr>
                <w:rFonts w:hint="eastAsia" w:eastAsia="宋体"/>
                <w:color w:val="auto"/>
                <w:sz w:val="20"/>
                <w:highlight w:val="none"/>
                <w:lang w:val="en-US" w:eastAsia="zh-CN"/>
              </w:rPr>
              <w:t>甲基磺酸锡</w:t>
            </w:r>
            <w:r>
              <w:rPr>
                <w:color w:val="auto"/>
                <w:kern w:val="0"/>
                <w:szCs w:val="21"/>
                <w:highlight w:val="none"/>
              </w:rPr>
              <w:t>，极板为锌锭，</w:t>
            </w:r>
            <w:r>
              <w:rPr>
                <w:color w:val="auto"/>
                <w:szCs w:val="21"/>
                <w:highlight w:val="none"/>
              </w:rPr>
              <w:t>温度为常温。</w:t>
            </w:r>
            <w:r>
              <w:rPr>
                <w:rFonts w:hint="eastAsia"/>
                <w:color w:val="auto"/>
                <w:szCs w:val="21"/>
                <w:highlight w:val="none"/>
              </w:rPr>
              <w:t>镀件放入</w:t>
            </w:r>
            <w:r>
              <w:rPr>
                <w:color w:val="auto"/>
                <w:szCs w:val="21"/>
                <w:highlight w:val="none"/>
              </w:rPr>
              <w:t>镀</w:t>
            </w:r>
            <w:r>
              <w:rPr>
                <w:rFonts w:hint="eastAsia"/>
                <w:color w:val="auto"/>
                <w:szCs w:val="21"/>
                <w:highlight w:val="none"/>
                <w:lang w:val="en-US" w:eastAsia="zh-CN"/>
              </w:rPr>
              <w:t>锡</w:t>
            </w:r>
            <w:r>
              <w:rPr>
                <w:color w:val="auto"/>
                <w:szCs w:val="21"/>
                <w:highlight w:val="none"/>
              </w:rPr>
              <w:t>槽</w:t>
            </w:r>
            <w:r>
              <w:rPr>
                <w:rFonts w:hint="eastAsia"/>
                <w:color w:val="auto"/>
                <w:kern w:val="0"/>
                <w:szCs w:val="21"/>
                <w:highlight w:val="none"/>
                <w:lang w:val="en-US" w:eastAsia="zh-CN"/>
              </w:rPr>
              <w:t>1</w:t>
            </w:r>
            <w:r>
              <w:rPr>
                <w:rFonts w:hint="eastAsia"/>
                <w:color w:val="auto"/>
                <w:highlight w:val="none"/>
                <w:lang w:val="en-US" w:eastAsia="zh-CN"/>
              </w:rPr>
              <w:t>5</w:t>
            </w:r>
            <w:r>
              <w:rPr>
                <w:rFonts w:ascii="宋体"/>
                <w:color w:val="auto"/>
                <w:szCs w:val="21"/>
                <w:highlight w:val="none"/>
              </w:rPr>
              <w:t>℃</w:t>
            </w:r>
            <w:r>
              <w:rPr>
                <w:color w:val="auto"/>
                <w:szCs w:val="21"/>
                <w:highlight w:val="none"/>
              </w:rPr>
              <w:t>-</w:t>
            </w:r>
            <w:r>
              <w:rPr>
                <w:rFonts w:hint="eastAsia"/>
                <w:color w:val="auto"/>
                <w:szCs w:val="21"/>
                <w:highlight w:val="none"/>
                <w:lang w:val="en-US" w:eastAsia="zh-CN"/>
              </w:rPr>
              <w:t>35</w:t>
            </w:r>
            <w:r>
              <w:rPr>
                <w:rFonts w:ascii="宋体"/>
                <w:color w:val="auto"/>
                <w:szCs w:val="21"/>
                <w:highlight w:val="none"/>
              </w:rPr>
              <w:t>℃</w:t>
            </w:r>
            <w:r>
              <w:rPr>
                <w:rFonts w:hint="eastAsia"/>
                <w:color w:val="auto"/>
                <w:szCs w:val="21"/>
                <w:highlight w:val="none"/>
              </w:rPr>
              <w:t>条件下镀</w:t>
            </w:r>
            <w:r>
              <w:rPr>
                <w:rFonts w:hint="eastAsia"/>
                <w:color w:val="auto"/>
                <w:szCs w:val="21"/>
                <w:highlight w:val="none"/>
                <w:lang w:val="en-US" w:eastAsia="zh-CN"/>
              </w:rPr>
              <w:t>锡</w:t>
            </w:r>
            <w:r>
              <w:rPr>
                <w:rFonts w:hint="eastAsia"/>
                <w:color w:val="auto"/>
                <w:szCs w:val="21"/>
                <w:highlight w:val="none"/>
              </w:rPr>
              <w:t>。</w:t>
            </w:r>
          </w:p>
        </w:tc>
        <w:tc>
          <w:tcPr>
            <w:tcW w:w="2230" w:type="dxa"/>
            <w:vAlign w:val="center"/>
          </w:tcPr>
          <w:p>
            <w:pPr>
              <w:tabs>
                <w:tab w:val="left" w:pos="2118"/>
              </w:tabs>
              <w:adjustRightInd w:val="0"/>
              <w:snapToGrid w:val="0"/>
              <w:jc w:val="center"/>
              <w:rPr>
                <w:color w:val="auto"/>
                <w:kern w:val="0"/>
                <w:szCs w:val="21"/>
                <w:highlight w:val="none"/>
              </w:rPr>
            </w:pPr>
            <w:r>
              <w:rPr>
                <w:rFonts w:hint="eastAsia" w:eastAsia="宋体"/>
                <w:color w:val="auto"/>
                <w:sz w:val="20"/>
                <w:highlight w:val="none"/>
                <w:lang w:val="en-US" w:eastAsia="zh-CN"/>
              </w:rPr>
              <w:t>甲基磺酸150-220g/L</w:t>
            </w:r>
            <w:r>
              <w:rPr>
                <w:rFonts w:hint="eastAsia"/>
                <w:color w:val="auto"/>
                <w:sz w:val="20"/>
                <w:highlight w:val="none"/>
                <w:lang w:val="en-US" w:eastAsia="zh-CN"/>
              </w:rPr>
              <w:t>,</w:t>
            </w:r>
            <w:r>
              <w:rPr>
                <w:rFonts w:hint="eastAsia" w:eastAsia="宋体"/>
                <w:color w:val="auto"/>
                <w:sz w:val="20"/>
                <w:highlight w:val="none"/>
                <w:lang w:val="en-US" w:eastAsia="zh-CN"/>
              </w:rPr>
              <w:t>甲基磺酸锡</w:t>
            </w:r>
            <w:r>
              <w:rPr>
                <w:rFonts w:hint="eastAsia"/>
                <w:color w:val="auto"/>
                <w:highlight w:val="none"/>
                <w:lang w:val="en-US" w:eastAsia="zh-CN"/>
              </w:rPr>
              <w:t>10-20g/l</w:t>
            </w:r>
            <w:r>
              <w:rPr>
                <w:rFonts w:hint="eastAsia"/>
                <w:color w:val="auto"/>
                <w:kern w:val="0"/>
                <w:szCs w:val="21"/>
                <w:highlight w:val="none"/>
              </w:rPr>
              <w:t>，</w:t>
            </w:r>
            <w:r>
              <w:rPr>
                <w:rFonts w:hint="eastAsia"/>
                <w:color w:val="auto"/>
                <w:kern w:val="0"/>
                <w:szCs w:val="21"/>
                <w:highlight w:val="none"/>
                <w:lang w:val="en-US" w:eastAsia="zh-CN"/>
              </w:rPr>
              <w:t>1</w:t>
            </w:r>
            <w:r>
              <w:rPr>
                <w:rFonts w:hint="eastAsia"/>
                <w:color w:val="auto"/>
                <w:highlight w:val="none"/>
                <w:lang w:val="en-US" w:eastAsia="zh-CN"/>
              </w:rPr>
              <w:t>5</w:t>
            </w:r>
            <w:r>
              <w:rPr>
                <w:rFonts w:ascii="宋体"/>
                <w:color w:val="auto"/>
                <w:szCs w:val="21"/>
                <w:highlight w:val="none"/>
              </w:rPr>
              <w:t>℃</w:t>
            </w:r>
            <w:r>
              <w:rPr>
                <w:color w:val="auto"/>
                <w:szCs w:val="21"/>
                <w:highlight w:val="none"/>
              </w:rPr>
              <w:t>-</w:t>
            </w:r>
            <w:r>
              <w:rPr>
                <w:rFonts w:hint="eastAsia"/>
                <w:color w:val="auto"/>
                <w:szCs w:val="21"/>
                <w:highlight w:val="none"/>
                <w:lang w:val="en-US" w:eastAsia="zh-CN"/>
              </w:rPr>
              <w:t>35</w:t>
            </w:r>
            <w:r>
              <w:rPr>
                <w:rFonts w:ascii="宋体"/>
                <w:color w:val="auto"/>
                <w:szCs w:val="21"/>
                <w:highlight w:val="none"/>
              </w:rPr>
              <w:t>℃</w:t>
            </w:r>
            <w:r>
              <w:rPr>
                <w:rFonts w:hint="eastAsia"/>
                <w:color w:val="auto"/>
                <w:kern w:val="0"/>
                <w:szCs w:val="21"/>
                <w:highlight w:val="none"/>
              </w:rPr>
              <w:t>，</w:t>
            </w:r>
            <w:r>
              <w:rPr>
                <w:rFonts w:ascii="Times New Roman" w:hAnsi="Times New Roman"/>
                <w:color w:val="auto"/>
                <w:kern w:val="0"/>
                <w:szCs w:val="21"/>
                <w:highlight w:val="none"/>
              </w:rPr>
              <w:t>60-80</w:t>
            </w:r>
            <w:r>
              <w:rPr>
                <w:rFonts w:hint="eastAsia"/>
                <w:color w:val="auto"/>
                <w:kern w:val="0"/>
                <w:szCs w:val="21"/>
                <w:highlight w:val="none"/>
              </w:rPr>
              <w:t>min。</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9230" w:type="dxa"/>
            <w:gridSpan w:val="4"/>
            <w:vAlign w:val="center"/>
          </w:tcPr>
          <w:p>
            <w:pPr>
              <w:tabs>
                <w:tab w:val="left" w:pos="2118"/>
              </w:tabs>
              <w:adjustRightInd w:val="0"/>
              <w:snapToGrid w:val="0"/>
              <w:jc w:val="left"/>
              <w:rPr>
                <w:b/>
                <w:bCs/>
                <w:color w:val="auto"/>
                <w:kern w:val="0"/>
                <w:szCs w:val="21"/>
                <w:highlight w:val="none"/>
              </w:rPr>
            </w:pPr>
            <w:r>
              <w:rPr>
                <w:rFonts w:hint="eastAsia"/>
                <w:b/>
                <w:bCs/>
                <w:color w:val="auto"/>
                <w:kern w:val="0"/>
                <w:szCs w:val="21"/>
                <w:highlight w:val="none"/>
              </w:rPr>
              <w:t>镀</w:t>
            </w:r>
            <w:r>
              <w:rPr>
                <w:b/>
                <w:bCs/>
                <w:color w:val="auto"/>
                <w:kern w:val="0"/>
                <w:szCs w:val="21"/>
                <w:highlight w:val="none"/>
              </w:rPr>
              <w:t>后处理工段</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1242" w:type="dxa"/>
            <w:vAlign w:val="center"/>
          </w:tcPr>
          <w:p>
            <w:pPr>
              <w:adjustRightInd w:val="0"/>
              <w:snapToGrid w:val="0"/>
              <w:jc w:val="center"/>
              <w:rPr>
                <w:rFonts w:hint="eastAsia" w:eastAsia="宋体"/>
                <w:b w:val="0"/>
                <w:bCs w:val="0"/>
                <w:color w:val="auto"/>
                <w:highlight w:val="none"/>
                <w:lang w:eastAsia="zh-CN"/>
              </w:rPr>
            </w:pPr>
            <w:r>
              <w:rPr>
                <w:rFonts w:hint="eastAsia"/>
                <w:b w:val="0"/>
                <w:bCs w:val="0"/>
                <w:color w:val="auto"/>
                <w:kern w:val="0"/>
                <w:szCs w:val="21"/>
                <w:highlight w:val="none"/>
                <w:lang w:val="en-US" w:eastAsia="zh-CN"/>
              </w:rPr>
              <w:t>中和</w:t>
            </w:r>
          </w:p>
        </w:tc>
        <w:tc>
          <w:tcPr>
            <w:tcW w:w="5758" w:type="dxa"/>
            <w:gridSpan w:val="2"/>
            <w:vAlign w:val="center"/>
          </w:tcPr>
          <w:p>
            <w:pPr>
              <w:jc w:val="left"/>
              <w:rPr>
                <w:color w:val="auto"/>
                <w:highlight w:val="none"/>
              </w:rPr>
            </w:pPr>
            <w:r>
              <w:rPr>
                <w:rFonts w:hint="eastAsia"/>
                <w:color w:val="auto"/>
                <w:highlight w:val="none"/>
                <w:lang w:val="en-US" w:eastAsia="zh-CN"/>
              </w:rPr>
              <w:t>中和电镀残留的酸性物质，防止镀层变色、腐蚀。中和液使用磷酸三钠配置，中和后需要清洗</w:t>
            </w:r>
            <w:r>
              <w:rPr>
                <w:rFonts w:hint="eastAsia"/>
                <w:color w:val="auto"/>
                <w:highlight w:val="none"/>
              </w:rPr>
              <w:t>。</w:t>
            </w:r>
          </w:p>
        </w:tc>
        <w:tc>
          <w:tcPr>
            <w:tcW w:w="2230" w:type="dxa"/>
            <w:vAlign w:val="center"/>
          </w:tcPr>
          <w:p>
            <w:pPr>
              <w:jc w:val="both"/>
              <w:rPr>
                <w:color w:val="auto"/>
                <w:highlight w:val="none"/>
              </w:rPr>
            </w:pPr>
            <w:r>
              <w:rPr>
                <w:rFonts w:hint="eastAsia"/>
                <w:color w:val="auto"/>
                <w:highlight w:val="none"/>
              </w:rPr>
              <w:t>磷酸三钠</w:t>
            </w:r>
            <w:r>
              <w:rPr>
                <w:rFonts w:hint="eastAsia"/>
                <w:color w:val="auto"/>
                <w:highlight w:val="none"/>
                <w:lang w:val="en-US" w:eastAsia="zh-CN"/>
              </w:rPr>
              <w:t>20g/L</w:t>
            </w:r>
            <w:r>
              <w:rPr>
                <w:rFonts w:hint="eastAsia"/>
                <w:color w:val="auto"/>
                <w:highlight w:val="none"/>
              </w:rPr>
              <w:t>，</w:t>
            </w:r>
            <w:r>
              <w:rPr>
                <w:rFonts w:hint="eastAsia"/>
                <w:color w:val="auto"/>
                <w:kern w:val="0"/>
                <w:szCs w:val="21"/>
                <w:highlight w:val="none"/>
                <w:lang w:val="en-US" w:eastAsia="zh-CN"/>
              </w:rPr>
              <w:t>45-55</w:t>
            </w:r>
            <w:r>
              <w:rPr>
                <w:rFonts w:hint="eastAsia" w:ascii="宋体" w:hAnsi="宋体" w:cs="宋体"/>
                <w:color w:val="auto"/>
                <w:kern w:val="0"/>
                <w:szCs w:val="21"/>
                <w:highlight w:val="none"/>
              </w:rPr>
              <w:t>℃</w:t>
            </w:r>
            <w:r>
              <w:rPr>
                <w:rFonts w:hint="eastAsia"/>
                <w:color w:val="auto"/>
                <w:highlight w:val="none"/>
              </w:rPr>
              <w:t>，30s。</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1242" w:type="dxa"/>
            <w:vAlign w:val="center"/>
          </w:tcPr>
          <w:p>
            <w:pPr>
              <w:adjustRightInd w:val="0"/>
              <w:snapToGrid w:val="0"/>
              <w:jc w:val="center"/>
              <w:rPr>
                <w:rFonts w:hint="eastAsia" w:eastAsia="宋体"/>
                <w:b w:val="0"/>
                <w:bCs w:val="0"/>
                <w:color w:val="auto"/>
                <w:kern w:val="0"/>
                <w:szCs w:val="21"/>
                <w:highlight w:val="none"/>
                <w:lang w:val="en-US" w:eastAsia="zh-CN"/>
              </w:rPr>
            </w:pPr>
            <w:r>
              <w:rPr>
                <w:rFonts w:hint="eastAsia"/>
                <w:b w:val="0"/>
                <w:bCs w:val="0"/>
                <w:color w:val="auto"/>
                <w:kern w:val="0"/>
                <w:szCs w:val="21"/>
                <w:highlight w:val="none"/>
                <w:lang w:val="en-US" w:eastAsia="zh-CN"/>
              </w:rPr>
              <w:t>超声清洗</w:t>
            </w:r>
          </w:p>
        </w:tc>
        <w:tc>
          <w:tcPr>
            <w:tcW w:w="5758" w:type="dxa"/>
            <w:gridSpan w:val="2"/>
            <w:vAlign w:val="center"/>
          </w:tcPr>
          <w:p>
            <w:pPr>
              <w:adjustRightInd w:val="0"/>
              <w:snapToGrid w:val="0"/>
              <w:spacing w:line="340" w:lineRule="exact"/>
              <w:rPr>
                <w:color w:val="auto"/>
                <w:kern w:val="0"/>
                <w:szCs w:val="21"/>
                <w:highlight w:val="none"/>
              </w:rPr>
            </w:pPr>
            <w:r>
              <w:rPr>
                <w:rFonts w:hint="eastAsia" w:ascii="Times New Roman" w:hAnsi="Times New Roman"/>
                <w:color w:val="auto"/>
                <w:kern w:val="0"/>
                <w:szCs w:val="21"/>
                <w:highlight w:val="none"/>
              </w:rPr>
              <w:t>利用超声波在液体中的空化作用、加速度作用及直进流作用对液体和污物直接、间接的作用，使污物层被分散、乳化、剥离而达到清洗目的。</w:t>
            </w:r>
          </w:p>
        </w:tc>
        <w:tc>
          <w:tcPr>
            <w:tcW w:w="2230" w:type="dxa"/>
            <w:vAlign w:val="center"/>
          </w:tcPr>
          <w:p>
            <w:pPr>
              <w:adjustRightInd w:val="0"/>
              <w:snapToGrid w:val="0"/>
              <w:spacing w:line="340" w:lineRule="exact"/>
              <w:jc w:val="center"/>
              <w:rPr>
                <w:color w:val="auto"/>
                <w:kern w:val="0"/>
                <w:szCs w:val="21"/>
                <w:highlight w:val="none"/>
              </w:rPr>
            </w:pPr>
            <w:r>
              <w:rPr>
                <w:rFonts w:hint="eastAsia" w:ascii="Times New Roman" w:hAnsi="Times New Roman"/>
                <w:color w:val="auto"/>
                <w:kern w:val="0"/>
                <w:szCs w:val="21"/>
                <w:highlight w:val="none"/>
              </w:rPr>
              <w:t>电流范围：8.0±1.0A</w:t>
            </w:r>
            <w:r>
              <w:rPr>
                <w:rFonts w:hint="eastAsia"/>
                <w:color w:val="auto"/>
                <w:kern w:val="0"/>
                <w:szCs w:val="21"/>
                <w:highlight w:val="none"/>
                <w:lang w:eastAsia="zh-CN"/>
              </w:rPr>
              <w:t>，</w:t>
            </w:r>
            <w:r>
              <w:rPr>
                <w:rFonts w:hint="eastAsia" w:ascii="Times New Roman" w:hAnsi="Times New Roman"/>
                <w:color w:val="auto"/>
                <w:kern w:val="0"/>
                <w:szCs w:val="21"/>
                <w:highlight w:val="none"/>
              </w:rPr>
              <w:t>室温</w:t>
            </w:r>
            <w:r>
              <w:rPr>
                <w:rFonts w:hint="eastAsia"/>
                <w:color w:val="auto"/>
                <w:kern w:val="0"/>
                <w:szCs w:val="21"/>
                <w:highlight w:val="none"/>
                <w:lang w:eastAsia="zh-CN"/>
              </w:rPr>
              <w:t>，</w:t>
            </w:r>
            <w:r>
              <w:rPr>
                <w:rFonts w:ascii="Times New Roman" w:hAnsi="Times New Roman"/>
                <w:color w:val="auto"/>
                <w:kern w:val="0"/>
                <w:szCs w:val="21"/>
                <w:highlight w:val="none"/>
              </w:rPr>
              <w:t>15-40S</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1242" w:type="dxa"/>
            <w:vAlign w:val="center"/>
          </w:tcPr>
          <w:p>
            <w:pPr>
              <w:adjustRightInd w:val="0"/>
              <w:snapToGrid w:val="0"/>
              <w:spacing w:line="340" w:lineRule="exact"/>
              <w:ind w:right="4" w:rightChars="2"/>
              <w:jc w:val="center"/>
              <w:rPr>
                <w:rFonts w:hint="eastAsia"/>
                <w:b w:val="0"/>
                <w:bCs w:val="0"/>
                <w:color w:val="auto"/>
                <w:kern w:val="0"/>
                <w:szCs w:val="21"/>
                <w:highlight w:val="none"/>
              </w:rPr>
            </w:pPr>
            <w:r>
              <w:rPr>
                <w:rFonts w:hint="eastAsia" w:ascii="Times New Roman" w:hAnsi="Times New Roman"/>
                <w:color w:val="auto"/>
                <w:kern w:val="0"/>
                <w:szCs w:val="21"/>
                <w:highlight w:val="none"/>
              </w:rPr>
              <w:t>热水洗</w:t>
            </w:r>
          </w:p>
        </w:tc>
        <w:tc>
          <w:tcPr>
            <w:tcW w:w="5758" w:type="dxa"/>
            <w:gridSpan w:val="2"/>
            <w:vAlign w:val="center"/>
          </w:tcPr>
          <w:p>
            <w:pPr>
              <w:adjustRightInd w:val="0"/>
              <w:snapToGrid w:val="0"/>
              <w:spacing w:line="340" w:lineRule="exact"/>
              <w:rPr>
                <w:rFonts w:hint="eastAsia" w:ascii="Times New Roman" w:hAnsi="Times New Roman"/>
                <w:color w:val="auto"/>
                <w:kern w:val="0"/>
                <w:szCs w:val="21"/>
                <w:highlight w:val="none"/>
              </w:rPr>
            </w:pPr>
            <w:r>
              <w:rPr>
                <w:rFonts w:hint="eastAsia" w:ascii="Times New Roman" w:hAnsi="Times New Roman"/>
                <w:color w:val="auto"/>
                <w:kern w:val="0"/>
                <w:szCs w:val="21"/>
                <w:highlight w:val="none"/>
              </w:rPr>
              <w:t>去除镀层应力，稳固镀层。</w:t>
            </w:r>
          </w:p>
        </w:tc>
        <w:tc>
          <w:tcPr>
            <w:tcW w:w="2230" w:type="dxa"/>
            <w:vAlign w:val="center"/>
          </w:tcPr>
          <w:p>
            <w:pPr>
              <w:adjustRightInd w:val="0"/>
              <w:snapToGrid w:val="0"/>
              <w:spacing w:line="340" w:lineRule="exact"/>
              <w:jc w:val="center"/>
              <w:rPr>
                <w:rFonts w:hint="eastAsia" w:ascii="Times New Roman" w:hAnsi="Times New Roman"/>
                <w:color w:val="auto"/>
                <w:kern w:val="0"/>
                <w:szCs w:val="21"/>
                <w:highlight w:val="none"/>
              </w:rPr>
            </w:pPr>
            <w:r>
              <w:rPr>
                <w:rFonts w:hint="eastAsia"/>
                <w:color w:val="auto"/>
                <w:kern w:val="0"/>
                <w:szCs w:val="21"/>
                <w:highlight w:val="none"/>
                <w:lang w:val="en-US" w:eastAsia="zh-CN"/>
              </w:rPr>
              <w:t>纯</w:t>
            </w:r>
            <w:r>
              <w:rPr>
                <w:rFonts w:hint="eastAsia" w:ascii="Times New Roman" w:hAnsi="Times New Roman"/>
                <w:color w:val="auto"/>
                <w:kern w:val="0"/>
                <w:szCs w:val="21"/>
                <w:highlight w:val="none"/>
              </w:rPr>
              <w:t>水</w:t>
            </w:r>
            <w:r>
              <w:rPr>
                <w:rFonts w:hint="eastAsia"/>
                <w:color w:val="auto"/>
                <w:kern w:val="0"/>
                <w:szCs w:val="21"/>
                <w:highlight w:val="none"/>
                <w:lang w:eastAsia="zh-CN"/>
              </w:rPr>
              <w:t>，</w:t>
            </w:r>
            <w:r>
              <w:rPr>
                <w:rFonts w:ascii="Times New Roman" w:hAnsi="Times New Roman"/>
                <w:color w:val="auto"/>
                <w:kern w:val="0"/>
                <w:szCs w:val="21"/>
                <w:highlight w:val="none"/>
              </w:rPr>
              <w:t>60</w:t>
            </w:r>
            <w:r>
              <w:rPr>
                <w:rFonts w:hint="eastAsia"/>
                <w:color w:val="auto"/>
                <w:kern w:val="0"/>
                <w:szCs w:val="21"/>
                <w:highlight w:val="none"/>
                <w:lang w:val="en-US" w:eastAsia="zh-CN"/>
              </w:rPr>
              <w:t>-80</w:t>
            </w:r>
            <w:r>
              <w:rPr>
                <w:rFonts w:hint="eastAsia" w:ascii="宋体" w:hAnsi="宋体" w:cs="宋体"/>
                <w:color w:val="auto"/>
                <w:kern w:val="0"/>
                <w:szCs w:val="21"/>
                <w:highlight w:val="none"/>
              </w:rPr>
              <w:t>℃</w:t>
            </w:r>
            <w:r>
              <w:rPr>
                <w:rFonts w:hint="eastAsia" w:ascii="宋体" w:hAnsi="宋体" w:cs="宋体"/>
                <w:color w:val="auto"/>
                <w:kern w:val="0"/>
                <w:szCs w:val="21"/>
                <w:highlight w:val="none"/>
                <w:lang w:eastAsia="zh-CN"/>
              </w:rPr>
              <w:t>，</w:t>
            </w:r>
            <w:r>
              <w:rPr>
                <w:rFonts w:hint="eastAsia"/>
                <w:color w:val="auto"/>
                <w:kern w:val="0"/>
                <w:szCs w:val="21"/>
                <w:highlight w:val="none"/>
                <w:lang w:val="en-US" w:eastAsia="zh-CN"/>
              </w:rPr>
              <w:t>2min</w:t>
            </w:r>
            <w:r>
              <w:rPr>
                <w:rFonts w:hint="eastAsia" w:ascii="Times New Roman" w:hAnsi="Times New Roman"/>
                <w:color w:val="auto"/>
                <w:kern w:val="0"/>
                <w:szCs w:val="21"/>
                <w:highlight w:val="none"/>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PrEx>
        <w:trPr>
          <w:trHeight w:val="340" w:hRule="atLeast"/>
          <w:jc w:val="center"/>
        </w:trPr>
        <w:tc>
          <w:tcPr>
            <w:tcW w:w="1242" w:type="dxa"/>
            <w:vAlign w:val="center"/>
          </w:tcPr>
          <w:p>
            <w:pPr>
              <w:adjustRightInd w:val="0"/>
              <w:snapToGrid w:val="0"/>
              <w:jc w:val="center"/>
              <w:rPr>
                <w:b w:val="0"/>
                <w:bCs w:val="0"/>
                <w:color w:val="auto"/>
                <w:kern w:val="0"/>
                <w:szCs w:val="21"/>
                <w:highlight w:val="none"/>
              </w:rPr>
            </w:pPr>
            <w:r>
              <w:rPr>
                <w:b w:val="0"/>
                <w:bCs w:val="0"/>
                <w:color w:val="auto"/>
                <w:kern w:val="0"/>
                <w:szCs w:val="21"/>
                <w:highlight w:val="none"/>
              </w:rPr>
              <w:t>烘干</w:t>
            </w:r>
          </w:p>
        </w:tc>
        <w:tc>
          <w:tcPr>
            <w:tcW w:w="5758" w:type="dxa"/>
            <w:gridSpan w:val="2"/>
            <w:vAlign w:val="center"/>
          </w:tcPr>
          <w:p>
            <w:pPr>
              <w:adjustRightInd w:val="0"/>
              <w:snapToGrid w:val="0"/>
              <w:jc w:val="left"/>
              <w:rPr>
                <w:color w:val="auto"/>
                <w:szCs w:val="21"/>
                <w:highlight w:val="none"/>
              </w:rPr>
            </w:pPr>
            <w:r>
              <w:rPr>
                <w:color w:val="auto"/>
                <w:szCs w:val="21"/>
                <w:highlight w:val="none"/>
              </w:rPr>
              <w:t>工件经电镀后，需对镀件进行烘干处理，使镀件上的水分蒸发，提高镀件的防腐防锈能力。</w:t>
            </w:r>
          </w:p>
        </w:tc>
        <w:tc>
          <w:tcPr>
            <w:tcW w:w="2230" w:type="dxa"/>
            <w:vAlign w:val="center"/>
          </w:tcPr>
          <w:p>
            <w:pPr>
              <w:adjustRightInd w:val="0"/>
              <w:snapToGrid w:val="0"/>
              <w:jc w:val="center"/>
              <w:rPr>
                <w:color w:val="auto"/>
                <w:kern w:val="0"/>
                <w:szCs w:val="21"/>
                <w:highlight w:val="none"/>
              </w:rPr>
            </w:pPr>
            <w:r>
              <w:rPr>
                <w:rFonts w:hint="eastAsia"/>
                <w:color w:val="auto"/>
                <w:kern w:val="0"/>
                <w:szCs w:val="21"/>
                <w:highlight w:val="none"/>
                <w:lang w:val="en-US" w:eastAsia="zh-CN"/>
              </w:rPr>
              <w:t>15</w:t>
            </w:r>
            <w:r>
              <w:rPr>
                <w:color w:val="auto"/>
                <w:kern w:val="0"/>
                <w:szCs w:val="21"/>
                <w:highlight w:val="none"/>
              </w:rPr>
              <w:t>0℃，</w:t>
            </w:r>
            <w:r>
              <w:rPr>
                <w:rFonts w:hint="eastAsia"/>
                <w:color w:val="auto"/>
                <w:kern w:val="0"/>
                <w:szCs w:val="21"/>
                <w:highlight w:val="none"/>
                <w:lang w:val="en-US" w:eastAsia="zh-CN"/>
              </w:rPr>
              <w:t>30</w:t>
            </w:r>
            <w:r>
              <w:rPr>
                <w:color w:val="auto"/>
                <w:kern w:val="0"/>
                <w:szCs w:val="21"/>
                <w:highlight w:val="none"/>
              </w:rPr>
              <w:t>min</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1242" w:type="dxa"/>
            <w:vAlign w:val="center"/>
          </w:tcPr>
          <w:p>
            <w:pPr>
              <w:adjustRightInd w:val="0"/>
              <w:snapToGrid w:val="0"/>
              <w:ind w:right="4" w:rightChars="2"/>
              <w:jc w:val="center"/>
              <w:rPr>
                <w:b w:val="0"/>
                <w:bCs w:val="0"/>
                <w:color w:val="auto"/>
                <w:kern w:val="0"/>
                <w:szCs w:val="21"/>
                <w:highlight w:val="none"/>
              </w:rPr>
            </w:pPr>
            <w:r>
              <w:rPr>
                <w:color w:val="auto"/>
                <w:szCs w:val="21"/>
                <w:highlight w:val="none"/>
              </w:rPr>
              <w:t>甩干</w:t>
            </w:r>
          </w:p>
        </w:tc>
        <w:tc>
          <w:tcPr>
            <w:tcW w:w="5758" w:type="dxa"/>
            <w:gridSpan w:val="2"/>
            <w:vAlign w:val="center"/>
          </w:tcPr>
          <w:p>
            <w:pPr>
              <w:adjustRightInd w:val="0"/>
              <w:snapToGrid w:val="0"/>
              <w:rPr>
                <w:color w:val="auto"/>
                <w:szCs w:val="21"/>
                <w:highlight w:val="none"/>
              </w:rPr>
            </w:pPr>
            <w:r>
              <w:rPr>
                <w:color w:val="auto"/>
                <w:kern w:val="0"/>
                <w:szCs w:val="21"/>
                <w:highlight w:val="none"/>
              </w:rPr>
              <w:t>为去除镀件表层残留水分，提高镀件在空气中稳定性，需要进行干燥处理。甩干在离心式甩干机内进行，将水分甩出。</w:t>
            </w:r>
          </w:p>
        </w:tc>
        <w:tc>
          <w:tcPr>
            <w:tcW w:w="2230" w:type="dxa"/>
            <w:vAlign w:val="center"/>
          </w:tcPr>
          <w:p>
            <w:pPr>
              <w:tabs>
                <w:tab w:val="left" w:pos="2118"/>
              </w:tabs>
              <w:adjustRightInd w:val="0"/>
              <w:snapToGrid w:val="0"/>
              <w:jc w:val="both"/>
              <w:rPr>
                <w:color w:val="auto"/>
                <w:kern w:val="0"/>
                <w:szCs w:val="21"/>
                <w:highlight w:val="none"/>
              </w:rPr>
            </w:pPr>
            <w:r>
              <w:rPr>
                <w:color w:val="auto"/>
                <w:kern w:val="0"/>
                <w:szCs w:val="21"/>
                <w:highlight w:val="none"/>
              </w:rPr>
              <w:t>甩干机，1min，500r/min</w:t>
            </w:r>
            <w:r>
              <w:rPr>
                <w:rFonts w:hint="eastAsia"/>
                <w:color w:val="auto"/>
                <w:kern w:val="0"/>
                <w:szCs w:val="21"/>
                <w:highlight w:val="none"/>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9230" w:type="dxa"/>
            <w:gridSpan w:val="4"/>
            <w:vAlign w:val="center"/>
          </w:tcPr>
          <w:p>
            <w:pPr>
              <w:tabs>
                <w:tab w:val="left" w:pos="2118"/>
              </w:tabs>
              <w:adjustRightInd w:val="0"/>
              <w:snapToGrid w:val="0"/>
              <w:jc w:val="left"/>
              <w:rPr>
                <w:rFonts w:hint="eastAsia" w:eastAsia="宋体"/>
                <w:color w:val="auto"/>
                <w:kern w:val="0"/>
                <w:szCs w:val="21"/>
                <w:highlight w:val="none"/>
                <w:lang w:val="en-US" w:eastAsia="zh-CN"/>
              </w:rPr>
            </w:pPr>
            <w:r>
              <w:rPr>
                <w:rFonts w:hint="eastAsia"/>
                <w:b/>
                <w:bCs/>
                <w:color w:val="auto"/>
                <w:kern w:val="0"/>
                <w:szCs w:val="21"/>
                <w:highlight w:val="none"/>
                <w:lang w:val="en-US" w:eastAsia="zh-CN"/>
              </w:rPr>
              <w:t>水洗</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1242" w:type="dxa"/>
            <w:vAlign w:val="center"/>
          </w:tcPr>
          <w:p>
            <w:pPr>
              <w:adjustRightInd w:val="0"/>
              <w:snapToGrid w:val="0"/>
              <w:jc w:val="center"/>
              <w:rPr>
                <w:b w:val="0"/>
                <w:bCs w:val="0"/>
                <w:color w:val="auto"/>
                <w:kern w:val="0"/>
                <w:szCs w:val="21"/>
                <w:highlight w:val="none"/>
              </w:rPr>
            </w:pPr>
            <w:r>
              <w:rPr>
                <w:b w:val="0"/>
                <w:bCs w:val="0"/>
                <w:color w:val="auto"/>
                <w:kern w:val="0"/>
                <w:szCs w:val="21"/>
                <w:highlight w:val="none"/>
              </w:rPr>
              <w:t>水洗</w:t>
            </w:r>
          </w:p>
        </w:tc>
        <w:tc>
          <w:tcPr>
            <w:tcW w:w="5758" w:type="dxa"/>
            <w:gridSpan w:val="2"/>
            <w:vAlign w:val="center"/>
          </w:tcPr>
          <w:p>
            <w:pPr>
              <w:adjustRightInd w:val="0"/>
              <w:snapToGrid w:val="0"/>
              <w:jc w:val="left"/>
              <w:rPr>
                <w:color w:val="auto"/>
                <w:szCs w:val="21"/>
                <w:highlight w:val="none"/>
              </w:rPr>
            </w:pPr>
            <w:r>
              <w:rPr>
                <w:color w:val="auto"/>
                <w:szCs w:val="21"/>
                <w:highlight w:val="none"/>
              </w:rPr>
              <w:t>水洗是电镀工艺不可缺少的组成部分，水洗质量的好坏对于电镀工艺的稳定性和电镀产品的外观、耐腐蚀性等质量指标有较大的影响。每道工序后面都有</w:t>
            </w:r>
            <w:r>
              <w:rPr>
                <w:rFonts w:hint="eastAsia"/>
                <w:color w:val="auto"/>
                <w:szCs w:val="21"/>
                <w:highlight w:val="none"/>
              </w:rPr>
              <w:t>2</w:t>
            </w:r>
            <w:r>
              <w:rPr>
                <w:color w:val="auto"/>
                <w:szCs w:val="21"/>
                <w:highlight w:val="none"/>
              </w:rPr>
              <w:t>~</w:t>
            </w:r>
            <w:r>
              <w:rPr>
                <w:rFonts w:hint="eastAsia"/>
                <w:color w:val="auto"/>
                <w:szCs w:val="21"/>
                <w:highlight w:val="none"/>
              </w:rPr>
              <w:t>3</w:t>
            </w:r>
            <w:r>
              <w:rPr>
                <w:color w:val="auto"/>
                <w:szCs w:val="21"/>
                <w:highlight w:val="none"/>
              </w:rPr>
              <w:t>道逆流漂洗操作。</w:t>
            </w:r>
          </w:p>
        </w:tc>
        <w:tc>
          <w:tcPr>
            <w:tcW w:w="2230" w:type="dxa"/>
            <w:vAlign w:val="center"/>
          </w:tcPr>
          <w:p>
            <w:pPr>
              <w:tabs>
                <w:tab w:val="left" w:pos="2118"/>
              </w:tabs>
              <w:adjustRightInd w:val="0"/>
              <w:snapToGrid w:val="0"/>
              <w:jc w:val="center"/>
              <w:rPr>
                <w:color w:val="auto"/>
                <w:kern w:val="0"/>
                <w:szCs w:val="21"/>
                <w:highlight w:val="none"/>
              </w:rPr>
            </w:pPr>
            <w:r>
              <w:rPr>
                <w:color w:val="auto"/>
                <w:kern w:val="0"/>
                <w:szCs w:val="21"/>
                <w:highlight w:val="none"/>
              </w:rPr>
              <w:t>自来</w:t>
            </w:r>
            <w:r>
              <w:rPr>
                <w:color w:val="auto"/>
                <w:kern w:val="0"/>
                <w:szCs w:val="21"/>
                <w:highlight w:val="none"/>
              </w:rPr>
              <w:t>水水洗</w:t>
            </w:r>
            <w:r>
              <w:rPr>
                <w:rFonts w:hint="eastAsia" w:ascii="Times New Roman" w:hAnsi="Times New Roman"/>
                <w:color w:val="auto"/>
                <w:kern w:val="0"/>
                <w:szCs w:val="21"/>
                <w:highlight w:val="none"/>
              </w:rPr>
              <w:t>、中水</w:t>
            </w:r>
          </w:p>
        </w:tc>
      </w:tr>
    </w:tbl>
    <w:p>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2"/>
        <w:rPr>
          <w:rFonts w:hint="eastAsia" w:ascii="黑体" w:hAnsi="黑体" w:eastAsia="黑体" w:cs="Times New Roman"/>
          <w:color w:val="auto"/>
          <w:sz w:val="24"/>
          <w:highlight w:val="none"/>
          <w:lang w:val="en-US" w:eastAsia="zh-CN"/>
        </w:rPr>
      </w:pPr>
      <w:r>
        <w:rPr>
          <w:rFonts w:hint="eastAsia" w:ascii="黑体" w:hAnsi="黑体" w:eastAsia="黑体" w:cs="Times New Roman"/>
          <w:color w:val="auto"/>
          <w:sz w:val="24"/>
          <w:highlight w:val="none"/>
          <w:lang w:val="en-US" w:eastAsia="zh-CN"/>
        </w:rPr>
        <w:t>2.4.2项目产污环节汇总</w:t>
      </w:r>
    </w:p>
    <w:p>
      <w:pPr>
        <w:tabs>
          <w:tab w:val="left" w:pos="1140"/>
        </w:tabs>
        <w:spacing w:line="360" w:lineRule="auto"/>
        <w:ind w:firstLine="480" w:firstLineChars="200"/>
        <w:rPr>
          <w:rFonts w:eastAsia="仿宋"/>
          <w:color w:val="auto"/>
          <w:sz w:val="24"/>
          <w:highlight w:val="none"/>
        </w:rPr>
      </w:pPr>
      <w:r>
        <w:rPr>
          <w:rFonts w:hint="eastAsia" w:asciiTheme="minorEastAsia" w:hAnsiTheme="minorEastAsia" w:eastAsiaTheme="minorEastAsia"/>
          <w:color w:val="auto"/>
          <w:sz w:val="24"/>
          <w:highlight w:val="none"/>
        </w:rPr>
        <w:t>整改前</w:t>
      </w:r>
      <w:r>
        <w:rPr>
          <w:rFonts w:asciiTheme="minorEastAsia" w:hAnsiTheme="minorEastAsia" w:eastAsiaTheme="minorEastAsia"/>
          <w:color w:val="auto"/>
          <w:sz w:val="24"/>
          <w:highlight w:val="none"/>
        </w:rPr>
        <w:t>项目产污环节汇总见表</w:t>
      </w:r>
      <w:r>
        <w:rPr>
          <w:rFonts w:eastAsia="仿宋"/>
          <w:color w:val="auto"/>
          <w:sz w:val="24"/>
          <w:highlight w:val="none"/>
        </w:rPr>
        <w:t>2.</w:t>
      </w:r>
      <w:r>
        <w:rPr>
          <w:rFonts w:hint="eastAsia" w:eastAsia="仿宋"/>
          <w:color w:val="auto"/>
          <w:sz w:val="24"/>
          <w:highlight w:val="none"/>
          <w:lang w:val="en-US" w:eastAsia="zh-CN"/>
        </w:rPr>
        <w:t>4</w:t>
      </w:r>
      <w:r>
        <w:rPr>
          <w:rFonts w:eastAsia="仿宋"/>
          <w:color w:val="auto"/>
          <w:sz w:val="24"/>
          <w:highlight w:val="none"/>
        </w:rPr>
        <w:t>-</w:t>
      </w:r>
      <w:r>
        <w:rPr>
          <w:rFonts w:hint="eastAsia" w:eastAsia="仿宋"/>
          <w:color w:val="auto"/>
          <w:sz w:val="24"/>
          <w:highlight w:val="none"/>
          <w:lang w:val="en-US" w:eastAsia="zh-CN"/>
        </w:rPr>
        <w:t>5</w:t>
      </w:r>
      <w:r>
        <w:rPr>
          <w:rFonts w:eastAsia="仿宋"/>
          <w:color w:val="auto"/>
          <w:sz w:val="24"/>
          <w:highlight w:val="none"/>
        </w:rPr>
        <w:t>。</w:t>
      </w:r>
    </w:p>
    <w:p>
      <w:pPr>
        <w:tabs>
          <w:tab w:val="left" w:pos="1140"/>
        </w:tabs>
        <w:spacing w:line="360" w:lineRule="auto"/>
        <w:jc w:val="center"/>
        <w:rPr>
          <w:rFonts w:eastAsia="黑体"/>
          <w:color w:val="auto"/>
          <w:sz w:val="24"/>
          <w:szCs w:val="24"/>
          <w:highlight w:val="none"/>
        </w:rPr>
      </w:pPr>
      <w:r>
        <w:rPr>
          <w:rFonts w:hint="eastAsia" w:eastAsia="黑体"/>
          <w:color w:val="auto"/>
          <w:sz w:val="24"/>
          <w:szCs w:val="24"/>
          <w:highlight w:val="none"/>
        </w:rPr>
        <w:t>表2.</w:t>
      </w:r>
      <w:r>
        <w:rPr>
          <w:rFonts w:hint="eastAsia" w:eastAsia="黑体"/>
          <w:color w:val="auto"/>
          <w:sz w:val="24"/>
          <w:szCs w:val="24"/>
          <w:highlight w:val="none"/>
          <w:lang w:val="en-US" w:eastAsia="zh-CN"/>
        </w:rPr>
        <w:t>4</w:t>
      </w:r>
      <w:r>
        <w:rPr>
          <w:rFonts w:hint="eastAsia" w:eastAsia="黑体"/>
          <w:color w:val="auto"/>
          <w:sz w:val="24"/>
          <w:szCs w:val="24"/>
          <w:highlight w:val="none"/>
        </w:rPr>
        <w:t>-</w:t>
      </w:r>
      <w:r>
        <w:rPr>
          <w:rFonts w:hint="eastAsia" w:eastAsia="黑体"/>
          <w:color w:val="auto"/>
          <w:sz w:val="24"/>
          <w:szCs w:val="24"/>
          <w:highlight w:val="none"/>
          <w:lang w:val="en-US" w:eastAsia="zh-CN"/>
        </w:rPr>
        <w:t>5</w:t>
      </w:r>
      <w:r>
        <w:rPr>
          <w:rFonts w:hint="eastAsia" w:eastAsia="黑体"/>
          <w:color w:val="auto"/>
          <w:sz w:val="24"/>
          <w:szCs w:val="24"/>
          <w:highlight w:val="none"/>
        </w:rPr>
        <w:t xml:space="preserve"> </w:t>
      </w:r>
      <w:r>
        <w:rPr>
          <w:rFonts w:hint="eastAsia" w:eastAsia="黑体"/>
          <w:color w:val="auto"/>
          <w:sz w:val="24"/>
          <w:szCs w:val="24"/>
          <w:highlight w:val="none"/>
          <w:lang w:val="en-US" w:eastAsia="zh-CN"/>
        </w:rPr>
        <w:t xml:space="preserve"> </w:t>
      </w:r>
      <w:r>
        <w:rPr>
          <w:rFonts w:hint="eastAsia" w:eastAsia="黑体"/>
          <w:color w:val="auto"/>
          <w:sz w:val="24"/>
          <w:szCs w:val="24"/>
          <w:highlight w:val="none"/>
        </w:rPr>
        <w:t>项目产污环节汇总一览表</w:t>
      </w:r>
    </w:p>
    <w:tbl>
      <w:tblPr>
        <w:tblStyle w:val="36"/>
        <w:tblW w:w="9230" w:type="dxa"/>
        <w:jc w:val="center"/>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726"/>
        <w:gridCol w:w="759"/>
        <w:gridCol w:w="1212"/>
        <w:gridCol w:w="2228"/>
        <w:gridCol w:w="1487"/>
        <w:gridCol w:w="2818"/>
      </w:tblGrid>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726" w:type="dxa"/>
            <w:vAlign w:val="center"/>
          </w:tcPr>
          <w:p>
            <w:pPr>
              <w:spacing w:line="280" w:lineRule="exact"/>
              <w:jc w:val="center"/>
              <w:rPr>
                <w:b/>
                <w:color w:val="auto"/>
                <w:szCs w:val="21"/>
                <w:highlight w:val="none"/>
              </w:rPr>
            </w:pPr>
            <w:r>
              <w:rPr>
                <w:b/>
                <w:color w:val="auto"/>
                <w:szCs w:val="21"/>
                <w:highlight w:val="none"/>
              </w:rPr>
              <w:t>因素</w:t>
            </w:r>
          </w:p>
        </w:tc>
        <w:tc>
          <w:tcPr>
            <w:tcW w:w="759" w:type="dxa"/>
            <w:vAlign w:val="center"/>
          </w:tcPr>
          <w:p>
            <w:pPr>
              <w:spacing w:line="280" w:lineRule="exact"/>
              <w:jc w:val="center"/>
              <w:rPr>
                <w:b/>
                <w:color w:val="auto"/>
                <w:szCs w:val="21"/>
                <w:highlight w:val="none"/>
              </w:rPr>
            </w:pPr>
            <w:r>
              <w:rPr>
                <w:b/>
                <w:color w:val="auto"/>
                <w:szCs w:val="21"/>
                <w:highlight w:val="none"/>
              </w:rPr>
              <w:t>编号</w:t>
            </w:r>
          </w:p>
        </w:tc>
        <w:tc>
          <w:tcPr>
            <w:tcW w:w="1212" w:type="dxa"/>
            <w:vAlign w:val="center"/>
          </w:tcPr>
          <w:p>
            <w:pPr>
              <w:spacing w:line="280" w:lineRule="exact"/>
              <w:jc w:val="center"/>
              <w:rPr>
                <w:b/>
                <w:color w:val="auto"/>
                <w:szCs w:val="21"/>
                <w:highlight w:val="none"/>
              </w:rPr>
            </w:pPr>
            <w:r>
              <w:rPr>
                <w:b/>
                <w:color w:val="auto"/>
                <w:szCs w:val="21"/>
                <w:highlight w:val="none"/>
              </w:rPr>
              <w:t>名称</w:t>
            </w:r>
          </w:p>
        </w:tc>
        <w:tc>
          <w:tcPr>
            <w:tcW w:w="2228" w:type="dxa"/>
            <w:vAlign w:val="center"/>
          </w:tcPr>
          <w:p>
            <w:pPr>
              <w:spacing w:line="280" w:lineRule="exact"/>
              <w:jc w:val="center"/>
              <w:rPr>
                <w:b/>
                <w:color w:val="auto"/>
                <w:szCs w:val="21"/>
                <w:highlight w:val="none"/>
              </w:rPr>
            </w:pPr>
            <w:r>
              <w:rPr>
                <w:b/>
                <w:color w:val="auto"/>
                <w:szCs w:val="21"/>
                <w:highlight w:val="none"/>
              </w:rPr>
              <w:t>排放源或产污工序</w:t>
            </w:r>
          </w:p>
        </w:tc>
        <w:tc>
          <w:tcPr>
            <w:tcW w:w="1487" w:type="dxa"/>
            <w:vAlign w:val="center"/>
          </w:tcPr>
          <w:p>
            <w:pPr>
              <w:spacing w:line="280" w:lineRule="exact"/>
              <w:jc w:val="center"/>
              <w:rPr>
                <w:b/>
                <w:color w:val="auto"/>
                <w:szCs w:val="21"/>
                <w:highlight w:val="none"/>
              </w:rPr>
            </w:pPr>
            <w:r>
              <w:rPr>
                <w:b/>
                <w:color w:val="auto"/>
                <w:szCs w:val="21"/>
                <w:highlight w:val="none"/>
              </w:rPr>
              <w:t>主要污染物</w:t>
            </w:r>
          </w:p>
        </w:tc>
        <w:tc>
          <w:tcPr>
            <w:tcW w:w="2818" w:type="dxa"/>
            <w:vAlign w:val="center"/>
          </w:tcPr>
          <w:p>
            <w:pPr>
              <w:spacing w:line="280" w:lineRule="exact"/>
              <w:jc w:val="center"/>
              <w:rPr>
                <w:b/>
                <w:color w:val="auto"/>
                <w:szCs w:val="21"/>
                <w:highlight w:val="none"/>
              </w:rPr>
            </w:pPr>
            <w:r>
              <w:rPr>
                <w:b/>
                <w:color w:val="auto"/>
                <w:szCs w:val="21"/>
                <w:highlight w:val="none"/>
              </w:rPr>
              <w:t>环保措施</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420" w:hRule="atLeast"/>
          <w:jc w:val="center"/>
        </w:trPr>
        <w:tc>
          <w:tcPr>
            <w:tcW w:w="726" w:type="dxa"/>
            <w:vMerge w:val="restart"/>
            <w:vAlign w:val="center"/>
          </w:tcPr>
          <w:p>
            <w:pPr>
              <w:spacing w:line="280" w:lineRule="exact"/>
              <w:jc w:val="center"/>
              <w:rPr>
                <w:color w:val="auto"/>
                <w:szCs w:val="21"/>
                <w:highlight w:val="none"/>
              </w:rPr>
            </w:pPr>
            <w:r>
              <w:rPr>
                <w:color w:val="auto"/>
                <w:szCs w:val="21"/>
                <w:highlight w:val="none"/>
              </w:rPr>
              <w:t>废水</w:t>
            </w:r>
          </w:p>
        </w:tc>
        <w:tc>
          <w:tcPr>
            <w:tcW w:w="759" w:type="dxa"/>
            <w:vAlign w:val="center"/>
          </w:tcPr>
          <w:p>
            <w:pPr>
              <w:spacing w:line="280" w:lineRule="exact"/>
              <w:jc w:val="center"/>
              <w:rPr>
                <w:color w:val="auto"/>
                <w:szCs w:val="21"/>
                <w:highlight w:val="none"/>
              </w:rPr>
            </w:pPr>
            <w:r>
              <w:rPr>
                <w:color w:val="auto"/>
                <w:szCs w:val="21"/>
                <w:highlight w:val="none"/>
              </w:rPr>
              <w:t>W</w:t>
            </w:r>
            <w:r>
              <w:rPr>
                <w:color w:val="auto"/>
                <w:szCs w:val="21"/>
                <w:highlight w:val="none"/>
                <w:vertAlign w:val="baseline"/>
              </w:rPr>
              <w:t>1</w:t>
            </w:r>
          </w:p>
        </w:tc>
        <w:tc>
          <w:tcPr>
            <w:tcW w:w="1212" w:type="dxa"/>
            <w:vAlign w:val="center"/>
          </w:tcPr>
          <w:p>
            <w:pPr>
              <w:spacing w:line="280" w:lineRule="exact"/>
              <w:jc w:val="center"/>
              <w:rPr>
                <w:color w:val="auto"/>
                <w:szCs w:val="21"/>
                <w:highlight w:val="none"/>
              </w:rPr>
            </w:pPr>
            <w:r>
              <w:rPr>
                <w:color w:val="auto"/>
                <w:szCs w:val="21"/>
                <w:highlight w:val="none"/>
              </w:rPr>
              <w:t>综合废水</w:t>
            </w:r>
          </w:p>
        </w:tc>
        <w:tc>
          <w:tcPr>
            <w:tcW w:w="2228" w:type="dxa"/>
            <w:vAlign w:val="center"/>
          </w:tcPr>
          <w:p>
            <w:pPr>
              <w:spacing w:line="280" w:lineRule="exact"/>
              <w:jc w:val="left"/>
              <w:rPr>
                <w:color w:val="auto"/>
                <w:szCs w:val="21"/>
                <w:highlight w:val="none"/>
              </w:rPr>
            </w:pPr>
            <w:r>
              <w:rPr>
                <w:color w:val="auto"/>
                <w:kern w:val="0"/>
                <w:sz w:val="21"/>
                <w:szCs w:val="21"/>
                <w:highlight w:val="none"/>
              </w:rPr>
              <w:t>除油、酸洗、活化、</w:t>
            </w:r>
            <w:r>
              <w:rPr>
                <w:rFonts w:hint="eastAsia"/>
                <w:color w:val="auto"/>
                <w:kern w:val="0"/>
                <w:sz w:val="21"/>
                <w:szCs w:val="21"/>
                <w:highlight w:val="none"/>
                <w:lang w:val="en-US" w:eastAsia="zh-CN"/>
              </w:rPr>
              <w:t>抛</w:t>
            </w:r>
            <w:r>
              <w:rPr>
                <w:color w:val="auto"/>
                <w:kern w:val="0"/>
                <w:sz w:val="21"/>
                <w:szCs w:val="21"/>
                <w:highlight w:val="none"/>
              </w:rPr>
              <w:t>光、</w:t>
            </w:r>
            <w:r>
              <w:rPr>
                <w:rFonts w:hint="eastAsia"/>
                <w:color w:val="auto"/>
                <w:kern w:val="0"/>
                <w:sz w:val="21"/>
                <w:szCs w:val="21"/>
                <w:highlight w:val="none"/>
                <w:lang w:val="en-US" w:eastAsia="zh-CN"/>
              </w:rPr>
              <w:t>还原</w:t>
            </w:r>
            <w:r>
              <w:rPr>
                <w:color w:val="auto"/>
                <w:kern w:val="0"/>
                <w:sz w:val="21"/>
                <w:szCs w:val="21"/>
                <w:highlight w:val="none"/>
              </w:rPr>
              <w:t>、</w:t>
            </w:r>
            <w:r>
              <w:rPr>
                <w:rFonts w:hint="eastAsia"/>
                <w:color w:val="auto"/>
                <w:kern w:val="0"/>
                <w:sz w:val="21"/>
                <w:szCs w:val="21"/>
                <w:highlight w:val="none"/>
                <w:lang w:val="en-US" w:eastAsia="zh-CN"/>
              </w:rPr>
              <w:t>氯</w:t>
            </w:r>
            <w:r>
              <w:rPr>
                <w:color w:val="auto"/>
                <w:kern w:val="0"/>
                <w:sz w:val="21"/>
                <w:szCs w:val="21"/>
                <w:highlight w:val="none"/>
              </w:rPr>
              <w:t>化、镀锌、</w:t>
            </w:r>
            <w:r>
              <w:rPr>
                <w:rFonts w:hint="eastAsia"/>
                <w:color w:val="auto"/>
                <w:kern w:val="0"/>
                <w:sz w:val="21"/>
                <w:szCs w:val="21"/>
                <w:highlight w:val="none"/>
                <w:lang w:eastAsia="zh-CN"/>
              </w:rPr>
              <w:t>镀银、</w:t>
            </w:r>
            <w:r>
              <w:rPr>
                <w:rFonts w:hint="eastAsia"/>
                <w:color w:val="auto"/>
                <w:kern w:val="0"/>
                <w:sz w:val="21"/>
                <w:szCs w:val="21"/>
                <w:highlight w:val="none"/>
                <w:lang w:val="en-US" w:eastAsia="zh-CN"/>
              </w:rPr>
              <w:t>镀铜</w:t>
            </w:r>
            <w:r>
              <w:rPr>
                <w:color w:val="auto"/>
                <w:kern w:val="0"/>
                <w:sz w:val="21"/>
                <w:szCs w:val="21"/>
                <w:highlight w:val="none"/>
              </w:rPr>
              <w:t>等后续的水洗工序</w:t>
            </w:r>
            <w:r>
              <w:rPr>
                <w:color w:val="auto"/>
                <w:szCs w:val="21"/>
                <w:highlight w:val="none"/>
              </w:rPr>
              <w:t>，酸雾净化塔废水</w:t>
            </w:r>
          </w:p>
        </w:tc>
        <w:tc>
          <w:tcPr>
            <w:tcW w:w="1487" w:type="dxa"/>
            <w:vAlign w:val="center"/>
          </w:tcPr>
          <w:p>
            <w:pPr>
              <w:spacing w:line="360" w:lineRule="exact"/>
              <w:jc w:val="both"/>
              <w:rPr>
                <w:rFonts w:hint="default" w:eastAsia="宋体"/>
                <w:color w:val="auto"/>
                <w:szCs w:val="21"/>
                <w:highlight w:val="none"/>
                <w:lang w:val="en-US" w:eastAsia="zh-CN"/>
              </w:rPr>
            </w:pPr>
            <w:r>
              <w:rPr>
                <w:color w:val="auto"/>
                <w:szCs w:val="21"/>
                <w:highlight w:val="none"/>
              </w:rPr>
              <w:t>pH、COD</w:t>
            </w:r>
            <w:r>
              <w:rPr>
                <w:color w:val="auto"/>
                <w:szCs w:val="21"/>
                <w:highlight w:val="none"/>
                <w:vertAlign w:val="subscript"/>
              </w:rPr>
              <w:t>Cr</w:t>
            </w:r>
            <w:r>
              <w:rPr>
                <w:color w:val="auto"/>
                <w:szCs w:val="21"/>
                <w:highlight w:val="none"/>
              </w:rPr>
              <w:t>、石油类、总锌、</w:t>
            </w:r>
            <w:r>
              <w:rPr>
                <w:rFonts w:hint="eastAsia"/>
                <w:color w:val="auto"/>
                <w:szCs w:val="21"/>
                <w:highlight w:val="none"/>
                <w:lang w:val="en-US" w:eastAsia="zh-CN"/>
              </w:rPr>
              <w:t>总铜、总银、总锡</w:t>
            </w:r>
          </w:p>
        </w:tc>
        <w:tc>
          <w:tcPr>
            <w:tcW w:w="2818" w:type="dxa"/>
            <w:vAlign w:val="center"/>
          </w:tcPr>
          <w:p>
            <w:pPr>
              <w:spacing w:line="280" w:lineRule="exact"/>
              <w:jc w:val="both"/>
              <w:rPr>
                <w:rFonts w:hint="eastAsia" w:eastAsia="宋体"/>
                <w:color w:val="auto"/>
                <w:szCs w:val="21"/>
                <w:highlight w:val="none"/>
                <w:lang w:eastAsia="zh-CN"/>
              </w:rPr>
            </w:pPr>
            <w:r>
              <w:rPr>
                <w:color w:val="auto"/>
                <w:kern w:val="0"/>
                <w:sz w:val="21"/>
                <w:szCs w:val="21"/>
                <w:highlight w:val="none"/>
              </w:rPr>
              <w:t>各车间综合废水汇入</w:t>
            </w:r>
            <w:r>
              <w:rPr>
                <w:rFonts w:hint="eastAsia"/>
                <w:color w:val="auto"/>
                <w:kern w:val="0"/>
                <w:sz w:val="21"/>
                <w:szCs w:val="21"/>
                <w:highlight w:val="none"/>
                <w:lang w:val="en-US" w:eastAsia="zh-CN"/>
              </w:rPr>
              <w:t>车间</w:t>
            </w:r>
            <w:r>
              <w:rPr>
                <w:color w:val="auto"/>
                <w:kern w:val="0"/>
                <w:sz w:val="21"/>
                <w:szCs w:val="21"/>
                <w:highlight w:val="none"/>
              </w:rPr>
              <w:t>污水池</w:t>
            </w:r>
            <w:r>
              <w:rPr>
                <w:rFonts w:hint="eastAsia"/>
                <w:color w:val="auto"/>
                <w:kern w:val="0"/>
                <w:sz w:val="21"/>
                <w:szCs w:val="21"/>
                <w:highlight w:val="none"/>
                <w:lang w:eastAsia="zh-CN"/>
              </w:rPr>
              <w:t>(</w:t>
            </w:r>
            <w:r>
              <w:rPr>
                <w:color w:val="auto"/>
                <w:kern w:val="0"/>
                <w:sz w:val="21"/>
                <w:szCs w:val="21"/>
                <w:highlight w:val="none"/>
              </w:rPr>
              <w:t>综合池</w:t>
            </w:r>
            <w:r>
              <w:rPr>
                <w:rFonts w:hint="eastAsia"/>
                <w:color w:val="auto"/>
                <w:kern w:val="0"/>
                <w:sz w:val="21"/>
                <w:szCs w:val="21"/>
                <w:highlight w:val="none"/>
                <w:lang w:eastAsia="zh-CN"/>
              </w:rPr>
              <w:t>)</w:t>
            </w:r>
            <w:r>
              <w:rPr>
                <w:color w:val="auto"/>
                <w:kern w:val="0"/>
                <w:sz w:val="21"/>
                <w:szCs w:val="21"/>
                <w:highlight w:val="none"/>
              </w:rPr>
              <w:t>暂存，然后通过</w:t>
            </w:r>
            <w:r>
              <w:rPr>
                <w:color w:val="auto"/>
                <w:szCs w:val="21"/>
                <w:highlight w:val="none"/>
              </w:rPr>
              <w:t>综合废水管道进入</w:t>
            </w:r>
            <w:r>
              <w:rPr>
                <w:rFonts w:hint="eastAsia"/>
                <w:color w:val="auto"/>
                <w:szCs w:val="21"/>
                <w:highlight w:val="none"/>
                <w:lang w:val="en-US" w:eastAsia="zh-CN"/>
              </w:rPr>
              <w:t>园区</w:t>
            </w:r>
            <w:r>
              <w:rPr>
                <w:color w:val="auto"/>
                <w:szCs w:val="21"/>
                <w:highlight w:val="none"/>
              </w:rPr>
              <w:t>污水站综合废水系统</w:t>
            </w:r>
            <w:r>
              <w:rPr>
                <w:rFonts w:hint="eastAsia"/>
                <w:color w:val="auto"/>
                <w:szCs w:val="21"/>
                <w:highlight w:val="none"/>
                <w:lang w:eastAsia="zh-CN"/>
              </w:rPr>
              <w:t>。</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726" w:type="dxa"/>
            <w:vMerge w:val="continue"/>
            <w:vAlign w:val="center"/>
          </w:tcPr>
          <w:p>
            <w:pPr>
              <w:spacing w:line="280" w:lineRule="exact"/>
              <w:jc w:val="center"/>
              <w:rPr>
                <w:color w:val="auto"/>
                <w:szCs w:val="21"/>
                <w:highlight w:val="none"/>
              </w:rPr>
            </w:pPr>
          </w:p>
        </w:tc>
        <w:tc>
          <w:tcPr>
            <w:tcW w:w="759" w:type="dxa"/>
            <w:vAlign w:val="center"/>
          </w:tcPr>
          <w:p>
            <w:pPr>
              <w:spacing w:line="280" w:lineRule="exact"/>
              <w:jc w:val="center"/>
              <w:rPr>
                <w:color w:val="auto"/>
                <w:szCs w:val="21"/>
                <w:highlight w:val="none"/>
              </w:rPr>
            </w:pPr>
            <w:r>
              <w:rPr>
                <w:color w:val="auto"/>
                <w:szCs w:val="21"/>
                <w:highlight w:val="none"/>
              </w:rPr>
              <w:t>W</w:t>
            </w:r>
            <w:r>
              <w:rPr>
                <w:color w:val="auto"/>
                <w:szCs w:val="21"/>
                <w:highlight w:val="none"/>
                <w:vertAlign w:val="baseline"/>
              </w:rPr>
              <w:t>2</w:t>
            </w:r>
          </w:p>
        </w:tc>
        <w:tc>
          <w:tcPr>
            <w:tcW w:w="1212" w:type="dxa"/>
            <w:vAlign w:val="center"/>
          </w:tcPr>
          <w:p>
            <w:pPr>
              <w:spacing w:line="280" w:lineRule="exact"/>
              <w:jc w:val="center"/>
              <w:rPr>
                <w:color w:val="auto"/>
                <w:szCs w:val="21"/>
                <w:highlight w:val="none"/>
              </w:rPr>
            </w:pPr>
            <w:r>
              <w:rPr>
                <w:color w:val="auto"/>
                <w:szCs w:val="21"/>
                <w:highlight w:val="none"/>
              </w:rPr>
              <w:t>含铬废水</w:t>
            </w:r>
          </w:p>
        </w:tc>
        <w:tc>
          <w:tcPr>
            <w:tcW w:w="2228" w:type="dxa"/>
            <w:vAlign w:val="center"/>
          </w:tcPr>
          <w:p>
            <w:pPr>
              <w:spacing w:line="280" w:lineRule="exact"/>
              <w:jc w:val="center"/>
              <w:rPr>
                <w:rFonts w:hint="eastAsia" w:eastAsia="宋体"/>
                <w:color w:val="auto"/>
                <w:szCs w:val="21"/>
                <w:highlight w:val="none"/>
                <w:lang w:eastAsia="zh-CN"/>
              </w:rPr>
            </w:pPr>
            <w:r>
              <w:rPr>
                <w:color w:val="auto"/>
                <w:kern w:val="0"/>
                <w:sz w:val="21"/>
                <w:szCs w:val="21"/>
                <w:highlight w:val="none"/>
              </w:rPr>
              <w:t>镀铬、含铬钝化</w:t>
            </w:r>
            <w:r>
              <w:rPr>
                <w:rFonts w:hint="eastAsia"/>
                <w:color w:val="auto"/>
                <w:kern w:val="0"/>
                <w:sz w:val="21"/>
                <w:szCs w:val="21"/>
                <w:highlight w:val="none"/>
                <w:lang w:eastAsia="zh-CN"/>
              </w:rPr>
              <w:t>、</w:t>
            </w:r>
            <w:r>
              <w:rPr>
                <w:rFonts w:hint="eastAsia"/>
                <w:color w:val="auto"/>
                <w:kern w:val="0"/>
                <w:sz w:val="21"/>
                <w:szCs w:val="21"/>
                <w:highlight w:val="none"/>
                <w:lang w:val="en-US" w:eastAsia="zh-CN"/>
              </w:rPr>
              <w:t>粗化</w:t>
            </w:r>
            <w:r>
              <w:rPr>
                <w:color w:val="auto"/>
                <w:kern w:val="0"/>
                <w:sz w:val="21"/>
                <w:szCs w:val="21"/>
                <w:highlight w:val="none"/>
              </w:rPr>
              <w:t>后续水洗工序</w:t>
            </w:r>
            <w:r>
              <w:rPr>
                <w:rFonts w:hint="eastAsia"/>
                <w:color w:val="auto"/>
                <w:kern w:val="0"/>
                <w:sz w:val="21"/>
                <w:szCs w:val="21"/>
                <w:highlight w:val="none"/>
                <w:lang w:eastAsia="zh-CN"/>
              </w:rPr>
              <w:t>、</w:t>
            </w:r>
            <w:r>
              <w:rPr>
                <w:color w:val="auto"/>
                <w:kern w:val="0"/>
                <w:sz w:val="21"/>
                <w:szCs w:val="21"/>
                <w:highlight w:val="none"/>
              </w:rPr>
              <w:t>铬酸雾净化塔</w:t>
            </w:r>
          </w:p>
        </w:tc>
        <w:tc>
          <w:tcPr>
            <w:tcW w:w="1487" w:type="dxa"/>
            <w:vAlign w:val="center"/>
          </w:tcPr>
          <w:p>
            <w:pPr>
              <w:spacing w:line="280" w:lineRule="exact"/>
              <w:jc w:val="center"/>
              <w:rPr>
                <w:color w:val="auto"/>
                <w:szCs w:val="21"/>
                <w:highlight w:val="none"/>
              </w:rPr>
            </w:pPr>
            <w:r>
              <w:rPr>
                <w:color w:val="auto"/>
                <w:kern w:val="0"/>
                <w:sz w:val="21"/>
                <w:szCs w:val="21"/>
                <w:highlight w:val="none"/>
              </w:rPr>
              <w:t>pH、六价铬、总铬</w:t>
            </w:r>
          </w:p>
        </w:tc>
        <w:tc>
          <w:tcPr>
            <w:tcW w:w="2818" w:type="dxa"/>
            <w:vAlign w:val="center"/>
          </w:tcPr>
          <w:p>
            <w:pPr>
              <w:spacing w:line="280" w:lineRule="exact"/>
              <w:jc w:val="both"/>
              <w:rPr>
                <w:color w:val="auto"/>
                <w:szCs w:val="21"/>
                <w:highlight w:val="none"/>
              </w:rPr>
            </w:pPr>
            <w:r>
              <w:rPr>
                <w:color w:val="auto"/>
                <w:kern w:val="0"/>
                <w:sz w:val="21"/>
                <w:szCs w:val="21"/>
                <w:highlight w:val="none"/>
              </w:rPr>
              <w:t>各车间</w:t>
            </w:r>
            <w:r>
              <w:rPr>
                <w:rFonts w:hint="eastAsia"/>
                <w:color w:val="auto"/>
                <w:kern w:val="0"/>
                <w:sz w:val="21"/>
                <w:szCs w:val="21"/>
                <w:highlight w:val="none"/>
                <w:lang w:val="en-US" w:eastAsia="zh-CN"/>
              </w:rPr>
              <w:t>含铬</w:t>
            </w:r>
            <w:r>
              <w:rPr>
                <w:color w:val="auto"/>
                <w:kern w:val="0"/>
                <w:sz w:val="21"/>
                <w:szCs w:val="21"/>
                <w:highlight w:val="none"/>
              </w:rPr>
              <w:t>废水汇入</w:t>
            </w:r>
            <w:r>
              <w:rPr>
                <w:rFonts w:hint="eastAsia"/>
                <w:color w:val="auto"/>
                <w:kern w:val="0"/>
                <w:sz w:val="21"/>
                <w:szCs w:val="21"/>
                <w:highlight w:val="none"/>
                <w:lang w:val="en-US" w:eastAsia="zh-CN"/>
              </w:rPr>
              <w:t>车间</w:t>
            </w:r>
            <w:r>
              <w:rPr>
                <w:color w:val="auto"/>
                <w:kern w:val="0"/>
                <w:sz w:val="21"/>
                <w:szCs w:val="21"/>
                <w:highlight w:val="none"/>
              </w:rPr>
              <w:t>污水池</w:t>
            </w:r>
            <w:r>
              <w:rPr>
                <w:rFonts w:hint="eastAsia"/>
                <w:color w:val="auto"/>
                <w:kern w:val="0"/>
                <w:sz w:val="21"/>
                <w:szCs w:val="21"/>
                <w:highlight w:val="none"/>
                <w:lang w:eastAsia="zh-CN"/>
              </w:rPr>
              <w:t>(</w:t>
            </w:r>
            <w:r>
              <w:rPr>
                <w:rFonts w:hint="eastAsia"/>
                <w:color w:val="auto"/>
                <w:kern w:val="0"/>
                <w:sz w:val="21"/>
                <w:szCs w:val="21"/>
                <w:highlight w:val="none"/>
                <w:lang w:val="en-US" w:eastAsia="zh-CN"/>
              </w:rPr>
              <w:t>含铬</w:t>
            </w:r>
            <w:r>
              <w:rPr>
                <w:color w:val="auto"/>
                <w:kern w:val="0"/>
                <w:sz w:val="21"/>
                <w:szCs w:val="21"/>
                <w:highlight w:val="none"/>
              </w:rPr>
              <w:t>池</w:t>
            </w:r>
            <w:r>
              <w:rPr>
                <w:rFonts w:hint="eastAsia"/>
                <w:color w:val="auto"/>
                <w:kern w:val="0"/>
                <w:sz w:val="21"/>
                <w:szCs w:val="21"/>
                <w:highlight w:val="none"/>
                <w:lang w:eastAsia="zh-CN"/>
              </w:rPr>
              <w:t>)</w:t>
            </w:r>
            <w:r>
              <w:rPr>
                <w:color w:val="auto"/>
                <w:kern w:val="0"/>
                <w:sz w:val="21"/>
                <w:szCs w:val="21"/>
                <w:highlight w:val="none"/>
              </w:rPr>
              <w:t>暂存，然后通过</w:t>
            </w:r>
            <w:r>
              <w:rPr>
                <w:rFonts w:hint="eastAsia"/>
                <w:color w:val="auto"/>
                <w:kern w:val="0"/>
                <w:sz w:val="21"/>
                <w:szCs w:val="21"/>
                <w:highlight w:val="none"/>
                <w:lang w:val="en-US" w:eastAsia="zh-CN"/>
              </w:rPr>
              <w:t>含铬</w:t>
            </w:r>
            <w:r>
              <w:rPr>
                <w:color w:val="auto"/>
                <w:szCs w:val="21"/>
                <w:highlight w:val="none"/>
              </w:rPr>
              <w:t>废水管道进入</w:t>
            </w:r>
            <w:r>
              <w:rPr>
                <w:rFonts w:hint="eastAsia"/>
                <w:color w:val="auto"/>
                <w:szCs w:val="21"/>
                <w:highlight w:val="none"/>
                <w:lang w:val="en-US" w:eastAsia="zh-CN"/>
              </w:rPr>
              <w:t>园区</w:t>
            </w:r>
            <w:r>
              <w:rPr>
                <w:color w:val="auto"/>
                <w:szCs w:val="21"/>
                <w:highlight w:val="none"/>
              </w:rPr>
              <w:t>污水站</w:t>
            </w:r>
            <w:r>
              <w:rPr>
                <w:rFonts w:hint="eastAsia"/>
                <w:color w:val="auto"/>
                <w:szCs w:val="21"/>
                <w:highlight w:val="none"/>
                <w:lang w:val="en-US" w:eastAsia="zh-CN"/>
              </w:rPr>
              <w:t>含铬</w:t>
            </w:r>
            <w:r>
              <w:rPr>
                <w:color w:val="auto"/>
                <w:szCs w:val="21"/>
                <w:highlight w:val="none"/>
              </w:rPr>
              <w:t>废水系统</w:t>
            </w:r>
            <w:r>
              <w:rPr>
                <w:rFonts w:hint="eastAsia"/>
                <w:color w:val="auto"/>
                <w:szCs w:val="21"/>
                <w:highlight w:val="none"/>
                <w:lang w:eastAsia="zh-CN"/>
              </w:rPr>
              <w:t>。</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726" w:type="dxa"/>
            <w:vMerge w:val="continue"/>
            <w:vAlign w:val="center"/>
          </w:tcPr>
          <w:p>
            <w:pPr>
              <w:spacing w:line="280" w:lineRule="exact"/>
              <w:jc w:val="center"/>
              <w:rPr>
                <w:color w:val="auto"/>
                <w:szCs w:val="21"/>
                <w:highlight w:val="none"/>
              </w:rPr>
            </w:pPr>
          </w:p>
        </w:tc>
        <w:tc>
          <w:tcPr>
            <w:tcW w:w="759" w:type="dxa"/>
            <w:vAlign w:val="center"/>
          </w:tcPr>
          <w:p>
            <w:pPr>
              <w:spacing w:line="280" w:lineRule="exact"/>
              <w:jc w:val="center"/>
              <w:rPr>
                <w:rFonts w:hint="eastAsia" w:eastAsia="宋体"/>
                <w:color w:val="auto"/>
                <w:szCs w:val="21"/>
                <w:highlight w:val="none"/>
                <w:lang w:eastAsia="zh-CN"/>
              </w:rPr>
            </w:pPr>
            <w:r>
              <w:rPr>
                <w:color w:val="auto"/>
                <w:szCs w:val="21"/>
                <w:highlight w:val="none"/>
              </w:rPr>
              <w:t>W</w:t>
            </w:r>
            <w:r>
              <w:rPr>
                <w:rFonts w:hint="eastAsia"/>
                <w:color w:val="auto"/>
                <w:szCs w:val="21"/>
                <w:highlight w:val="none"/>
                <w:vertAlign w:val="baseline"/>
                <w:lang w:val="en-US" w:eastAsia="zh-CN"/>
              </w:rPr>
              <w:t>3</w:t>
            </w:r>
          </w:p>
        </w:tc>
        <w:tc>
          <w:tcPr>
            <w:tcW w:w="1212" w:type="dxa"/>
            <w:vAlign w:val="center"/>
          </w:tcPr>
          <w:p>
            <w:pPr>
              <w:spacing w:line="280" w:lineRule="exact"/>
              <w:jc w:val="center"/>
              <w:rPr>
                <w:color w:val="auto"/>
                <w:szCs w:val="21"/>
                <w:highlight w:val="none"/>
              </w:rPr>
            </w:pPr>
            <w:r>
              <w:rPr>
                <w:color w:val="auto"/>
                <w:szCs w:val="21"/>
                <w:highlight w:val="none"/>
              </w:rPr>
              <w:t>含</w:t>
            </w:r>
            <w:r>
              <w:rPr>
                <w:rFonts w:hint="eastAsia"/>
                <w:color w:val="auto"/>
                <w:szCs w:val="21"/>
                <w:highlight w:val="none"/>
                <w:lang w:val="en-US" w:eastAsia="zh-CN"/>
              </w:rPr>
              <w:t>镍</w:t>
            </w:r>
            <w:r>
              <w:rPr>
                <w:color w:val="auto"/>
                <w:szCs w:val="21"/>
                <w:highlight w:val="none"/>
              </w:rPr>
              <w:t>废水</w:t>
            </w:r>
          </w:p>
        </w:tc>
        <w:tc>
          <w:tcPr>
            <w:tcW w:w="2228" w:type="dxa"/>
            <w:vAlign w:val="center"/>
          </w:tcPr>
          <w:p>
            <w:pPr>
              <w:spacing w:line="280" w:lineRule="exact"/>
              <w:jc w:val="center"/>
              <w:rPr>
                <w:color w:val="auto"/>
                <w:szCs w:val="21"/>
                <w:highlight w:val="none"/>
              </w:rPr>
            </w:pPr>
            <w:r>
              <w:rPr>
                <w:rFonts w:hint="eastAsia"/>
                <w:color w:val="auto"/>
                <w:kern w:val="0"/>
                <w:sz w:val="21"/>
                <w:szCs w:val="21"/>
                <w:highlight w:val="none"/>
                <w:lang w:val="en-US" w:eastAsia="zh-CN"/>
              </w:rPr>
              <w:t>预镀镍、</w:t>
            </w:r>
            <w:r>
              <w:rPr>
                <w:color w:val="auto"/>
                <w:kern w:val="0"/>
                <w:sz w:val="21"/>
                <w:szCs w:val="21"/>
                <w:highlight w:val="none"/>
              </w:rPr>
              <w:t>镀镍后续水洗工序</w:t>
            </w:r>
          </w:p>
        </w:tc>
        <w:tc>
          <w:tcPr>
            <w:tcW w:w="1487" w:type="dxa"/>
            <w:vAlign w:val="center"/>
          </w:tcPr>
          <w:p>
            <w:pPr>
              <w:spacing w:line="280" w:lineRule="exact"/>
              <w:jc w:val="center"/>
              <w:rPr>
                <w:color w:val="auto"/>
                <w:szCs w:val="21"/>
                <w:highlight w:val="none"/>
              </w:rPr>
            </w:pPr>
            <w:r>
              <w:rPr>
                <w:color w:val="auto"/>
                <w:kern w:val="0"/>
                <w:sz w:val="21"/>
                <w:szCs w:val="21"/>
                <w:highlight w:val="none"/>
              </w:rPr>
              <w:t>pH、总镍</w:t>
            </w:r>
          </w:p>
        </w:tc>
        <w:tc>
          <w:tcPr>
            <w:tcW w:w="2818" w:type="dxa"/>
            <w:vAlign w:val="center"/>
          </w:tcPr>
          <w:p>
            <w:pPr>
              <w:spacing w:line="280" w:lineRule="exact"/>
              <w:jc w:val="both"/>
              <w:rPr>
                <w:color w:val="auto"/>
                <w:szCs w:val="21"/>
                <w:highlight w:val="none"/>
              </w:rPr>
            </w:pPr>
            <w:r>
              <w:rPr>
                <w:color w:val="auto"/>
                <w:kern w:val="0"/>
                <w:sz w:val="21"/>
                <w:szCs w:val="21"/>
                <w:highlight w:val="none"/>
              </w:rPr>
              <w:t>各车间</w:t>
            </w:r>
            <w:r>
              <w:rPr>
                <w:rFonts w:hint="eastAsia"/>
                <w:color w:val="auto"/>
                <w:kern w:val="0"/>
                <w:sz w:val="21"/>
                <w:szCs w:val="21"/>
                <w:highlight w:val="none"/>
                <w:lang w:val="en-US" w:eastAsia="zh-CN"/>
              </w:rPr>
              <w:t>含镍</w:t>
            </w:r>
            <w:r>
              <w:rPr>
                <w:color w:val="auto"/>
                <w:kern w:val="0"/>
                <w:sz w:val="21"/>
                <w:szCs w:val="21"/>
                <w:highlight w:val="none"/>
              </w:rPr>
              <w:t>废水汇入企业污水池</w:t>
            </w:r>
            <w:r>
              <w:rPr>
                <w:rFonts w:hint="eastAsia"/>
                <w:color w:val="auto"/>
                <w:kern w:val="0"/>
                <w:sz w:val="21"/>
                <w:szCs w:val="21"/>
                <w:highlight w:val="none"/>
                <w:lang w:eastAsia="zh-CN"/>
              </w:rPr>
              <w:t>(</w:t>
            </w:r>
            <w:r>
              <w:rPr>
                <w:rFonts w:hint="eastAsia"/>
                <w:color w:val="auto"/>
                <w:kern w:val="0"/>
                <w:sz w:val="21"/>
                <w:szCs w:val="21"/>
                <w:highlight w:val="none"/>
                <w:lang w:val="en-US" w:eastAsia="zh-CN"/>
              </w:rPr>
              <w:t>含镍</w:t>
            </w:r>
            <w:r>
              <w:rPr>
                <w:color w:val="auto"/>
                <w:kern w:val="0"/>
                <w:sz w:val="21"/>
                <w:szCs w:val="21"/>
                <w:highlight w:val="none"/>
              </w:rPr>
              <w:t>池</w:t>
            </w:r>
            <w:r>
              <w:rPr>
                <w:rFonts w:hint="eastAsia"/>
                <w:color w:val="auto"/>
                <w:kern w:val="0"/>
                <w:sz w:val="21"/>
                <w:szCs w:val="21"/>
                <w:highlight w:val="none"/>
                <w:lang w:eastAsia="zh-CN"/>
              </w:rPr>
              <w:t>)</w:t>
            </w:r>
            <w:r>
              <w:rPr>
                <w:color w:val="auto"/>
                <w:kern w:val="0"/>
                <w:sz w:val="21"/>
                <w:szCs w:val="21"/>
                <w:highlight w:val="none"/>
              </w:rPr>
              <w:t>暂存，然后通过</w:t>
            </w:r>
            <w:r>
              <w:rPr>
                <w:rFonts w:hint="eastAsia"/>
                <w:color w:val="auto"/>
                <w:kern w:val="0"/>
                <w:sz w:val="21"/>
                <w:szCs w:val="21"/>
                <w:highlight w:val="none"/>
                <w:lang w:val="en-US" w:eastAsia="zh-CN"/>
              </w:rPr>
              <w:t>含镍</w:t>
            </w:r>
            <w:r>
              <w:rPr>
                <w:color w:val="auto"/>
                <w:szCs w:val="21"/>
                <w:highlight w:val="none"/>
              </w:rPr>
              <w:t>废水管道进入</w:t>
            </w:r>
            <w:r>
              <w:rPr>
                <w:rFonts w:hint="eastAsia"/>
                <w:color w:val="auto"/>
                <w:szCs w:val="21"/>
                <w:highlight w:val="none"/>
                <w:lang w:val="en-US" w:eastAsia="zh-CN"/>
              </w:rPr>
              <w:t>园区</w:t>
            </w:r>
            <w:r>
              <w:rPr>
                <w:color w:val="auto"/>
                <w:szCs w:val="21"/>
                <w:highlight w:val="none"/>
              </w:rPr>
              <w:t>污水站</w:t>
            </w:r>
            <w:r>
              <w:rPr>
                <w:rFonts w:hint="eastAsia"/>
                <w:color w:val="auto"/>
                <w:kern w:val="0"/>
                <w:sz w:val="21"/>
                <w:szCs w:val="21"/>
                <w:highlight w:val="none"/>
                <w:lang w:val="en-US" w:eastAsia="zh-CN"/>
              </w:rPr>
              <w:t>含镍</w:t>
            </w:r>
            <w:r>
              <w:rPr>
                <w:color w:val="auto"/>
                <w:szCs w:val="21"/>
                <w:highlight w:val="none"/>
              </w:rPr>
              <w:t>废水系统</w:t>
            </w:r>
            <w:r>
              <w:rPr>
                <w:rFonts w:hint="eastAsia"/>
                <w:color w:val="auto"/>
                <w:szCs w:val="21"/>
                <w:highlight w:val="none"/>
                <w:lang w:eastAsia="zh-CN"/>
              </w:rPr>
              <w:t>。</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726" w:type="dxa"/>
            <w:vMerge w:val="continue"/>
            <w:vAlign w:val="center"/>
          </w:tcPr>
          <w:p>
            <w:pPr>
              <w:spacing w:line="280" w:lineRule="exact"/>
              <w:jc w:val="center"/>
              <w:rPr>
                <w:color w:val="auto"/>
                <w:szCs w:val="21"/>
                <w:highlight w:val="none"/>
              </w:rPr>
            </w:pPr>
          </w:p>
        </w:tc>
        <w:tc>
          <w:tcPr>
            <w:tcW w:w="759" w:type="dxa"/>
            <w:vAlign w:val="center"/>
          </w:tcPr>
          <w:p>
            <w:pPr>
              <w:spacing w:line="280" w:lineRule="exact"/>
              <w:jc w:val="center"/>
              <w:rPr>
                <w:rFonts w:hint="eastAsia" w:eastAsia="宋体"/>
                <w:color w:val="auto"/>
                <w:szCs w:val="21"/>
                <w:highlight w:val="none"/>
                <w:lang w:eastAsia="zh-CN"/>
              </w:rPr>
            </w:pPr>
            <w:r>
              <w:rPr>
                <w:color w:val="auto"/>
                <w:szCs w:val="21"/>
                <w:highlight w:val="none"/>
              </w:rPr>
              <w:t>W</w:t>
            </w:r>
            <w:r>
              <w:rPr>
                <w:rFonts w:hint="eastAsia"/>
                <w:color w:val="auto"/>
                <w:szCs w:val="21"/>
                <w:highlight w:val="none"/>
                <w:vertAlign w:val="baseline"/>
                <w:lang w:val="en-US" w:eastAsia="zh-CN"/>
              </w:rPr>
              <w:t>4</w:t>
            </w:r>
          </w:p>
        </w:tc>
        <w:tc>
          <w:tcPr>
            <w:tcW w:w="1212" w:type="dxa"/>
            <w:vAlign w:val="center"/>
          </w:tcPr>
          <w:p>
            <w:pPr>
              <w:spacing w:line="280" w:lineRule="exact"/>
              <w:jc w:val="center"/>
              <w:rPr>
                <w:color w:val="auto"/>
                <w:szCs w:val="21"/>
                <w:highlight w:val="none"/>
              </w:rPr>
            </w:pPr>
            <w:r>
              <w:rPr>
                <w:color w:val="auto"/>
                <w:szCs w:val="21"/>
                <w:highlight w:val="none"/>
              </w:rPr>
              <w:t>生活污水</w:t>
            </w:r>
          </w:p>
        </w:tc>
        <w:tc>
          <w:tcPr>
            <w:tcW w:w="2228" w:type="dxa"/>
            <w:vAlign w:val="center"/>
          </w:tcPr>
          <w:p>
            <w:pPr>
              <w:spacing w:line="280" w:lineRule="exact"/>
              <w:jc w:val="center"/>
              <w:rPr>
                <w:color w:val="auto"/>
                <w:szCs w:val="21"/>
                <w:highlight w:val="none"/>
              </w:rPr>
            </w:pPr>
            <w:r>
              <w:rPr>
                <w:color w:val="auto"/>
                <w:szCs w:val="21"/>
                <w:highlight w:val="none"/>
              </w:rPr>
              <w:t>职工生活</w:t>
            </w:r>
          </w:p>
        </w:tc>
        <w:tc>
          <w:tcPr>
            <w:tcW w:w="1487" w:type="dxa"/>
            <w:vAlign w:val="center"/>
          </w:tcPr>
          <w:p>
            <w:pPr>
              <w:spacing w:line="280" w:lineRule="exact"/>
              <w:jc w:val="center"/>
              <w:rPr>
                <w:color w:val="auto"/>
                <w:szCs w:val="21"/>
                <w:highlight w:val="none"/>
              </w:rPr>
            </w:pPr>
            <w:r>
              <w:rPr>
                <w:color w:val="auto"/>
                <w:szCs w:val="21"/>
                <w:highlight w:val="none"/>
              </w:rPr>
              <w:t>COD</w:t>
            </w:r>
            <w:r>
              <w:rPr>
                <w:color w:val="auto"/>
                <w:szCs w:val="21"/>
                <w:highlight w:val="none"/>
                <w:vertAlign w:val="subscript"/>
              </w:rPr>
              <w:t>Cr</w:t>
            </w:r>
            <w:r>
              <w:rPr>
                <w:color w:val="auto"/>
                <w:szCs w:val="21"/>
                <w:highlight w:val="none"/>
              </w:rPr>
              <w:t>、氨氮、BOD、SS</w:t>
            </w:r>
          </w:p>
        </w:tc>
        <w:tc>
          <w:tcPr>
            <w:tcW w:w="2818" w:type="dxa"/>
            <w:vAlign w:val="center"/>
          </w:tcPr>
          <w:p>
            <w:pPr>
              <w:spacing w:line="280" w:lineRule="exact"/>
              <w:jc w:val="center"/>
              <w:rPr>
                <w:color w:val="auto"/>
                <w:szCs w:val="21"/>
                <w:highlight w:val="none"/>
              </w:rPr>
            </w:pPr>
            <w:r>
              <w:rPr>
                <w:color w:val="auto"/>
                <w:szCs w:val="21"/>
                <w:highlight w:val="none"/>
              </w:rPr>
              <w:t>直接排入市政污水管网</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726" w:type="dxa"/>
            <w:vMerge w:val="restart"/>
            <w:vAlign w:val="center"/>
          </w:tcPr>
          <w:p>
            <w:pPr>
              <w:spacing w:line="280" w:lineRule="exact"/>
              <w:jc w:val="center"/>
              <w:rPr>
                <w:color w:val="auto"/>
                <w:szCs w:val="21"/>
                <w:highlight w:val="none"/>
              </w:rPr>
            </w:pPr>
            <w:r>
              <w:rPr>
                <w:color w:val="auto"/>
                <w:szCs w:val="21"/>
                <w:highlight w:val="none"/>
              </w:rPr>
              <w:t>废气</w:t>
            </w:r>
          </w:p>
        </w:tc>
        <w:tc>
          <w:tcPr>
            <w:tcW w:w="759" w:type="dxa"/>
            <w:vAlign w:val="center"/>
          </w:tcPr>
          <w:p>
            <w:pPr>
              <w:spacing w:line="300" w:lineRule="exact"/>
              <w:jc w:val="center"/>
              <w:rPr>
                <w:color w:val="auto"/>
                <w:szCs w:val="21"/>
                <w:highlight w:val="none"/>
              </w:rPr>
            </w:pPr>
            <w:r>
              <w:rPr>
                <w:color w:val="auto"/>
                <w:szCs w:val="21"/>
                <w:highlight w:val="none"/>
              </w:rPr>
              <w:t>G1</w:t>
            </w:r>
          </w:p>
        </w:tc>
        <w:tc>
          <w:tcPr>
            <w:tcW w:w="1212" w:type="dxa"/>
            <w:vAlign w:val="center"/>
          </w:tcPr>
          <w:p>
            <w:pPr>
              <w:spacing w:line="300" w:lineRule="exact"/>
              <w:jc w:val="center"/>
              <w:rPr>
                <w:color w:val="auto"/>
                <w:szCs w:val="21"/>
                <w:highlight w:val="none"/>
              </w:rPr>
            </w:pPr>
            <w:r>
              <w:rPr>
                <w:color w:val="auto"/>
                <w:szCs w:val="21"/>
                <w:highlight w:val="none"/>
              </w:rPr>
              <w:t>酸碱雾</w:t>
            </w:r>
          </w:p>
        </w:tc>
        <w:tc>
          <w:tcPr>
            <w:tcW w:w="2228" w:type="dxa"/>
            <w:vAlign w:val="center"/>
          </w:tcPr>
          <w:p>
            <w:pPr>
              <w:spacing w:line="300" w:lineRule="exact"/>
              <w:jc w:val="center"/>
              <w:rPr>
                <w:color w:val="auto"/>
                <w:szCs w:val="21"/>
                <w:highlight w:val="none"/>
              </w:rPr>
            </w:pPr>
            <w:r>
              <w:rPr>
                <w:color w:val="auto"/>
                <w:szCs w:val="21"/>
                <w:highlight w:val="none"/>
              </w:rPr>
              <w:t>酸洗、活化</w:t>
            </w:r>
          </w:p>
          <w:p>
            <w:pPr>
              <w:spacing w:line="300" w:lineRule="exact"/>
              <w:jc w:val="center"/>
              <w:rPr>
                <w:color w:val="auto"/>
                <w:szCs w:val="21"/>
                <w:highlight w:val="none"/>
              </w:rPr>
            </w:pPr>
            <w:r>
              <w:rPr>
                <w:color w:val="auto"/>
                <w:szCs w:val="21"/>
                <w:highlight w:val="none"/>
              </w:rPr>
              <w:t>去油、</w:t>
            </w:r>
            <w:r>
              <w:rPr>
                <w:rFonts w:hint="eastAsia"/>
                <w:color w:val="auto"/>
                <w:szCs w:val="21"/>
                <w:highlight w:val="none"/>
                <w:lang w:val="en-US" w:eastAsia="zh-CN"/>
              </w:rPr>
              <w:t>镀酸铜、粗化、敏化、抛光、镀锡</w:t>
            </w:r>
          </w:p>
        </w:tc>
        <w:tc>
          <w:tcPr>
            <w:tcW w:w="1487" w:type="dxa"/>
            <w:vAlign w:val="center"/>
          </w:tcPr>
          <w:p>
            <w:pPr>
              <w:spacing w:line="300" w:lineRule="exact"/>
              <w:jc w:val="center"/>
              <w:rPr>
                <w:color w:val="auto"/>
                <w:szCs w:val="21"/>
                <w:highlight w:val="none"/>
              </w:rPr>
            </w:pPr>
            <w:r>
              <w:rPr>
                <w:color w:val="auto"/>
                <w:szCs w:val="21"/>
                <w:highlight w:val="none"/>
              </w:rPr>
              <w:t>氯化氢、硫酸雾、</w:t>
            </w:r>
            <w:r>
              <w:rPr>
                <w:rFonts w:hint="eastAsia"/>
                <w:color w:val="auto"/>
                <w:szCs w:val="21"/>
                <w:highlight w:val="none"/>
              </w:rPr>
              <w:t>甲基磺酸</w:t>
            </w:r>
            <w:r>
              <w:rPr>
                <w:rFonts w:hint="eastAsia"/>
                <w:color w:val="auto"/>
                <w:szCs w:val="21"/>
                <w:highlight w:val="none"/>
                <w:lang w:val="en-US" w:eastAsia="zh-CN"/>
              </w:rPr>
              <w:t>雾、氮氧化物、</w:t>
            </w:r>
            <w:r>
              <w:rPr>
                <w:color w:val="auto"/>
                <w:szCs w:val="21"/>
                <w:highlight w:val="none"/>
              </w:rPr>
              <w:t>碱雾</w:t>
            </w:r>
          </w:p>
        </w:tc>
        <w:tc>
          <w:tcPr>
            <w:tcW w:w="2818" w:type="dxa"/>
            <w:vAlign w:val="center"/>
          </w:tcPr>
          <w:p>
            <w:pPr>
              <w:spacing w:line="300" w:lineRule="exact"/>
              <w:jc w:val="both"/>
              <w:rPr>
                <w:color w:val="auto"/>
                <w:szCs w:val="21"/>
                <w:highlight w:val="none"/>
              </w:rPr>
            </w:pPr>
            <w:r>
              <w:rPr>
                <w:rFonts w:hint="eastAsia"/>
                <w:color w:val="auto"/>
                <w:szCs w:val="21"/>
                <w:highlight w:val="none"/>
              </w:rPr>
              <w:t>生产线在封闭罩内进行，酸碱雾</w:t>
            </w:r>
            <w:r>
              <w:rPr>
                <w:color w:val="auto"/>
                <w:szCs w:val="21"/>
                <w:highlight w:val="none"/>
              </w:rPr>
              <w:t>经</w:t>
            </w:r>
            <w:r>
              <w:rPr>
                <w:rFonts w:hint="eastAsia"/>
                <w:color w:val="auto"/>
                <w:szCs w:val="21"/>
                <w:highlight w:val="none"/>
              </w:rPr>
              <w:t>罩体内</w:t>
            </w:r>
            <w:r>
              <w:rPr>
                <w:color w:val="auto"/>
                <w:szCs w:val="21"/>
                <w:highlight w:val="none"/>
              </w:rPr>
              <w:t>侧吸孔、</w:t>
            </w:r>
            <w:r>
              <w:rPr>
                <w:rFonts w:hint="eastAsia"/>
                <w:color w:val="auto"/>
                <w:szCs w:val="21"/>
                <w:highlight w:val="none"/>
                <w:lang w:val="en-US" w:eastAsia="zh-CN"/>
              </w:rPr>
              <w:t>集气罩</w:t>
            </w:r>
            <w:r>
              <w:rPr>
                <w:color w:val="auto"/>
                <w:szCs w:val="21"/>
                <w:highlight w:val="none"/>
              </w:rPr>
              <w:t>进入酸雾净化塔处理后由排气筒</w:t>
            </w:r>
            <w:r>
              <w:rPr>
                <w:rFonts w:hint="eastAsia"/>
                <w:color w:val="auto"/>
                <w:szCs w:val="21"/>
                <w:highlight w:val="none"/>
                <w:lang w:eastAsia="zh-CN"/>
              </w:rPr>
              <w:t>(</w:t>
            </w:r>
            <w:r>
              <w:rPr>
                <w:color w:val="auto"/>
                <w:szCs w:val="21"/>
                <w:highlight w:val="none"/>
              </w:rPr>
              <w:t>P1</w:t>
            </w:r>
            <w:r>
              <w:rPr>
                <w:rFonts w:hint="eastAsia"/>
                <w:color w:val="auto"/>
                <w:szCs w:val="21"/>
                <w:highlight w:val="none"/>
                <w:lang w:eastAsia="zh-CN"/>
              </w:rPr>
              <w:t>、</w:t>
            </w:r>
            <w:r>
              <w:rPr>
                <w:rFonts w:hint="eastAsia"/>
                <w:color w:val="auto"/>
                <w:szCs w:val="21"/>
                <w:highlight w:val="none"/>
                <w:lang w:val="en-US" w:eastAsia="zh-CN"/>
              </w:rPr>
              <w:t>P2</w:t>
            </w:r>
            <w:r>
              <w:rPr>
                <w:rFonts w:hint="eastAsia"/>
                <w:color w:val="auto"/>
                <w:szCs w:val="21"/>
                <w:highlight w:val="none"/>
                <w:lang w:eastAsia="zh-CN"/>
              </w:rPr>
              <w:t>、</w:t>
            </w:r>
            <w:r>
              <w:rPr>
                <w:rFonts w:hint="eastAsia"/>
                <w:color w:val="auto"/>
                <w:szCs w:val="21"/>
                <w:highlight w:val="none"/>
                <w:lang w:val="en-US" w:eastAsia="zh-CN"/>
              </w:rPr>
              <w:t>P3</w:t>
            </w:r>
            <w:r>
              <w:rPr>
                <w:rFonts w:hint="eastAsia"/>
                <w:color w:val="auto"/>
                <w:szCs w:val="21"/>
                <w:highlight w:val="none"/>
                <w:lang w:eastAsia="zh-CN"/>
              </w:rPr>
              <w:t>、</w:t>
            </w:r>
            <w:r>
              <w:rPr>
                <w:rFonts w:hint="eastAsia"/>
                <w:color w:val="auto"/>
                <w:szCs w:val="21"/>
                <w:highlight w:val="none"/>
                <w:lang w:val="en-US" w:eastAsia="zh-CN"/>
              </w:rPr>
              <w:t>P4-2</w:t>
            </w:r>
            <w:r>
              <w:rPr>
                <w:rFonts w:hint="eastAsia"/>
                <w:color w:val="auto"/>
                <w:szCs w:val="21"/>
                <w:highlight w:val="none"/>
                <w:lang w:eastAsia="zh-CN"/>
              </w:rPr>
              <w:t>、</w:t>
            </w:r>
            <w:r>
              <w:rPr>
                <w:rFonts w:hint="eastAsia"/>
                <w:color w:val="auto"/>
                <w:szCs w:val="21"/>
                <w:highlight w:val="none"/>
                <w:lang w:val="en-US" w:eastAsia="zh-CN"/>
              </w:rPr>
              <w:t>P5</w:t>
            </w:r>
            <w:r>
              <w:rPr>
                <w:rFonts w:hint="eastAsia"/>
                <w:color w:val="auto"/>
                <w:szCs w:val="21"/>
                <w:highlight w:val="none"/>
                <w:lang w:eastAsia="zh-CN"/>
              </w:rPr>
              <w:t>、</w:t>
            </w:r>
            <w:r>
              <w:rPr>
                <w:rFonts w:hint="eastAsia"/>
                <w:color w:val="auto"/>
                <w:szCs w:val="21"/>
                <w:highlight w:val="none"/>
                <w:lang w:val="en-US" w:eastAsia="zh-CN"/>
              </w:rPr>
              <w:t>P6</w:t>
            </w:r>
            <w:r>
              <w:rPr>
                <w:rFonts w:hint="eastAsia"/>
                <w:color w:val="auto"/>
                <w:szCs w:val="21"/>
                <w:highlight w:val="none"/>
                <w:lang w:eastAsia="zh-CN"/>
              </w:rPr>
              <w:t>)</w:t>
            </w:r>
            <w:r>
              <w:rPr>
                <w:color w:val="auto"/>
                <w:szCs w:val="21"/>
                <w:highlight w:val="none"/>
              </w:rPr>
              <w:t>排放。</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726" w:type="dxa"/>
            <w:vMerge w:val="continue"/>
            <w:vAlign w:val="center"/>
          </w:tcPr>
          <w:p>
            <w:pPr>
              <w:spacing w:line="280" w:lineRule="exact"/>
              <w:jc w:val="center"/>
              <w:rPr>
                <w:color w:val="auto"/>
                <w:szCs w:val="21"/>
                <w:highlight w:val="none"/>
              </w:rPr>
            </w:pPr>
          </w:p>
        </w:tc>
        <w:tc>
          <w:tcPr>
            <w:tcW w:w="759" w:type="dxa"/>
            <w:vAlign w:val="center"/>
          </w:tcPr>
          <w:p>
            <w:pPr>
              <w:spacing w:line="300" w:lineRule="exact"/>
              <w:jc w:val="center"/>
              <w:rPr>
                <w:color w:val="auto"/>
                <w:szCs w:val="21"/>
                <w:highlight w:val="none"/>
              </w:rPr>
            </w:pPr>
            <w:r>
              <w:rPr>
                <w:color w:val="auto"/>
                <w:szCs w:val="21"/>
                <w:highlight w:val="none"/>
              </w:rPr>
              <w:t>G2</w:t>
            </w:r>
          </w:p>
        </w:tc>
        <w:tc>
          <w:tcPr>
            <w:tcW w:w="1212" w:type="dxa"/>
            <w:vAlign w:val="center"/>
          </w:tcPr>
          <w:p>
            <w:pPr>
              <w:spacing w:line="300" w:lineRule="exact"/>
              <w:jc w:val="center"/>
              <w:rPr>
                <w:color w:val="auto"/>
                <w:szCs w:val="21"/>
                <w:highlight w:val="none"/>
              </w:rPr>
            </w:pPr>
            <w:r>
              <w:rPr>
                <w:color w:val="auto"/>
                <w:szCs w:val="21"/>
                <w:highlight w:val="none"/>
              </w:rPr>
              <w:t>铬酸雾</w:t>
            </w:r>
          </w:p>
        </w:tc>
        <w:tc>
          <w:tcPr>
            <w:tcW w:w="2228" w:type="dxa"/>
            <w:vAlign w:val="center"/>
          </w:tcPr>
          <w:p>
            <w:pPr>
              <w:spacing w:line="300" w:lineRule="exact"/>
              <w:jc w:val="center"/>
              <w:rPr>
                <w:rFonts w:hint="eastAsia" w:eastAsia="宋体"/>
                <w:color w:val="auto"/>
                <w:szCs w:val="21"/>
                <w:highlight w:val="none"/>
                <w:lang w:val="en-US" w:eastAsia="zh-CN"/>
              </w:rPr>
            </w:pPr>
            <w:r>
              <w:rPr>
                <w:color w:val="auto"/>
                <w:szCs w:val="21"/>
                <w:highlight w:val="none"/>
              </w:rPr>
              <w:t>镀铬</w:t>
            </w:r>
          </w:p>
        </w:tc>
        <w:tc>
          <w:tcPr>
            <w:tcW w:w="1487" w:type="dxa"/>
            <w:vAlign w:val="center"/>
          </w:tcPr>
          <w:p>
            <w:pPr>
              <w:spacing w:line="300" w:lineRule="exact"/>
              <w:jc w:val="center"/>
              <w:rPr>
                <w:color w:val="auto"/>
                <w:szCs w:val="21"/>
                <w:highlight w:val="none"/>
              </w:rPr>
            </w:pPr>
            <w:r>
              <w:rPr>
                <w:color w:val="auto"/>
                <w:szCs w:val="21"/>
                <w:highlight w:val="none"/>
              </w:rPr>
              <w:t>铬酸雾</w:t>
            </w:r>
          </w:p>
        </w:tc>
        <w:tc>
          <w:tcPr>
            <w:tcW w:w="2818" w:type="dxa"/>
            <w:vAlign w:val="center"/>
          </w:tcPr>
          <w:p>
            <w:pPr>
              <w:spacing w:line="300" w:lineRule="exact"/>
              <w:jc w:val="both"/>
              <w:rPr>
                <w:color w:val="auto"/>
                <w:szCs w:val="21"/>
                <w:highlight w:val="none"/>
              </w:rPr>
            </w:pPr>
            <w:r>
              <w:rPr>
                <w:rFonts w:hint="eastAsia"/>
                <w:color w:val="auto"/>
                <w:szCs w:val="21"/>
                <w:highlight w:val="none"/>
              </w:rPr>
              <w:t>生产线在封闭罩内进行，</w:t>
            </w:r>
            <w:r>
              <w:rPr>
                <w:color w:val="auto"/>
                <w:szCs w:val="21"/>
                <w:highlight w:val="none"/>
              </w:rPr>
              <w:t>镀铬槽内添加抑制剂，铬酸雾经</w:t>
            </w:r>
            <w:r>
              <w:rPr>
                <w:rFonts w:hint="eastAsia"/>
                <w:color w:val="auto"/>
                <w:szCs w:val="21"/>
                <w:highlight w:val="none"/>
              </w:rPr>
              <w:t>罩体内</w:t>
            </w:r>
            <w:r>
              <w:rPr>
                <w:color w:val="auto"/>
                <w:szCs w:val="21"/>
                <w:highlight w:val="none"/>
              </w:rPr>
              <w:t>侧吸孔、</w:t>
            </w:r>
            <w:r>
              <w:rPr>
                <w:rFonts w:hint="eastAsia"/>
                <w:color w:val="auto"/>
                <w:szCs w:val="21"/>
                <w:highlight w:val="none"/>
                <w:lang w:val="en-US" w:eastAsia="zh-CN"/>
              </w:rPr>
              <w:t>集气罩</w:t>
            </w:r>
            <w:r>
              <w:rPr>
                <w:color w:val="auto"/>
                <w:szCs w:val="21"/>
                <w:highlight w:val="none"/>
              </w:rPr>
              <w:t>收集进入1座铬酸雾净化塔处理后由排气筒</w:t>
            </w:r>
            <w:r>
              <w:rPr>
                <w:rFonts w:hint="eastAsia"/>
                <w:color w:val="auto"/>
                <w:szCs w:val="21"/>
                <w:highlight w:val="none"/>
                <w:lang w:eastAsia="zh-CN"/>
              </w:rPr>
              <w:t>(</w:t>
            </w:r>
            <w:r>
              <w:rPr>
                <w:color w:val="auto"/>
                <w:szCs w:val="21"/>
                <w:highlight w:val="none"/>
              </w:rPr>
              <w:t>P</w:t>
            </w:r>
            <w:r>
              <w:rPr>
                <w:rFonts w:hint="eastAsia"/>
                <w:color w:val="auto"/>
                <w:szCs w:val="21"/>
                <w:highlight w:val="none"/>
                <w:lang w:val="en-US" w:eastAsia="zh-CN"/>
              </w:rPr>
              <w:t>3</w:t>
            </w:r>
            <w:r>
              <w:rPr>
                <w:rFonts w:hint="eastAsia"/>
                <w:color w:val="auto"/>
                <w:szCs w:val="21"/>
                <w:highlight w:val="none"/>
                <w:lang w:eastAsia="zh-CN"/>
              </w:rPr>
              <w:t>)</w:t>
            </w:r>
            <w:r>
              <w:rPr>
                <w:color w:val="auto"/>
                <w:szCs w:val="21"/>
                <w:highlight w:val="none"/>
              </w:rPr>
              <w:t>排放。</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726" w:type="dxa"/>
            <w:vMerge w:val="continue"/>
            <w:vAlign w:val="center"/>
          </w:tcPr>
          <w:p>
            <w:pPr>
              <w:spacing w:line="280" w:lineRule="exact"/>
              <w:jc w:val="center"/>
              <w:rPr>
                <w:color w:val="auto"/>
                <w:szCs w:val="21"/>
                <w:highlight w:val="none"/>
              </w:rPr>
            </w:pPr>
          </w:p>
        </w:tc>
        <w:tc>
          <w:tcPr>
            <w:tcW w:w="759" w:type="dxa"/>
            <w:vAlign w:val="center"/>
          </w:tcPr>
          <w:p>
            <w:pPr>
              <w:spacing w:line="300" w:lineRule="exact"/>
              <w:jc w:val="center"/>
              <w:rPr>
                <w:color w:val="auto"/>
                <w:szCs w:val="21"/>
                <w:highlight w:val="none"/>
              </w:rPr>
            </w:pPr>
            <w:r>
              <w:rPr>
                <w:color w:val="auto"/>
                <w:szCs w:val="21"/>
                <w:highlight w:val="none"/>
              </w:rPr>
              <w:t>G</w:t>
            </w:r>
            <w:r>
              <w:rPr>
                <w:rFonts w:hint="eastAsia"/>
                <w:color w:val="auto"/>
                <w:szCs w:val="21"/>
                <w:highlight w:val="none"/>
                <w:lang w:val="en-US" w:eastAsia="zh-CN"/>
              </w:rPr>
              <w:t>3</w:t>
            </w:r>
          </w:p>
        </w:tc>
        <w:tc>
          <w:tcPr>
            <w:tcW w:w="1212" w:type="dxa"/>
            <w:vAlign w:val="center"/>
          </w:tcPr>
          <w:p>
            <w:pPr>
              <w:spacing w:line="300" w:lineRule="exact"/>
              <w:jc w:val="center"/>
              <w:rPr>
                <w:color w:val="auto"/>
                <w:szCs w:val="21"/>
                <w:highlight w:val="none"/>
              </w:rPr>
            </w:pPr>
            <w:r>
              <w:rPr>
                <w:rFonts w:hint="eastAsia"/>
                <w:color w:val="auto"/>
                <w:szCs w:val="21"/>
                <w:highlight w:val="none"/>
                <w:lang w:val="en-US" w:eastAsia="zh-CN"/>
              </w:rPr>
              <w:t>氨</w:t>
            </w:r>
          </w:p>
        </w:tc>
        <w:tc>
          <w:tcPr>
            <w:tcW w:w="2228" w:type="dxa"/>
            <w:vAlign w:val="center"/>
          </w:tcPr>
          <w:p>
            <w:pPr>
              <w:spacing w:line="300" w:lineRule="exact"/>
              <w:jc w:val="center"/>
              <w:rPr>
                <w:color w:val="auto"/>
                <w:szCs w:val="21"/>
                <w:highlight w:val="none"/>
              </w:rPr>
            </w:pPr>
            <w:r>
              <w:rPr>
                <w:rFonts w:hint="eastAsia"/>
                <w:color w:val="auto"/>
                <w:szCs w:val="21"/>
                <w:highlight w:val="none"/>
                <w:lang w:val="en-US" w:eastAsia="zh-CN"/>
              </w:rPr>
              <w:t>镀银</w:t>
            </w:r>
          </w:p>
        </w:tc>
        <w:tc>
          <w:tcPr>
            <w:tcW w:w="1487" w:type="dxa"/>
            <w:vAlign w:val="center"/>
          </w:tcPr>
          <w:p>
            <w:pPr>
              <w:spacing w:line="300" w:lineRule="exact"/>
              <w:jc w:val="center"/>
              <w:rPr>
                <w:color w:val="auto"/>
                <w:szCs w:val="21"/>
                <w:highlight w:val="none"/>
              </w:rPr>
            </w:pPr>
            <w:r>
              <w:rPr>
                <w:rFonts w:hint="eastAsia"/>
                <w:color w:val="auto"/>
                <w:szCs w:val="21"/>
                <w:highlight w:val="none"/>
                <w:lang w:val="en-US" w:eastAsia="zh-CN"/>
              </w:rPr>
              <w:t>氨</w:t>
            </w:r>
          </w:p>
        </w:tc>
        <w:tc>
          <w:tcPr>
            <w:tcW w:w="2818" w:type="dxa"/>
            <w:vAlign w:val="center"/>
          </w:tcPr>
          <w:p>
            <w:pPr>
              <w:spacing w:line="300" w:lineRule="exact"/>
              <w:jc w:val="both"/>
              <w:rPr>
                <w:color w:val="auto"/>
                <w:szCs w:val="21"/>
                <w:highlight w:val="none"/>
              </w:rPr>
            </w:pPr>
            <w:r>
              <w:rPr>
                <w:rFonts w:hint="eastAsia"/>
                <w:color w:val="auto"/>
                <w:szCs w:val="21"/>
                <w:highlight w:val="none"/>
              </w:rPr>
              <w:t>生产线在封闭罩内进行，酸碱雾</w:t>
            </w:r>
            <w:r>
              <w:rPr>
                <w:color w:val="auto"/>
                <w:szCs w:val="21"/>
                <w:highlight w:val="none"/>
              </w:rPr>
              <w:t>经</w:t>
            </w:r>
            <w:r>
              <w:rPr>
                <w:rFonts w:hint="eastAsia"/>
                <w:color w:val="auto"/>
                <w:szCs w:val="21"/>
                <w:highlight w:val="none"/>
              </w:rPr>
              <w:t>罩体内</w:t>
            </w:r>
            <w:r>
              <w:rPr>
                <w:color w:val="auto"/>
                <w:szCs w:val="21"/>
                <w:highlight w:val="none"/>
              </w:rPr>
              <w:t>侧吸孔、</w:t>
            </w:r>
            <w:r>
              <w:rPr>
                <w:rFonts w:hint="eastAsia"/>
                <w:color w:val="auto"/>
                <w:szCs w:val="21"/>
                <w:highlight w:val="none"/>
                <w:lang w:val="en-US" w:eastAsia="zh-CN"/>
              </w:rPr>
              <w:t>集气罩</w:t>
            </w:r>
            <w:r>
              <w:rPr>
                <w:color w:val="auto"/>
                <w:szCs w:val="21"/>
                <w:highlight w:val="none"/>
              </w:rPr>
              <w:t>进入酸雾净化塔处理后由排气筒</w:t>
            </w:r>
            <w:r>
              <w:rPr>
                <w:rFonts w:hint="eastAsia"/>
                <w:color w:val="auto"/>
                <w:szCs w:val="21"/>
                <w:highlight w:val="none"/>
                <w:lang w:eastAsia="zh-CN"/>
              </w:rPr>
              <w:t>(</w:t>
            </w:r>
            <w:r>
              <w:rPr>
                <w:color w:val="auto"/>
                <w:szCs w:val="21"/>
                <w:highlight w:val="none"/>
              </w:rPr>
              <w:t>P</w:t>
            </w:r>
            <w:r>
              <w:rPr>
                <w:rFonts w:hint="eastAsia"/>
                <w:color w:val="auto"/>
                <w:szCs w:val="21"/>
                <w:highlight w:val="none"/>
                <w:lang w:val="en-US" w:eastAsia="zh-CN"/>
              </w:rPr>
              <w:t>5</w:t>
            </w:r>
            <w:r>
              <w:rPr>
                <w:rFonts w:hint="eastAsia"/>
                <w:color w:val="auto"/>
                <w:szCs w:val="21"/>
                <w:highlight w:val="none"/>
                <w:lang w:eastAsia="zh-CN"/>
              </w:rPr>
              <w:t>)</w:t>
            </w:r>
            <w:r>
              <w:rPr>
                <w:color w:val="auto"/>
                <w:szCs w:val="21"/>
                <w:highlight w:val="none"/>
              </w:rPr>
              <w:t>排放。</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726" w:type="dxa"/>
            <w:vMerge w:val="continue"/>
            <w:vAlign w:val="center"/>
          </w:tcPr>
          <w:p>
            <w:pPr>
              <w:spacing w:line="280" w:lineRule="exact"/>
              <w:jc w:val="center"/>
              <w:rPr>
                <w:color w:val="auto"/>
                <w:szCs w:val="21"/>
                <w:highlight w:val="none"/>
              </w:rPr>
            </w:pPr>
          </w:p>
        </w:tc>
        <w:tc>
          <w:tcPr>
            <w:tcW w:w="759" w:type="dxa"/>
            <w:vAlign w:val="center"/>
          </w:tcPr>
          <w:p>
            <w:pPr>
              <w:spacing w:line="300" w:lineRule="exact"/>
              <w:jc w:val="center"/>
              <w:rPr>
                <w:rFonts w:hint="eastAsia" w:eastAsia="宋体"/>
                <w:color w:val="auto"/>
                <w:szCs w:val="21"/>
                <w:highlight w:val="none"/>
                <w:lang w:val="en-US" w:eastAsia="zh-CN"/>
              </w:rPr>
            </w:pPr>
            <w:r>
              <w:rPr>
                <w:rFonts w:hint="eastAsia"/>
                <w:color w:val="auto"/>
                <w:szCs w:val="21"/>
                <w:highlight w:val="none"/>
                <w:lang w:val="en-US" w:eastAsia="zh-CN"/>
              </w:rPr>
              <w:t>G4</w:t>
            </w:r>
          </w:p>
        </w:tc>
        <w:tc>
          <w:tcPr>
            <w:tcW w:w="1212" w:type="dxa"/>
            <w:vAlign w:val="center"/>
          </w:tcPr>
          <w:p>
            <w:pPr>
              <w:spacing w:line="300" w:lineRule="exact"/>
              <w:rPr>
                <w:rFonts w:hint="eastAsia" w:eastAsia="宋体"/>
                <w:color w:val="auto"/>
                <w:szCs w:val="21"/>
                <w:highlight w:val="none"/>
                <w:lang w:val="en-US" w:eastAsia="zh-CN"/>
              </w:rPr>
            </w:pPr>
            <w:r>
              <w:rPr>
                <w:color w:val="auto"/>
                <w:szCs w:val="21"/>
                <w:highlight w:val="none"/>
              </w:rPr>
              <w:t>锅炉废气</w:t>
            </w:r>
          </w:p>
        </w:tc>
        <w:tc>
          <w:tcPr>
            <w:tcW w:w="2228" w:type="dxa"/>
            <w:vAlign w:val="center"/>
          </w:tcPr>
          <w:p>
            <w:pPr>
              <w:spacing w:line="300" w:lineRule="exact"/>
              <w:jc w:val="center"/>
              <w:rPr>
                <w:rFonts w:hint="eastAsia" w:eastAsia="宋体"/>
                <w:color w:val="auto"/>
                <w:szCs w:val="21"/>
                <w:highlight w:val="none"/>
                <w:lang w:eastAsia="zh-CN"/>
              </w:rPr>
            </w:pPr>
            <w:r>
              <w:rPr>
                <w:color w:val="auto"/>
                <w:szCs w:val="21"/>
                <w:highlight w:val="none"/>
              </w:rPr>
              <w:t>蒸汽锅炉</w:t>
            </w:r>
          </w:p>
        </w:tc>
        <w:tc>
          <w:tcPr>
            <w:tcW w:w="1487" w:type="dxa"/>
            <w:vAlign w:val="center"/>
          </w:tcPr>
          <w:p>
            <w:pPr>
              <w:spacing w:line="300" w:lineRule="exact"/>
              <w:jc w:val="center"/>
              <w:rPr>
                <w:rFonts w:hint="eastAsia" w:eastAsia="宋体"/>
                <w:color w:val="auto"/>
                <w:szCs w:val="21"/>
                <w:highlight w:val="none"/>
                <w:lang w:eastAsia="zh-CN"/>
              </w:rPr>
            </w:pPr>
            <w:r>
              <w:rPr>
                <w:color w:val="auto"/>
                <w:szCs w:val="21"/>
                <w:highlight w:val="none"/>
              </w:rPr>
              <w:t>SO</w:t>
            </w:r>
            <w:r>
              <w:rPr>
                <w:color w:val="auto"/>
                <w:szCs w:val="21"/>
                <w:highlight w:val="none"/>
                <w:vertAlign w:val="subscript"/>
              </w:rPr>
              <w:t>2</w:t>
            </w:r>
            <w:r>
              <w:rPr>
                <w:color w:val="auto"/>
                <w:szCs w:val="21"/>
                <w:highlight w:val="none"/>
              </w:rPr>
              <w:t>、NOx、烟尘</w:t>
            </w:r>
          </w:p>
        </w:tc>
        <w:tc>
          <w:tcPr>
            <w:tcW w:w="2818" w:type="dxa"/>
            <w:vAlign w:val="center"/>
          </w:tcPr>
          <w:p>
            <w:pPr>
              <w:spacing w:line="300" w:lineRule="exact"/>
              <w:jc w:val="both"/>
              <w:rPr>
                <w:color w:val="auto"/>
                <w:szCs w:val="21"/>
                <w:highlight w:val="none"/>
              </w:rPr>
            </w:pPr>
            <w:r>
              <w:rPr>
                <w:color w:val="auto"/>
                <w:szCs w:val="21"/>
                <w:highlight w:val="none"/>
              </w:rPr>
              <w:t>锅炉废气经1根15m高排气筒</w:t>
            </w:r>
            <w:r>
              <w:rPr>
                <w:rFonts w:hint="eastAsia"/>
                <w:color w:val="auto"/>
                <w:szCs w:val="21"/>
                <w:highlight w:val="none"/>
                <w:lang w:eastAsia="zh-CN"/>
              </w:rPr>
              <w:t>(</w:t>
            </w:r>
            <w:r>
              <w:rPr>
                <w:color w:val="auto"/>
                <w:szCs w:val="21"/>
                <w:highlight w:val="none"/>
              </w:rPr>
              <w:t>P4</w:t>
            </w:r>
            <w:r>
              <w:rPr>
                <w:rFonts w:hint="eastAsia"/>
                <w:color w:val="auto"/>
                <w:szCs w:val="21"/>
                <w:highlight w:val="none"/>
                <w:lang w:val="en-US" w:eastAsia="zh-CN"/>
              </w:rPr>
              <w:t>-1</w:t>
            </w:r>
            <w:r>
              <w:rPr>
                <w:rFonts w:hint="eastAsia"/>
                <w:color w:val="auto"/>
                <w:szCs w:val="21"/>
                <w:highlight w:val="none"/>
                <w:lang w:eastAsia="zh-CN"/>
              </w:rPr>
              <w:t>)</w:t>
            </w:r>
            <w:r>
              <w:rPr>
                <w:color w:val="auto"/>
                <w:szCs w:val="21"/>
                <w:highlight w:val="none"/>
              </w:rPr>
              <w:t>排放。</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726" w:type="dxa"/>
            <w:vMerge w:val="restart"/>
            <w:vAlign w:val="center"/>
          </w:tcPr>
          <w:p>
            <w:pPr>
              <w:spacing w:line="280" w:lineRule="exact"/>
              <w:jc w:val="center"/>
              <w:rPr>
                <w:color w:val="auto"/>
                <w:szCs w:val="21"/>
                <w:highlight w:val="none"/>
              </w:rPr>
            </w:pPr>
            <w:r>
              <w:rPr>
                <w:color w:val="auto"/>
                <w:szCs w:val="21"/>
                <w:highlight w:val="none"/>
              </w:rPr>
              <w:t>固废</w:t>
            </w:r>
          </w:p>
        </w:tc>
        <w:tc>
          <w:tcPr>
            <w:tcW w:w="759" w:type="dxa"/>
            <w:vAlign w:val="center"/>
          </w:tcPr>
          <w:p>
            <w:pPr>
              <w:spacing w:line="300" w:lineRule="exact"/>
              <w:jc w:val="center"/>
              <w:rPr>
                <w:color w:val="auto"/>
                <w:szCs w:val="21"/>
                <w:highlight w:val="none"/>
              </w:rPr>
            </w:pPr>
            <w:r>
              <w:rPr>
                <w:color w:val="auto"/>
                <w:szCs w:val="21"/>
                <w:highlight w:val="none"/>
              </w:rPr>
              <w:t>S1</w:t>
            </w:r>
          </w:p>
        </w:tc>
        <w:tc>
          <w:tcPr>
            <w:tcW w:w="1212" w:type="dxa"/>
            <w:vAlign w:val="center"/>
          </w:tcPr>
          <w:p>
            <w:pPr>
              <w:spacing w:line="300" w:lineRule="exact"/>
              <w:jc w:val="center"/>
              <w:rPr>
                <w:color w:val="auto"/>
                <w:szCs w:val="21"/>
                <w:highlight w:val="none"/>
              </w:rPr>
            </w:pPr>
            <w:r>
              <w:rPr>
                <w:color w:val="auto"/>
                <w:szCs w:val="21"/>
                <w:highlight w:val="none"/>
              </w:rPr>
              <w:t>废碱液</w:t>
            </w:r>
          </w:p>
        </w:tc>
        <w:tc>
          <w:tcPr>
            <w:tcW w:w="2228" w:type="dxa"/>
            <w:vAlign w:val="center"/>
          </w:tcPr>
          <w:p>
            <w:pPr>
              <w:spacing w:line="300" w:lineRule="exact"/>
              <w:jc w:val="center"/>
              <w:rPr>
                <w:color w:val="auto"/>
                <w:szCs w:val="21"/>
                <w:highlight w:val="none"/>
              </w:rPr>
            </w:pPr>
            <w:r>
              <w:rPr>
                <w:color w:val="auto"/>
                <w:szCs w:val="21"/>
                <w:highlight w:val="none"/>
              </w:rPr>
              <w:t>超声波除油、电解除油</w:t>
            </w:r>
          </w:p>
        </w:tc>
        <w:tc>
          <w:tcPr>
            <w:tcW w:w="1487" w:type="dxa"/>
            <w:vAlign w:val="center"/>
          </w:tcPr>
          <w:p>
            <w:pPr>
              <w:spacing w:line="300" w:lineRule="exact"/>
              <w:jc w:val="center"/>
              <w:rPr>
                <w:color w:val="auto"/>
                <w:szCs w:val="21"/>
                <w:highlight w:val="none"/>
              </w:rPr>
            </w:pPr>
            <w:r>
              <w:rPr>
                <w:color w:val="auto"/>
                <w:szCs w:val="21"/>
                <w:highlight w:val="none"/>
              </w:rPr>
              <w:t>废碱液</w:t>
            </w:r>
          </w:p>
        </w:tc>
        <w:tc>
          <w:tcPr>
            <w:tcW w:w="2818" w:type="dxa"/>
            <w:vMerge w:val="restart"/>
            <w:vAlign w:val="center"/>
          </w:tcPr>
          <w:p>
            <w:pPr>
              <w:spacing w:line="280" w:lineRule="exact"/>
              <w:jc w:val="center"/>
              <w:rPr>
                <w:color w:val="auto"/>
                <w:szCs w:val="21"/>
                <w:highlight w:val="none"/>
              </w:rPr>
            </w:pPr>
            <w:r>
              <w:rPr>
                <w:color w:val="auto"/>
                <w:szCs w:val="21"/>
                <w:highlight w:val="none"/>
              </w:rPr>
              <w:t>危废统一交由</w:t>
            </w:r>
            <w:r>
              <w:rPr>
                <w:rFonts w:hint="eastAsia"/>
                <w:color w:val="auto"/>
                <w:szCs w:val="21"/>
                <w:highlight w:val="none"/>
                <w:lang w:val="en-US" w:eastAsia="zh-CN"/>
              </w:rPr>
              <w:t>园区</w:t>
            </w:r>
            <w:r>
              <w:rPr>
                <w:color w:val="auto"/>
                <w:szCs w:val="21"/>
                <w:highlight w:val="none"/>
              </w:rPr>
              <w:t>委托处理</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726" w:type="dxa"/>
            <w:vMerge w:val="continue"/>
            <w:vAlign w:val="center"/>
          </w:tcPr>
          <w:p>
            <w:pPr>
              <w:spacing w:line="280" w:lineRule="exact"/>
              <w:jc w:val="center"/>
              <w:rPr>
                <w:color w:val="auto"/>
                <w:szCs w:val="21"/>
                <w:highlight w:val="none"/>
              </w:rPr>
            </w:pPr>
          </w:p>
        </w:tc>
        <w:tc>
          <w:tcPr>
            <w:tcW w:w="759" w:type="dxa"/>
            <w:vAlign w:val="center"/>
          </w:tcPr>
          <w:p>
            <w:pPr>
              <w:spacing w:line="300" w:lineRule="exact"/>
              <w:jc w:val="center"/>
              <w:rPr>
                <w:color w:val="auto"/>
                <w:szCs w:val="21"/>
                <w:highlight w:val="none"/>
              </w:rPr>
            </w:pPr>
            <w:r>
              <w:rPr>
                <w:color w:val="auto"/>
                <w:szCs w:val="21"/>
                <w:highlight w:val="none"/>
              </w:rPr>
              <w:t>S2</w:t>
            </w:r>
          </w:p>
        </w:tc>
        <w:tc>
          <w:tcPr>
            <w:tcW w:w="1212" w:type="dxa"/>
            <w:vAlign w:val="center"/>
          </w:tcPr>
          <w:p>
            <w:pPr>
              <w:spacing w:line="300" w:lineRule="exact"/>
              <w:jc w:val="center"/>
              <w:rPr>
                <w:color w:val="auto"/>
                <w:szCs w:val="21"/>
                <w:highlight w:val="none"/>
              </w:rPr>
            </w:pPr>
            <w:r>
              <w:rPr>
                <w:color w:val="auto"/>
                <w:szCs w:val="21"/>
                <w:highlight w:val="none"/>
              </w:rPr>
              <w:t>废酸液</w:t>
            </w:r>
          </w:p>
        </w:tc>
        <w:tc>
          <w:tcPr>
            <w:tcW w:w="2228" w:type="dxa"/>
            <w:vAlign w:val="center"/>
          </w:tcPr>
          <w:p>
            <w:pPr>
              <w:spacing w:line="300" w:lineRule="exact"/>
              <w:jc w:val="center"/>
              <w:rPr>
                <w:color w:val="auto"/>
                <w:szCs w:val="21"/>
                <w:highlight w:val="none"/>
              </w:rPr>
            </w:pPr>
            <w:r>
              <w:rPr>
                <w:color w:val="auto"/>
                <w:szCs w:val="21"/>
                <w:highlight w:val="none"/>
              </w:rPr>
              <w:t>酸洗</w:t>
            </w:r>
          </w:p>
        </w:tc>
        <w:tc>
          <w:tcPr>
            <w:tcW w:w="1487" w:type="dxa"/>
            <w:vAlign w:val="center"/>
          </w:tcPr>
          <w:p>
            <w:pPr>
              <w:spacing w:line="300" w:lineRule="exact"/>
              <w:jc w:val="center"/>
              <w:rPr>
                <w:color w:val="auto"/>
                <w:szCs w:val="21"/>
                <w:highlight w:val="none"/>
              </w:rPr>
            </w:pPr>
            <w:r>
              <w:rPr>
                <w:color w:val="auto"/>
                <w:szCs w:val="21"/>
                <w:highlight w:val="none"/>
              </w:rPr>
              <w:t>废酸液</w:t>
            </w:r>
          </w:p>
        </w:tc>
        <w:tc>
          <w:tcPr>
            <w:tcW w:w="2818" w:type="dxa"/>
            <w:vMerge w:val="continue"/>
            <w:vAlign w:val="center"/>
          </w:tcPr>
          <w:p>
            <w:pPr>
              <w:spacing w:line="280" w:lineRule="exact"/>
              <w:jc w:val="center"/>
              <w:rPr>
                <w:color w:val="auto"/>
                <w:szCs w:val="21"/>
                <w:highlight w:val="none"/>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726" w:type="dxa"/>
            <w:vMerge w:val="continue"/>
            <w:vAlign w:val="center"/>
          </w:tcPr>
          <w:p>
            <w:pPr>
              <w:spacing w:line="280" w:lineRule="exact"/>
              <w:jc w:val="center"/>
              <w:rPr>
                <w:color w:val="auto"/>
                <w:szCs w:val="21"/>
                <w:highlight w:val="none"/>
              </w:rPr>
            </w:pPr>
          </w:p>
        </w:tc>
        <w:tc>
          <w:tcPr>
            <w:tcW w:w="759" w:type="dxa"/>
            <w:vAlign w:val="center"/>
          </w:tcPr>
          <w:p>
            <w:pPr>
              <w:spacing w:line="300" w:lineRule="exact"/>
              <w:jc w:val="center"/>
              <w:rPr>
                <w:color w:val="auto"/>
                <w:szCs w:val="21"/>
                <w:highlight w:val="none"/>
              </w:rPr>
            </w:pPr>
            <w:r>
              <w:rPr>
                <w:color w:val="auto"/>
                <w:szCs w:val="21"/>
                <w:highlight w:val="none"/>
              </w:rPr>
              <w:t>S3</w:t>
            </w:r>
          </w:p>
        </w:tc>
        <w:tc>
          <w:tcPr>
            <w:tcW w:w="1212" w:type="dxa"/>
            <w:vAlign w:val="center"/>
          </w:tcPr>
          <w:p>
            <w:pPr>
              <w:spacing w:line="300" w:lineRule="exact"/>
              <w:jc w:val="center"/>
              <w:rPr>
                <w:color w:val="auto"/>
                <w:szCs w:val="21"/>
                <w:highlight w:val="none"/>
              </w:rPr>
            </w:pPr>
            <w:r>
              <w:rPr>
                <w:color w:val="auto"/>
                <w:szCs w:val="21"/>
                <w:highlight w:val="none"/>
              </w:rPr>
              <w:t>废过滤芯/</w:t>
            </w:r>
            <w:r>
              <w:rPr>
                <w:rFonts w:hint="eastAsia"/>
                <w:color w:val="auto"/>
                <w:szCs w:val="21"/>
                <w:highlight w:val="none"/>
                <w:lang w:val="en-US" w:eastAsia="zh-CN"/>
              </w:rPr>
              <w:t>槽</w:t>
            </w:r>
            <w:r>
              <w:rPr>
                <w:color w:val="auto"/>
                <w:szCs w:val="21"/>
                <w:highlight w:val="none"/>
              </w:rPr>
              <w:t>渣</w:t>
            </w:r>
          </w:p>
        </w:tc>
        <w:tc>
          <w:tcPr>
            <w:tcW w:w="2228" w:type="dxa"/>
            <w:vAlign w:val="center"/>
          </w:tcPr>
          <w:p>
            <w:pPr>
              <w:spacing w:line="300" w:lineRule="exact"/>
              <w:jc w:val="center"/>
              <w:rPr>
                <w:color w:val="auto"/>
                <w:szCs w:val="21"/>
                <w:highlight w:val="none"/>
              </w:rPr>
            </w:pPr>
            <w:r>
              <w:rPr>
                <w:color w:val="auto"/>
                <w:szCs w:val="21"/>
                <w:highlight w:val="none"/>
              </w:rPr>
              <w:t>各镀槽</w:t>
            </w:r>
          </w:p>
        </w:tc>
        <w:tc>
          <w:tcPr>
            <w:tcW w:w="1487" w:type="dxa"/>
            <w:vAlign w:val="center"/>
          </w:tcPr>
          <w:p>
            <w:pPr>
              <w:spacing w:line="300" w:lineRule="exact"/>
              <w:jc w:val="center"/>
              <w:rPr>
                <w:color w:val="auto"/>
                <w:szCs w:val="21"/>
                <w:highlight w:val="none"/>
              </w:rPr>
            </w:pPr>
            <w:r>
              <w:rPr>
                <w:color w:val="auto"/>
                <w:szCs w:val="21"/>
                <w:highlight w:val="none"/>
              </w:rPr>
              <w:t>废过滤芯/滤渣</w:t>
            </w:r>
          </w:p>
        </w:tc>
        <w:tc>
          <w:tcPr>
            <w:tcW w:w="2818" w:type="dxa"/>
            <w:vMerge w:val="continue"/>
            <w:vAlign w:val="center"/>
          </w:tcPr>
          <w:p>
            <w:pPr>
              <w:spacing w:line="280" w:lineRule="exact"/>
              <w:jc w:val="center"/>
              <w:rPr>
                <w:color w:val="auto"/>
                <w:szCs w:val="21"/>
                <w:highlight w:val="none"/>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726" w:type="dxa"/>
            <w:vMerge w:val="continue"/>
            <w:vAlign w:val="center"/>
          </w:tcPr>
          <w:p>
            <w:pPr>
              <w:spacing w:line="280" w:lineRule="exact"/>
              <w:jc w:val="center"/>
              <w:rPr>
                <w:color w:val="auto"/>
                <w:szCs w:val="21"/>
                <w:highlight w:val="none"/>
              </w:rPr>
            </w:pPr>
          </w:p>
        </w:tc>
        <w:tc>
          <w:tcPr>
            <w:tcW w:w="759" w:type="dxa"/>
            <w:vAlign w:val="center"/>
          </w:tcPr>
          <w:p>
            <w:pPr>
              <w:spacing w:line="300" w:lineRule="exact"/>
              <w:jc w:val="center"/>
              <w:rPr>
                <w:color w:val="auto"/>
                <w:szCs w:val="21"/>
                <w:highlight w:val="none"/>
              </w:rPr>
            </w:pPr>
            <w:r>
              <w:rPr>
                <w:color w:val="auto"/>
                <w:szCs w:val="21"/>
                <w:highlight w:val="none"/>
              </w:rPr>
              <w:t>S4</w:t>
            </w:r>
          </w:p>
        </w:tc>
        <w:tc>
          <w:tcPr>
            <w:tcW w:w="1212" w:type="dxa"/>
            <w:vAlign w:val="center"/>
          </w:tcPr>
          <w:p>
            <w:pPr>
              <w:spacing w:line="300" w:lineRule="exact"/>
              <w:jc w:val="center"/>
              <w:rPr>
                <w:rFonts w:hint="eastAsia" w:eastAsia="宋体"/>
                <w:color w:val="auto"/>
                <w:szCs w:val="21"/>
                <w:highlight w:val="none"/>
                <w:lang w:eastAsia="zh-CN"/>
              </w:rPr>
            </w:pPr>
            <w:r>
              <w:rPr>
                <w:rFonts w:hint="eastAsia"/>
                <w:color w:val="auto"/>
                <w:szCs w:val="21"/>
                <w:highlight w:val="none"/>
              </w:rPr>
              <w:t>废</w:t>
            </w:r>
            <w:r>
              <w:rPr>
                <w:rFonts w:hint="eastAsia"/>
                <w:color w:val="auto"/>
                <w:szCs w:val="21"/>
                <w:highlight w:val="none"/>
                <w:lang w:val="en-US" w:eastAsia="zh-CN"/>
              </w:rPr>
              <w:t>胶</w:t>
            </w:r>
          </w:p>
        </w:tc>
        <w:tc>
          <w:tcPr>
            <w:tcW w:w="2228" w:type="dxa"/>
            <w:vAlign w:val="center"/>
          </w:tcPr>
          <w:p>
            <w:pPr>
              <w:spacing w:line="300" w:lineRule="exact"/>
              <w:jc w:val="center"/>
              <w:rPr>
                <w:rFonts w:hint="eastAsia" w:eastAsia="宋体"/>
                <w:color w:val="auto"/>
                <w:szCs w:val="21"/>
                <w:highlight w:val="none"/>
                <w:lang w:eastAsia="zh-CN"/>
              </w:rPr>
            </w:pPr>
            <w:r>
              <w:rPr>
                <w:rFonts w:hint="eastAsia"/>
                <w:color w:val="auto"/>
                <w:szCs w:val="21"/>
                <w:highlight w:val="none"/>
                <w:lang w:val="en-US" w:eastAsia="zh-CN"/>
              </w:rPr>
              <w:t>去胶</w:t>
            </w:r>
          </w:p>
        </w:tc>
        <w:tc>
          <w:tcPr>
            <w:tcW w:w="1487" w:type="dxa"/>
            <w:vAlign w:val="center"/>
          </w:tcPr>
          <w:p>
            <w:pPr>
              <w:spacing w:line="300" w:lineRule="exact"/>
              <w:jc w:val="center"/>
              <w:rPr>
                <w:rFonts w:hint="eastAsia" w:eastAsia="宋体"/>
                <w:color w:val="auto"/>
                <w:szCs w:val="21"/>
                <w:highlight w:val="none"/>
                <w:lang w:eastAsia="zh-CN"/>
              </w:rPr>
            </w:pPr>
            <w:r>
              <w:rPr>
                <w:rFonts w:hint="eastAsia"/>
                <w:color w:val="auto"/>
                <w:szCs w:val="21"/>
                <w:highlight w:val="none"/>
                <w:lang w:val="en-US" w:eastAsia="zh-CN"/>
              </w:rPr>
              <w:t>废胶</w:t>
            </w:r>
          </w:p>
        </w:tc>
        <w:tc>
          <w:tcPr>
            <w:tcW w:w="2818" w:type="dxa"/>
            <w:vMerge w:val="continue"/>
            <w:vAlign w:val="center"/>
          </w:tcPr>
          <w:p>
            <w:pPr>
              <w:spacing w:line="280" w:lineRule="exact"/>
              <w:jc w:val="center"/>
              <w:rPr>
                <w:color w:val="auto"/>
                <w:szCs w:val="21"/>
                <w:highlight w:val="none"/>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726" w:type="dxa"/>
            <w:vMerge w:val="continue"/>
            <w:vAlign w:val="center"/>
          </w:tcPr>
          <w:p>
            <w:pPr>
              <w:spacing w:line="280" w:lineRule="exact"/>
              <w:jc w:val="center"/>
              <w:rPr>
                <w:color w:val="auto"/>
                <w:szCs w:val="21"/>
                <w:highlight w:val="none"/>
              </w:rPr>
            </w:pPr>
          </w:p>
        </w:tc>
        <w:tc>
          <w:tcPr>
            <w:tcW w:w="759" w:type="dxa"/>
            <w:vAlign w:val="center"/>
          </w:tcPr>
          <w:p>
            <w:pPr>
              <w:spacing w:line="300" w:lineRule="exact"/>
              <w:jc w:val="center"/>
              <w:rPr>
                <w:color w:val="auto"/>
                <w:szCs w:val="21"/>
                <w:highlight w:val="none"/>
              </w:rPr>
            </w:pPr>
            <w:r>
              <w:rPr>
                <w:color w:val="auto"/>
                <w:szCs w:val="21"/>
                <w:highlight w:val="none"/>
              </w:rPr>
              <w:t>S5</w:t>
            </w:r>
          </w:p>
        </w:tc>
        <w:tc>
          <w:tcPr>
            <w:tcW w:w="1212" w:type="dxa"/>
            <w:vAlign w:val="center"/>
          </w:tcPr>
          <w:p>
            <w:pPr>
              <w:spacing w:line="300" w:lineRule="exact"/>
              <w:jc w:val="center"/>
              <w:rPr>
                <w:rFonts w:hint="eastAsia" w:eastAsia="宋体"/>
                <w:color w:val="auto"/>
                <w:szCs w:val="21"/>
                <w:highlight w:val="none"/>
                <w:lang w:eastAsia="zh-CN"/>
              </w:rPr>
            </w:pPr>
            <w:r>
              <w:rPr>
                <w:color w:val="auto"/>
                <w:szCs w:val="21"/>
                <w:highlight w:val="none"/>
              </w:rPr>
              <w:t>废化学原料包装物</w:t>
            </w:r>
          </w:p>
        </w:tc>
        <w:tc>
          <w:tcPr>
            <w:tcW w:w="2228" w:type="dxa"/>
            <w:vAlign w:val="center"/>
          </w:tcPr>
          <w:p>
            <w:pPr>
              <w:spacing w:line="300" w:lineRule="exact"/>
              <w:jc w:val="center"/>
              <w:rPr>
                <w:color w:val="auto"/>
                <w:szCs w:val="21"/>
                <w:highlight w:val="none"/>
              </w:rPr>
            </w:pPr>
            <w:r>
              <w:rPr>
                <w:color w:val="auto"/>
                <w:szCs w:val="21"/>
                <w:highlight w:val="none"/>
              </w:rPr>
              <w:t>化学品拆装</w:t>
            </w:r>
          </w:p>
        </w:tc>
        <w:tc>
          <w:tcPr>
            <w:tcW w:w="1487" w:type="dxa"/>
            <w:vAlign w:val="center"/>
          </w:tcPr>
          <w:p>
            <w:pPr>
              <w:spacing w:line="300" w:lineRule="exact"/>
              <w:jc w:val="center"/>
              <w:rPr>
                <w:color w:val="auto"/>
                <w:szCs w:val="21"/>
                <w:highlight w:val="none"/>
              </w:rPr>
            </w:pPr>
            <w:r>
              <w:rPr>
                <w:color w:val="auto"/>
                <w:szCs w:val="21"/>
                <w:highlight w:val="none"/>
              </w:rPr>
              <w:t>残留化学品</w:t>
            </w:r>
          </w:p>
        </w:tc>
        <w:tc>
          <w:tcPr>
            <w:tcW w:w="2818" w:type="dxa"/>
            <w:vMerge w:val="continue"/>
            <w:vAlign w:val="center"/>
          </w:tcPr>
          <w:p>
            <w:pPr>
              <w:spacing w:line="280" w:lineRule="exact"/>
              <w:jc w:val="center"/>
              <w:rPr>
                <w:color w:val="auto"/>
                <w:szCs w:val="21"/>
                <w:highlight w:val="none"/>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726" w:type="dxa"/>
            <w:vMerge w:val="continue"/>
            <w:vAlign w:val="center"/>
          </w:tcPr>
          <w:p>
            <w:pPr>
              <w:spacing w:line="280" w:lineRule="exact"/>
              <w:jc w:val="center"/>
              <w:rPr>
                <w:color w:val="auto"/>
                <w:szCs w:val="21"/>
                <w:highlight w:val="none"/>
              </w:rPr>
            </w:pPr>
          </w:p>
        </w:tc>
        <w:tc>
          <w:tcPr>
            <w:tcW w:w="759" w:type="dxa"/>
            <w:vAlign w:val="center"/>
          </w:tcPr>
          <w:p>
            <w:pPr>
              <w:spacing w:line="280" w:lineRule="exact"/>
              <w:jc w:val="center"/>
              <w:rPr>
                <w:color w:val="auto"/>
                <w:szCs w:val="21"/>
                <w:highlight w:val="none"/>
              </w:rPr>
            </w:pPr>
            <w:r>
              <w:rPr>
                <w:color w:val="auto"/>
                <w:szCs w:val="21"/>
                <w:highlight w:val="none"/>
              </w:rPr>
              <w:t>S6</w:t>
            </w:r>
          </w:p>
        </w:tc>
        <w:tc>
          <w:tcPr>
            <w:tcW w:w="1212" w:type="dxa"/>
            <w:vAlign w:val="center"/>
          </w:tcPr>
          <w:p>
            <w:pPr>
              <w:spacing w:line="280" w:lineRule="exact"/>
              <w:jc w:val="center"/>
              <w:rPr>
                <w:color w:val="auto"/>
                <w:szCs w:val="21"/>
                <w:highlight w:val="none"/>
              </w:rPr>
            </w:pPr>
            <w:r>
              <w:rPr>
                <w:color w:val="auto"/>
                <w:szCs w:val="21"/>
                <w:highlight w:val="none"/>
              </w:rPr>
              <w:t>生活垃圾</w:t>
            </w:r>
          </w:p>
        </w:tc>
        <w:tc>
          <w:tcPr>
            <w:tcW w:w="2228" w:type="dxa"/>
            <w:vAlign w:val="center"/>
          </w:tcPr>
          <w:p>
            <w:pPr>
              <w:spacing w:line="280" w:lineRule="exact"/>
              <w:jc w:val="center"/>
              <w:rPr>
                <w:color w:val="auto"/>
                <w:szCs w:val="21"/>
                <w:highlight w:val="none"/>
              </w:rPr>
            </w:pPr>
            <w:r>
              <w:rPr>
                <w:color w:val="auto"/>
                <w:szCs w:val="21"/>
                <w:highlight w:val="none"/>
              </w:rPr>
              <w:t>办公、生活</w:t>
            </w:r>
          </w:p>
        </w:tc>
        <w:tc>
          <w:tcPr>
            <w:tcW w:w="1487" w:type="dxa"/>
            <w:vAlign w:val="center"/>
          </w:tcPr>
          <w:p>
            <w:pPr>
              <w:spacing w:line="280" w:lineRule="exact"/>
              <w:jc w:val="center"/>
              <w:rPr>
                <w:color w:val="auto"/>
                <w:szCs w:val="21"/>
                <w:highlight w:val="none"/>
              </w:rPr>
            </w:pPr>
            <w:r>
              <w:rPr>
                <w:color w:val="auto"/>
                <w:szCs w:val="21"/>
                <w:highlight w:val="none"/>
              </w:rPr>
              <w:t>纸、包装物等</w:t>
            </w:r>
          </w:p>
        </w:tc>
        <w:tc>
          <w:tcPr>
            <w:tcW w:w="2818" w:type="dxa"/>
            <w:vAlign w:val="center"/>
          </w:tcPr>
          <w:p>
            <w:pPr>
              <w:spacing w:line="280" w:lineRule="exact"/>
              <w:jc w:val="center"/>
              <w:rPr>
                <w:color w:val="auto"/>
                <w:szCs w:val="21"/>
                <w:highlight w:val="none"/>
              </w:rPr>
            </w:pPr>
            <w:r>
              <w:rPr>
                <w:color w:val="auto"/>
                <w:szCs w:val="21"/>
                <w:highlight w:val="none"/>
              </w:rPr>
              <w:t>由环卫部门统一收集处理</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726" w:type="dxa"/>
            <w:vAlign w:val="center"/>
          </w:tcPr>
          <w:p>
            <w:pPr>
              <w:spacing w:line="280" w:lineRule="exact"/>
              <w:jc w:val="center"/>
              <w:rPr>
                <w:color w:val="auto"/>
                <w:szCs w:val="21"/>
                <w:highlight w:val="none"/>
              </w:rPr>
            </w:pPr>
            <w:r>
              <w:rPr>
                <w:color w:val="auto"/>
                <w:szCs w:val="21"/>
                <w:highlight w:val="none"/>
              </w:rPr>
              <w:t>噪声</w:t>
            </w:r>
          </w:p>
        </w:tc>
        <w:tc>
          <w:tcPr>
            <w:tcW w:w="759" w:type="dxa"/>
            <w:vAlign w:val="center"/>
          </w:tcPr>
          <w:p>
            <w:pPr>
              <w:spacing w:line="280" w:lineRule="exact"/>
              <w:jc w:val="center"/>
              <w:rPr>
                <w:color w:val="auto"/>
                <w:szCs w:val="21"/>
                <w:highlight w:val="none"/>
              </w:rPr>
            </w:pPr>
            <w:r>
              <w:rPr>
                <w:color w:val="auto"/>
                <w:szCs w:val="21"/>
                <w:highlight w:val="none"/>
              </w:rPr>
              <w:t>N</w:t>
            </w:r>
          </w:p>
        </w:tc>
        <w:tc>
          <w:tcPr>
            <w:tcW w:w="1212" w:type="dxa"/>
            <w:vAlign w:val="center"/>
          </w:tcPr>
          <w:p>
            <w:pPr>
              <w:spacing w:line="280" w:lineRule="exact"/>
              <w:jc w:val="center"/>
              <w:rPr>
                <w:color w:val="auto"/>
                <w:szCs w:val="21"/>
                <w:highlight w:val="none"/>
              </w:rPr>
            </w:pPr>
            <w:r>
              <w:rPr>
                <w:color w:val="auto"/>
                <w:szCs w:val="21"/>
                <w:highlight w:val="none"/>
              </w:rPr>
              <w:t>设备噪声</w:t>
            </w:r>
          </w:p>
        </w:tc>
        <w:tc>
          <w:tcPr>
            <w:tcW w:w="2228" w:type="dxa"/>
            <w:vAlign w:val="center"/>
          </w:tcPr>
          <w:p>
            <w:pPr>
              <w:spacing w:line="280" w:lineRule="exact"/>
              <w:jc w:val="center"/>
              <w:rPr>
                <w:color w:val="auto"/>
                <w:szCs w:val="21"/>
                <w:highlight w:val="none"/>
              </w:rPr>
            </w:pPr>
            <w:r>
              <w:rPr>
                <w:color w:val="auto"/>
                <w:szCs w:val="21"/>
                <w:highlight w:val="none"/>
              </w:rPr>
              <w:t>行车、风机、整流器等</w:t>
            </w:r>
          </w:p>
        </w:tc>
        <w:tc>
          <w:tcPr>
            <w:tcW w:w="4305" w:type="dxa"/>
            <w:gridSpan w:val="2"/>
            <w:vAlign w:val="center"/>
          </w:tcPr>
          <w:p>
            <w:pPr>
              <w:spacing w:line="280" w:lineRule="exact"/>
              <w:jc w:val="center"/>
              <w:rPr>
                <w:color w:val="auto"/>
                <w:szCs w:val="21"/>
                <w:highlight w:val="none"/>
              </w:rPr>
            </w:pPr>
            <w:r>
              <w:rPr>
                <w:color w:val="auto"/>
                <w:szCs w:val="21"/>
                <w:highlight w:val="none"/>
              </w:rPr>
              <w:t>隔声、减震等</w:t>
            </w:r>
          </w:p>
        </w:tc>
      </w:tr>
    </w:tbl>
    <w:p>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1"/>
        <w:rPr>
          <w:rFonts w:hint="eastAsia" w:ascii="Times New Roman" w:hAnsi="Times New Roman" w:eastAsia="黑体" w:cs="Times New Roman"/>
          <w:color w:val="auto"/>
          <w:sz w:val="24"/>
          <w:highlight w:val="none"/>
          <w:lang w:val="en-US" w:eastAsia="zh-CN"/>
        </w:rPr>
      </w:pPr>
      <w:bookmarkStart w:id="74" w:name="_Toc17915"/>
      <w:r>
        <w:rPr>
          <w:rFonts w:hint="eastAsia" w:eastAsia="黑体" w:cs="Times New Roman"/>
          <w:color w:val="auto"/>
          <w:sz w:val="24"/>
          <w:highlight w:val="none"/>
          <w:lang w:eastAsia="zh-CN"/>
        </w:rPr>
        <w:t>2.5</w:t>
      </w:r>
      <w:r>
        <w:rPr>
          <w:rFonts w:hint="eastAsia" w:ascii="Times New Roman" w:hAnsi="Times New Roman" w:eastAsia="黑体" w:cs="Times New Roman"/>
          <w:color w:val="auto"/>
          <w:sz w:val="24"/>
          <w:highlight w:val="none"/>
        </w:rPr>
        <w:t xml:space="preserve"> 项目污染源强</w:t>
      </w:r>
      <w:r>
        <w:rPr>
          <w:rFonts w:hint="eastAsia" w:ascii="Times New Roman" w:hAnsi="Times New Roman" w:eastAsia="黑体" w:cs="Times New Roman"/>
          <w:color w:val="auto"/>
          <w:sz w:val="24"/>
          <w:highlight w:val="none"/>
          <w:lang w:val="en-US" w:eastAsia="zh-CN"/>
        </w:rPr>
        <w:t>现状调查与分析</w:t>
      </w:r>
      <w:bookmarkEnd w:id="74"/>
    </w:p>
    <w:p>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2"/>
        <w:rPr>
          <w:rFonts w:ascii="黑体" w:hAnsi="黑体" w:eastAsia="黑体"/>
          <w:color w:val="auto"/>
          <w:sz w:val="24"/>
          <w:highlight w:val="none"/>
        </w:rPr>
      </w:pPr>
      <w:r>
        <w:rPr>
          <w:rFonts w:hint="eastAsia" w:ascii="黑体" w:hAnsi="黑体" w:eastAsia="黑体"/>
          <w:color w:val="auto"/>
          <w:sz w:val="24"/>
          <w:highlight w:val="none"/>
          <w:lang w:eastAsia="zh-CN"/>
        </w:rPr>
        <w:t>2.5</w:t>
      </w:r>
      <w:r>
        <w:rPr>
          <w:rFonts w:hint="eastAsia" w:ascii="黑体" w:hAnsi="黑体" w:eastAsia="黑体"/>
          <w:color w:val="auto"/>
          <w:sz w:val="24"/>
          <w:highlight w:val="none"/>
        </w:rPr>
        <w:t>.1 废水</w:t>
      </w:r>
      <w:r>
        <w:rPr>
          <w:rFonts w:hint="eastAsia" w:ascii="黑体" w:hAnsi="黑体" w:eastAsia="黑体"/>
          <w:color w:val="auto"/>
          <w:sz w:val="24"/>
          <w:highlight w:val="none"/>
        </w:rPr>
        <w:t xml:space="preserve"> </w:t>
      </w:r>
    </w:p>
    <w:p>
      <w:pPr>
        <w:snapToGrid w:val="0"/>
        <w:spacing w:line="360" w:lineRule="auto"/>
        <w:ind w:firstLine="480" w:firstLineChars="200"/>
        <w:rPr>
          <w:color w:val="auto"/>
          <w:sz w:val="24"/>
          <w:highlight w:val="none"/>
        </w:rPr>
      </w:pPr>
      <w:r>
        <w:rPr>
          <w:color w:val="auto"/>
          <w:sz w:val="24"/>
          <w:highlight w:val="none"/>
        </w:rPr>
        <w:t>项目废水包括生产废水和生活污水。</w:t>
      </w:r>
    </w:p>
    <w:p>
      <w:pPr>
        <w:pStyle w:val="55"/>
        <w:numPr>
          <w:ilvl w:val="0"/>
          <w:numId w:val="0"/>
        </w:numPr>
        <w:snapToGrid w:val="0"/>
        <w:spacing w:line="360" w:lineRule="auto"/>
        <w:ind w:left="480" w:leftChars="0"/>
        <w:rPr>
          <w:color w:val="auto"/>
          <w:sz w:val="24"/>
          <w:szCs w:val="24"/>
          <w:highlight w:val="none"/>
        </w:rPr>
      </w:pPr>
      <w:r>
        <w:rPr>
          <w:rFonts w:hint="eastAsia"/>
          <w:color w:val="auto"/>
          <w:sz w:val="24"/>
          <w:highlight w:val="none"/>
          <w:lang w:val="en-US" w:eastAsia="zh-CN"/>
        </w:rPr>
        <w:t>1、</w:t>
      </w:r>
      <w:r>
        <w:rPr>
          <w:rFonts w:hint="eastAsia"/>
          <w:color w:val="auto"/>
          <w:sz w:val="24"/>
          <w:highlight w:val="none"/>
        </w:rPr>
        <w:t>生产废水</w:t>
      </w:r>
    </w:p>
    <w:p>
      <w:pPr>
        <w:snapToGrid w:val="0"/>
        <w:spacing w:line="360" w:lineRule="auto"/>
        <w:ind w:firstLine="480"/>
        <w:rPr>
          <w:color w:val="auto"/>
          <w:sz w:val="24"/>
          <w:highlight w:val="none"/>
        </w:rPr>
      </w:pPr>
      <w:r>
        <w:rPr>
          <w:color w:val="auto"/>
          <w:sz w:val="24"/>
          <w:highlight w:val="none"/>
        </w:rPr>
        <w:t>(1)生产废水种类</w:t>
      </w:r>
    </w:p>
    <w:p>
      <w:pPr>
        <w:snapToGrid w:val="0"/>
        <w:spacing w:line="360" w:lineRule="auto"/>
        <w:ind w:firstLine="480"/>
        <w:rPr>
          <w:color w:val="auto"/>
          <w:sz w:val="24"/>
          <w:highlight w:val="none"/>
        </w:rPr>
      </w:pPr>
      <w:r>
        <w:rPr>
          <w:color w:val="auto"/>
          <w:sz w:val="24"/>
          <w:highlight w:val="none"/>
        </w:rPr>
        <w:t>生产废水共分综合废水、含铬废水</w:t>
      </w:r>
      <w:r>
        <w:rPr>
          <w:rFonts w:hint="eastAsia"/>
          <w:color w:val="auto"/>
          <w:sz w:val="24"/>
          <w:highlight w:val="none"/>
          <w:lang w:eastAsia="zh-CN"/>
        </w:rPr>
        <w:t>、</w:t>
      </w:r>
      <w:r>
        <w:rPr>
          <w:rFonts w:hint="eastAsia"/>
          <w:color w:val="auto"/>
          <w:sz w:val="24"/>
          <w:highlight w:val="none"/>
          <w:lang w:val="en-US" w:eastAsia="zh-CN"/>
        </w:rPr>
        <w:t>含镍废水三</w:t>
      </w:r>
      <w:r>
        <w:rPr>
          <w:color w:val="auto"/>
          <w:sz w:val="24"/>
          <w:highlight w:val="none"/>
        </w:rPr>
        <w:t>类。</w:t>
      </w:r>
    </w:p>
    <w:p>
      <w:pPr>
        <w:pStyle w:val="30"/>
        <w:snapToGrid w:val="0"/>
        <w:spacing w:after="0" w:line="360" w:lineRule="auto"/>
        <w:jc w:val="center"/>
        <w:rPr>
          <w:rFonts w:eastAsia="黑体"/>
          <w:bCs/>
          <w:color w:val="auto"/>
          <w:sz w:val="24"/>
          <w:szCs w:val="24"/>
          <w:highlight w:val="none"/>
        </w:rPr>
      </w:pPr>
      <w:r>
        <w:rPr>
          <w:rFonts w:eastAsia="黑体"/>
          <w:bCs/>
          <w:color w:val="auto"/>
          <w:sz w:val="24"/>
          <w:szCs w:val="24"/>
          <w:highlight w:val="none"/>
        </w:rPr>
        <w:t>表</w:t>
      </w:r>
      <w:r>
        <w:rPr>
          <w:rFonts w:hint="eastAsia" w:eastAsia="黑体"/>
          <w:bCs/>
          <w:color w:val="auto"/>
          <w:sz w:val="24"/>
          <w:szCs w:val="24"/>
          <w:highlight w:val="none"/>
        </w:rPr>
        <w:t>2.</w:t>
      </w:r>
      <w:r>
        <w:rPr>
          <w:rFonts w:hint="eastAsia" w:eastAsia="黑体"/>
          <w:bCs/>
          <w:color w:val="auto"/>
          <w:sz w:val="24"/>
          <w:szCs w:val="24"/>
          <w:highlight w:val="none"/>
          <w:lang w:val="en-US" w:eastAsia="zh-CN"/>
        </w:rPr>
        <w:t>5</w:t>
      </w:r>
      <w:r>
        <w:rPr>
          <w:rFonts w:eastAsia="黑体"/>
          <w:bCs/>
          <w:color w:val="auto"/>
          <w:sz w:val="24"/>
          <w:szCs w:val="24"/>
          <w:highlight w:val="none"/>
        </w:rPr>
        <w:t>-</w:t>
      </w:r>
      <w:r>
        <w:rPr>
          <w:rFonts w:hint="eastAsia" w:eastAsia="黑体"/>
          <w:bCs/>
          <w:color w:val="auto"/>
          <w:sz w:val="24"/>
          <w:szCs w:val="24"/>
          <w:highlight w:val="none"/>
          <w:lang w:val="en-US" w:eastAsia="zh-CN"/>
        </w:rPr>
        <w:t>1</w:t>
      </w:r>
      <w:r>
        <w:rPr>
          <w:rFonts w:eastAsia="黑体"/>
          <w:bCs/>
          <w:color w:val="auto"/>
          <w:sz w:val="24"/>
          <w:szCs w:val="24"/>
          <w:highlight w:val="none"/>
        </w:rPr>
        <w:t xml:space="preserve">  生产废水产生情况及措施</w:t>
      </w:r>
    </w:p>
    <w:tbl>
      <w:tblPr>
        <w:tblStyle w:val="36"/>
        <w:tblW w:w="9230" w:type="dxa"/>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518"/>
        <w:gridCol w:w="674"/>
        <w:gridCol w:w="2448"/>
        <w:gridCol w:w="1632"/>
        <w:gridCol w:w="2726"/>
        <w:gridCol w:w="1232"/>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97" w:hRule="atLeast"/>
          <w:jc w:val="center"/>
        </w:trPr>
        <w:tc>
          <w:tcPr>
            <w:tcW w:w="1192" w:type="dxa"/>
            <w:gridSpan w:val="2"/>
            <w:vAlign w:val="center"/>
          </w:tcPr>
          <w:p>
            <w:pPr>
              <w:pStyle w:val="30"/>
              <w:spacing w:after="0"/>
              <w:ind w:left="0" w:leftChars="0"/>
              <w:jc w:val="center"/>
              <w:rPr>
                <w:b/>
                <w:color w:val="auto"/>
                <w:sz w:val="21"/>
                <w:szCs w:val="21"/>
                <w:highlight w:val="none"/>
              </w:rPr>
            </w:pPr>
            <w:r>
              <w:rPr>
                <w:b/>
                <w:color w:val="auto"/>
                <w:sz w:val="21"/>
                <w:szCs w:val="21"/>
                <w:highlight w:val="none"/>
              </w:rPr>
              <w:t>废水种类</w:t>
            </w:r>
          </w:p>
        </w:tc>
        <w:tc>
          <w:tcPr>
            <w:tcW w:w="2448" w:type="dxa"/>
            <w:vAlign w:val="center"/>
          </w:tcPr>
          <w:p>
            <w:pPr>
              <w:pStyle w:val="30"/>
              <w:spacing w:after="0"/>
              <w:ind w:left="0" w:leftChars="0"/>
              <w:jc w:val="center"/>
              <w:rPr>
                <w:b/>
                <w:color w:val="auto"/>
                <w:sz w:val="21"/>
                <w:szCs w:val="21"/>
                <w:highlight w:val="none"/>
              </w:rPr>
            </w:pPr>
            <w:r>
              <w:rPr>
                <w:b/>
                <w:color w:val="auto"/>
                <w:sz w:val="21"/>
                <w:szCs w:val="21"/>
                <w:highlight w:val="none"/>
              </w:rPr>
              <w:t>来源</w:t>
            </w:r>
          </w:p>
        </w:tc>
        <w:tc>
          <w:tcPr>
            <w:tcW w:w="1632" w:type="dxa"/>
            <w:vAlign w:val="center"/>
          </w:tcPr>
          <w:p>
            <w:pPr>
              <w:pStyle w:val="30"/>
              <w:spacing w:after="0"/>
              <w:ind w:left="0" w:leftChars="0"/>
              <w:jc w:val="center"/>
              <w:rPr>
                <w:b/>
                <w:color w:val="auto"/>
                <w:sz w:val="21"/>
                <w:szCs w:val="21"/>
                <w:highlight w:val="none"/>
              </w:rPr>
            </w:pPr>
            <w:r>
              <w:rPr>
                <w:b/>
                <w:color w:val="auto"/>
                <w:sz w:val="21"/>
                <w:szCs w:val="21"/>
                <w:highlight w:val="none"/>
              </w:rPr>
              <w:t>污染特征</w:t>
            </w:r>
          </w:p>
        </w:tc>
        <w:tc>
          <w:tcPr>
            <w:tcW w:w="3958" w:type="dxa"/>
            <w:gridSpan w:val="2"/>
            <w:vAlign w:val="center"/>
          </w:tcPr>
          <w:p>
            <w:pPr>
              <w:pStyle w:val="30"/>
              <w:spacing w:after="0"/>
              <w:ind w:left="0" w:leftChars="0"/>
              <w:jc w:val="center"/>
              <w:rPr>
                <w:b/>
                <w:color w:val="auto"/>
                <w:sz w:val="21"/>
                <w:szCs w:val="21"/>
                <w:highlight w:val="none"/>
              </w:rPr>
            </w:pPr>
            <w:r>
              <w:rPr>
                <w:b/>
                <w:color w:val="auto"/>
                <w:sz w:val="21"/>
                <w:szCs w:val="21"/>
                <w:highlight w:val="none"/>
              </w:rPr>
              <w:t>排放去向</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97" w:hRule="atLeast"/>
          <w:jc w:val="center"/>
        </w:trPr>
        <w:tc>
          <w:tcPr>
            <w:tcW w:w="518" w:type="dxa"/>
            <w:vMerge w:val="restart"/>
            <w:vAlign w:val="center"/>
          </w:tcPr>
          <w:p>
            <w:pPr>
              <w:pStyle w:val="30"/>
              <w:spacing w:after="0"/>
              <w:ind w:left="0" w:leftChars="0"/>
              <w:rPr>
                <w:color w:val="auto"/>
                <w:sz w:val="21"/>
                <w:szCs w:val="21"/>
                <w:highlight w:val="none"/>
              </w:rPr>
            </w:pPr>
            <w:r>
              <w:rPr>
                <w:color w:val="auto"/>
                <w:sz w:val="21"/>
                <w:szCs w:val="21"/>
                <w:highlight w:val="none"/>
              </w:rPr>
              <w:t>生产</w:t>
            </w:r>
          </w:p>
          <w:p>
            <w:pPr>
              <w:pStyle w:val="30"/>
              <w:spacing w:after="0"/>
              <w:ind w:left="0" w:leftChars="0"/>
              <w:rPr>
                <w:color w:val="auto"/>
                <w:sz w:val="21"/>
                <w:szCs w:val="21"/>
                <w:highlight w:val="none"/>
              </w:rPr>
            </w:pPr>
            <w:r>
              <w:rPr>
                <w:color w:val="auto"/>
                <w:sz w:val="21"/>
                <w:szCs w:val="21"/>
                <w:highlight w:val="none"/>
              </w:rPr>
              <w:t>废水</w:t>
            </w:r>
          </w:p>
        </w:tc>
        <w:tc>
          <w:tcPr>
            <w:tcW w:w="674" w:type="dxa"/>
            <w:vAlign w:val="center"/>
          </w:tcPr>
          <w:p>
            <w:pPr>
              <w:pStyle w:val="30"/>
              <w:spacing w:after="0"/>
              <w:ind w:left="0" w:leftChars="0"/>
              <w:jc w:val="center"/>
              <w:rPr>
                <w:color w:val="auto"/>
                <w:sz w:val="21"/>
                <w:szCs w:val="21"/>
                <w:highlight w:val="none"/>
              </w:rPr>
            </w:pPr>
            <w:r>
              <w:rPr>
                <w:color w:val="auto"/>
                <w:sz w:val="21"/>
                <w:szCs w:val="21"/>
                <w:highlight w:val="none"/>
              </w:rPr>
              <w:t>综合</w:t>
            </w:r>
          </w:p>
          <w:p>
            <w:pPr>
              <w:pStyle w:val="30"/>
              <w:spacing w:after="0"/>
              <w:ind w:left="0" w:leftChars="0"/>
              <w:jc w:val="center"/>
              <w:rPr>
                <w:color w:val="auto"/>
                <w:sz w:val="21"/>
                <w:szCs w:val="21"/>
                <w:highlight w:val="none"/>
              </w:rPr>
            </w:pPr>
            <w:r>
              <w:rPr>
                <w:color w:val="auto"/>
                <w:sz w:val="21"/>
                <w:szCs w:val="21"/>
                <w:highlight w:val="none"/>
              </w:rPr>
              <w:t>废水</w:t>
            </w:r>
          </w:p>
        </w:tc>
        <w:tc>
          <w:tcPr>
            <w:tcW w:w="2448" w:type="dxa"/>
            <w:vAlign w:val="center"/>
          </w:tcPr>
          <w:p>
            <w:pPr>
              <w:pStyle w:val="30"/>
              <w:spacing w:after="0"/>
              <w:ind w:left="0" w:leftChars="0"/>
              <w:jc w:val="center"/>
              <w:rPr>
                <w:color w:val="auto"/>
                <w:sz w:val="21"/>
                <w:szCs w:val="21"/>
                <w:highlight w:val="none"/>
              </w:rPr>
            </w:pPr>
            <w:r>
              <w:rPr>
                <w:color w:val="auto"/>
                <w:sz w:val="21"/>
                <w:szCs w:val="21"/>
                <w:highlight w:val="none"/>
              </w:rPr>
              <w:t>来自于酸洗、镀锌</w:t>
            </w:r>
            <w:r>
              <w:rPr>
                <w:rFonts w:hint="eastAsia"/>
                <w:color w:val="auto"/>
                <w:sz w:val="21"/>
                <w:szCs w:val="21"/>
                <w:highlight w:val="none"/>
              </w:rPr>
              <w:t>、出光</w:t>
            </w:r>
            <w:r>
              <w:rPr>
                <w:color w:val="auto"/>
                <w:sz w:val="21"/>
                <w:szCs w:val="21"/>
                <w:highlight w:val="none"/>
              </w:rPr>
              <w:t>等后续的水洗工序，酸雾净化塔排放的废水。</w:t>
            </w:r>
          </w:p>
        </w:tc>
        <w:tc>
          <w:tcPr>
            <w:tcW w:w="1632" w:type="dxa"/>
            <w:vAlign w:val="center"/>
          </w:tcPr>
          <w:p>
            <w:pPr>
              <w:pStyle w:val="30"/>
              <w:spacing w:after="0"/>
              <w:ind w:left="0" w:leftChars="0"/>
              <w:jc w:val="center"/>
              <w:rPr>
                <w:color w:val="auto"/>
                <w:sz w:val="21"/>
                <w:szCs w:val="21"/>
                <w:highlight w:val="none"/>
              </w:rPr>
            </w:pPr>
            <w:r>
              <w:rPr>
                <w:color w:val="auto"/>
                <w:sz w:val="21"/>
                <w:szCs w:val="21"/>
                <w:highlight w:val="none"/>
              </w:rPr>
              <w:t>pH、COD、总锌</w:t>
            </w:r>
            <w:r>
              <w:rPr>
                <w:rFonts w:hint="eastAsia"/>
                <w:color w:val="auto"/>
                <w:sz w:val="21"/>
                <w:szCs w:val="21"/>
                <w:highlight w:val="none"/>
              </w:rPr>
              <w:t>、总铜、总银、总锡</w:t>
            </w:r>
            <w:r>
              <w:rPr>
                <w:color w:val="auto"/>
                <w:sz w:val="21"/>
                <w:szCs w:val="21"/>
                <w:highlight w:val="none"/>
              </w:rPr>
              <w:t>、石油类</w:t>
            </w:r>
          </w:p>
        </w:tc>
        <w:tc>
          <w:tcPr>
            <w:tcW w:w="2726" w:type="dxa"/>
            <w:vAlign w:val="center"/>
          </w:tcPr>
          <w:p>
            <w:pPr>
              <w:pStyle w:val="30"/>
              <w:spacing w:after="0"/>
              <w:ind w:left="0" w:leftChars="0"/>
              <w:jc w:val="center"/>
              <w:rPr>
                <w:color w:val="auto"/>
                <w:sz w:val="21"/>
                <w:szCs w:val="21"/>
                <w:highlight w:val="none"/>
              </w:rPr>
            </w:pPr>
            <w:r>
              <w:rPr>
                <w:color w:val="auto"/>
                <w:sz w:val="21"/>
                <w:szCs w:val="21"/>
                <w:highlight w:val="none"/>
              </w:rPr>
              <w:t>经综合废水管道进入园区污水站综合废水系统</w:t>
            </w:r>
          </w:p>
        </w:tc>
        <w:tc>
          <w:tcPr>
            <w:tcW w:w="1232" w:type="dxa"/>
            <w:vMerge w:val="restart"/>
            <w:vAlign w:val="center"/>
          </w:tcPr>
          <w:p>
            <w:pPr>
              <w:pStyle w:val="30"/>
              <w:snapToGrid w:val="0"/>
              <w:spacing w:after="0"/>
              <w:ind w:left="0" w:leftChars="0"/>
              <w:rPr>
                <w:color w:val="auto"/>
                <w:sz w:val="21"/>
                <w:szCs w:val="21"/>
                <w:highlight w:val="none"/>
              </w:rPr>
            </w:pPr>
            <w:r>
              <w:rPr>
                <w:color w:val="auto"/>
                <w:sz w:val="21"/>
                <w:szCs w:val="21"/>
                <w:highlight w:val="none"/>
              </w:rPr>
              <w:t>污水站处理达标后经城市污水管网排入</w:t>
            </w:r>
            <w:r>
              <w:rPr>
                <w:rFonts w:hint="eastAsia"/>
                <w:color w:val="auto"/>
                <w:sz w:val="21"/>
                <w:szCs w:val="21"/>
                <w:highlight w:val="none"/>
                <w:lang w:eastAsia="zh-CN"/>
              </w:rPr>
              <w:t>镰湾河水质净化厂</w:t>
            </w:r>
            <w:r>
              <w:rPr>
                <w:color w:val="auto"/>
                <w:sz w:val="21"/>
                <w:szCs w:val="21"/>
                <w:highlight w:val="none"/>
              </w:rPr>
              <w:t xml:space="preserve"> </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97" w:hRule="atLeast"/>
          <w:jc w:val="center"/>
        </w:trPr>
        <w:tc>
          <w:tcPr>
            <w:tcW w:w="518" w:type="dxa"/>
            <w:vMerge w:val="continue"/>
            <w:vAlign w:val="center"/>
          </w:tcPr>
          <w:p>
            <w:pPr>
              <w:pStyle w:val="30"/>
              <w:spacing w:after="0"/>
              <w:ind w:left="0" w:leftChars="0"/>
              <w:rPr>
                <w:color w:val="auto"/>
                <w:sz w:val="21"/>
                <w:szCs w:val="21"/>
                <w:highlight w:val="none"/>
              </w:rPr>
            </w:pPr>
          </w:p>
        </w:tc>
        <w:tc>
          <w:tcPr>
            <w:tcW w:w="674" w:type="dxa"/>
            <w:vAlign w:val="center"/>
          </w:tcPr>
          <w:p>
            <w:pPr>
              <w:pStyle w:val="30"/>
              <w:spacing w:after="0"/>
              <w:ind w:left="0" w:left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含镍废水</w:t>
            </w:r>
          </w:p>
        </w:tc>
        <w:tc>
          <w:tcPr>
            <w:tcW w:w="2448" w:type="dxa"/>
            <w:vAlign w:val="center"/>
          </w:tcPr>
          <w:p>
            <w:pPr>
              <w:spacing w:line="280" w:lineRule="exact"/>
              <w:jc w:val="center"/>
              <w:rPr>
                <w:color w:val="auto"/>
                <w:sz w:val="21"/>
                <w:szCs w:val="21"/>
                <w:highlight w:val="none"/>
              </w:rPr>
            </w:pPr>
            <w:r>
              <w:rPr>
                <w:rFonts w:hint="eastAsia"/>
                <w:color w:val="auto"/>
                <w:kern w:val="0"/>
                <w:sz w:val="21"/>
                <w:szCs w:val="21"/>
                <w:highlight w:val="none"/>
                <w:lang w:val="en-US" w:eastAsia="zh-CN"/>
              </w:rPr>
              <w:t>预镀镍、</w:t>
            </w:r>
            <w:r>
              <w:rPr>
                <w:color w:val="auto"/>
                <w:kern w:val="0"/>
                <w:sz w:val="21"/>
                <w:szCs w:val="21"/>
                <w:highlight w:val="none"/>
              </w:rPr>
              <w:t>镀镍后续水洗工序</w:t>
            </w:r>
          </w:p>
        </w:tc>
        <w:tc>
          <w:tcPr>
            <w:tcW w:w="1632" w:type="dxa"/>
            <w:vAlign w:val="center"/>
          </w:tcPr>
          <w:p>
            <w:pPr>
              <w:pStyle w:val="30"/>
              <w:spacing w:after="0"/>
              <w:ind w:left="0" w:leftChars="0"/>
              <w:jc w:val="center"/>
              <w:rPr>
                <w:color w:val="auto"/>
                <w:sz w:val="21"/>
                <w:szCs w:val="21"/>
                <w:highlight w:val="none"/>
              </w:rPr>
            </w:pPr>
            <w:r>
              <w:rPr>
                <w:color w:val="auto"/>
                <w:sz w:val="21"/>
                <w:szCs w:val="21"/>
                <w:highlight w:val="none"/>
              </w:rPr>
              <w:t>pH、</w:t>
            </w:r>
            <w:r>
              <w:rPr>
                <w:rFonts w:hint="eastAsia"/>
                <w:color w:val="auto"/>
                <w:sz w:val="21"/>
                <w:szCs w:val="21"/>
                <w:highlight w:val="none"/>
                <w:lang w:val="en-US" w:eastAsia="zh-CN"/>
              </w:rPr>
              <w:t>总镍</w:t>
            </w:r>
          </w:p>
        </w:tc>
        <w:tc>
          <w:tcPr>
            <w:tcW w:w="2726" w:type="dxa"/>
            <w:vAlign w:val="center"/>
          </w:tcPr>
          <w:p>
            <w:pPr>
              <w:pStyle w:val="30"/>
              <w:spacing w:after="0"/>
              <w:ind w:left="0" w:leftChars="0"/>
              <w:jc w:val="center"/>
              <w:rPr>
                <w:color w:val="auto"/>
                <w:sz w:val="21"/>
                <w:szCs w:val="21"/>
                <w:highlight w:val="none"/>
              </w:rPr>
            </w:pPr>
            <w:r>
              <w:rPr>
                <w:color w:val="auto"/>
                <w:sz w:val="21"/>
                <w:szCs w:val="21"/>
                <w:highlight w:val="none"/>
              </w:rPr>
              <w:t>经含</w:t>
            </w:r>
            <w:r>
              <w:rPr>
                <w:rFonts w:hint="eastAsia"/>
                <w:color w:val="auto"/>
                <w:sz w:val="21"/>
                <w:szCs w:val="21"/>
                <w:highlight w:val="none"/>
                <w:lang w:val="en-US" w:eastAsia="zh-CN"/>
              </w:rPr>
              <w:t>镍</w:t>
            </w:r>
            <w:r>
              <w:rPr>
                <w:color w:val="auto"/>
                <w:sz w:val="21"/>
                <w:szCs w:val="21"/>
                <w:highlight w:val="none"/>
              </w:rPr>
              <w:t>废水管道进入</w:t>
            </w:r>
            <w:r>
              <w:rPr>
                <w:rFonts w:hint="eastAsia"/>
                <w:color w:val="auto"/>
                <w:sz w:val="21"/>
                <w:szCs w:val="21"/>
                <w:highlight w:val="none"/>
              </w:rPr>
              <w:t>园区</w:t>
            </w:r>
            <w:r>
              <w:rPr>
                <w:color w:val="auto"/>
                <w:sz w:val="21"/>
                <w:szCs w:val="21"/>
                <w:highlight w:val="none"/>
              </w:rPr>
              <w:t>污水站含</w:t>
            </w:r>
            <w:r>
              <w:rPr>
                <w:rFonts w:hint="eastAsia"/>
                <w:color w:val="auto"/>
                <w:sz w:val="21"/>
                <w:szCs w:val="21"/>
                <w:highlight w:val="none"/>
                <w:lang w:val="en-US" w:eastAsia="zh-CN"/>
              </w:rPr>
              <w:t>镍</w:t>
            </w:r>
            <w:r>
              <w:rPr>
                <w:color w:val="auto"/>
                <w:sz w:val="21"/>
                <w:szCs w:val="21"/>
                <w:highlight w:val="none"/>
              </w:rPr>
              <w:t>废水系统</w:t>
            </w:r>
          </w:p>
        </w:tc>
        <w:tc>
          <w:tcPr>
            <w:tcW w:w="1232" w:type="dxa"/>
            <w:vMerge w:val="continue"/>
            <w:vAlign w:val="center"/>
          </w:tcPr>
          <w:p>
            <w:pPr>
              <w:pStyle w:val="30"/>
              <w:snapToGrid w:val="0"/>
              <w:spacing w:after="0"/>
              <w:ind w:left="0" w:leftChars="0"/>
              <w:rPr>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97" w:hRule="atLeast"/>
          <w:jc w:val="center"/>
        </w:trPr>
        <w:tc>
          <w:tcPr>
            <w:tcW w:w="518" w:type="dxa"/>
            <w:vMerge w:val="continue"/>
            <w:vAlign w:val="center"/>
          </w:tcPr>
          <w:p>
            <w:pPr>
              <w:pStyle w:val="30"/>
              <w:spacing w:after="0"/>
              <w:ind w:left="0" w:leftChars="0"/>
              <w:rPr>
                <w:color w:val="auto"/>
                <w:sz w:val="21"/>
                <w:szCs w:val="21"/>
                <w:highlight w:val="none"/>
              </w:rPr>
            </w:pPr>
          </w:p>
        </w:tc>
        <w:tc>
          <w:tcPr>
            <w:tcW w:w="674" w:type="dxa"/>
            <w:vAlign w:val="center"/>
          </w:tcPr>
          <w:p>
            <w:pPr>
              <w:pStyle w:val="30"/>
              <w:spacing w:after="0"/>
              <w:ind w:left="0" w:leftChars="0"/>
              <w:jc w:val="center"/>
              <w:rPr>
                <w:color w:val="auto"/>
                <w:sz w:val="21"/>
                <w:szCs w:val="21"/>
                <w:highlight w:val="none"/>
              </w:rPr>
            </w:pPr>
            <w:r>
              <w:rPr>
                <w:color w:val="auto"/>
                <w:sz w:val="21"/>
                <w:szCs w:val="21"/>
                <w:highlight w:val="none"/>
              </w:rPr>
              <w:t>含铬</w:t>
            </w:r>
          </w:p>
          <w:p>
            <w:pPr>
              <w:pStyle w:val="30"/>
              <w:spacing w:after="0"/>
              <w:ind w:left="0" w:leftChars="0"/>
              <w:jc w:val="center"/>
              <w:rPr>
                <w:color w:val="auto"/>
                <w:sz w:val="21"/>
                <w:szCs w:val="21"/>
                <w:highlight w:val="none"/>
              </w:rPr>
            </w:pPr>
            <w:r>
              <w:rPr>
                <w:color w:val="auto"/>
                <w:sz w:val="21"/>
                <w:szCs w:val="21"/>
                <w:highlight w:val="none"/>
              </w:rPr>
              <w:t>废水</w:t>
            </w:r>
          </w:p>
        </w:tc>
        <w:tc>
          <w:tcPr>
            <w:tcW w:w="2448" w:type="dxa"/>
            <w:vAlign w:val="center"/>
          </w:tcPr>
          <w:p>
            <w:pPr>
              <w:pStyle w:val="30"/>
              <w:spacing w:after="0"/>
              <w:ind w:left="0" w:leftChars="0"/>
              <w:jc w:val="center"/>
              <w:rPr>
                <w:color w:val="auto"/>
                <w:sz w:val="21"/>
                <w:szCs w:val="21"/>
                <w:highlight w:val="none"/>
              </w:rPr>
            </w:pPr>
            <w:r>
              <w:rPr>
                <w:color w:val="auto"/>
                <w:sz w:val="21"/>
                <w:szCs w:val="21"/>
                <w:highlight w:val="none"/>
              </w:rPr>
              <w:t>来自于钝化后续水洗工序</w:t>
            </w:r>
            <w:r>
              <w:rPr>
                <w:rFonts w:hint="eastAsia"/>
                <w:color w:val="auto"/>
                <w:sz w:val="21"/>
                <w:szCs w:val="21"/>
                <w:highlight w:val="none"/>
              </w:rPr>
              <w:t>废水</w:t>
            </w:r>
          </w:p>
        </w:tc>
        <w:tc>
          <w:tcPr>
            <w:tcW w:w="1632" w:type="dxa"/>
            <w:vAlign w:val="center"/>
          </w:tcPr>
          <w:p>
            <w:pPr>
              <w:pStyle w:val="30"/>
              <w:spacing w:after="0"/>
              <w:ind w:left="0" w:leftChars="0"/>
              <w:jc w:val="center"/>
              <w:rPr>
                <w:color w:val="auto"/>
                <w:sz w:val="21"/>
                <w:szCs w:val="21"/>
                <w:highlight w:val="none"/>
              </w:rPr>
            </w:pPr>
            <w:r>
              <w:rPr>
                <w:color w:val="auto"/>
                <w:sz w:val="21"/>
                <w:szCs w:val="21"/>
                <w:highlight w:val="none"/>
              </w:rPr>
              <w:t>pH、Cr</w:t>
            </w:r>
            <w:r>
              <w:rPr>
                <w:color w:val="auto"/>
                <w:sz w:val="21"/>
                <w:szCs w:val="21"/>
                <w:highlight w:val="none"/>
                <w:vertAlign w:val="superscript"/>
              </w:rPr>
              <w:t>6+</w:t>
            </w:r>
            <w:r>
              <w:rPr>
                <w:color w:val="auto"/>
                <w:sz w:val="21"/>
                <w:szCs w:val="21"/>
                <w:highlight w:val="none"/>
              </w:rPr>
              <w:t>、总铬</w:t>
            </w:r>
          </w:p>
        </w:tc>
        <w:tc>
          <w:tcPr>
            <w:tcW w:w="2726" w:type="dxa"/>
            <w:vAlign w:val="center"/>
          </w:tcPr>
          <w:p>
            <w:pPr>
              <w:pStyle w:val="30"/>
              <w:spacing w:after="0"/>
              <w:ind w:left="0" w:leftChars="0"/>
              <w:jc w:val="center"/>
              <w:rPr>
                <w:color w:val="auto"/>
                <w:sz w:val="21"/>
                <w:szCs w:val="21"/>
                <w:highlight w:val="none"/>
              </w:rPr>
            </w:pPr>
            <w:r>
              <w:rPr>
                <w:color w:val="auto"/>
                <w:sz w:val="21"/>
                <w:szCs w:val="21"/>
                <w:highlight w:val="none"/>
              </w:rPr>
              <w:t>经含铬废水管道进入</w:t>
            </w:r>
            <w:r>
              <w:rPr>
                <w:rFonts w:hint="eastAsia"/>
                <w:color w:val="auto"/>
                <w:sz w:val="21"/>
                <w:szCs w:val="21"/>
                <w:highlight w:val="none"/>
              </w:rPr>
              <w:t>园区</w:t>
            </w:r>
            <w:r>
              <w:rPr>
                <w:color w:val="auto"/>
                <w:sz w:val="21"/>
                <w:szCs w:val="21"/>
                <w:highlight w:val="none"/>
              </w:rPr>
              <w:t>污水站含铬废水系统</w:t>
            </w:r>
          </w:p>
        </w:tc>
        <w:tc>
          <w:tcPr>
            <w:tcW w:w="1232" w:type="dxa"/>
            <w:vMerge w:val="continue"/>
            <w:vAlign w:val="center"/>
          </w:tcPr>
          <w:p>
            <w:pPr>
              <w:pStyle w:val="30"/>
              <w:snapToGrid w:val="0"/>
              <w:spacing w:after="0"/>
              <w:ind w:left="0" w:leftChars="0"/>
              <w:rPr>
                <w:color w:val="auto"/>
                <w:sz w:val="21"/>
                <w:szCs w:val="21"/>
                <w:highlight w:val="none"/>
              </w:rPr>
            </w:pPr>
          </w:p>
        </w:tc>
      </w:tr>
    </w:tbl>
    <w:p>
      <w:pPr>
        <w:snapToGrid w:val="0"/>
        <w:spacing w:line="360" w:lineRule="auto"/>
        <w:ind w:firstLine="480" w:firstLineChars="200"/>
        <w:rPr>
          <w:color w:val="auto"/>
          <w:sz w:val="24"/>
          <w:highlight w:val="none"/>
        </w:rPr>
      </w:pPr>
      <w:r>
        <w:rPr>
          <w:color w:val="auto"/>
          <w:sz w:val="24"/>
          <w:highlight w:val="none"/>
        </w:rPr>
        <w:t>(2)废水收集系统及水量</w:t>
      </w:r>
    </w:p>
    <w:p>
      <w:pPr>
        <w:spacing w:line="360" w:lineRule="auto"/>
        <w:ind w:firstLine="480" w:firstLineChars="200"/>
        <w:rPr>
          <w:rFonts w:hint="eastAsia"/>
          <w:color w:val="auto"/>
          <w:sz w:val="24"/>
          <w:highlight w:val="none"/>
        </w:rPr>
      </w:pPr>
      <w:r>
        <w:rPr>
          <w:rFonts w:hint="eastAsia"/>
          <w:color w:val="auto"/>
          <w:sz w:val="24"/>
          <w:highlight w:val="none"/>
        </w:rPr>
        <w:t>①废水分区收集：</w:t>
      </w:r>
    </w:p>
    <w:p>
      <w:pPr>
        <w:spacing w:line="360" w:lineRule="auto"/>
        <w:ind w:firstLine="480" w:firstLineChars="200"/>
        <w:rPr>
          <w:rFonts w:hint="eastAsia"/>
          <w:color w:val="auto"/>
          <w:sz w:val="24"/>
          <w:highlight w:val="none"/>
        </w:rPr>
      </w:pPr>
      <w:r>
        <w:rPr>
          <w:rFonts w:hint="eastAsia"/>
          <w:color w:val="auto"/>
          <w:sz w:val="24"/>
          <w:highlight w:val="none"/>
        </w:rPr>
        <w:t>各外排水洗槽增设废水阀门及管道，分别接入各自相应分区废水口，再接入车间各类废水管道，最终进入</w:t>
      </w:r>
      <w:r>
        <w:rPr>
          <w:rFonts w:hint="eastAsia"/>
          <w:color w:val="auto"/>
          <w:sz w:val="24"/>
          <w:highlight w:val="none"/>
          <w:lang w:val="en-US" w:eastAsia="zh-CN"/>
        </w:rPr>
        <w:t>园区</w:t>
      </w:r>
      <w:r>
        <w:rPr>
          <w:rFonts w:hint="eastAsia"/>
          <w:color w:val="auto"/>
          <w:sz w:val="24"/>
          <w:highlight w:val="none"/>
        </w:rPr>
        <w:t>不同废水处理单元。各镀槽及后续水洗槽紧密相接，槽与槽之间设挡水板。</w:t>
      </w:r>
    </w:p>
    <w:p>
      <w:pPr>
        <w:spacing w:line="360" w:lineRule="auto"/>
        <w:ind w:firstLine="480" w:firstLineChars="200"/>
        <w:rPr>
          <w:rFonts w:hint="eastAsia"/>
          <w:color w:val="auto"/>
          <w:sz w:val="24"/>
          <w:highlight w:val="none"/>
        </w:rPr>
      </w:pPr>
      <w:r>
        <w:rPr>
          <w:rFonts w:hint="eastAsia"/>
          <w:color w:val="auto"/>
          <w:sz w:val="24"/>
          <w:highlight w:val="none"/>
        </w:rPr>
        <w:t>项目的每条电镀生产线均由多个镀槽组成，电镀生产线每个槽子底部均由管道连接。生产过程中产生的废水由各个槽子管道分类收集至车间布设的各条废水排放主管道。废水经由各个主管道进行收集进入各个废水收集池。</w:t>
      </w:r>
    </w:p>
    <w:p>
      <w:pPr>
        <w:spacing w:line="360" w:lineRule="auto"/>
        <w:ind w:firstLine="480" w:firstLineChars="200"/>
        <w:rPr>
          <w:color w:val="auto"/>
          <w:sz w:val="24"/>
          <w:highlight w:val="none"/>
        </w:rPr>
      </w:pPr>
      <w:r>
        <w:rPr>
          <w:color w:val="auto"/>
          <w:sz w:val="24"/>
          <w:highlight w:val="none"/>
        </w:rPr>
        <w:t>各个镀槽均放置于托盘之上，托盘周边为高15cm的围堰，以确保生产线的废水不落到地面，均收集与托盘之内。托盘根据镀种进行分区，托盘底部角落均由管道连接至车间布设的各条废水排放主管道，以便收集操作过程中托盘内产生的废水</w:t>
      </w:r>
      <w:r>
        <w:rPr>
          <w:rFonts w:hint="eastAsia"/>
          <w:color w:val="auto"/>
          <w:sz w:val="24"/>
          <w:highlight w:val="none"/>
        </w:rPr>
        <w:t>。托盘根据镀种进行分区，各分区之间用围堰进行间隔，托盘底部角落均由管道连接至车间布设的废水排放主管道，以便收集操作过程中托盘内产生的废水。上下挂具实现干湿分离，下挂处设置围堰和格栅，实现废水有效收集，确保无落地水。</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outlineLvl w:val="9"/>
        <w:rPr>
          <w:color w:val="auto"/>
          <w:sz w:val="24"/>
          <w:szCs w:val="24"/>
          <w:highlight w:val="none"/>
        </w:rPr>
      </w:pPr>
      <w:r>
        <w:rPr>
          <w:rFonts w:hint="eastAsia" w:ascii="宋体" w:hAnsi="宋体" w:cs="宋体"/>
          <w:color w:val="auto"/>
          <w:sz w:val="24"/>
          <w:szCs w:val="24"/>
          <w:highlight w:val="none"/>
        </w:rPr>
        <w:t>②</w:t>
      </w:r>
      <w:r>
        <w:rPr>
          <w:color w:val="auto"/>
          <w:sz w:val="24"/>
          <w:szCs w:val="24"/>
          <w:highlight w:val="none"/>
        </w:rPr>
        <w:t>废水分类排放：</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outlineLvl w:val="9"/>
        <w:rPr>
          <w:color w:val="auto"/>
          <w:sz w:val="24"/>
          <w:szCs w:val="24"/>
          <w:highlight w:val="none"/>
        </w:rPr>
      </w:pPr>
      <w:r>
        <w:rPr>
          <w:rFonts w:hint="default" w:ascii="Times New Roman" w:hAnsi="Times New Roman" w:cs="Times New Roman"/>
          <w:color w:val="auto"/>
          <w:sz w:val="24"/>
          <w:szCs w:val="24"/>
          <w:highlight w:val="none"/>
          <w:lang w:val="en-US" w:eastAsia="zh-CN"/>
        </w:rPr>
        <w:t>项目</w:t>
      </w:r>
      <w:r>
        <w:rPr>
          <w:rFonts w:hint="default" w:ascii="Times New Roman" w:hAnsi="Times New Roman" w:cs="Times New Roman"/>
          <w:color w:val="auto"/>
          <w:sz w:val="24"/>
          <w:szCs w:val="24"/>
          <w:highlight w:val="none"/>
        </w:rPr>
        <w:t>共布设通往电镀工业园污水处理厂的总管线</w:t>
      </w:r>
      <w:r>
        <w:rPr>
          <w:rFonts w:hint="default"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rPr>
        <w:t>条，包括综合、含镍、含铬废水排放管道。厂区各车间生产废水经分类收集进入对应的污水收集池，然后各类废水分别按废水种类不同由不同的废水管网排</w:t>
      </w:r>
      <w:r>
        <w:rPr>
          <w:rFonts w:hint="default" w:ascii="Times New Roman" w:hAnsi="Times New Roman" w:cs="Times New Roman"/>
          <w:color w:val="auto"/>
          <w:sz w:val="24"/>
          <w:szCs w:val="24"/>
          <w:highlight w:val="none"/>
          <w:lang w:val="en-US" w:eastAsia="zh-CN"/>
        </w:rPr>
        <w:t>园区</w:t>
      </w:r>
      <w:r>
        <w:rPr>
          <w:rFonts w:hint="default" w:ascii="Times New Roman" w:hAnsi="Times New Roman" w:cs="Times New Roman"/>
          <w:color w:val="auto"/>
          <w:sz w:val="24"/>
          <w:szCs w:val="24"/>
          <w:highlight w:val="none"/>
        </w:rPr>
        <w:t>污水处理</w:t>
      </w:r>
      <w:r>
        <w:rPr>
          <w:rFonts w:hint="default" w:ascii="Times New Roman" w:hAnsi="Times New Roman" w:cs="Times New Roman"/>
          <w:color w:val="auto"/>
          <w:sz w:val="24"/>
          <w:szCs w:val="24"/>
          <w:highlight w:val="none"/>
          <w:lang w:val="en-US" w:eastAsia="zh-CN"/>
        </w:rPr>
        <w:t>站</w:t>
      </w:r>
      <w:r>
        <w:rPr>
          <w:rFonts w:hint="default" w:ascii="Times New Roman" w:hAnsi="Times New Roman" w:cs="Times New Roman"/>
          <w:color w:val="auto"/>
          <w:sz w:val="24"/>
          <w:szCs w:val="24"/>
          <w:highlight w:val="none"/>
        </w:rPr>
        <w:t>相应污水处理单元处理。</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outlineLvl w:val="9"/>
        <w:rPr>
          <w:rFonts w:hint="default" w:ascii="Times New Roman" w:hAnsi="Times New Roman" w:cs="Times New Roman"/>
          <w:color w:val="auto"/>
          <w:sz w:val="24"/>
          <w:szCs w:val="24"/>
          <w:highlight w:val="none"/>
        </w:rPr>
      </w:pPr>
      <w:r>
        <w:rPr>
          <w:color w:val="auto"/>
          <w:sz w:val="24"/>
          <w:szCs w:val="24"/>
          <w:highlight w:val="none"/>
        </w:rPr>
        <w:t>项目生</w:t>
      </w:r>
      <w:r>
        <w:rPr>
          <w:rFonts w:hint="default" w:ascii="Times New Roman" w:hAnsi="Times New Roman" w:cs="Times New Roman"/>
          <w:color w:val="auto"/>
          <w:sz w:val="24"/>
          <w:szCs w:val="24"/>
          <w:highlight w:val="none"/>
        </w:rPr>
        <w:t>产废水产生量</w:t>
      </w:r>
      <w:r>
        <w:rPr>
          <w:rFonts w:hint="eastAsia" w:cs="Times New Roman"/>
          <w:color w:val="auto"/>
          <w:sz w:val="24"/>
          <w:szCs w:val="24"/>
          <w:highlight w:val="none"/>
          <w:lang w:val="en-US" w:eastAsia="zh-CN"/>
        </w:rPr>
        <w:t>11436</w:t>
      </w:r>
      <w:r>
        <w:rPr>
          <w:rFonts w:hint="default" w:ascii="Times New Roman" w:hAnsi="Times New Roman" w:cs="Times New Roman"/>
          <w:color w:val="auto"/>
          <w:sz w:val="24"/>
          <w:szCs w:val="24"/>
          <w:highlight w:val="none"/>
        </w:rPr>
        <w:t>m³/a，其中综合废水约</w:t>
      </w:r>
      <w:r>
        <w:rPr>
          <w:rFonts w:hint="eastAsia" w:cs="Times New Roman"/>
          <w:color w:val="auto"/>
          <w:sz w:val="24"/>
          <w:szCs w:val="24"/>
          <w:highlight w:val="none"/>
          <w:lang w:val="en-US" w:eastAsia="zh-CN"/>
        </w:rPr>
        <w:t>9573</w:t>
      </w:r>
      <w:r>
        <w:rPr>
          <w:rFonts w:hint="default" w:ascii="Times New Roman" w:hAnsi="Times New Roman" w:cs="Times New Roman"/>
          <w:color w:val="auto"/>
          <w:sz w:val="24"/>
          <w:szCs w:val="24"/>
          <w:highlight w:val="none"/>
        </w:rPr>
        <w:t>m³/a、含镍废水</w:t>
      </w:r>
      <w:r>
        <w:rPr>
          <w:rFonts w:hint="eastAsia" w:cs="Times New Roman"/>
          <w:color w:val="auto"/>
          <w:sz w:val="24"/>
          <w:szCs w:val="24"/>
          <w:highlight w:val="none"/>
          <w:lang w:val="en-US" w:eastAsia="zh-CN"/>
        </w:rPr>
        <w:t>257</w:t>
      </w:r>
      <w:r>
        <w:rPr>
          <w:rFonts w:hint="default" w:ascii="Times New Roman" w:hAnsi="Times New Roman" w:cs="Times New Roman"/>
          <w:color w:val="auto"/>
          <w:sz w:val="24"/>
          <w:szCs w:val="24"/>
          <w:highlight w:val="none"/>
        </w:rPr>
        <w:t>m³/a、含铬废水约1</w:t>
      </w:r>
      <w:r>
        <w:rPr>
          <w:rFonts w:hint="default" w:ascii="Times New Roman" w:hAnsi="Times New Roman" w:cs="Times New Roman"/>
          <w:color w:val="auto"/>
          <w:sz w:val="24"/>
          <w:szCs w:val="24"/>
          <w:highlight w:val="none"/>
          <w:lang w:val="en-US" w:eastAsia="zh-CN"/>
        </w:rPr>
        <w:t>564</w:t>
      </w:r>
      <w:r>
        <w:rPr>
          <w:rFonts w:hint="default" w:ascii="Times New Roman" w:hAnsi="Times New Roman" w:cs="Times New Roman"/>
          <w:color w:val="auto"/>
          <w:sz w:val="24"/>
          <w:szCs w:val="24"/>
          <w:highlight w:val="none"/>
        </w:rPr>
        <w:t>m³/a</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highlight w:val="none"/>
        </w:rPr>
        <w:t>锅炉排污水</w:t>
      </w:r>
      <w:r>
        <w:rPr>
          <w:rFonts w:hint="eastAsia" w:cs="Times New Roman"/>
          <w:color w:val="auto"/>
          <w:sz w:val="24"/>
          <w:highlight w:val="none"/>
          <w:lang w:val="en-US" w:eastAsia="zh-CN"/>
        </w:rPr>
        <w:t>42</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/a</w:t>
      </w:r>
      <w:r>
        <w:rPr>
          <w:rFonts w:hint="default" w:ascii="Times New Roman" w:hAnsi="Times New Roman" w:cs="Times New Roman"/>
          <w:color w:val="auto"/>
          <w:sz w:val="24"/>
          <w:szCs w:val="24"/>
          <w:highlight w:val="none"/>
        </w:rPr>
        <w:t>。生活废水经化粪池处理后排入市政污水管网汇入</w:t>
      </w:r>
      <w:r>
        <w:rPr>
          <w:rFonts w:hint="default" w:ascii="Times New Roman" w:hAnsi="Times New Roman" w:cs="Times New Roman"/>
          <w:color w:val="auto"/>
          <w:sz w:val="24"/>
          <w:szCs w:val="24"/>
          <w:highlight w:val="none"/>
          <w:lang w:val="en-US" w:eastAsia="zh-CN"/>
        </w:rPr>
        <w:t>镰湾河水质净化厂</w:t>
      </w:r>
      <w:r>
        <w:rPr>
          <w:rFonts w:hint="default" w:ascii="Times New Roman" w:hAnsi="Times New Roman" w:cs="Times New Roman"/>
          <w:color w:val="auto"/>
          <w:sz w:val="24"/>
          <w:szCs w:val="24"/>
          <w:highlight w:val="none"/>
        </w:rPr>
        <w:t>处理</w:t>
      </w:r>
      <w:r>
        <w:rPr>
          <w:rFonts w:hint="default" w:ascii="Times New Roman" w:hAnsi="Times New Roman"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项目生产线废水排放量</w:t>
      </w:r>
      <w:r>
        <w:rPr>
          <w:rFonts w:hint="default" w:ascii="Times New Roman" w:hAnsi="Times New Roman" w:cs="Times New Roman"/>
          <w:color w:val="auto"/>
          <w:sz w:val="24"/>
          <w:szCs w:val="24"/>
          <w:highlight w:val="none"/>
          <w:lang w:val="en-US" w:eastAsia="zh-CN"/>
        </w:rPr>
        <w:t>113</w:t>
      </w:r>
      <w:r>
        <w:rPr>
          <w:rFonts w:hint="eastAsia" w:cs="Times New Roman"/>
          <w:color w:val="auto"/>
          <w:sz w:val="24"/>
          <w:szCs w:val="24"/>
          <w:highlight w:val="none"/>
          <w:lang w:val="en-US" w:eastAsia="zh-CN"/>
        </w:rPr>
        <w:t>9</w:t>
      </w:r>
      <w:r>
        <w:rPr>
          <w:rFonts w:hint="default"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rPr>
        <w:t>m³/a，</w:t>
      </w:r>
      <w:r>
        <w:rPr>
          <w:rFonts w:hint="default" w:ascii="Times New Roman" w:hAnsi="Times New Roman" w:cs="Times New Roman"/>
          <w:color w:val="auto"/>
          <w:sz w:val="24"/>
          <w:highlight w:val="none"/>
        </w:rPr>
        <w:t>电镀产品面积</w:t>
      </w:r>
      <w:r>
        <w:rPr>
          <w:rFonts w:hint="eastAsia" w:cs="Times New Roman"/>
          <w:color w:val="auto"/>
          <w:sz w:val="24"/>
          <w:highlight w:val="none"/>
          <w:lang w:val="en-US" w:eastAsia="zh-CN"/>
        </w:rPr>
        <w:t>44.5</w:t>
      </w:r>
      <w:r>
        <w:rPr>
          <w:rFonts w:hint="default" w:ascii="Times New Roman" w:hAnsi="Times New Roman" w:cs="Times New Roman"/>
          <w:color w:val="auto"/>
          <w:sz w:val="24"/>
          <w:highlight w:val="none"/>
        </w:rPr>
        <w:t>万m</w:t>
      </w:r>
      <w:r>
        <w:rPr>
          <w:rFonts w:hint="default" w:ascii="Times New Roman" w:hAnsi="Times New Roman" w:cs="Times New Roman"/>
          <w:color w:val="auto"/>
          <w:sz w:val="24"/>
          <w:highlight w:val="none"/>
          <w:vertAlign w:val="superscript"/>
        </w:rPr>
        <w:t>2</w:t>
      </w:r>
      <w:r>
        <w:rPr>
          <w:rFonts w:hint="default" w:ascii="Times New Roman" w:hAnsi="Times New Roman" w:cs="Times New Roman"/>
          <w:color w:val="auto"/>
          <w:sz w:val="24"/>
          <w:highlight w:val="none"/>
        </w:rPr>
        <w:t>/a，</w:t>
      </w:r>
      <w:r>
        <w:rPr>
          <w:rFonts w:hint="default" w:ascii="Times New Roman" w:hAnsi="Times New Roman" w:cs="Times New Roman"/>
          <w:color w:val="auto"/>
          <w:sz w:val="24"/>
          <w:szCs w:val="24"/>
          <w:highlight w:val="none"/>
        </w:rPr>
        <w:t>项目单层镀生产废水为</w:t>
      </w:r>
      <w:r>
        <w:rPr>
          <w:rFonts w:hint="default" w:ascii="Times New Roman" w:hAnsi="Times New Roman" w:cs="Times New Roman"/>
          <w:color w:val="auto"/>
          <w:sz w:val="24"/>
          <w:szCs w:val="24"/>
          <w:highlight w:val="none"/>
          <w:lang w:val="en-US" w:eastAsia="zh-CN"/>
        </w:rPr>
        <w:t>10</w:t>
      </w:r>
      <w:r>
        <w:rPr>
          <w:rFonts w:hint="eastAsia" w:cs="Times New Roman"/>
          <w:color w:val="auto"/>
          <w:sz w:val="24"/>
          <w:szCs w:val="24"/>
          <w:highlight w:val="none"/>
          <w:lang w:val="en-US" w:eastAsia="zh-CN"/>
        </w:rPr>
        <w:t>13</w:t>
      </w:r>
      <w:r>
        <w:rPr>
          <w:rFonts w:hint="default"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rPr>
        <w:t>m³/a，单层电镀产品面积</w:t>
      </w:r>
      <w:r>
        <w:rPr>
          <w:rFonts w:hint="eastAsia" w:cs="Times New Roman"/>
          <w:color w:val="auto"/>
          <w:sz w:val="24"/>
          <w:szCs w:val="24"/>
          <w:highlight w:val="none"/>
          <w:lang w:val="en-US" w:eastAsia="zh-CN"/>
        </w:rPr>
        <w:t>42</w:t>
      </w:r>
      <w:r>
        <w:rPr>
          <w:rFonts w:hint="default" w:ascii="Times New Roman" w:hAnsi="Times New Roman" w:cs="Times New Roman"/>
          <w:color w:val="auto"/>
          <w:sz w:val="24"/>
          <w:szCs w:val="24"/>
          <w:highlight w:val="none"/>
        </w:rPr>
        <w:t>万m²/a，则单位产品排水量为</w:t>
      </w:r>
      <w:r>
        <w:rPr>
          <w:rFonts w:hint="eastAsia" w:cs="Times New Roman"/>
          <w:color w:val="auto"/>
          <w:sz w:val="24"/>
          <w:szCs w:val="24"/>
          <w:highlight w:val="none"/>
          <w:lang w:val="en-US" w:eastAsia="zh-CN"/>
        </w:rPr>
        <w:t>24.1</w:t>
      </w:r>
      <w:r>
        <w:rPr>
          <w:rFonts w:hint="default" w:ascii="Times New Roman" w:hAnsi="Times New Roman" w:cs="Times New Roman"/>
          <w:color w:val="auto"/>
          <w:sz w:val="24"/>
          <w:szCs w:val="24"/>
          <w:highlight w:val="none"/>
        </w:rPr>
        <w:t>L/m²</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镀件镀层</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；项目多层镀生产废水为</w:t>
      </w:r>
      <w:r>
        <w:rPr>
          <w:rFonts w:hint="default" w:ascii="Times New Roman" w:hAnsi="Times New Roman" w:cs="Times New Roman"/>
          <w:color w:val="auto"/>
          <w:sz w:val="24"/>
          <w:szCs w:val="24"/>
          <w:highlight w:val="none"/>
          <w:lang w:val="en-US" w:eastAsia="zh-CN"/>
        </w:rPr>
        <w:t>1</w:t>
      </w:r>
      <w:r>
        <w:rPr>
          <w:rFonts w:hint="eastAsia" w:cs="Times New Roman"/>
          <w:color w:val="auto"/>
          <w:sz w:val="24"/>
          <w:szCs w:val="24"/>
          <w:highlight w:val="none"/>
          <w:lang w:val="en-US" w:eastAsia="zh-CN"/>
        </w:rPr>
        <w:t>2</w:t>
      </w:r>
      <w:r>
        <w:rPr>
          <w:rFonts w:hint="default" w:ascii="Times New Roman" w:hAnsi="Times New Roman" w:cs="Times New Roman"/>
          <w:color w:val="auto"/>
          <w:sz w:val="24"/>
          <w:szCs w:val="24"/>
          <w:highlight w:val="none"/>
          <w:lang w:val="en-US" w:eastAsia="zh-CN"/>
        </w:rPr>
        <w:t>60</w:t>
      </w:r>
      <w:r>
        <w:rPr>
          <w:rFonts w:hint="default" w:ascii="Times New Roman" w:hAnsi="Times New Roman" w:cs="Times New Roman"/>
          <w:color w:val="auto"/>
          <w:sz w:val="24"/>
          <w:szCs w:val="24"/>
          <w:highlight w:val="none"/>
        </w:rPr>
        <w:t>m³/a，多层电镀产品面积</w:t>
      </w:r>
      <w:r>
        <w:rPr>
          <w:rFonts w:hint="eastAsia" w:cs="Times New Roman"/>
          <w:color w:val="auto"/>
          <w:sz w:val="24"/>
          <w:szCs w:val="24"/>
          <w:highlight w:val="none"/>
          <w:lang w:val="en-US" w:eastAsia="zh-CN"/>
        </w:rPr>
        <w:t>2.5</w:t>
      </w:r>
      <w:r>
        <w:rPr>
          <w:rFonts w:hint="default" w:ascii="Times New Roman" w:hAnsi="Times New Roman" w:cs="Times New Roman"/>
          <w:color w:val="auto"/>
          <w:sz w:val="24"/>
          <w:szCs w:val="24"/>
          <w:highlight w:val="none"/>
        </w:rPr>
        <w:t>万m²/a，则单位产品排水量为</w:t>
      </w:r>
      <w:r>
        <w:rPr>
          <w:rFonts w:hint="eastAsia" w:cs="Times New Roman"/>
          <w:color w:val="auto"/>
          <w:sz w:val="24"/>
          <w:szCs w:val="24"/>
          <w:highlight w:val="none"/>
          <w:lang w:val="en-US" w:eastAsia="zh-CN"/>
        </w:rPr>
        <w:t>50.4</w:t>
      </w:r>
      <w:r>
        <w:rPr>
          <w:rFonts w:hint="default" w:ascii="Times New Roman" w:hAnsi="Times New Roman" w:cs="Times New Roman"/>
          <w:color w:val="auto"/>
          <w:sz w:val="24"/>
          <w:szCs w:val="24"/>
          <w:highlight w:val="none"/>
        </w:rPr>
        <w:t>L/m²</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镀件镀层</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，满足《电镀污染物排放标准》</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GB21900-2008</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表2单位产品基准排水量限值要求</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单层镀，200L/m²；多层镀，500L/m²</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w:t>
      </w:r>
      <w:r>
        <w:rPr>
          <w:bCs/>
          <w:color w:val="auto"/>
          <w:sz w:val="24"/>
          <w:highlight w:val="none"/>
        </w:rPr>
        <w:t>项目生产线均为自动线或半自动线，水洗工序采用逆流水洗</w:t>
      </w:r>
      <w:r>
        <w:rPr>
          <w:rFonts w:hint="eastAsia"/>
          <w:bCs/>
          <w:color w:val="auto"/>
          <w:sz w:val="24"/>
          <w:highlight w:val="none"/>
        </w:rPr>
        <w:t>，且水洗用水重复利用多次</w:t>
      </w:r>
      <w:r>
        <w:rPr>
          <w:rFonts w:hint="eastAsia"/>
          <w:bCs/>
          <w:color w:val="auto"/>
          <w:sz w:val="24"/>
          <w:highlight w:val="none"/>
          <w:lang w:eastAsia="zh-CN"/>
        </w:rPr>
        <w:t>(</w:t>
      </w:r>
      <w:r>
        <w:rPr>
          <w:rFonts w:hint="eastAsia"/>
          <w:bCs/>
          <w:color w:val="auto"/>
          <w:sz w:val="24"/>
          <w:highlight w:val="none"/>
        </w:rPr>
        <w:t>7-</w:t>
      </w:r>
      <w:r>
        <w:rPr>
          <w:bCs/>
          <w:color w:val="auto"/>
          <w:sz w:val="24"/>
          <w:highlight w:val="none"/>
        </w:rPr>
        <w:t>10</w:t>
      </w:r>
      <w:r>
        <w:rPr>
          <w:rFonts w:hint="eastAsia"/>
          <w:bCs/>
          <w:color w:val="auto"/>
          <w:sz w:val="24"/>
          <w:highlight w:val="none"/>
        </w:rPr>
        <w:t>天</w:t>
      </w:r>
      <w:r>
        <w:rPr>
          <w:rFonts w:hint="eastAsia"/>
          <w:bCs/>
          <w:color w:val="auto"/>
          <w:sz w:val="24"/>
          <w:highlight w:val="none"/>
          <w:lang w:eastAsia="zh-CN"/>
        </w:rPr>
        <w:t>)</w:t>
      </w:r>
      <w:r>
        <w:rPr>
          <w:rFonts w:hint="eastAsia"/>
          <w:bCs/>
          <w:color w:val="auto"/>
          <w:sz w:val="24"/>
          <w:highlight w:val="none"/>
        </w:rPr>
        <w:t>，因此，项目用水量较少。</w:t>
      </w:r>
    </w:p>
    <w:p>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(3)废水污染物源强</w:t>
      </w:r>
    </w:p>
    <w:p>
      <w:pPr>
        <w:spacing w:line="360" w:lineRule="auto"/>
        <w:ind w:firstLine="480" w:firstLineChars="200"/>
        <w:rPr>
          <w:color w:val="auto"/>
          <w:sz w:val="24"/>
          <w:highlight w:val="none"/>
        </w:rPr>
      </w:pPr>
      <w:r>
        <w:rPr>
          <w:rFonts w:hint="default" w:ascii="Times New Roman" w:hAnsi="Times New Roman" w:cs="Times New Roman"/>
          <w:color w:val="auto"/>
          <w:sz w:val="24"/>
          <w:highlight w:val="none"/>
        </w:rPr>
        <w:t>选择项目正常生产期间，青岛皓宸环境卫</w:t>
      </w:r>
      <w:r>
        <w:rPr>
          <w:rFonts w:hint="eastAsia"/>
          <w:color w:val="auto"/>
          <w:sz w:val="24"/>
          <w:highlight w:val="none"/>
        </w:rPr>
        <w:t>生监测有限公司对排入处理设施前废水污染物进行了监测(青</w:t>
      </w:r>
      <w:r>
        <w:rPr>
          <w:rFonts w:hint="eastAsia"/>
          <w:color w:val="auto"/>
          <w:sz w:val="24"/>
          <w:highlight w:val="none"/>
          <w:lang w:val="en-US" w:eastAsia="zh-CN"/>
        </w:rPr>
        <w:t>[</w:t>
      </w:r>
      <w:r>
        <w:rPr>
          <w:rFonts w:hint="eastAsia"/>
          <w:color w:val="auto"/>
          <w:sz w:val="24"/>
          <w:highlight w:val="none"/>
        </w:rPr>
        <w:t>皓</w:t>
      </w:r>
      <w:r>
        <w:rPr>
          <w:rFonts w:hint="eastAsia"/>
          <w:color w:val="auto"/>
          <w:sz w:val="24"/>
          <w:highlight w:val="none"/>
          <w:lang w:val="en-US" w:eastAsia="zh-CN"/>
        </w:rPr>
        <w:t>]WT1901283G</w:t>
      </w:r>
      <w:r>
        <w:rPr>
          <w:rFonts w:hint="eastAsia"/>
          <w:color w:val="auto"/>
          <w:sz w:val="24"/>
          <w:highlight w:val="none"/>
          <w:lang w:eastAsia="zh-CN"/>
        </w:rPr>
        <w:t>、</w:t>
      </w:r>
      <w:r>
        <w:rPr>
          <w:rFonts w:hint="eastAsia"/>
          <w:color w:val="auto"/>
          <w:sz w:val="24"/>
          <w:highlight w:val="none"/>
        </w:rPr>
        <w:t>青</w:t>
      </w:r>
      <w:r>
        <w:rPr>
          <w:rFonts w:hint="eastAsia"/>
          <w:color w:val="auto"/>
          <w:sz w:val="24"/>
          <w:highlight w:val="none"/>
          <w:lang w:val="en-US" w:eastAsia="zh-CN"/>
        </w:rPr>
        <w:t>[</w:t>
      </w:r>
      <w:r>
        <w:rPr>
          <w:rFonts w:hint="eastAsia"/>
          <w:color w:val="auto"/>
          <w:sz w:val="24"/>
          <w:highlight w:val="none"/>
        </w:rPr>
        <w:t>皓</w:t>
      </w:r>
      <w:r>
        <w:rPr>
          <w:rFonts w:hint="eastAsia"/>
          <w:color w:val="auto"/>
          <w:sz w:val="24"/>
          <w:highlight w:val="none"/>
          <w:lang w:val="en-US" w:eastAsia="zh-CN"/>
        </w:rPr>
        <w:t>]</w:t>
      </w:r>
      <w:r>
        <w:rPr>
          <w:rFonts w:hint="eastAsia"/>
          <w:color w:val="auto"/>
          <w:sz w:val="24"/>
          <w:highlight w:val="none"/>
          <w:lang w:eastAsia="zh-CN"/>
        </w:rPr>
        <w:t>WT1901343</w:t>
      </w:r>
      <w:r>
        <w:rPr>
          <w:rFonts w:hint="eastAsia"/>
          <w:color w:val="auto"/>
          <w:sz w:val="24"/>
          <w:highlight w:val="none"/>
        </w:rPr>
        <w:t>)，监测时间为201</w:t>
      </w:r>
      <w:r>
        <w:rPr>
          <w:rFonts w:hint="eastAsia"/>
          <w:color w:val="auto"/>
          <w:sz w:val="24"/>
          <w:highlight w:val="none"/>
          <w:lang w:val="en-US" w:eastAsia="zh-CN"/>
        </w:rPr>
        <w:t>9</w:t>
      </w:r>
      <w:r>
        <w:rPr>
          <w:rFonts w:hint="eastAsia"/>
          <w:color w:val="auto"/>
          <w:sz w:val="24"/>
          <w:highlight w:val="none"/>
        </w:rPr>
        <w:t>年</w:t>
      </w:r>
      <w:r>
        <w:rPr>
          <w:rFonts w:hint="eastAsia"/>
          <w:color w:val="auto"/>
          <w:sz w:val="24"/>
          <w:highlight w:val="none"/>
          <w:lang w:val="en-US" w:eastAsia="zh-CN"/>
        </w:rPr>
        <w:t>9</w:t>
      </w:r>
      <w:r>
        <w:rPr>
          <w:rFonts w:hint="eastAsia"/>
          <w:color w:val="auto"/>
          <w:sz w:val="24"/>
          <w:highlight w:val="none"/>
        </w:rPr>
        <w:t>月1</w:t>
      </w:r>
      <w:r>
        <w:rPr>
          <w:rFonts w:hint="eastAsia"/>
          <w:color w:val="auto"/>
          <w:sz w:val="24"/>
          <w:highlight w:val="none"/>
          <w:lang w:val="en-US" w:eastAsia="zh-CN"/>
        </w:rPr>
        <w:t>3</w:t>
      </w:r>
      <w:r>
        <w:rPr>
          <w:rFonts w:hint="eastAsia"/>
          <w:color w:val="auto"/>
          <w:sz w:val="24"/>
          <w:highlight w:val="none"/>
        </w:rPr>
        <w:t>日、1</w:t>
      </w:r>
      <w:r>
        <w:rPr>
          <w:rFonts w:hint="eastAsia"/>
          <w:color w:val="auto"/>
          <w:sz w:val="24"/>
          <w:highlight w:val="none"/>
          <w:lang w:val="en-US" w:eastAsia="zh-CN"/>
        </w:rPr>
        <w:t>4</w:t>
      </w:r>
      <w:r>
        <w:rPr>
          <w:rFonts w:hint="eastAsia"/>
          <w:color w:val="auto"/>
          <w:sz w:val="24"/>
          <w:highlight w:val="none"/>
        </w:rPr>
        <w:t>日</w:t>
      </w:r>
      <w:r>
        <w:rPr>
          <w:rFonts w:hint="eastAsia"/>
          <w:color w:val="auto"/>
          <w:sz w:val="24"/>
          <w:highlight w:val="none"/>
          <w:lang w:val="en-US" w:eastAsia="zh-CN"/>
        </w:rPr>
        <w:t>、</w:t>
      </w:r>
      <w:r>
        <w:rPr>
          <w:rFonts w:hint="eastAsia"/>
          <w:color w:val="auto"/>
          <w:sz w:val="24"/>
          <w:highlight w:val="none"/>
        </w:rPr>
        <w:t>201</w:t>
      </w:r>
      <w:r>
        <w:rPr>
          <w:rFonts w:hint="eastAsia"/>
          <w:color w:val="auto"/>
          <w:sz w:val="24"/>
          <w:highlight w:val="none"/>
          <w:lang w:val="en-US" w:eastAsia="zh-CN"/>
        </w:rPr>
        <w:t>9</w:t>
      </w:r>
      <w:r>
        <w:rPr>
          <w:rFonts w:hint="eastAsia"/>
          <w:color w:val="auto"/>
          <w:sz w:val="24"/>
          <w:highlight w:val="none"/>
        </w:rPr>
        <w:t>年</w:t>
      </w:r>
      <w:r>
        <w:rPr>
          <w:rFonts w:hint="eastAsia"/>
          <w:color w:val="auto"/>
          <w:sz w:val="24"/>
          <w:highlight w:val="none"/>
          <w:lang w:val="en-US" w:eastAsia="zh-CN"/>
        </w:rPr>
        <w:t>10</w:t>
      </w:r>
      <w:r>
        <w:rPr>
          <w:rFonts w:hint="eastAsia"/>
          <w:color w:val="auto"/>
          <w:sz w:val="24"/>
          <w:highlight w:val="none"/>
        </w:rPr>
        <w:t>月1</w:t>
      </w:r>
      <w:r>
        <w:rPr>
          <w:rFonts w:hint="eastAsia"/>
          <w:color w:val="auto"/>
          <w:sz w:val="24"/>
          <w:highlight w:val="none"/>
          <w:lang w:val="en-US" w:eastAsia="zh-CN"/>
        </w:rPr>
        <w:t>6</w:t>
      </w:r>
      <w:r>
        <w:rPr>
          <w:rFonts w:hint="eastAsia"/>
          <w:color w:val="auto"/>
          <w:sz w:val="24"/>
          <w:highlight w:val="none"/>
        </w:rPr>
        <w:t>日、1</w:t>
      </w:r>
      <w:r>
        <w:rPr>
          <w:rFonts w:hint="eastAsia"/>
          <w:color w:val="auto"/>
          <w:sz w:val="24"/>
          <w:highlight w:val="none"/>
          <w:lang w:val="en-US" w:eastAsia="zh-CN"/>
        </w:rPr>
        <w:t>7</w:t>
      </w:r>
      <w:r>
        <w:rPr>
          <w:rFonts w:hint="eastAsia"/>
          <w:color w:val="auto"/>
          <w:sz w:val="24"/>
          <w:highlight w:val="none"/>
        </w:rPr>
        <w:t>日，每天监测2次。</w:t>
      </w:r>
      <w:r>
        <w:rPr>
          <w:rFonts w:hint="eastAsia"/>
          <w:color w:val="auto"/>
          <w:sz w:val="24"/>
          <w:highlight w:val="none"/>
          <w:lang w:eastAsia="zh-CN"/>
        </w:rPr>
        <w:t>以</w:t>
      </w:r>
      <w:r>
        <w:rPr>
          <w:rFonts w:hint="eastAsia"/>
          <w:color w:val="auto"/>
          <w:sz w:val="24"/>
          <w:highlight w:val="none"/>
        </w:rPr>
        <w:t>污染物的</w:t>
      </w:r>
      <w:r>
        <w:rPr>
          <w:rFonts w:hint="eastAsia"/>
          <w:color w:val="auto"/>
          <w:sz w:val="24"/>
          <w:highlight w:val="none"/>
          <w:lang w:val="en-US" w:eastAsia="zh-CN"/>
        </w:rPr>
        <w:t>进口</w:t>
      </w:r>
      <w:r>
        <w:rPr>
          <w:rFonts w:hint="eastAsia"/>
          <w:color w:val="auto"/>
          <w:sz w:val="24"/>
          <w:highlight w:val="none"/>
        </w:rPr>
        <w:t>监测</w:t>
      </w:r>
      <w:r>
        <w:rPr>
          <w:rFonts w:hint="eastAsia"/>
          <w:color w:val="auto"/>
          <w:sz w:val="24"/>
          <w:highlight w:val="none"/>
          <w:lang w:eastAsia="zh-CN"/>
        </w:rPr>
        <w:t>平均</w:t>
      </w:r>
      <w:r>
        <w:rPr>
          <w:rFonts w:hint="eastAsia"/>
          <w:color w:val="auto"/>
          <w:sz w:val="24"/>
          <w:highlight w:val="none"/>
        </w:rPr>
        <w:t>值</w:t>
      </w:r>
      <w:r>
        <w:rPr>
          <w:rFonts w:hint="eastAsia"/>
          <w:color w:val="auto"/>
          <w:sz w:val="24"/>
          <w:highlight w:val="none"/>
          <w:lang w:eastAsia="zh-CN"/>
        </w:rPr>
        <w:t>、签订的废水排放协议污水指标最大值</w:t>
      </w:r>
      <w:r>
        <w:rPr>
          <w:rFonts w:hint="eastAsia"/>
          <w:color w:val="auto"/>
          <w:sz w:val="24"/>
          <w:highlight w:val="none"/>
          <w:lang w:val="en-US" w:eastAsia="zh-CN"/>
        </w:rPr>
        <w:t>及企业运行经验数据</w:t>
      </w:r>
      <w:r>
        <w:rPr>
          <w:rFonts w:hint="eastAsia"/>
          <w:color w:val="auto"/>
          <w:sz w:val="24"/>
          <w:highlight w:val="none"/>
        </w:rPr>
        <w:t>作为污染物源强。</w:t>
      </w:r>
      <w:r>
        <w:rPr>
          <w:rFonts w:hint="eastAsia" w:eastAsiaTheme="minorEastAsia"/>
          <w:snapToGrid w:val="0"/>
          <w:color w:val="auto"/>
          <w:sz w:val="24"/>
          <w:highlight w:val="none"/>
        </w:rPr>
        <w:t>具体见表</w:t>
      </w:r>
      <w:r>
        <w:rPr>
          <w:rFonts w:hint="eastAsia" w:eastAsiaTheme="minorEastAsia"/>
          <w:snapToGrid w:val="0"/>
          <w:color w:val="auto"/>
          <w:sz w:val="24"/>
          <w:highlight w:val="none"/>
          <w:lang w:eastAsia="zh-CN"/>
        </w:rPr>
        <w:t>2.5</w:t>
      </w:r>
      <w:r>
        <w:rPr>
          <w:rFonts w:hint="eastAsia" w:eastAsiaTheme="minorEastAsia"/>
          <w:snapToGrid w:val="0"/>
          <w:color w:val="auto"/>
          <w:sz w:val="24"/>
          <w:highlight w:val="none"/>
        </w:rPr>
        <w:t>-</w:t>
      </w:r>
      <w:r>
        <w:rPr>
          <w:rFonts w:hint="eastAsia" w:eastAsiaTheme="minorEastAsia"/>
          <w:snapToGrid w:val="0"/>
          <w:color w:val="auto"/>
          <w:sz w:val="24"/>
          <w:highlight w:val="none"/>
          <w:lang w:val="en-US" w:eastAsia="zh-CN"/>
        </w:rPr>
        <w:t>2</w:t>
      </w:r>
      <w:r>
        <w:rPr>
          <w:rFonts w:hint="eastAsia" w:eastAsiaTheme="minorEastAsia"/>
          <w:snapToGrid w:val="0"/>
          <w:color w:val="auto"/>
          <w:sz w:val="24"/>
          <w:highlight w:val="none"/>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eastAsia="黑体"/>
          <w:snapToGrid w:val="0"/>
          <w:color w:val="auto"/>
          <w:sz w:val="24"/>
          <w:szCs w:val="24"/>
          <w:highlight w:val="none"/>
        </w:rPr>
      </w:pPr>
      <w:r>
        <w:rPr>
          <w:rFonts w:eastAsia="黑体"/>
          <w:snapToGrid w:val="0"/>
          <w:color w:val="auto"/>
          <w:sz w:val="24"/>
          <w:szCs w:val="24"/>
          <w:highlight w:val="none"/>
        </w:rPr>
        <w:t>表</w:t>
      </w:r>
      <w:r>
        <w:rPr>
          <w:rFonts w:hint="eastAsia" w:eastAsia="黑体"/>
          <w:snapToGrid w:val="0"/>
          <w:color w:val="auto"/>
          <w:sz w:val="24"/>
          <w:szCs w:val="24"/>
          <w:highlight w:val="none"/>
          <w:lang w:eastAsia="zh-CN"/>
        </w:rPr>
        <w:t>2.5</w:t>
      </w:r>
      <w:r>
        <w:rPr>
          <w:rFonts w:eastAsia="黑体"/>
          <w:snapToGrid w:val="0"/>
          <w:color w:val="auto"/>
          <w:sz w:val="24"/>
          <w:szCs w:val="24"/>
          <w:highlight w:val="none"/>
        </w:rPr>
        <w:t>-</w:t>
      </w:r>
      <w:r>
        <w:rPr>
          <w:rFonts w:hint="eastAsia" w:eastAsia="黑体"/>
          <w:snapToGrid w:val="0"/>
          <w:color w:val="auto"/>
          <w:sz w:val="24"/>
          <w:szCs w:val="24"/>
          <w:highlight w:val="none"/>
          <w:lang w:val="en-US" w:eastAsia="zh-CN"/>
        </w:rPr>
        <w:t>2</w:t>
      </w:r>
      <w:r>
        <w:rPr>
          <w:rFonts w:eastAsia="黑体"/>
          <w:snapToGrid w:val="0"/>
          <w:color w:val="auto"/>
          <w:sz w:val="24"/>
          <w:szCs w:val="24"/>
          <w:highlight w:val="none"/>
        </w:rPr>
        <w:t xml:space="preserve">  </w:t>
      </w:r>
      <w:r>
        <w:rPr>
          <w:rFonts w:hint="eastAsia" w:eastAsia="黑体"/>
          <w:snapToGrid w:val="0"/>
          <w:color w:val="auto"/>
          <w:sz w:val="24"/>
          <w:szCs w:val="24"/>
          <w:highlight w:val="none"/>
        </w:rPr>
        <w:t>废水</w:t>
      </w:r>
      <w:r>
        <w:rPr>
          <w:rFonts w:eastAsia="黑体"/>
          <w:snapToGrid w:val="0"/>
          <w:color w:val="auto"/>
          <w:sz w:val="24"/>
          <w:szCs w:val="24"/>
          <w:highlight w:val="none"/>
        </w:rPr>
        <w:t>监测数据统计表</w:t>
      </w:r>
    </w:p>
    <w:tbl>
      <w:tblPr>
        <w:tblStyle w:val="36"/>
        <w:tblW w:w="4996" w:type="pct"/>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autofit"/>
        <w:tblCellMar>
          <w:top w:w="0" w:type="dxa"/>
          <w:left w:w="108" w:type="dxa"/>
          <w:bottom w:w="0" w:type="dxa"/>
          <w:right w:w="108" w:type="dxa"/>
        </w:tblCellMar>
      </w:tblPr>
      <w:tblGrid>
        <w:gridCol w:w="1598"/>
        <w:gridCol w:w="1652"/>
        <w:gridCol w:w="1192"/>
        <w:gridCol w:w="2894"/>
        <w:gridCol w:w="1887"/>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tblHeader/>
          <w:jc w:val="center"/>
        </w:trPr>
        <w:tc>
          <w:tcPr>
            <w:tcW w:w="866" w:type="pct"/>
            <w:vAlign w:val="center"/>
          </w:tcPr>
          <w:p>
            <w:pPr>
              <w:pStyle w:val="77"/>
              <w:keepNext w:val="0"/>
              <w:keepLines w:val="0"/>
              <w:pageBreakBefore w:val="0"/>
              <w:kinsoku/>
              <w:wordWrap/>
              <w:overflowPunct/>
              <w:topLinePunct w:val="0"/>
              <w:autoSpaceDE/>
              <w:autoSpaceDN/>
              <w:bidi w:val="0"/>
              <w:adjustRightInd w:val="0"/>
              <w:snapToGrid w:val="0"/>
              <w:ind w:firstLine="0" w:firstLineChars="0"/>
              <w:textAlignment w:val="auto"/>
              <w:rPr>
                <w:b/>
                <w:color w:val="auto"/>
                <w:highlight w:val="none"/>
              </w:rPr>
            </w:pPr>
            <w:r>
              <w:rPr>
                <w:rFonts w:hint="eastAsia"/>
                <w:b/>
                <w:color w:val="auto"/>
                <w:highlight w:val="none"/>
              </w:rPr>
              <w:t>废水种类</w:t>
            </w:r>
          </w:p>
        </w:tc>
        <w:tc>
          <w:tcPr>
            <w:tcW w:w="895" w:type="pct"/>
            <w:vAlign w:val="center"/>
          </w:tcPr>
          <w:p>
            <w:pPr>
              <w:pStyle w:val="77"/>
              <w:keepNext w:val="0"/>
              <w:keepLines w:val="0"/>
              <w:pageBreakBefore w:val="0"/>
              <w:kinsoku/>
              <w:wordWrap/>
              <w:overflowPunct/>
              <w:topLinePunct w:val="0"/>
              <w:autoSpaceDE/>
              <w:autoSpaceDN/>
              <w:bidi w:val="0"/>
              <w:adjustRightInd w:val="0"/>
              <w:snapToGrid w:val="0"/>
              <w:ind w:firstLine="0" w:firstLineChars="0"/>
              <w:textAlignment w:val="auto"/>
              <w:rPr>
                <w:rFonts w:hint="eastAsia"/>
                <w:b/>
                <w:color w:val="auto"/>
                <w:szCs w:val="21"/>
                <w:highlight w:val="none"/>
                <w:lang w:val="en-US" w:eastAsia="zh-CN"/>
              </w:rPr>
            </w:pPr>
            <w:r>
              <w:rPr>
                <w:rFonts w:hint="eastAsia"/>
                <w:b/>
                <w:color w:val="auto"/>
                <w:szCs w:val="21"/>
                <w:highlight w:val="none"/>
                <w:lang w:val="en-US" w:eastAsia="zh-CN"/>
              </w:rPr>
              <w:t>废水排放量(t/a)</w:t>
            </w:r>
          </w:p>
        </w:tc>
        <w:tc>
          <w:tcPr>
            <w:tcW w:w="646" w:type="pct"/>
            <w:vAlign w:val="center"/>
          </w:tcPr>
          <w:p>
            <w:pPr>
              <w:pStyle w:val="77"/>
              <w:keepNext w:val="0"/>
              <w:keepLines w:val="0"/>
              <w:pageBreakBefore w:val="0"/>
              <w:kinsoku/>
              <w:wordWrap/>
              <w:overflowPunct/>
              <w:topLinePunct w:val="0"/>
              <w:autoSpaceDE/>
              <w:autoSpaceDN/>
              <w:bidi w:val="0"/>
              <w:adjustRightInd w:val="0"/>
              <w:snapToGrid w:val="0"/>
              <w:ind w:firstLine="0" w:firstLineChars="0"/>
              <w:textAlignment w:val="auto"/>
              <w:rPr>
                <w:b/>
                <w:color w:val="auto"/>
                <w:highlight w:val="none"/>
              </w:rPr>
            </w:pPr>
            <w:r>
              <w:rPr>
                <w:b/>
                <w:color w:val="auto"/>
                <w:highlight w:val="none"/>
              </w:rPr>
              <w:t>监测项目</w:t>
            </w:r>
          </w:p>
        </w:tc>
        <w:tc>
          <w:tcPr>
            <w:tcW w:w="1568" w:type="pct"/>
            <w:vAlign w:val="center"/>
          </w:tcPr>
          <w:p>
            <w:pPr>
              <w:keepNext w:val="0"/>
              <w:keepLines w:val="0"/>
              <w:pageBreakBefore w:val="0"/>
              <w:kinsoku/>
              <w:wordWrap/>
              <w:overflowPunct/>
              <w:topLinePunct w:val="0"/>
              <w:autoSpaceDE/>
              <w:autoSpaceDN/>
              <w:bidi w:val="0"/>
              <w:adjustRightInd w:val="0"/>
              <w:snapToGrid w:val="0"/>
              <w:ind w:firstLine="0" w:firstLineChars="0"/>
              <w:jc w:val="center"/>
              <w:textAlignment w:val="auto"/>
              <w:rPr>
                <w:b/>
                <w:color w:val="auto"/>
                <w:szCs w:val="21"/>
                <w:highlight w:val="none"/>
              </w:rPr>
            </w:pPr>
            <w:r>
              <w:rPr>
                <w:rFonts w:hint="eastAsia"/>
                <w:b/>
                <w:color w:val="auto"/>
                <w:szCs w:val="21"/>
                <w:highlight w:val="none"/>
                <w:lang w:val="en-US" w:eastAsia="zh-CN"/>
              </w:rPr>
              <w:t>进口</w:t>
            </w:r>
            <w:r>
              <w:rPr>
                <w:rFonts w:hint="eastAsia"/>
                <w:b/>
                <w:color w:val="auto"/>
                <w:szCs w:val="21"/>
                <w:highlight w:val="none"/>
              </w:rPr>
              <w:t>浓度</w:t>
            </w:r>
            <w:r>
              <w:rPr>
                <w:rFonts w:hint="eastAsia"/>
                <w:b/>
                <w:color w:val="auto"/>
                <w:szCs w:val="21"/>
                <w:highlight w:val="none"/>
                <w:lang w:val="en-US" w:eastAsia="zh-CN"/>
              </w:rPr>
              <w:t>值</w:t>
            </w:r>
            <w:r>
              <w:rPr>
                <w:b/>
                <w:color w:val="auto"/>
                <w:szCs w:val="21"/>
                <w:highlight w:val="none"/>
              </w:rPr>
              <w:t>(mg/L、pH除外)</w:t>
            </w:r>
          </w:p>
        </w:tc>
        <w:tc>
          <w:tcPr>
            <w:tcW w:w="1022" w:type="pct"/>
            <w:vAlign w:val="center"/>
          </w:tcPr>
          <w:p>
            <w:pPr>
              <w:keepNext w:val="0"/>
              <w:keepLines w:val="0"/>
              <w:pageBreakBefore w:val="0"/>
              <w:kinsoku/>
              <w:wordWrap/>
              <w:overflowPunct/>
              <w:topLinePunct w:val="0"/>
              <w:autoSpaceDE/>
              <w:autoSpaceDN/>
              <w:bidi w:val="0"/>
              <w:adjustRightInd w:val="0"/>
              <w:snapToGrid w:val="0"/>
              <w:ind w:firstLine="0" w:firstLineChars="0"/>
              <w:jc w:val="center"/>
              <w:textAlignment w:val="auto"/>
              <w:rPr>
                <w:b/>
                <w:color w:val="auto"/>
                <w:szCs w:val="21"/>
                <w:highlight w:val="none"/>
              </w:rPr>
            </w:pPr>
            <w:r>
              <w:rPr>
                <w:b/>
                <w:color w:val="auto"/>
                <w:szCs w:val="21"/>
                <w:highlight w:val="none"/>
              </w:rPr>
              <w:t>污染物</w:t>
            </w:r>
            <w:r>
              <w:rPr>
                <w:rFonts w:hint="eastAsia"/>
                <w:b/>
                <w:color w:val="auto"/>
                <w:szCs w:val="21"/>
                <w:highlight w:val="none"/>
              </w:rPr>
              <w:t>产生</w:t>
            </w:r>
            <w:r>
              <w:rPr>
                <w:b/>
                <w:color w:val="auto"/>
                <w:szCs w:val="21"/>
                <w:highlight w:val="none"/>
              </w:rPr>
              <w:t>量(t/a)</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tblHeader/>
          <w:jc w:val="center"/>
        </w:trPr>
        <w:tc>
          <w:tcPr>
            <w:tcW w:w="866" w:type="pct"/>
            <w:vMerge w:val="restart"/>
            <w:vAlign w:val="center"/>
          </w:tcPr>
          <w:p>
            <w:pPr>
              <w:pStyle w:val="77"/>
              <w:ind w:firstLine="0" w:firstLineChars="0"/>
              <w:rPr>
                <w:rStyle w:val="110"/>
                <w:rFonts w:hint="default"/>
                <w:color w:val="auto"/>
                <w:highlight w:val="none"/>
                <w:lang w:val="en-US"/>
              </w:rPr>
            </w:pPr>
            <w:r>
              <w:rPr>
                <w:rFonts w:hint="eastAsia"/>
                <w:b w:val="0"/>
                <w:bCs/>
                <w:color w:val="auto"/>
                <w:highlight w:val="none"/>
                <w:lang w:val="en-US" w:eastAsia="zh-CN"/>
              </w:rPr>
              <w:t>生产废水、生活污水</w:t>
            </w:r>
          </w:p>
        </w:tc>
        <w:tc>
          <w:tcPr>
            <w:tcW w:w="895" w:type="pct"/>
            <w:vMerge w:val="restart"/>
            <w:vAlign w:val="center"/>
          </w:tcPr>
          <w:p>
            <w:pPr>
              <w:pStyle w:val="77"/>
              <w:ind w:firstLine="0" w:firstLineChars="0"/>
              <w:rPr>
                <w:rFonts w:hint="default"/>
                <w:b/>
                <w:color w:val="auto"/>
                <w:highlight w:val="none"/>
                <w:lang w:val="en-US"/>
              </w:rPr>
            </w:pPr>
            <w:r>
              <w:rPr>
                <w:rFonts w:hint="eastAsia"/>
                <w:color w:val="auto"/>
                <w:szCs w:val="21"/>
                <w:highlight w:val="none"/>
                <w:lang w:val="en-US" w:eastAsia="zh-CN"/>
              </w:rPr>
              <w:t>12073.5</w:t>
            </w:r>
          </w:p>
        </w:tc>
        <w:tc>
          <w:tcPr>
            <w:tcW w:w="646" w:type="pct"/>
            <w:vAlign w:val="center"/>
          </w:tcPr>
          <w:p>
            <w:pPr>
              <w:adjustRightInd w:val="0"/>
              <w:snapToGrid w:val="0"/>
              <w:jc w:val="center"/>
              <w:rPr>
                <w:color w:val="auto"/>
                <w:highlight w:val="none"/>
              </w:rPr>
            </w:pPr>
            <w:r>
              <w:rPr>
                <w:color w:val="auto"/>
                <w:highlight w:val="none"/>
              </w:rPr>
              <w:t>pH</w:t>
            </w:r>
          </w:p>
        </w:tc>
        <w:tc>
          <w:tcPr>
            <w:tcW w:w="1568" w:type="pct"/>
            <w:vAlign w:val="center"/>
          </w:tcPr>
          <w:p>
            <w:pPr>
              <w:tabs>
                <w:tab w:val="left" w:pos="9795"/>
              </w:tabs>
              <w:adjustRightInd w:val="0"/>
              <w:snapToGrid w:val="0"/>
              <w:jc w:val="center"/>
              <w:rPr>
                <w:rFonts w:hint="default" w:eastAsia="宋体"/>
                <w:color w:val="auto"/>
                <w:szCs w:val="22"/>
                <w:highlight w:val="none"/>
                <w:lang w:val="en-US" w:eastAsia="zh-CN"/>
              </w:rPr>
            </w:pPr>
            <w:r>
              <w:rPr>
                <w:rFonts w:hint="eastAsia"/>
                <w:color w:val="auto"/>
                <w:szCs w:val="22"/>
                <w:highlight w:val="none"/>
                <w:lang w:val="en-US" w:eastAsia="zh-CN"/>
              </w:rPr>
              <w:t>6.4</w:t>
            </w:r>
          </w:p>
        </w:tc>
        <w:tc>
          <w:tcPr>
            <w:tcW w:w="1022" w:type="pct"/>
            <w:vAlign w:val="center"/>
          </w:tcPr>
          <w:p>
            <w:pPr>
              <w:adjustRightInd w:val="0"/>
              <w:snapToGrid w:val="0"/>
              <w:jc w:val="center"/>
              <w:rPr>
                <w:color w:val="auto"/>
                <w:highlight w:val="none"/>
              </w:rPr>
            </w:pPr>
            <w:r>
              <w:rPr>
                <w:rFonts w:hint="eastAsia"/>
                <w:color w:val="auto"/>
                <w:highlight w:val="none"/>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tblHeader/>
          <w:jc w:val="center"/>
        </w:trPr>
        <w:tc>
          <w:tcPr>
            <w:tcW w:w="866" w:type="pct"/>
            <w:vMerge w:val="continue"/>
            <w:vAlign w:val="center"/>
          </w:tcPr>
          <w:p>
            <w:pPr>
              <w:pStyle w:val="77"/>
              <w:ind w:firstLine="0" w:firstLineChars="0"/>
              <w:rPr>
                <w:rStyle w:val="110"/>
                <w:rFonts w:hint="default"/>
                <w:color w:val="auto"/>
                <w:highlight w:val="none"/>
              </w:rPr>
            </w:pPr>
          </w:p>
        </w:tc>
        <w:tc>
          <w:tcPr>
            <w:tcW w:w="895" w:type="pct"/>
            <w:vMerge w:val="continue"/>
            <w:vAlign w:val="center"/>
          </w:tcPr>
          <w:p>
            <w:pPr>
              <w:pStyle w:val="77"/>
              <w:ind w:firstLine="0" w:firstLineChars="0"/>
              <w:rPr>
                <w:rStyle w:val="110"/>
                <w:rFonts w:hint="default"/>
                <w:color w:val="auto"/>
                <w:highlight w:val="none"/>
              </w:rPr>
            </w:pPr>
          </w:p>
        </w:tc>
        <w:tc>
          <w:tcPr>
            <w:tcW w:w="646" w:type="pct"/>
            <w:vAlign w:val="center"/>
          </w:tcPr>
          <w:p>
            <w:pPr>
              <w:adjustRightInd w:val="0"/>
              <w:snapToGrid w:val="0"/>
              <w:jc w:val="center"/>
              <w:rPr>
                <w:color w:val="auto"/>
                <w:highlight w:val="none"/>
              </w:rPr>
            </w:pPr>
            <w:r>
              <w:rPr>
                <w:color w:val="auto"/>
                <w:highlight w:val="none"/>
              </w:rPr>
              <w:t>CODcr</w:t>
            </w:r>
          </w:p>
        </w:tc>
        <w:tc>
          <w:tcPr>
            <w:tcW w:w="1568" w:type="pct"/>
            <w:vAlign w:val="center"/>
          </w:tcPr>
          <w:p>
            <w:pPr>
              <w:tabs>
                <w:tab w:val="left" w:pos="9795"/>
              </w:tabs>
              <w:adjustRightInd w:val="0"/>
              <w:snapToGrid w:val="0"/>
              <w:jc w:val="center"/>
              <w:rPr>
                <w:rFonts w:hint="default" w:eastAsia="宋体"/>
                <w:color w:val="auto"/>
                <w:szCs w:val="22"/>
                <w:highlight w:val="none"/>
                <w:lang w:val="en-US" w:eastAsia="zh-CN"/>
              </w:rPr>
            </w:pPr>
            <w:r>
              <w:rPr>
                <w:rFonts w:hint="eastAsia"/>
                <w:color w:val="auto"/>
                <w:szCs w:val="22"/>
                <w:highlight w:val="none"/>
                <w:lang w:val="en-US" w:eastAsia="zh-CN"/>
              </w:rPr>
              <w:t>446</w:t>
            </w:r>
          </w:p>
        </w:tc>
        <w:tc>
          <w:tcPr>
            <w:tcW w:w="1022" w:type="pct"/>
            <w:vAlign w:val="center"/>
          </w:tcPr>
          <w:p>
            <w:pPr>
              <w:adjustRightInd w:val="0"/>
              <w:snapToGrid w:val="0"/>
              <w:jc w:val="center"/>
              <w:rPr>
                <w:rFonts w:hint="default" w:eastAsia="宋体"/>
                <w:color w:val="auto"/>
                <w:highlight w:val="none"/>
                <w:lang w:val="en-US" w:eastAsia="zh-CN"/>
              </w:rPr>
            </w:pPr>
            <w:r>
              <w:rPr>
                <w:rFonts w:hint="eastAsia"/>
                <w:color w:val="auto"/>
                <w:highlight w:val="none"/>
                <w:lang w:val="en-US" w:eastAsia="zh-CN"/>
              </w:rPr>
              <w:t>4.56</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tblHeader/>
          <w:jc w:val="center"/>
        </w:trPr>
        <w:tc>
          <w:tcPr>
            <w:tcW w:w="866" w:type="pct"/>
            <w:vMerge w:val="continue"/>
            <w:vAlign w:val="center"/>
          </w:tcPr>
          <w:p>
            <w:pPr>
              <w:pStyle w:val="77"/>
              <w:ind w:firstLine="0" w:firstLineChars="0"/>
              <w:rPr>
                <w:rStyle w:val="110"/>
                <w:rFonts w:hint="default"/>
                <w:color w:val="auto"/>
                <w:highlight w:val="none"/>
              </w:rPr>
            </w:pPr>
          </w:p>
        </w:tc>
        <w:tc>
          <w:tcPr>
            <w:tcW w:w="895" w:type="pct"/>
            <w:vMerge w:val="continue"/>
            <w:vAlign w:val="center"/>
          </w:tcPr>
          <w:p>
            <w:pPr>
              <w:pStyle w:val="77"/>
              <w:ind w:firstLine="0" w:firstLineChars="0"/>
              <w:rPr>
                <w:rStyle w:val="110"/>
                <w:rFonts w:hint="default"/>
                <w:color w:val="auto"/>
                <w:highlight w:val="none"/>
              </w:rPr>
            </w:pPr>
          </w:p>
        </w:tc>
        <w:tc>
          <w:tcPr>
            <w:tcW w:w="646" w:type="pct"/>
            <w:vAlign w:val="center"/>
          </w:tcPr>
          <w:p>
            <w:pPr>
              <w:adjustRightInd w:val="0"/>
              <w:snapToGrid w:val="0"/>
              <w:jc w:val="center"/>
              <w:rPr>
                <w:rFonts w:hint="default" w:eastAsia="宋体"/>
                <w:color w:val="auto"/>
                <w:highlight w:val="none"/>
                <w:lang w:val="en-US" w:eastAsia="zh-CN"/>
              </w:rPr>
            </w:pPr>
            <w:r>
              <w:rPr>
                <w:rFonts w:hint="eastAsia"/>
                <w:color w:val="auto"/>
                <w:highlight w:val="none"/>
                <w:lang w:val="en-US" w:eastAsia="zh-CN"/>
              </w:rPr>
              <w:t>BOD</w:t>
            </w:r>
            <w:r>
              <w:rPr>
                <w:rFonts w:hint="eastAsia"/>
                <w:color w:val="auto"/>
                <w:highlight w:val="none"/>
                <w:vertAlign w:val="subscript"/>
                <w:lang w:val="en-US" w:eastAsia="zh-CN"/>
              </w:rPr>
              <w:t>5</w:t>
            </w:r>
          </w:p>
        </w:tc>
        <w:tc>
          <w:tcPr>
            <w:tcW w:w="1568" w:type="pct"/>
            <w:vAlign w:val="center"/>
          </w:tcPr>
          <w:p>
            <w:pPr>
              <w:tabs>
                <w:tab w:val="left" w:pos="9795"/>
              </w:tabs>
              <w:adjustRightInd w:val="0"/>
              <w:snapToGrid w:val="0"/>
              <w:jc w:val="center"/>
              <w:rPr>
                <w:rFonts w:hint="default"/>
                <w:color w:val="auto"/>
                <w:szCs w:val="22"/>
                <w:highlight w:val="none"/>
                <w:lang w:val="en-US" w:eastAsia="zh-CN"/>
              </w:rPr>
            </w:pPr>
            <w:r>
              <w:rPr>
                <w:rFonts w:hint="eastAsia"/>
                <w:color w:val="auto"/>
                <w:szCs w:val="22"/>
                <w:highlight w:val="none"/>
                <w:lang w:val="en-US" w:eastAsia="zh-CN"/>
              </w:rPr>
              <w:t>100</w:t>
            </w:r>
          </w:p>
        </w:tc>
        <w:tc>
          <w:tcPr>
            <w:tcW w:w="1022" w:type="pct"/>
            <w:vAlign w:val="center"/>
          </w:tcPr>
          <w:p>
            <w:pPr>
              <w:adjustRightInd w:val="0"/>
              <w:snapToGrid w:val="0"/>
              <w:jc w:val="center"/>
              <w:rPr>
                <w:rFonts w:hint="default"/>
                <w:color w:val="auto"/>
                <w:highlight w:val="none"/>
                <w:lang w:val="en-US" w:eastAsia="zh-CN"/>
              </w:rPr>
            </w:pPr>
            <w:r>
              <w:rPr>
                <w:rFonts w:hint="eastAsia"/>
                <w:color w:val="auto"/>
                <w:highlight w:val="none"/>
                <w:lang w:val="en-US" w:eastAsia="zh-CN"/>
              </w:rPr>
              <w:t>1.12</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tblHeader/>
          <w:jc w:val="center"/>
        </w:trPr>
        <w:tc>
          <w:tcPr>
            <w:tcW w:w="866" w:type="pct"/>
            <w:vMerge w:val="continue"/>
            <w:vAlign w:val="center"/>
          </w:tcPr>
          <w:p>
            <w:pPr>
              <w:pStyle w:val="77"/>
              <w:ind w:firstLine="0" w:firstLineChars="0"/>
              <w:rPr>
                <w:rStyle w:val="110"/>
                <w:rFonts w:hint="default"/>
                <w:color w:val="auto"/>
                <w:highlight w:val="none"/>
              </w:rPr>
            </w:pPr>
          </w:p>
        </w:tc>
        <w:tc>
          <w:tcPr>
            <w:tcW w:w="895" w:type="pct"/>
            <w:vMerge w:val="continue"/>
            <w:vAlign w:val="center"/>
          </w:tcPr>
          <w:p>
            <w:pPr>
              <w:pStyle w:val="77"/>
              <w:ind w:firstLine="0" w:firstLineChars="0"/>
              <w:rPr>
                <w:rStyle w:val="110"/>
                <w:rFonts w:hint="default"/>
                <w:color w:val="auto"/>
                <w:highlight w:val="none"/>
              </w:rPr>
            </w:pPr>
          </w:p>
        </w:tc>
        <w:tc>
          <w:tcPr>
            <w:tcW w:w="646" w:type="pct"/>
            <w:vAlign w:val="center"/>
          </w:tcPr>
          <w:p>
            <w:pPr>
              <w:adjustRightInd w:val="0"/>
              <w:snapToGrid w:val="0"/>
              <w:jc w:val="center"/>
              <w:rPr>
                <w:rFonts w:hint="eastAsia" w:eastAsia="宋体"/>
                <w:color w:val="auto"/>
                <w:highlight w:val="none"/>
                <w:lang w:val="en-US" w:eastAsia="zh-CN"/>
              </w:rPr>
            </w:pPr>
            <w:r>
              <w:rPr>
                <w:rFonts w:hint="eastAsia"/>
                <w:color w:val="auto"/>
                <w:highlight w:val="none"/>
                <w:lang w:val="en-US" w:eastAsia="zh-CN"/>
              </w:rPr>
              <w:t>氨氮</w:t>
            </w:r>
          </w:p>
        </w:tc>
        <w:tc>
          <w:tcPr>
            <w:tcW w:w="1568" w:type="pct"/>
            <w:vAlign w:val="center"/>
          </w:tcPr>
          <w:p>
            <w:pPr>
              <w:tabs>
                <w:tab w:val="left" w:pos="9795"/>
              </w:tabs>
              <w:adjustRightInd w:val="0"/>
              <w:snapToGrid w:val="0"/>
              <w:jc w:val="center"/>
              <w:rPr>
                <w:rFonts w:hint="default"/>
                <w:color w:val="auto"/>
                <w:szCs w:val="22"/>
                <w:highlight w:val="none"/>
                <w:lang w:val="en-US" w:eastAsia="zh-CN"/>
              </w:rPr>
            </w:pPr>
            <w:r>
              <w:rPr>
                <w:rFonts w:hint="eastAsia"/>
                <w:color w:val="auto"/>
                <w:szCs w:val="22"/>
                <w:highlight w:val="none"/>
                <w:lang w:val="en-US" w:eastAsia="zh-CN"/>
              </w:rPr>
              <w:t>8.41</w:t>
            </w:r>
          </w:p>
        </w:tc>
        <w:tc>
          <w:tcPr>
            <w:tcW w:w="1022" w:type="pct"/>
            <w:vAlign w:val="center"/>
          </w:tcPr>
          <w:p>
            <w:pPr>
              <w:adjustRightInd w:val="0"/>
              <w:snapToGrid w:val="0"/>
              <w:jc w:val="center"/>
              <w:rPr>
                <w:rFonts w:hint="default"/>
                <w:color w:val="auto"/>
                <w:highlight w:val="none"/>
                <w:lang w:val="en-US" w:eastAsia="zh-CN"/>
              </w:rPr>
            </w:pPr>
            <w:r>
              <w:rPr>
                <w:rFonts w:hint="eastAsia"/>
                <w:color w:val="auto"/>
                <w:highlight w:val="none"/>
                <w:lang w:val="en-US" w:eastAsia="zh-CN"/>
              </w:rPr>
              <w:t>0.224</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tblHeader/>
          <w:jc w:val="center"/>
        </w:trPr>
        <w:tc>
          <w:tcPr>
            <w:tcW w:w="866" w:type="pct"/>
            <w:vMerge w:val="continue"/>
            <w:vAlign w:val="center"/>
          </w:tcPr>
          <w:p>
            <w:pPr>
              <w:pStyle w:val="77"/>
              <w:ind w:firstLine="0" w:firstLineChars="0"/>
              <w:rPr>
                <w:rStyle w:val="110"/>
                <w:rFonts w:hint="default"/>
                <w:color w:val="auto"/>
                <w:highlight w:val="none"/>
              </w:rPr>
            </w:pPr>
          </w:p>
        </w:tc>
        <w:tc>
          <w:tcPr>
            <w:tcW w:w="895" w:type="pct"/>
            <w:vMerge w:val="continue"/>
            <w:vAlign w:val="center"/>
          </w:tcPr>
          <w:p>
            <w:pPr>
              <w:pStyle w:val="77"/>
              <w:ind w:firstLine="0" w:firstLineChars="0"/>
              <w:rPr>
                <w:rStyle w:val="110"/>
                <w:rFonts w:hint="default"/>
                <w:color w:val="auto"/>
                <w:highlight w:val="none"/>
              </w:rPr>
            </w:pPr>
          </w:p>
        </w:tc>
        <w:tc>
          <w:tcPr>
            <w:tcW w:w="646" w:type="pct"/>
            <w:vAlign w:val="center"/>
          </w:tcPr>
          <w:p>
            <w:pPr>
              <w:jc w:val="center"/>
              <w:rPr>
                <w:rFonts w:hint="eastAsia"/>
                <w:color w:val="auto"/>
                <w:highlight w:val="none"/>
                <w:lang w:val="en-US" w:eastAsia="zh-CN"/>
              </w:rPr>
            </w:pPr>
            <w:r>
              <w:rPr>
                <w:rFonts w:hint="eastAsia"/>
                <w:color w:val="auto"/>
                <w:szCs w:val="21"/>
                <w:highlight w:val="none"/>
                <w:lang w:val="en-US" w:eastAsia="zh-CN"/>
              </w:rPr>
              <w:t>总氮</w:t>
            </w:r>
          </w:p>
        </w:tc>
        <w:tc>
          <w:tcPr>
            <w:tcW w:w="1568" w:type="pct"/>
            <w:vAlign w:val="center"/>
          </w:tcPr>
          <w:p>
            <w:pPr>
              <w:tabs>
                <w:tab w:val="left" w:pos="9795"/>
              </w:tabs>
              <w:adjustRightInd w:val="0"/>
              <w:snapToGrid w:val="0"/>
              <w:jc w:val="center"/>
              <w:rPr>
                <w:rFonts w:hint="default"/>
                <w:color w:val="auto"/>
                <w:szCs w:val="22"/>
                <w:highlight w:val="none"/>
                <w:lang w:val="en-US" w:eastAsia="zh-CN"/>
              </w:rPr>
            </w:pPr>
            <w:r>
              <w:rPr>
                <w:rFonts w:hint="eastAsia"/>
                <w:color w:val="auto"/>
                <w:szCs w:val="22"/>
                <w:highlight w:val="none"/>
                <w:lang w:val="en-US" w:eastAsia="zh-CN"/>
              </w:rPr>
              <w:t>70</w:t>
            </w:r>
          </w:p>
        </w:tc>
        <w:tc>
          <w:tcPr>
            <w:tcW w:w="1022" w:type="pct"/>
            <w:vAlign w:val="center"/>
          </w:tcPr>
          <w:p>
            <w:pPr>
              <w:adjustRightInd w:val="0"/>
              <w:snapToGrid w:val="0"/>
              <w:jc w:val="center"/>
              <w:rPr>
                <w:rFonts w:hint="default"/>
                <w:color w:val="auto"/>
                <w:highlight w:val="none"/>
                <w:lang w:val="en-US" w:eastAsia="zh-CN"/>
              </w:rPr>
            </w:pPr>
            <w:r>
              <w:rPr>
                <w:rFonts w:hint="eastAsia"/>
                <w:color w:val="auto"/>
                <w:highlight w:val="none"/>
                <w:lang w:val="en-US" w:eastAsia="zh-CN"/>
              </w:rPr>
              <w:t>0.67</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tblHeader/>
          <w:jc w:val="center"/>
        </w:trPr>
        <w:tc>
          <w:tcPr>
            <w:tcW w:w="866" w:type="pct"/>
            <w:vMerge w:val="continue"/>
            <w:vAlign w:val="center"/>
          </w:tcPr>
          <w:p>
            <w:pPr>
              <w:pStyle w:val="77"/>
              <w:ind w:firstLine="0" w:firstLineChars="0"/>
              <w:rPr>
                <w:rStyle w:val="110"/>
                <w:rFonts w:hint="default"/>
                <w:color w:val="auto"/>
                <w:highlight w:val="none"/>
              </w:rPr>
            </w:pPr>
          </w:p>
        </w:tc>
        <w:tc>
          <w:tcPr>
            <w:tcW w:w="895" w:type="pct"/>
            <w:vMerge w:val="continue"/>
            <w:vAlign w:val="center"/>
          </w:tcPr>
          <w:p>
            <w:pPr>
              <w:pStyle w:val="77"/>
              <w:ind w:firstLine="0" w:firstLineChars="0"/>
              <w:rPr>
                <w:rStyle w:val="110"/>
                <w:rFonts w:hint="default"/>
                <w:color w:val="auto"/>
                <w:highlight w:val="none"/>
              </w:rPr>
            </w:pPr>
          </w:p>
        </w:tc>
        <w:tc>
          <w:tcPr>
            <w:tcW w:w="646" w:type="pct"/>
            <w:vAlign w:val="center"/>
          </w:tcPr>
          <w:p>
            <w:pPr>
              <w:jc w:val="center"/>
              <w:rPr>
                <w:rFonts w:hint="eastAsia"/>
                <w:color w:val="auto"/>
                <w:highlight w:val="none"/>
                <w:lang w:val="en-US" w:eastAsia="zh-CN"/>
              </w:rPr>
            </w:pPr>
            <w:r>
              <w:rPr>
                <w:rFonts w:hint="eastAsia"/>
                <w:color w:val="auto"/>
                <w:szCs w:val="21"/>
                <w:highlight w:val="none"/>
                <w:lang w:val="en-US" w:eastAsia="zh-CN"/>
              </w:rPr>
              <w:t>总磷</w:t>
            </w:r>
          </w:p>
        </w:tc>
        <w:tc>
          <w:tcPr>
            <w:tcW w:w="1568" w:type="pct"/>
            <w:vAlign w:val="center"/>
          </w:tcPr>
          <w:p>
            <w:pPr>
              <w:tabs>
                <w:tab w:val="left" w:pos="9795"/>
              </w:tabs>
              <w:adjustRightInd w:val="0"/>
              <w:snapToGrid w:val="0"/>
              <w:jc w:val="center"/>
              <w:rPr>
                <w:rFonts w:hint="default"/>
                <w:color w:val="auto"/>
                <w:szCs w:val="22"/>
                <w:highlight w:val="none"/>
                <w:lang w:val="en-US" w:eastAsia="zh-CN"/>
              </w:rPr>
            </w:pPr>
            <w:r>
              <w:rPr>
                <w:rFonts w:hint="eastAsia"/>
                <w:color w:val="auto"/>
                <w:szCs w:val="22"/>
                <w:highlight w:val="none"/>
                <w:lang w:val="en-US" w:eastAsia="zh-CN"/>
              </w:rPr>
              <w:t>8</w:t>
            </w:r>
          </w:p>
        </w:tc>
        <w:tc>
          <w:tcPr>
            <w:tcW w:w="1022" w:type="pct"/>
            <w:vAlign w:val="center"/>
          </w:tcPr>
          <w:p>
            <w:pPr>
              <w:adjustRightInd w:val="0"/>
              <w:snapToGrid w:val="0"/>
              <w:jc w:val="center"/>
              <w:rPr>
                <w:rFonts w:hint="default"/>
                <w:color w:val="auto"/>
                <w:highlight w:val="none"/>
                <w:lang w:val="en-US" w:eastAsia="zh-CN"/>
              </w:rPr>
            </w:pPr>
            <w:r>
              <w:rPr>
                <w:rFonts w:hint="eastAsia"/>
                <w:color w:val="auto"/>
                <w:highlight w:val="none"/>
                <w:lang w:val="en-US" w:eastAsia="zh-CN"/>
              </w:rPr>
              <w:t>0.077</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tblHeader/>
          <w:jc w:val="center"/>
        </w:trPr>
        <w:tc>
          <w:tcPr>
            <w:tcW w:w="866" w:type="pct"/>
            <w:vMerge w:val="continue"/>
            <w:vAlign w:val="center"/>
          </w:tcPr>
          <w:p>
            <w:pPr>
              <w:pStyle w:val="77"/>
              <w:ind w:firstLine="0" w:firstLineChars="0"/>
              <w:rPr>
                <w:rStyle w:val="110"/>
                <w:rFonts w:hint="default"/>
                <w:color w:val="auto"/>
                <w:highlight w:val="none"/>
              </w:rPr>
            </w:pPr>
          </w:p>
        </w:tc>
        <w:tc>
          <w:tcPr>
            <w:tcW w:w="895" w:type="pct"/>
            <w:vMerge w:val="continue"/>
            <w:vAlign w:val="center"/>
          </w:tcPr>
          <w:p>
            <w:pPr>
              <w:pStyle w:val="77"/>
              <w:ind w:firstLine="0" w:firstLineChars="0"/>
              <w:rPr>
                <w:rStyle w:val="110"/>
                <w:rFonts w:hint="default"/>
                <w:color w:val="auto"/>
                <w:highlight w:val="none"/>
              </w:rPr>
            </w:pPr>
          </w:p>
        </w:tc>
        <w:tc>
          <w:tcPr>
            <w:tcW w:w="646" w:type="pct"/>
            <w:vAlign w:val="center"/>
          </w:tcPr>
          <w:p>
            <w:pPr>
              <w:jc w:val="center"/>
              <w:rPr>
                <w:rFonts w:hint="default"/>
                <w:color w:val="auto"/>
                <w:highlight w:val="none"/>
                <w:lang w:val="en-US" w:eastAsia="zh-CN"/>
              </w:rPr>
            </w:pPr>
            <w:r>
              <w:rPr>
                <w:rFonts w:hint="eastAsia"/>
                <w:color w:val="auto"/>
                <w:szCs w:val="21"/>
                <w:highlight w:val="none"/>
                <w:lang w:val="en-US" w:eastAsia="zh-CN"/>
              </w:rPr>
              <w:t>SS</w:t>
            </w:r>
          </w:p>
        </w:tc>
        <w:tc>
          <w:tcPr>
            <w:tcW w:w="1568" w:type="pct"/>
            <w:vAlign w:val="center"/>
          </w:tcPr>
          <w:p>
            <w:pPr>
              <w:tabs>
                <w:tab w:val="left" w:pos="9795"/>
              </w:tabs>
              <w:adjustRightInd w:val="0"/>
              <w:snapToGrid w:val="0"/>
              <w:jc w:val="center"/>
              <w:rPr>
                <w:rFonts w:hint="default"/>
                <w:color w:val="auto"/>
                <w:szCs w:val="22"/>
                <w:highlight w:val="none"/>
                <w:lang w:val="en-US" w:eastAsia="zh-CN"/>
              </w:rPr>
            </w:pPr>
            <w:r>
              <w:rPr>
                <w:rFonts w:hint="eastAsia"/>
                <w:color w:val="auto"/>
                <w:szCs w:val="22"/>
                <w:highlight w:val="none"/>
                <w:lang w:val="en-US" w:eastAsia="zh-CN"/>
              </w:rPr>
              <w:t>400</w:t>
            </w:r>
          </w:p>
        </w:tc>
        <w:tc>
          <w:tcPr>
            <w:tcW w:w="1022" w:type="pct"/>
            <w:vAlign w:val="center"/>
          </w:tcPr>
          <w:p>
            <w:pPr>
              <w:adjustRightInd w:val="0"/>
              <w:snapToGrid w:val="0"/>
              <w:jc w:val="center"/>
              <w:rPr>
                <w:rFonts w:hint="default"/>
                <w:color w:val="auto"/>
                <w:highlight w:val="none"/>
                <w:lang w:val="en-US" w:eastAsia="zh-CN"/>
              </w:rPr>
            </w:pPr>
            <w:r>
              <w:rPr>
                <w:rFonts w:hint="eastAsia"/>
                <w:color w:val="auto"/>
                <w:highlight w:val="none"/>
                <w:lang w:val="en-US" w:eastAsia="zh-CN"/>
              </w:rPr>
              <w:t>3.85</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tblHeader/>
          <w:jc w:val="center"/>
        </w:trPr>
        <w:tc>
          <w:tcPr>
            <w:tcW w:w="866" w:type="pct"/>
            <w:vMerge w:val="continue"/>
            <w:vAlign w:val="center"/>
          </w:tcPr>
          <w:p>
            <w:pPr>
              <w:pStyle w:val="77"/>
              <w:ind w:firstLine="0" w:firstLineChars="0"/>
              <w:rPr>
                <w:rStyle w:val="110"/>
                <w:rFonts w:hint="default"/>
                <w:color w:val="auto"/>
                <w:highlight w:val="none"/>
              </w:rPr>
            </w:pPr>
          </w:p>
        </w:tc>
        <w:tc>
          <w:tcPr>
            <w:tcW w:w="895" w:type="pct"/>
            <w:vMerge w:val="continue"/>
            <w:vAlign w:val="center"/>
          </w:tcPr>
          <w:p>
            <w:pPr>
              <w:pStyle w:val="77"/>
              <w:ind w:firstLine="0" w:firstLineChars="0"/>
              <w:rPr>
                <w:rStyle w:val="110"/>
                <w:rFonts w:hint="default"/>
                <w:color w:val="auto"/>
                <w:highlight w:val="none"/>
              </w:rPr>
            </w:pPr>
          </w:p>
        </w:tc>
        <w:tc>
          <w:tcPr>
            <w:tcW w:w="646" w:type="pct"/>
            <w:vAlign w:val="center"/>
          </w:tcPr>
          <w:p>
            <w:pPr>
              <w:adjustRightInd w:val="0"/>
              <w:snapToGrid w:val="0"/>
              <w:jc w:val="center"/>
              <w:rPr>
                <w:rFonts w:hint="eastAsia"/>
                <w:color w:val="auto"/>
                <w:highlight w:val="none"/>
                <w:lang w:val="en-US" w:eastAsia="zh-CN"/>
              </w:rPr>
            </w:pPr>
            <w:r>
              <w:rPr>
                <w:rFonts w:hint="eastAsia"/>
                <w:color w:val="auto"/>
                <w:szCs w:val="21"/>
                <w:highlight w:val="none"/>
                <w:lang w:val="en-US" w:eastAsia="zh-CN"/>
              </w:rPr>
              <w:t>石油类</w:t>
            </w:r>
          </w:p>
        </w:tc>
        <w:tc>
          <w:tcPr>
            <w:tcW w:w="1568" w:type="pct"/>
            <w:vAlign w:val="center"/>
          </w:tcPr>
          <w:p>
            <w:pPr>
              <w:tabs>
                <w:tab w:val="left" w:pos="9795"/>
              </w:tabs>
              <w:adjustRightInd w:val="0"/>
              <w:snapToGrid w:val="0"/>
              <w:jc w:val="center"/>
              <w:rPr>
                <w:rFonts w:hint="default"/>
                <w:color w:val="auto"/>
                <w:szCs w:val="22"/>
                <w:highlight w:val="none"/>
                <w:lang w:val="en-US" w:eastAsia="zh-CN"/>
              </w:rPr>
            </w:pPr>
            <w:r>
              <w:rPr>
                <w:rFonts w:hint="eastAsia"/>
                <w:color w:val="auto"/>
                <w:szCs w:val="22"/>
                <w:highlight w:val="none"/>
                <w:lang w:val="en-US" w:eastAsia="zh-CN"/>
              </w:rPr>
              <w:t>15</w:t>
            </w:r>
          </w:p>
        </w:tc>
        <w:tc>
          <w:tcPr>
            <w:tcW w:w="1022" w:type="pct"/>
            <w:vAlign w:val="center"/>
          </w:tcPr>
          <w:p>
            <w:pPr>
              <w:adjustRightInd w:val="0"/>
              <w:snapToGrid w:val="0"/>
              <w:jc w:val="center"/>
              <w:rPr>
                <w:rFonts w:hint="default"/>
                <w:color w:val="auto"/>
                <w:highlight w:val="none"/>
                <w:lang w:val="en-US" w:eastAsia="zh-CN"/>
              </w:rPr>
            </w:pPr>
            <w:r>
              <w:rPr>
                <w:rFonts w:hint="eastAsia"/>
                <w:color w:val="auto"/>
                <w:highlight w:val="none"/>
                <w:lang w:val="en-US" w:eastAsia="zh-CN"/>
              </w:rPr>
              <w:t>0.14</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tblHeader/>
          <w:jc w:val="center"/>
        </w:trPr>
        <w:tc>
          <w:tcPr>
            <w:tcW w:w="866" w:type="pct"/>
            <w:vMerge w:val="continue"/>
            <w:vAlign w:val="center"/>
          </w:tcPr>
          <w:p>
            <w:pPr>
              <w:pStyle w:val="77"/>
              <w:ind w:firstLine="0" w:firstLineChars="0"/>
              <w:rPr>
                <w:color w:val="auto"/>
                <w:highlight w:val="none"/>
              </w:rPr>
            </w:pPr>
          </w:p>
        </w:tc>
        <w:tc>
          <w:tcPr>
            <w:tcW w:w="895" w:type="pct"/>
            <w:vMerge w:val="continue"/>
            <w:vAlign w:val="center"/>
          </w:tcPr>
          <w:p>
            <w:pPr>
              <w:pStyle w:val="77"/>
              <w:ind w:firstLine="0" w:firstLineChars="0"/>
              <w:rPr>
                <w:color w:val="auto"/>
                <w:highlight w:val="none"/>
              </w:rPr>
            </w:pPr>
          </w:p>
        </w:tc>
        <w:tc>
          <w:tcPr>
            <w:tcW w:w="646" w:type="pct"/>
            <w:vAlign w:val="center"/>
          </w:tcPr>
          <w:p>
            <w:pPr>
              <w:adjustRightInd w:val="0"/>
              <w:snapToGrid w:val="0"/>
              <w:jc w:val="center"/>
              <w:rPr>
                <w:rFonts w:hint="eastAsia" w:eastAsia="宋体"/>
                <w:color w:val="auto"/>
                <w:highlight w:val="none"/>
                <w:lang w:val="en-US" w:eastAsia="zh-CN"/>
              </w:rPr>
            </w:pPr>
            <w:r>
              <w:rPr>
                <w:rFonts w:hint="eastAsia"/>
                <w:color w:val="auto"/>
                <w:highlight w:val="none"/>
                <w:lang w:val="en-US" w:eastAsia="zh-CN"/>
              </w:rPr>
              <w:t>总锌</w:t>
            </w:r>
          </w:p>
        </w:tc>
        <w:tc>
          <w:tcPr>
            <w:tcW w:w="1568" w:type="pct"/>
            <w:vAlign w:val="center"/>
          </w:tcPr>
          <w:p>
            <w:pPr>
              <w:tabs>
                <w:tab w:val="left" w:pos="9795"/>
              </w:tabs>
              <w:adjustRightInd w:val="0"/>
              <w:snapToGrid w:val="0"/>
              <w:jc w:val="center"/>
              <w:rPr>
                <w:rFonts w:hint="default" w:eastAsia="宋体"/>
                <w:color w:val="auto"/>
                <w:szCs w:val="22"/>
                <w:highlight w:val="none"/>
                <w:lang w:val="en-US" w:eastAsia="zh-CN"/>
              </w:rPr>
            </w:pPr>
            <w:r>
              <w:rPr>
                <w:rFonts w:hint="eastAsia"/>
                <w:color w:val="auto"/>
                <w:szCs w:val="22"/>
                <w:highlight w:val="none"/>
                <w:lang w:val="en-US" w:eastAsia="zh-CN"/>
              </w:rPr>
              <w:t>18.6</w:t>
            </w:r>
          </w:p>
        </w:tc>
        <w:tc>
          <w:tcPr>
            <w:tcW w:w="1022" w:type="pct"/>
            <w:vAlign w:val="center"/>
          </w:tcPr>
          <w:p>
            <w:pPr>
              <w:adjustRightInd w:val="0"/>
              <w:snapToGrid w:val="0"/>
              <w:jc w:val="center"/>
              <w:rPr>
                <w:rFonts w:hint="default" w:eastAsia="宋体"/>
                <w:color w:val="auto"/>
                <w:highlight w:val="none"/>
                <w:lang w:val="en-US" w:eastAsia="zh-CN"/>
              </w:rPr>
            </w:pPr>
            <w:r>
              <w:rPr>
                <w:rFonts w:hint="eastAsia"/>
                <w:color w:val="auto"/>
                <w:highlight w:val="none"/>
              </w:rPr>
              <w:t>0.</w:t>
            </w:r>
            <w:r>
              <w:rPr>
                <w:rFonts w:hint="eastAsia"/>
                <w:color w:val="auto"/>
                <w:highlight w:val="none"/>
                <w:lang w:val="en-US" w:eastAsia="zh-CN"/>
              </w:rPr>
              <w:t>178</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tblHeader/>
          <w:jc w:val="center"/>
        </w:trPr>
        <w:tc>
          <w:tcPr>
            <w:tcW w:w="866" w:type="pct"/>
            <w:vMerge w:val="continue"/>
            <w:vAlign w:val="center"/>
          </w:tcPr>
          <w:p>
            <w:pPr>
              <w:pStyle w:val="77"/>
              <w:ind w:firstLine="0" w:firstLineChars="0"/>
              <w:rPr>
                <w:color w:val="auto"/>
                <w:highlight w:val="none"/>
              </w:rPr>
            </w:pPr>
          </w:p>
        </w:tc>
        <w:tc>
          <w:tcPr>
            <w:tcW w:w="895" w:type="pct"/>
            <w:vMerge w:val="continue"/>
            <w:vAlign w:val="center"/>
          </w:tcPr>
          <w:p>
            <w:pPr>
              <w:pStyle w:val="77"/>
              <w:ind w:firstLine="0" w:firstLineChars="0"/>
              <w:rPr>
                <w:color w:val="auto"/>
                <w:highlight w:val="none"/>
              </w:rPr>
            </w:pPr>
          </w:p>
        </w:tc>
        <w:tc>
          <w:tcPr>
            <w:tcW w:w="646" w:type="pct"/>
            <w:vAlign w:val="center"/>
          </w:tcPr>
          <w:p>
            <w:pPr>
              <w:adjustRightInd w:val="0"/>
              <w:snapToGrid w:val="0"/>
              <w:jc w:val="center"/>
              <w:rPr>
                <w:rFonts w:hint="eastAsia" w:eastAsia="宋体"/>
                <w:color w:val="auto"/>
                <w:highlight w:val="none"/>
                <w:lang w:val="en-US" w:eastAsia="zh-CN"/>
              </w:rPr>
            </w:pPr>
            <w:r>
              <w:rPr>
                <w:rFonts w:hint="eastAsia"/>
                <w:color w:val="auto"/>
                <w:highlight w:val="none"/>
              </w:rPr>
              <w:t>总</w:t>
            </w:r>
            <w:r>
              <w:rPr>
                <w:rFonts w:hint="eastAsia"/>
                <w:color w:val="auto"/>
                <w:highlight w:val="none"/>
                <w:lang w:val="en-US" w:eastAsia="zh-CN"/>
              </w:rPr>
              <w:t>铜</w:t>
            </w:r>
          </w:p>
        </w:tc>
        <w:tc>
          <w:tcPr>
            <w:tcW w:w="1568" w:type="pct"/>
            <w:vAlign w:val="center"/>
          </w:tcPr>
          <w:p>
            <w:pPr>
              <w:tabs>
                <w:tab w:val="left" w:pos="9795"/>
              </w:tabs>
              <w:adjustRightInd w:val="0"/>
              <w:snapToGrid w:val="0"/>
              <w:jc w:val="center"/>
              <w:rPr>
                <w:rFonts w:hint="default" w:eastAsia="宋体"/>
                <w:color w:val="auto"/>
                <w:szCs w:val="22"/>
                <w:highlight w:val="none"/>
                <w:lang w:val="en-US" w:eastAsia="zh-CN"/>
              </w:rPr>
            </w:pPr>
            <w:r>
              <w:rPr>
                <w:rFonts w:hint="eastAsia"/>
                <w:color w:val="auto"/>
                <w:szCs w:val="22"/>
                <w:highlight w:val="none"/>
                <w:lang w:val="en-US" w:eastAsia="zh-CN"/>
              </w:rPr>
              <w:t>12.2</w:t>
            </w:r>
          </w:p>
        </w:tc>
        <w:tc>
          <w:tcPr>
            <w:tcW w:w="1022" w:type="pct"/>
            <w:vAlign w:val="center"/>
          </w:tcPr>
          <w:p>
            <w:pPr>
              <w:adjustRightInd w:val="0"/>
              <w:snapToGrid w:val="0"/>
              <w:jc w:val="center"/>
              <w:rPr>
                <w:rFonts w:hint="default" w:eastAsia="宋体"/>
                <w:color w:val="auto"/>
                <w:highlight w:val="none"/>
                <w:lang w:val="en-US" w:eastAsia="zh-CN"/>
              </w:rPr>
            </w:pPr>
            <w:r>
              <w:rPr>
                <w:rFonts w:hint="eastAsia"/>
                <w:color w:val="auto"/>
                <w:highlight w:val="none"/>
              </w:rPr>
              <w:t>0.</w:t>
            </w:r>
            <w:r>
              <w:rPr>
                <w:rFonts w:hint="eastAsia"/>
                <w:color w:val="auto"/>
                <w:highlight w:val="none"/>
                <w:lang w:val="en-US" w:eastAsia="zh-CN"/>
              </w:rPr>
              <w:t>117</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tblHeader/>
          <w:jc w:val="center"/>
        </w:trPr>
        <w:tc>
          <w:tcPr>
            <w:tcW w:w="866" w:type="pct"/>
            <w:vMerge w:val="continue"/>
            <w:vAlign w:val="center"/>
          </w:tcPr>
          <w:p>
            <w:pPr>
              <w:pStyle w:val="77"/>
              <w:ind w:firstLine="0" w:firstLineChars="0"/>
              <w:rPr>
                <w:rFonts w:hint="default" w:eastAsia="宋体"/>
                <w:color w:val="auto"/>
                <w:highlight w:val="none"/>
                <w:lang w:val="en-US" w:eastAsia="zh-CN"/>
              </w:rPr>
            </w:pPr>
          </w:p>
        </w:tc>
        <w:tc>
          <w:tcPr>
            <w:tcW w:w="895" w:type="pct"/>
            <w:vMerge w:val="continue"/>
            <w:vAlign w:val="center"/>
          </w:tcPr>
          <w:p>
            <w:pPr>
              <w:pStyle w:val="77"/>
              <w:ind w:firstLine="0" w:firstLineChars="0"/>
              <w:rPr>
                <w:color w:val="auto"/>
                <w:highlight w:val="none"/>
              </w:rPr>
            </w:pPr>
          </w:p>
        </w:tc>
        <w:tc>
          <w:tcPr>
            <w:tcW w:w="646" w:type="pct"/>
            <w:vAlign w:val="center"/>
          </w:tcPr>
          <w:p>
            <w:pPr>
              <w:adjustRightInd w:val="0"/>
              <w:snapToGrid w:val="0"/>
              <w:jc w:val="center"/>
              <w:rPr>
                <w:rFonts w:hint="eastAsia" w:eastAsia="宋体"/>
                <w:color w:val="auto"/>
                <w:highlight w:val="none"/>
                <w:lang w:eastAsia="zh-CN"/>
              </w:rPr>
            </w:pPr>
            <w:r>
              <w:rPr>
                <w:rFonts w:hint="eastAsia"/>
                <w:color w:val="auto"/>
                <w:highlight w:val="none"/>
                <w:lang w:eastAsia="zh-CN"/>
              </w:rPr>
              <w:t>总银</w:t>
            </w:r>
          </w:p>
        </w:tc>
        <w:tc>
          <w:tcPr>
            <w:tcW w:w="1568" w:type="pct"/>
            <w:vAlign w:val="center"/>
          </w:tcPr>
          <w:p>
            <w:pPr>
              <w:tabs>
                <w:tab w:val="left" w:pos="9795"/>
              </w:tabs>
              <w:adjustRightInd w:val="0"/>
              <w:snapToGrid w:val="0"/>
              <w:jc w:val="center"/>
              <w:rPr>
                <w:rFonts w:hint="default"/>
                <w:color w:val="auto"/>
                <w:szCs w:val="22"/>
                <w:highlight w:val="none"/>
                <w:lang w:val="en-US" w:eastAsia="zh-CN"/>
              </w:rPr>
            </w:pPr>
            <w:r>
              <w:rPr>
                <w:rFonts w:hint="eastAsia"/>
                <w:color w:val="auto"/>
                <w:szCs w:val="22"/>
                <w:highlight w:val="none"/>
                <w:lang w:val="en-US" w:eastAsia="zh-CN"/>
              </w:rPr>
              <w:t>0.3</w:t>
            </w:r>
          </w:p>
        </w:tc>
        <w:tc>
          <w:tcPr>
            <w:tcW w:w="1022" w:type="pct"/>
            <w:vAlign w:val="center"/>
          </w:tcPr>
          <w:p>
            <w:pPr>
              <w:adjustRightInd w:val="0"/>
              <w:snapToGrid w:val="0"/>
              <w:jc w:val="center"/>
              <w:rPr>
                <w:rFonts w:hint="default" w:eastAsia="宋体"/>
                <w:color w:val="auto"/>
                <w:highlight w:val="none"/>
                <w:lang w:val="en-US" w:eastAsia="zh-CN"/>
              </w:rPr>
            </w:pPr>
            <w:r>
              <w:rPr>
                <w:rFonts w:hint="eastAsia"/>
                <w:color w:val="auto"/>
                <w:highlight w:val="none"/>
                <w:lang w:val="en-US" w:eastAsia="zh-CN"/>
              </w:rPr>
              <w:t>0.0029</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tblHeader/>
          <w:jc w:val="center"/>
        </w:trPr>
        <w:tc>
          <w:tcPr>
            <w:tcW w:w="866" w:type="pct"/>
            <w:vMerge w:val="continue"/>
            <w:vAlign w:val="center"/>
          </w:tcPr>
          <w:p>
            <w:pPr>
              <w:pStyle w:val="77"/>
              <w:ind w:firstLine="0" w:firstLineChars="0"/>
              <w:rPr>
                <w:color w:val="auto"/>
                <w:highlight w:val="none"/>
              </w:rPr>
            </w:pPr>
          </w:p>
        </w:tc>
        <w:tc>
          <w:tcPr>
            <w:tcW w:w="895" w:type="pct"/>
            <w:vMerge w:val="continue"/>
            <w:vAlign w:val="center"/>
          </w:tcPr>
          <w:p>
            <w:pPr>
              <w:pStyle w:val="77"/>
              <w:ind w:firstLine="0" w:firstLineChars="0"/>
              <w:rPr>
                <w:color w:val="auto"/>
                <w:highlight w:val="none"/>
              </w:rPr>
            </w:pPr>
          </w:p>
        </w:tc>
        <w:tc>
          <w:tcPr>
            <w:tcW w:w="646" w:type="pct"/>
            <w:vAlign w:val="center"/>
          </w:tcPr>
          <w:p>
            <w:pPr>
              <w:adjustRightInd w:val="0"/>
              <w:snapToGrid w:val="0"/>
              <w:jc w:val="center"/>
              <w:rPr>
                <w:rFonts w:hint="eastAsia" w:eastAsia="宋体"/>
                <w:color w:val="auto"/>
                <w:highlight w:val="none"/>
                <w:lang w:eastAsia="zh-CN"/>
              </w:rPr>
            </w:pPr>
            <w:r>
              <w:rPr>
                <w:rFonts w:hint="eastAsia"/>
                <w:color w:val="auto"/>
                <w:highlight w:val="none"/>
                <w:lang w:val="en-US" w:eastAsia="zh-CN"/>
              </w:rPr>
              <w:t>总锡</w:t>
            </w:r>
          </w:p>
        </w:tc>
        <w:tc>
          <w:tcPr>
            <w:tcW w:w="1568" w:type="pct"/>
            <w:vAlign w:val="center"/>
          </w:tcPr>
          <w:p>
            <w:pPr>
              <w:tabs>
                <w:tab w:val="left" w:pos="9795"/>
              </w:tabs>
              <w:adjustRightInd w:val="0"/>
              <w:snapToGrid w:val="0"/>
              <w:jc w:val="center"/>
              <w:rPr>
                <w:rFonts w:hint="default" w:eastAsia="宋体"/>
                <w:color w:val="auto"/>
                <w:szCs w:val="22"/>
                <w:highlight w:val="none"/>
                <w:lang w:val="en-US" w:eastAsia="zh-CN"/>
              </w:rPr>
            </w:pPr>
            <w:r>
              <w:rPr>
                <w:rFonts w:hint="eastAsia"/>
                <w:color w:val="auto"/>
                <w:szCs w:val="22"/>
                <w:highlight w:val="none"/>
                <w:lang w:val="en-US" w:eastAsia="zh-CN"/>
              </w:rPr>
              <w:t>13.8</w:t>
            </w:r>
          </w:p>
        </w:tc>
        <w:tc>
          <w:tcPr>
            <w:tcW w:w="1022" w:type="pct"/>
            <w:vAlign w:val="center"/>
          </w:tcPr>
          <w:p>
            <w:pPr>
              <w:adjustRightInd w:val="0"/>
              <w:snapToGrid w:val="0"/>
              <w:jc w:val="center"/>
              <w:rPr>
                <w:rFonts w:hint="default" w:eastAsia="宋体"/>
                <w:color w:val="auto"/>
                <w:highlight w:val="none"/>
                <w:lang w:val="en-US" w:eastAsia="zh-CN"/>
              </w:rPr>
            </w:pPr>
            <w:r>
              <w:rPr>
                <w:rFonts w:hint="eastAsia"/>
                <w:color w:val="auto"/>
                <w:highlight w:val="none"/>
              </w:rPr>
              <w:t>0.</w:t>
            </w:r>
            <w:r>
              <w:rPr>
                <w:rFonts w:hint="eastAsia"/>
                <w:color w:val="auto"/>
                <w:highlight w:val="none"/>
                <w:lang w:val="en-US" w:eastAsia="zh-CN"/>
              </w:rPr>
              <w:t>132</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tblHeader/>
          <w:jc w:val="center"/>
        </w:trPr>
        <w:tc>
          <w:tcPr>
            <w:tcW w:w="866" w:type="pct"/>
            <w:vAlign w:val="center"/>
          </w:tcPr>
          <w:p>
            <w:pPr>
              <w:pStyle w:val="77"/>
              <w:ind w:firstLine="0" w:firstLineChars="0"/>
              <w:rPr>
                <w:rFonts w:hint="default" w:eastAsia="宋体"/>
                <w:color w:val="auto"/>
                <w:highlight w:val="none"/>
                <w:lang w:val="en-US" w:eastAsia="zh-CN"/>
              </w:rPr>
            </w:pPr>
            <w:r>
              <w:rPr>
                <w:rFonts w:hint="eastAsia"/>
                <w:color w:val="auto"/>
                <w:highlight w:val="none"/>
                <w:lang w:val="en-US" w:eastAsia="zh-CN"/>
              </w:rPr>
              <w:t>含镍废水</w:t>
            </w:r>
          </w:p>
        </w:tc>
        <w:tc>
          <w:tcPr>
            <w:tcW w:w="895" w:type="pct"/>
            <w:vAlign w:val="center"/>
          </w:tcPr>
          <w:p>
            <w:pPr>
              <w:pStyle w:val="77"/>
              <w:ind w:firstLine="0" w:firstLineChars="0"/>
              <w:rPr>
                <w:color w:val="auto"/>
                <w:highlight w:val="none"/>
              </w:rPr>
            </w:pPr>
            <w:r>
              <w:rPr>
                <w:rFonts w:hint="eastAsia"/>
                <w:color w:val="auto"/>
                <w:highlight w:val="none"/>
                <w:lang w:val="en-US" w:eastAsia="zh-CN"/>
              </w:rPr>
              <w:t>257</w:t>
            </w:r>
          </w:p>
        </w:tc>
        <w:tc>
          <w:tcPr>
            <w:tcW w:w="646" w:type="pct"/>
            <w:vAlign w:val="center"/>
          </w:tcPr>
          <w:p>
            <w:pPr>
              <w:adjustRightInd w:val="0"/>
              <w:snapToGrid w:val="0"/>
              <w:jc w:val="center"/>
              <w:rPr>
                <w:rFonts w:hint="eastAsia" w:eastAsia="宋体"/>
                <w:color w:val="auto"/>
                <w:highlight w:val="none"/>
                <w:lang w:eastAsia="zh-CN"/>
              </w:rPr>
            </w:pPr>
            <w:r>
              <w:rPr>
                <w:rFonts w:hint="eastAsia"/>
                <w:color w:val="auto"/>
                <w:highlight w:val="none"/>
              </w:rPr>
              <w:t>总</w:t>
            </w:r>
            <w:r>
              <w:rPr>
                <w:rFonts w:hint="eastAsia"/>
                <w:color w:val="auto"/>
                <w:highlight w:val="none"/>
                <w:lang w:val="en-US" w:eastAsia="zh-CN"/>
              </w:rPr>
              <w:t>镍</w:t>
            </w:r>
          </w:p>
        </w:tc>
        <w:tc>
          <w:tcPr>
            <w:tcW w:w="1568" w:type="pct"/>
            <w:vAlign w:val="center"/>
          </w:tcPr>
          <w:p>
            <w:pPr>
              <w:tabs>
                <w:tab w:val="left" w:pos="9795"/>
              </w:tabs>
              <w:adjustRightInd w:val="0"/>
              <w:snapToGrid w:val="0"/>
              <w:jc w:val="center"/>
              <w:rPr>
                <w:rFonts w:hint="default" w:eastAsia="宋体"/>
                <w:color w:val="auto"/>
                <w:szCs w:val="22"/>
                <w:highlight w:val="none"/>
                <w:lang w:val="en-US" w:eastAsia="zh-CN"/>
              </w:rPr>
            </w:pPr>
            <w:r>
              <w:rPr>
                <w:rFonts w:hint="eastAsia"/>
                <w:color w:val="auto"/>
                <w:szCs w:val="22"/>
                <w:highlight w:val="none"/>
                <w:lang w:val="en-US" w:eastAsia="zh-CN"/>
              </w:rPr>
              <w:t>52.9</w:t>
            </w:r>
          </w:p>
        </w:tc>
        <w:tc>
          <w:tcPr>
            <w:tcW w:w="1022" w:type="pct"/>
            <w:vAlign w:val="center"/>
          </w:tcPr>
          <w:p>
            <w:pPr>
              <w:adjustRightInd w:val="0"/>
              <w:snapToGrid w:val="0"/>
              <w:jc w:val="center"/>
              <w:rPr>
                <w:rFonts w:hint="default" w:eastAsia="宋体"/>
                <w:color w:val="auto"/>
                <w:highlight w:val="none"/>
                <w:lang w:val="en-US" w:eastAsia="zh-CN"/>
              </w:rPr>
            </w:pPr>
            <w:r>
              <w:rPr>
                <w:rFonts w:hint="eastAsia"/>
                <w:color w:val="auto"/>
                <w:highlight w:val="none"/>
              </w:rPr>
              <w:t>0.0</w:t>
            </w:r>
            <w:r>
              <w:rPr>
                <w:rFonts w:hint="eastAsia"/>
                <w:color w:val="auto"/>
                <w:highlight w:val="none"/>
                <w:lang w:val="en-US" w:eastAsia="zh-CN"/>
              </w:rPr>
              <w:t>14</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tblHeader/>
          <w:jc w:val="center"/>
        </w:trPr>
        <w:tc>
          <w:tcPr>
            <w:tcW w:w="866" w:type="pct"/>
            <w:vMerge w:val="restart"/>
            <w:vAlign w:val="center"/>
          </w:tcPr>
          <w:p>
            <w:pPr>
              <w:pStyle w:val="77"/>
              <w:ind w:firstLine="0" w:firstLineChars="0"/>
              <w:rPr>
                <w:rFonts w:hint="default" w:eastAsia="宋体"/>
                <w:color w:val="auto"/>
                <w:highlight w:val="none"/>
                <w:lang w:val="en-US" w:eastAsia="zh-CN"/>
              </w:rPr>
            </w:pPr>
            <w:r>
              <w:rPr>
                <w:rFonts w:hint="eastAsia"/>
                <w:color w:val="auto"/>
                <w:highlight w:val="none"/>
                <w:lang w:val="en-US" w:eastAsia="zh-CN"/>
              </w:rPr>
              <w:t>含铬废水</w:t>
            </w:r>
          </w:p>
        </w:tc>
        <w:tc>
          <w:tcPr>
            <w:tcW w:w="895" w:type="pct"/>
            <w:vMerge w:val="restart"/>
            <w:vAlign w:val="center"/>
          </w:tcPr>
          <w:p>
            <w:pPr>
              <w:pStyle w:val="77"/>
              <w:ind w:firstLine="0" w:firstLineChars="0"/>
              <w:rPr>
                <w:rFonts w:hint="default" w:eastAsia="宋体"/>
                <w:color w:val="auto"/>
                <w:highlight w:val="none"/>
                <w:lang w:val="en-US" w:eastAsia="zh-CN"/>
              </w:rPr>
            </w:pPr>
            <w:r>
              <w:rPr>
                <w:rFonts w:hint="eastAsia"/>
                <w:color w:val="auto"/>
                <w:highlight w:val="none"/>
                <w:lang w:val="en-US" w:eastAsia="zh-CN"/>
              </w:rPr>
              <w:t>1564</w:t>
            </w:r>
          </w:p>
        </w:tc>
        <w:tc>
          <w:tcPr>
            <w:tcW w:w="646" w:type="pct"/>
            <w:vAlign w:val="center"/>
          </w:tcPr>
          <w:p>
            <w:pPr>
              <w:adjustRightInd w:val="0"/>
              <w:snapToGrid w:val="0"/>
              <w:jc w:val="center"/>
              <w:rPr>
                <w:color w:val="auto"/>
                <w:highlight w:val="none"/>
              </w:rPr>
            </w:pPr>
            <w:r>
              <w:rPr>
                <w:rFonts w:hint="eastAsia"/>
                <w:color w:val="auto"/>
                <w:highlight w:val="none"/>
              </w:rPr>
              <w:t>总铬</w:t>
            </w:r>
          </w:p>
        </w:tc>
        <w:tc>
          <w:tcPr>
            <w:tcW w:w="1568" w:type="pct"/>
            <w:vAlign w:val="center"/>
          </w:tcPr>
          <w:p>
            <w:pPr>
              <w:tabs>
                <w:tab w:val="left" w:pos="9795"/>
              </w:tabs>
              <w:adjustRightInd w:val="0"/>
              <w:snapToGrid w:val="0"/>
              <w:jc w:val="center"/>
              <w:rPr>
                <w:rFonts w:hint="default" w:eastAsia="宋体"/>
                <w:color w:val="auto"/>
                <w:szCs w:val="22"/>
                <w:highlight w:val="none"/>
                <w:lang w:val="en-US" w:eastAsia="zh-CN"/>
              </w:rPr>
            </w:pPr>
            <w:r>
              <w:rPr>
                <w:rFonts w:hint="eastAsia"/>
                <w:color w:val="auto"/>
                <w:szCs w:val="22"/>
                <w:highlight w:val="none"/>
                <w:lang w:val="en-US" w:eastAsia="zh-CN"/>
              </w:rPr>
              <w:t>67.8</w:t>
            </w:r>
          </w:p>
        </w:tc>
        <w:tc>
          <w:tcPr>
            <w:tcW w:w="1022" w:type="pct"/>
            <w:vAlign w:val="center"/>
          </w:tcPr>
          <w:p>
            <w:pPr>
              <w:adjustRightInd w:val="0"/>
              <w:snapToGrid w:val="0"/>
              <w:jc w:val="center"/>
              <w:rPr>
                <w:rFonts w:hint="eastAsia" w:eastAsia="宋体"/>
                <w:color w:val="auto"/>
                <w:highlight w:val="none"/>
                <w:lang w:val="en-US" w:eastAsia="zh-CN"/>
              </w:rPr>
            </w:pPr>
            <w:r>
              <w:rPr>
                <w:rFonts w:hint="eastAsia"/>
                <w:color w:val="auto"/>
                <w:highlight w:val="none"/>
              </w:rPr>
              <w:t>0.</w:t>
            </w:r>
            <w:r>
              <w:rPr>
                <w:rFonts w:hint="eastAsia"/>
                <w:color w:val="auto"/>
                <w:highlight w:val="none"/>
                <w:lang w:val="en-US" w:eastAsia="zh-CN"/>
              </w:rPr>
              <w:t>106</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tblHeader/>
          <w:jc w:val="center"/>
        </w:trPr>
        <w:tc>
          <w:tcPr>
            <w:tcW w:w="866" w:type="pct"/>
            <w:vMerge w:val="continue"/>
            <w:vAlign w:val="center"/>
          </w:tcPr>
          <w:p>
            <w:pPr>
              <w:pStyle w:val="77"/>
              <w:ind w:firstLine="0" w:firstLineChars="0"/>
              <w:rPr>
                <w:color w:val="auto"/>
                <w:highlight w:val="none"/>
              </w:rPr>
            </w:pPr>
          </w:p>
        </w:tc>
        <w:tc>
          <w:tcPr>
            <w:tcW w:w="895" w:type="pct"/>
            <w:vMerge w:val="continue"/>
            <w:vAlign w:val="center"/>
          </w:tcPr>
          <w:p>
            <w:pPr>
              <w:pStyle w:val="77"/>
              <w:ind w:firstLine="0" w:firstLineChars="0"/>
              <w:rPr>
                <w:color w:val="auto"/>
                <w:highlight w:val="none"/>
              </w:rPr>
            </w:pPr>
          </w:p>
        </w:tc>
        <w:tc>
          <w:tcPr>
            <w:tcW w:w="646" w:type="pct"/>
            <w:vAlign w:val="center"/>
          </w:tcPr>
          <w:p>
            <w:pPr>
              <w:adjustRightInd w:val="0"/>
              <w:snapToGrid w:val="0"/>
              <w:jc w:val="center"/>
              <w:rPr>
                <w:color w:val="auto"/>
                <w:highlight w:val="none"/>
              </w:rPr>
            </w:pPr>
            <w:r>
              <w:rPr>
                <w:rFonts w:hint="eastAsia"/>
                <w:color w:val="auto"/>
                <w:highlight w:val="none"/>
              </w:rPr>
              <w:t>六价铬</w:t>
            </w:r>
          </w:p>
        </w:tc>
        <w:tc>
          <w:tcPr>
            <w:tcW w:w="1568" w:type="pct"/>
            <w:vAlign w:val="center"/>
          </w:tcPr>
          <w:p>
            <w:pPr>
              <w:tabs>
                <w:tab w:val="left" w:pos="9795"/>
              </w:tabs>
              <w:adjustRightInd w:val="0"/>
              <w:snapToGrid w:val="0"/>
              <w:jc w:val="center"/>
              <w:rPr>
                <w:rFonts w:hint="default" w:eastAsia="宋体"/>
                <w:color w:val="auto"/>
                <w:szCs w:val="22"/>
                <w:highlight w:val="none"/>
                <w:lang w:val="en-US" w:eastAsia="zh-CN"/>
              </w:rPr>
            </w:pPr>
            <w:r>
              <w:rPr>
                <w:rFonts w:hint="eastAsia"/>
                <w:color w:val="auto"/>
                <w:szCs w:val="22"/>
                <w:highlight w:val="none"/>
                <w:lang w:val="en-US" w:eastAsia="zh-CN"/>
              </w:rPr>
              <w:t>19.9</w:t>
            </w:r>
          </w:p>
        </w:tc>
        <w:tc>
          <w:tcPr>
            <w:tcW w:w="1022" w:type="pct"/>
            <w:vAlign w:val="center"/>
          </w:tcPr>
          <w:p>
            <w:pPr>
              <w:adjustRightInd w:val="0"/>
              <w:snapToGrid w:val="0"/>
              <w:jc w:val="center"/>
              <w:rPr>
                <w:rFonts w:hint="eastAsia" w:eastAsia="宋体"/>
                <w:color w:val="auto"/>
                <w:highlight w:val="none"/>
                <w:lang w:eastAsia="zh-CN"/>
              </w:rPr>
            </w:pPr>
            <w:r>
              <w:rPr>
                <w:rFonts w:hint="eastAsia"/>
                <w:color w:val="auto"/>
                <w:highlight w:val="none"/>
              </w:rPr>
              <w:t>0.0</w:t>
            </w:r>
            <w:r>
              <w:rPr>
                <w:rFonts w:hint="eastAsia"/>
                <w:color w:val="auto"/>
                <w:highlight w:val="none"/>
                <w:lang w:val="en-US" w:eastAsia="zh-CN"/>
              </w:rPr>
              <w:t>31</w:t>
            </w:r>
          </w:p>
        </w:tc>
      </w:tr>
    </w:tbl>
    <w:p>
      <w:pPr>
        <w:adjustRightInd w:val="0"/>
        <w:snapToGrid w:val="0"/>
        <w:spacing w:line="360" w:lineRule="auto"/>
        <w:rPr>
          <w:rFonts w:hint="default" w:eastAsia="宋体"/>
          <w:color w:val="auto"/>
          <w:sz w:val="20"/>
          <w:szCs w:val="20"/>
          <w:highlight w:val="none"/>
          <w:lang w:val="en-US" w:eastAsia="zh-CN"/>
        </w:rPr>
      </w:pPr>
      <w:r>
        <w:rPr>
          <w:rFonts w:hint="eastAsia"/>
          <w:color w:val="auto"/>
          <w:sz w:val="20"/>
          <w:szCs w:val="20"/>
          <w:highlight w:val="none"/>
          <w:lang w:val="en-US" w:eastAsia="zh-CN"/>
        </w:rPr>
        <w:t>注：银未检出，采用检出限值0.3mg/L作为源强计算。</w:t>
      </w:r>
    </w:p>
    <w:p>
      <w:pPr>
        <w:adjustRightInd w:val="0"/>
        <w:snapToGrid w:val="0"/>
        <w:spacing w:line="360" w:lineRule="auto"/>
        <w:ind w:firstLine="480" w:firstLineChars="200"/>
        <w:rPr>
          <w:color w:val="auto"/>
          <w:sz w:val="24"/>
          <w:highlight w:val="none"/>
        </w:rPr>
      </w:pPr>
      <w:r>
        <w:rPr>
          <w:color w:val="auto"/>
          <w:sz w:val="24"/>
          <w:highlight w:val="none"/>
        </w:rPr>
        <w:t>2、生活污水</w:t>
      </w:r>
    </w:p>
    <w:p>
      <w:pPr>
        <w:adjustRightInd w:val="0"/>
        <w:snapToGrid w:val="0"/>
        <w:spacing w:line="360" w:lineRule="auto"/>
        <w:ind w:firstLine="480" w:firstLineChars="200"/>
        <w:rPr>
          <w:color w:val="auto"/>
          <w:sz w:val="24"/>
          <w:highlight w:val="none"/>
        </w:rPr>
      </w:pPr>
      <w:r>
        <w:rPr>
          <w:rFonts w:hint="eastAsia"/>
          <w:color w:val="auto"/>
          <w:sz w:val="24"/>
          <w:highlight w:val="none"/>
        </w:rPr>
        <w:t>本项目生活污水</w:t>
      </w:r>
      <w:r>
        <w:rPr>
          <w:color w:val="auto"/>
          <w:sz w:val="24"/>
          <w:highlight w:val="none"/>
        </w:rPr>
        <w:t>排放量按用水量8</w:t>
      </w:r>
      <w:r>
        <w:rPr>
          <w:rFonts w:hint="eastAsia"/>
          <w:color w:val="auto"/>
          <w:sz w:val="24"/>
          <w:highlight w:val="none"/>
          <w:lang w:val="en-US" w:eastAsia="zh-CN"/>
        </w:rPr>
        <w:t>5</w:t>
      </w:r>
      <w:r>
        <w:rPr>
          <w:color w:val="auto"/>
          <w:sz w:val="24"/>
          <w:highlight w:val="none"/>
        </w:rPr>
        <w:t>%计算，生活污水年排放量为</w:t>
      </w:r>
      <w:r>
        <w:rPr>
          <w:rFonts w:hint="eastAsia"/>
          <w:color w:val="auto"/>
          <w:sz w:val="24"/>
          <w:highlight w:val="none"/>
          <w:lang w:val="en-US" w:eastAsia="zh-CN"/>
        </w:rPr>
        <w:t>637.5</w:t>
      </w:r>
      <w:r>
        <w:rPr>
          <w:color w:val="auto"/>
          <w:sz w:val="24"/>
          <w:highlight w:val="none"/>
        </w:rPr>
        <w:t>t/a。生活污水的主要污染物质为COD</w:t>
      </w:r>
      <w:r>
        <w:rPr>
          <w:color w:val="auto"/>
          <w:sz w:val="24"/>
          <w:highlight w:val="none"/>
          <w:vertAlign w:val="subscript"/>
        </w:rPr>
        <w:t>Cr</w:t>
      </w:r>
      <w:r>
        <w:rPr>
          <w:color w:val="auto"/>
          <w:sz w:val="24"/>
          <w:highlight w:val="none"/>
        </w:rPr>
        <w:t>、BOD</w:t>
      </w:r>
      <w:r>
        <w:rPr>
          <w:color w:val="auto"/>
          <w:sz w:val="24"/>
          <w:highlight w:val="none"/>
          <w:vertAlign w:val="subscript"/>
        </w:rPr>
        <w:t>5</w:t>
      </w:r>
      <w:r>
        <w:rPr>
          <w:color w:val="auto"/>
          <w:sz w:val="24"/>
          <w:highlight w:val="none"/>
        </w:rPr>
        <w:t>、氨氮、SS，满足《污水排入城镇下水道水质标准》(GB/T31962-2015)表1中B级标准限值要求，</w:t>
      </w:r>
      <w:r>
        <w:rPr>
          <w:rFonts w:hint="eastAsia"/>
          <w:color w:val="auto"/>
          <w:sz w:val="24"/>
          <w:highlight w:val="none"/>
        </w:rPr>
        <w:t>与处理后的生产废水一同进入</w:t>
      </w:r>
      <w:r>
        <w:rPr>
          <w:color w:val="auto"/>
          <w:sz w:val="24"/>
          <w:highlight w:val="none"/>
        </w:rPr>
        <w:t>城市污水管</w:t>
      </w:r>
      <w:r>
        <w:rPr>
          <w:rFonts w:hint="eastAsia"/>
          <w:color w:val="auto"/>
          <w:sz w:val="24"/>
          <w:highlight w:val="none"/>
        </w:rPr>
        <w:t>网，</w:t>
      </w:r>
      <w:r>
        <w:rPr>
          <w:color w:val="auto"/>
          <w:sz w:val="24"/>
          <w:highlight w:val="none"/>
        </w:rPr>
        <w:t>排入</w:t>
      </w:r>
      <w:r>
        <w:rPr>
          <w:rFonts w:hint="eastAsia"/>
          <w:color w:val="auto"/>
          <w:sz w:val="24"/>
          <w:highlight w:val="none"/>
          <w:lang w:eastAsia="zh-CN"/>
        </w:rPr>
        <w:t>镰湾河水质净化厂</w:t>
      </w:r>
      <w:r>
        <w:rPr>
          <w:color w:val="auto"/>
          <w:sz w:val="24"/>
          <w:highlight w:val="none"/>
        </w:rPr>
        <w:t>。</w:t>
      </w:r>
    </w:p>
    <w:p>
      <w:pPr>
        <w:adjustRightInd w:val="0"/>
        <w:snapToGrid w:val="0"/>
        <w:spacing w:line="360" w:lineRule="auto"/>
        <w:ind w:firstLine="480" w:firstLineChars="200"/>
        <w:rPr>
          <w:color w:val="auto"/>
          <w:sz w:val="24"/>
          <w:highlight w:val="none"/>
        </w:rPr>
      </w:pPr>
      <w:r>
        <w:rPr>
          <w:rFonts w:hint="eastAsia"/>
          <w:color w:val="auto"/>
          <w:sz w:val="24"/>
          <w:highlight w:val="none"/>
        </w:rPr>
        <w:t>3、废水污染排放情况汇总</w:t>
      </w:r>
    </w:p>
    <w:p>
      <w:pPr>
        <w:spacing w:line="360" w:lineRule="auto"/>
        <w:ind w:firstLine="480" w:firstLineChars="200"/>
        <w:rPr>
          <w:color w:val="auto"/>
          <w:kern w:val="0"/>
          <w:sz w:val="24"/>
          <w:szCs w:val="28"/>
          <w:highlight w:val="none"/>
        </w:rPr>
      </w:pPr>
      <w:r>
        <w:rPr>
          <w:color w:val="auto"/>
          <w:kern w:val="0"/>
          <w:sz w:val="24"/>
          <w:szCs w:val="28"/>
          <w:highlight w:val="none"/>
        </w:rPr>
        <w:t>根据</w:t>
      </w:r>
      <w:r>
        <w:rPr>
          <w:rFonts w:hint="eastAsia"/>
          <w:color w:val="auto"/>
          <w:kern w:val="0"/>
          <w:sz w:val="24"/>
          <w:szCs w:val="28"/>
          <w:highlight w:val="none"/>
          <w:lang w:val="en-US" w:eastAsia="zh-CN"/>
        </w:rPr>
        <w:t>园区</w:t>
      </w:r>
      <w:r>
        <w:rPr>
          <w:color w:val="auto"/>
          <w:kern w:val="0"/>
          <w:sz w:val="24"/>
          <w:szCs w:val="28"/>
          <w:highlight w:val="none"/>
        </w:rPr>
        <w:t>污水站监测数据</w:t>
      </w:r>
      <w:r>
        <w:rPr>
          <w:color w:val="auto"/>
          <w:sz w:val="24"/>
          <w:highlight w:val="none"/>
        </w:rPr>
        <w:t>(</w:t>
      </w:r>
      <w:r>
        <w:rPr>
          <w:rFonts w:hint="eastAsia"/>
          <w:color w:val="auto"/>
          <w:sz w:val="24"/>
          <w:highlight w:val="none"/>
        </w:rPr>
        <w:t>青</w:t>
      </w:r>
      <w:r>
        <w:rPr>
          <w:rFonts w:hint="eastAsia"/>
          <w:color w:val="auto"/>
          <w:sz w:val="24"/>
          <w:highlight w:val="none"/>
          <w:lang w:val="en-US" w:eastAsia="zh-CN"/>
        </w:rPr>
        <w:t>[</w:t>
      </w:r>
      <w:r>
        <w:rPr>
          <w:rFonts w:hint="eastAsia"/>
          <w:color w:val="auto"/>
          <w:sz w:val="24"/>
          <w:highlight w:val="none"/>
        </w:rPr>
        <w:t>皓</w:t>
      </w:r>
      <w:r>
        <w:rPr>
          <w:rFonts w:hint="eastAsia"/>
          <w:color w:val="auto"/>
          <w:sz w:val="24"/>
          <w:highlight w:val="none"/>
          <w:lang w:val="en-US" w:eastAsia="zh-CN"/>
        </w:rPr>
        <w:t>]WT1901283G</w:t>
      </w:r>
      <w:r>
        <w:rPr>
          <w:rFonts w:hint="eastAsia"/>
          <w:color w:val="auto"/>
          <w:sz w:val="24"/>
          <w:highlight w:val="none"/>
          <w:lang w:eastAsia="zh-CN"/>
        </w:rPr>
        <w:t>、WT1901343</w:t>
      </w:r>
      <w:r>
        <w:rPr>
          <w:color w:val="auto"/>
          <w:sz w:val="24"/>
          <w:highlight w:val="none"/>
        </w:rPr>
        <w:t>)</w:t>
      </w:r>
      <w:r>
        <w:rPr>
          <w:color w:val="auto"/>
          <w:kern w:val="0"/>
          <w:sz w:val="24"/>
          <w:szCs w:val="28"/>
          <w:highlight w:val="none"/>
        </w:rPr>
        <w:t>，</w:t>
      </w:r>
      <w:r>
        <w:rPr>
          <w:rFonts w:hint="eastAsia"/>
          <w:color w:val="auto"/>
          <w:kern w:val="0"/>
          <w:sz w:val="24"/>
          <w:szCs w:val="28"/>
          <w:highlight w:val="none"/>
          <w:lang w:val="en-US" w:eastAsia="zh-CN"/>
        </w:rPr>
        <w:t>项目</w:t>
      </w:r>
      <w:r>
        <w:rPr>
          <w:color w:val="auto"/>
          <w:kern w:val="0"/>
          <w:sz w:val="24"/>
          <w:szCs w:val="28"/>
          <w:highlight w:val="none"/>
        </w:rPr>
        <w:t>废水经园区污水站处理后</w:t>
      </w:r>
      <w:r>
        <w:rPr>
          <w:rFonts w:hint="eastAsia"/>
          <w:color w:val="auto"/>
          <w:sz w:val="24"/>
          <w:highlight w:val="none"/>
        </w:rPr>
        <w:t>铬</w:t>
      </w:r>
      <w:r>
        <w:rPr>
          <w:rFonts w:hint="eastAsia"/>
          <w:color w:val="auto"/>
          <w:sz w:val="24"/>
          <w:highlight w:val="none"/>
          <w:lang w:eastAsia="zh-CN"/>
        </w:rPr>
        <w:t>(</w:t>
      </w:r>
      <w:r>
        <w:rPr>
          <w:rFonts w:hint="eastAsia"/>
          <w:color w:val="auto"/>
          <w:sz w:val="24"/>
          <w:highlight w:val="none"/>
        </w:rPr>
        <w:t>六价</w:t>
      </w:r>
      <w:r>
        <w:rPr>
          <w:rFonts w:hint="eastAsia"/>
          <w:color w:val="auto"/>
          <w:sz w:val="24"/>
          <w:highlight w:val="none"/>
          <w:lang w:eastAsia="zh-CN"/>
        </w:rPr>
        <w:t>)</w:t>
      </w:r>
      <w:r>
        <w:rPr>
          <w:rFonts w:hint="eastAsia"/>
          <w:color w:val="auto"/>
          <w:sz w:val="24"/>
          <w:highlight w:val="none"/>
        </w:rPr>
        <w:t>、总铬、总镍、总银、总锡</w:t>
      </w:r>
      <w:r>
        <w:rPr>
          <w:rFonts w:hint="eastAsia"/>
          <w:color w:val="auto"/>
          <w:sz w:val="24"/>
          <w:highlight w:val="none"/>
          <w:lang w:val="en-US" w:eastAsia="zh-CN"/>
        </w:rPr>
        <w:t>满足</w:t>
      </w:r>
      <w:r>
        <w:rPr>
          <w:rFonts w:hint="eastAsia"/>
          <w:color w:val="auto"/>
          <w:sz w:val="24"/>
          <w:highlight w:val="none"/>
        </w:rPr>
        <w:t>《电镀污染物排放标准》(GB21900-2008)表2标准。</w:t>
      </w:r>
      <w:r>
        <w:rPr>
          <w:rFonts w:hint="eastAsia"/>
          <w:color w:val="auto"/>
          <w:sz w:val="24"/>
          <w:highlight w:val="none"/>
          <w:lang w:val="en-US" w:eastAsia="zh-CN"/>
        </w:rPr>
        <w:t>其他</w:t>
      </w:r>
      <w:r>
        <w:rPr>
          <w:rFonts w:hint="eastAsia"/>
          <w:color w:val="auto"/>
          <w:sz w:val="24"/>
          <w:highlight w:val="none"/>
        </w:rPr>
        <w:t>污染物排放</w:t>
      </w:r>
      <w:r>
        <w:rPr>
          <w:rFonts w:hint="eastAsia"/>
          <w:color w:val="auto"/>
          <w:sz w:val="24"/>
          <w:highlight w:val="none"/>
          <w:lang w:val="en-US" w:eastAsia="zh-CN"/>
        </w:rPr>
        <w:t>满足</w:t>
      </w:r>
      <w:r>
        <w:rPr>
          <w:rFonts w:hint="eastAsia"/>
          <w:color w:val="auto"/>
          <w:sz w:val="24"/>
          <w:highlight w:val="none"/>
        </w:rPr>
        <w:t>《污水排入城镇下水道水质标准》(GB/T31962-2015)表1中B级标准限值要求</w:t>
      </w:r>
      <w:r>
        <w:rPr>
          <w:color w:val="auto"/>
          <w:kern w:val="0"/>
          <w:sz w:val="24"/>
          <w:szCs w:val="28"/>
          <w:highlight w:val="none"/>
        </w:rPr>
        <w:t>，与生活污水一并通过城市污水管道排入</w:t>
      </w:r>
      <w:r>
        <w:rPr>
          <w:rFonts w:hint="eastAsia"/>
          <w:bCs/>
          <w:color w:val="auto"/>
          <w:sz w:val="24"/>
          <w:highlight w:val="none"/>
          <w:lang w:eastAsia="zh-CN"/>
        </w:rPr>
        <w:t>镰湾河水质净化厂</w:t>
      </w:r>
      <w:r>
        <w:rPr>
          <w:color w:val="auto"/>
          <w:kern w:val="0"/>
          <w:sz w:val="24"/>
          <w:szCs w:val="28"/>
          <w:highlight w:val="none"/>
        </w:rPr>
        <w:t>，经进一步处理后外排。</w:t>
      </w:r>
    </w:p>
    <w:p>
      <w:pPr>
        <w:adjustRightInd w:val="0"/>
        <w:snapToGrid w:val="0"/>
        <w:spacing w:line="360" w:lineRule="auto"/>
        <w:ind w:firstLine="480" w:firstLineChars="200"/>
        <w:rPr>
          <w:bCs/>
          <w:color w:val="auto"/>
          <w:sz w:val="24"/>
          <w:highlight w:val="none"/>
        </w:rPr>
      </w:pPr>
      <w:r>
        <w:rPr>
          <w:rFonts w:hint="eastAsia"/>
          <w:bCs/>
          <w:color w:val="auto"/>
          <w:sz w:val="24"/>
          <w:highlight w:val="none"/>
        </w:rPr>
        <w:t>项目废水排放情况见表</w:t>
      </w:r>
      <w:r>
        <w:rPr>
          <w:rFonts w:hint="eastAsia"/>
          <w:bCs/>
          <w:color w:val="auto"/>
          <w:sz w:val="24"/>
          <w:highlight w:val="none"/>
          <w:lang w:eastAsia="zh-CN"/>
        </w:rPr>
        <w:t>2.5</w:t>
      </w:r>
      <w:r>
        <w:rPr>
          <w:rFonts w:hint="eastAsia"/>
          <w:bCs/>
          <w:color w:val="auto"/>
          <w:sz w:val="24"/>
          <w:highlight w:val="none"/>
        </w:rPr>
        <w:t>-</w:t>
      </w:r>
      <w:r>
        <w:rPr>
          <w:rFonts w:hint="eastAsia"/>
          <w:bCs/>
          <w:color w:val="auto"/>
          <w:sz w:val="24"/>
          <w:highlight w:val="none"/>
          <w:lang w:val="en-US" w:eastAsia="zh-CN"/>
        </w:rPr>
        <w:t>3，</w:t>
      </w:r>
      <w:r>
        <w:rPr>
          <w:rFonts w:hint="eastAsia"/>
          <w:color w:val="auto"/>
          <w:sz w:val="24"/>
          <w:highlight w:val="none"/>
          <w:lang w:eastAsia="zh-CN"/>
        </w:rPr>
        <w:t>以</w:t>
      </w:r>
      <w:r>
        <w:rPr>
          <w:rFonts w:hint="eastAsia"/>
          <w:color w:val="auto"/>
          <w:sz w:val="24"/>
          <w:highlight w:val="none"/>
        </w:rPr>
        <w:t>污染物的监测</w:t>
      </w:r>
      <w:r>
        <w:rPr>
          <w:rFonts w:hint="eastAsia"/>
          <w:color w:val="auto"/>
          <w:sz w:val="24"/>
          <w:highlight w:val="none"/>
          <w:lang w:eastAsia="zh-CN"/>
        </w:rPr>
        <w:t>平均</w:t>
      </w:r>
      <w:r>
        <w:rPr>
          <w:rFonts w:hint="eastAsia"/>
          <w:color w:val="auto"/>
          <w:sz w:val="24"/>
          <w:highlight w:val="none"/>
        </w:rPr>
        <w:t>值</w:t>
      </w:r>
      <w:r>
        <w:rPr>
          <w:rFonts w:hint="eastAsia"/>
          <w:color w:val="auto"/>
          <w:sz w:val="24"/>
          <w:highlight w:val="none"/>
          <w:lang w:val="en-US" w:eastAsia="zh-CN"/>
        </w:rPr>
        <w:t>计算</w:t>
      </w:r>
      <w:r>
        <w:rPr>
          <w:rFonts w:hint="eastAsia"/>
          <w:bCs/>
          <w:color w:val="auto"/>
          <w:sz w:val="24"/>
          <w:highlight w:val="none"/>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eastAsia="黑体"/>
          <w:snapToGrid w:val="0"/>
          <w:color w:val="auto"/>
          <w:sz w:val="24"/>
          <w:szCs w:val="24"/>
          <w:highlight w:val="none"/>
        </w:rPr>
      </w:pPr>
      <w:r>
        <w:rPr>
          <w:rFonts w:eastAsia="黑体"/>
          <w:snapToGrid w:val="0"/>
          <w:color w:val="auto"/>
          <w:sz w:val="24"/>
          <w:szCs w:val="24"/>
          <w:highlight w:val="none"/>
        </w:rPr>
        <w:t>表</w:t>
      </w:r>
      <w:r>
        <w:rPr>
          <w:rFonts w:hint="eastAsia" w:eastAsia="黑体"/>
          <w:snapToGrid w:val="0"/>
          <w:color w:val="auto"/>
          <w:sz w:val="24"/>
          <w:szCs w:val="24"/>
          <w:highlight w:val="none"/>
          <w:lang w:eastAsia="zh-CN"/>
        </w:rPr>
        <w:t>2.5</w:t>
      </w:r>
      <w:r>
        <w:rPr>
          <w:rFonts w:eastAsia="黑体"/>
          <w:snapToGrid w:val="0"/>
          <w:color w:val="auto"/>
          <w:sz w:val="24"/>
          <w:szCs w:val="24"/>
          <w:highlight w:val="none"/>
        </w:rPr>
        <w:t>-</w:t>
      </w:r>
      <w:r>
        <w:rPr>
          <w:rFonts w:hint="eastAsia" w:eastAsia="黑体"/>
          <w:snapToGrid w:val="0"/>
          <w:color w:val="auto"/>
          <w:sz w:val="24"/>
          <w:szCs w:val="24"/>
          <w:highlight w:val="none"/>
          <w:lang w:val="en-US" w:eastAsia="zh-CN"/>
        </w:rPr>
        <w:t>3</w:t>
      </w:r>
      <w:r>
        <w:rPr>
          <w:rFonts w:eastAsia="黑体"/>
          <w:snapToGrid w:val="0"/>
          <w:color w:val="auto"/>
          <w:sz w:val="24"/>
          <w:szCs w:val="24"/>
          <w:highlight w:val="none"/>
        </w:rPr>
        <w:t xml:space="preserve">  项目废水排放情况汇总</w:t>
      </w:r>
    </w:p>
    <w:tbl>
      <w:tblPr>
        <w:tblStyle w:val="36"/>
        <w:tblW w:w="4996" w:type="pct"/>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autofit"/>
        <w:tblCellMar>
          <w:top w:w="0" w:type="dxa"/>
          <w:left w:w="108" w:type="dxa"/>
          <w:bottom w:w="0" w:type="dxa"/>
          <w:right w:w="108" w:type="dxa"/>
        </w:tblCellMar>
      </w:tblPr>
      <w:tblGrid>
        <w:gridCol w:w="1332"/>
        <w:gridCol w:w="1543"/>
        <w:gridCol w:w="1375"/>
        <w:gridCol w:w="1150"/>
        <w:gridCol w:w="2252"/>
        <w:gridCol w:w="1571"/>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tblHeader/>
          <w:jc w:val="center"/>
        </w:trPr>
        <w:tc>
          <w:tcPr>
            <w:tcW w:w="722" w:type="pct"/>
            <w:vAlign w:val="center"/>
          </w:tcPr>
          <w:p>
            <w:pPr>
              <w:pStyle w:val="77"/>
              <w:keepNext w:val="0"/>
              <w:keepLines w:val="0"/>
              <w:pageBreakBefore w:val="0"/>
              <w:kinsoku/>
              <w:wordWrap/>
              <w:overflowPunct/>
              <w:topLinePunct w:val="0"/>
              <w:autoSpaceDE/>
              <w:autoSpaceDN/>
              <w:bidi w:val="0"/>
              <w:adjustRightInd w:val="0"/>
              <w:snapToGrid w:val="0"/>
              <w:ind w:firstLine="0" w:firstLineChars="0"/>
              <w:textAlignment w:val="auto"/>
              <w:rPr>
                <w:b/>
                <w:color w:val="auto"/>
                <w:highlight w:val="none"/>
              </w:rPr>
            </w:pPr>
            <w:r>
              <w:rPr>
                <w:rFonts w:hint="eastAsia"/>
                <w:b/>
                <w:color w:val="auto"/>
                <w:highlight w:val="none"/>
              </w:rPr>
              <w:t>废水种类</w:t>
            </w:r>
          </w:p>
        </w:tc>
        <w:tc>
          <w:tcPr>
            <w:tcW w:w="836" w:type="pct"/>
            <w:vAlign w:val="center"/>
          </w:tcPr>
          <w:p>
            <w:pPr>
              <w:pStyle w:val="77"/>
              <w:keepNext w:val="0"/>
              <w:keepLines w:val="0"/>
              <w:pageBreakBefore w:val="0"/>
              <w:kinsoku/>
              <w:wordWrap/>
              <w:overflowPunct/>
              <w:topLinePunct w:val="0"/>
              <w:autoSpaceDE/>
              <w:autoSpaceDN/>
              <w:bidi w:val="0"/>
              <w:adjustRightInd w:val="0"/>
              <w:snapToGrid w:val="0"/>
              <w:ind w:firstLine="0" w:firstLineChars="0"/>
              <w:textAlignment w:val="auto"/>
              <w:rPr>
                <w:rFonts w:hint="eastAsia"/>
                <w:b/>
                <w:color w:val="auto"/>
                <w:highlight w:val="none"/>
              </w:rPr>
            </w:pPr>
            <w:r>
              <w:rPr>
                <w:rFonts w:hint="eastAsia"/>
                <w:b/>
                <w:color w:val="auto"/>
                <w:szCs w:val="21"/>
                <w:highlight w:val="none"/>
                <w:lang w:val="en-US" w:eastAsia="zh-CN"/>
              </w:rPr>
              <w:t>排污口</w:t>
            </w:r>
          </w:p>
        </w:tc>
        <w:tc>
          <w:tcPr>
            <w:tcW w:w="745" w:type="pct"/>
            <w:vAlign w:val="center"/>
          </w:tcPr>
          <w:p>
            <w:pPr>
              <w:pStyle w:val="77"/>
              <w:keepNext w:val="0"/>
              <w:keepLines w:val="0"/>
              <w:pageBreakBefore w:val="0"/>
              <w:kinsoku/>
              <w:wordWrap/>
              <w:overflowPunct/>
              <w:topLinePunct w:val="0"/>
              <w:autoSpaceDE/>
              <w:autoSpaceDN/>
              <w:bidi w:val="0"/>
              <w:adjustRightInd w:val="0"/>
              <w:snapToGrid w:val="0"/>
              <w:ind w:firstLine="0" w:firstLineChars="0"/>
              <w:textAlignment w:val="auto"/>
              <w:rPr>
                <w:rFonts w:hint="eastAsia"/>
                <w:b/>
                <w:color w:val="auto"/>
                <w:szCs w:val="21"/>
                <w:highlight w:val="none"/>
                <w:lang w:val="en-US" w:eastAsia="zh-CN"/>
              </w:rPr>
            </w:pPr>
            <w:r>
              <w:rPr>
                <w:rFonts w:hint="eastAsia"/>
                <w:b/>
                <w:color w:val="auto"/>
                <w:szCs w:val="21"/>
                <w:highlight w:val="none"/>
                <w:lang w:val="en-US" w:eastAsia="zh-CN"/>
              </w:rPr>
              <w:t>废水排放量(t/a)</w:t>
            </w:r>
          </w:p>
        </w:tc>
        <w:tc>
          <w:tcPr>
            <w:tcW w:w="623" w:type="pct"/>
            <w:vAlign w:val="center"/>
          </w:tcPr>
          <w:p>
            <w:pPr>
              <w:pStyle w:val="77"/>
              <w:keepNext w:val="0"/>
              <w:keepLines w:val="0"/>
              <w:pageBreakBefore w:val="0"/>
              <w:kinsoku/>
              <w:wordWrap/>
              <w:overflowPunct/>
              <w:topLinePunct w:val="0"/>
              <w:autoSpaceDE/>
              <w:autoSpaceDN/>
              <w:bidi w:val="0"/>
              <w:adjustRightInd w:val="0"/>
              <w:snapToGrid w:val="0"/>
              <w:ind w:firstLine="0" w:firstLineChars="0"/>
              <w:textAlignment w:val="auto"/>
              <w:rPr>
                <w:b/>
                <w:color w:val="auto"/>
                <w:highlight w:val="none"/>
              </w:rPr>
            </w:pPr>
            <w:r>
              <w:rPr>
                <w:b/>
                <w:color w:val="auto"/>
                <w:highlight w:val="none"/>
              </w:rPr>
              <w:t>监测项目</w:t>
            </w:r>
          </w:p>
        </w:tc>
        <w:tc>
          <w:tcPr>
            <w:tcW w:w="1220" w:type="pct"/>
            <w:vAlign w:val="center"/>
          </w:tcPr>
          <w:p>
            <w:pPr>
              <w:keepNext w:val="0"/>
              <w:keepLines w:val="0"/>
              <w:pageBreakBefore w:val="0"/>
              <w:kinsoku/>
              <w:wordWrap/>
              <w:overflowPunct/>
              <w:topLinePunct w:val="0"/>
              <w:autoSpaceDE/>
              <w:autoSpaceDN/>
              <w:bidi w:val="0"/>
              <w:adjustRightInd w:val="0"/>
              <w:snapToGrid w:val="0"/>
              <w:ind w:firstLine="0" w:firstLineChars="0"/>
              <w:jc w:val="center"/>
              <w:textAlignment w:val="auto"/>
              <w:rPr>
                <w:b/>
                <w:color w:val="auto"/>
                <w:szCs w:val="21"/>
                <w:highlight w:val="none"/>
              </w:rPr>
            </w:pPr>
            <w:r>
              <w:rPr>
                <w:rFonts w:hint="eastAsia"/>
                <w:b/>
                <w:color w:val="auto"/>
                <w:szCs w:val="21"/>
                <w:highlight w:val="none"/>
              </w:rPr>
              <w:t>监测浓度</w:t>
            </w:r>
            <w:r>
              <w:rPr>
                <w:rFonts w:hint="eastAsia"/>
                <w:b/>
                <w:color w:val="auto"/>
                <w:szCs w:val="21"/>
                <w:highlight w:val="none"/>
                <w:lang w:val="en-US" w:eastAsia="zh-CN"/>
              </w:rPr>
              <w:t>平均值</w:t>
            </w:r>
            <w:r>
              <w:rPr>
                <w:b/>
                <w:color w:val="auto"/>
                <w:szCs w:val="21"/>
                <w:highlight w:val="none"/>
              </w:rPr>
              <w:t>(mg/L、pH除外)</w:t>
            </w:r>
          </w:p>
        </w:tc>
        <w:tc>
          <w:tcPr>
            <w:tcW w:w="851" w:type="pct"/>
            <w:vAlign w:val="center"/>
          </w:tcPr>
          <w:p>
            <w:pPr>
              <w:keepNext w:val="0"/>
              <w:keepLines w:val="0"/>
              <w:pageBreakBefore w:val="0"/>
              <w:kinsoku/>
              <w:wordWrap/>
              <w:overflowPunct/>
              <w:topLinePunct w:val="0"/>
              <w:autoSpaceDE/>
              <w:autoSpaceDN/>
              <w:bidi w:val="0"/>
              <w:adjustRightInd w:val="0"/>
              <w:snapToGrid w:val="0"/>
              <w:ind w:firstLine="0" w:firstLineChars="0"/>
              <w:jc w:val="center"/>
              <w:textAlignment w:val="auto"/>
              <w:rPr>
                <w:b/>
                <w:color w:val="auto"/>
                <w:szCs w:val="21"/>
                <w:highlight w:val="none"/>
              </w:rPr>
            </w:pPr>
            <w:r>
              <w:rPr>
                <w:rFonts w:hint="eastAsia"/>
                <w:b/>
                <w:color w:val="auto"/>
                <w:szCs w:val="21"/>
                <w:highlight w:val="none"/>
                <w:lang w:val="en-US" w:eastAsia="zh-CN"/>
              </w:rPr>
              <w:t>排放</w:t>
            </w:r>
            <w:r>
              <w:rPr>
                <w:b/>
                <w:color w:val="auto"/>
                <w:szCs w:val="21"/>
                <w:highlight w:val="none"/>
              </w:rPr>
              <w:t>量(t/a)</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tblHeader/>
          <w:jc w:val="center"/>
        </w:trPr>
        <w:tc>
          <w:tcPr>
            <w:tcW w:w="722" w:type="pct"/>
            <w:vMerge w:val="restart"/>
            <w:vAlign w:val="center"/>
          </w:tcPr>
          <w:p>
            <w:pPr>
              <w:pStyle w:val="77"/>
              <w:ind w:firstLine="0" w:firstLineChars="0"/>
              <w:rPr>
                <w:rStyle w:val="110"/>
                <w:rFonts w:hint="default"/>
                <w:color w:val="auto"/>
                <w:highlight w:val="none"/>
              </w:rPr>
            </w:pPr>
            <w:r>
              <w:rPr>
                <w:rFonts w:hint="eastAsia"/>
                <w:b w:val="0"/>
                <w:bCs/>
                <w:color w:val="auto"/>
                <w:highlight w:val="none"/>
              </w:rPr>
              <w:t>生产</w:t>
            </w:r>
            <w:r>
              <w:rPr>
                <w:rFonts w:hint="eastAsia"/>
                <w:b w:val="0"/>
                <w:bCs/>
                <w:color w:val="auto"/>
                <w:highlight w:val="none"/>
                <w:lang w:val="en-US" w:eastAsia="zh-CN"/>
              </w:rPr>
              <w:t>废水</w:t>
            </w:r>
            <w:r>
              <w:rPr>
                <w:rFonts w:hint="eastAsia"/>
                <w:b w:val="0"/>
                <w:bCs/>
                <w:color w:val="auto"/>
                <w:highlight w:val="none"/>
                <w:lang w:eastAsia="zh-CN"/>
              </w:rPr>
              <w:t>、</w:t>
            </w:r>
            <w:r>
              <w:rPr>
                <w:rFonts w:hint="eastAsia"/>
                <w:b w:val="0"/>
                <w:bCs/>
                <w:color w:val="auto"/>
                <w:highlight w:val="none"/>
                <w:lang w:val="en-US" w:eastAsia="zh-CN"/>
              </w:rPr>
              <w:t>生活污</w:t>
            </w:r>
            <w:r>
              <w:rPr>
                <w:rFonts w:hint="eastAsia"/>
                <w:b w:val="0"/>
                <w:bCs/>
                <w:color w:val="auto"/>
                <w:highlight w:val="none"/>
              </w:rPr>
              <w:t>水.</w:t>
            </w:r>
          </w:p>
        </w:tc>
        <w:tc>
          <w:tcPr>
            <w:tcW w:w="836" w:type="pct"/>
            <w:vMerge w:val="restart"/>
            <w:vAlign w:val="center"/>
          </w:tcPr>
          <w:p>
            <w:pPr>
              <w:pStyle w:val="77"/>
              <w:ind w:firstLine="0" w:firstLineChars="0"/>
              <w:rPr>
                <w:rFonts w:hint="default" w:eastAsia="宋体"/>
                <w:b/>
                <w:color w:val="auto"/>
                <w:highlight w:val="none"/>
                <w:lang w:val="en-US" w:eastAsia="zh-CN"/>
              </w:rPr>
            </w:pPr>
            <w:r>
              <w:rPr>
                <w:rFonts w:hint="eastAsia"/>
                <w:b w:val="0"/>
                <w:bCs/>
                <w:color w:val="auto"/>
                <w:highlight w:val="none"/>
                <w:lang w:val="en-US" w:eastAsia="zh-CN"/>
              </w:rPr>
              <w:t>园区污水总排口</w:t>
            </w:r>
          </w:p>
        </w:tc>
        <w:tc>
          <w:tcPr>
            <w:tcW w:w="745" w:type="pct"/>
            <w:vMerge w:val="restart"/>
            <w:vAlign w:val="center"/>
          </w:tcPr>
          <w:p>
            <w:pPr>
              <w:pStyle w:val="77"/>
              <w:ind w:firstLine="0" w:firstLineChars="0"/>
              <w:rPr>
                <w:rFonts w:hint="default"/>
                <w:b/>
                <w:color w:val="auto"/>
                <w:highlight w:val="none"/>
                <w:lang w:val="en-US"/>
              </w:rPr>
            </w:pPr>
            <w:r>
              <w:rPr>
                <w:rFonts w:hint="eastAsia"/>
                <w:color w:val="auto"/>
                <w:szCs w:val="21"/>
                <w:highlight w:val="none"/>
                <w:lang w:val="en-US" w:eastAsia="zh-CN"/>
              </w:rPr>
              <w:t>12073.5</w:t>
            </w:r>
          </w:p>
        </w:tc>
        <w:tc>
          <w:tcPr>
            <w:tcW w:w="623" w:type="pct"/>
            <w:vAlign w:val="center"/>
          </w:tcPr>
          <w:p>
            <w:pPr>
              <w:adjustRightInd w:val="0"/>
              <w:snapToGrid w:val="0"/>
              <w:jc w:val="center"/>
              <w:rPr>
                <w:color w:val="auto"/>
                <w:highlight w:val="none"/>
              </w:rPr>
            </w:pPr>
            <w:r>
              <w:rPr>
                <w:color w:val="auto"/>
                <w:highlight w:val="none"/>
              </w:rPr>
              <w:t>pH</w:t>
            </w:r>
          </w:p>
        </w:tc>
        <w:tc>
          <w:tcPr>
            <w:tcW w:w="1220" w:type="pct"/>
            <w:vAlign w:val="center"/>
          </w:tcPr>
          <w:p>
            <w:pPr>
              <w:tabs>
                <w:tab w:val="left" w:pos="9795"/>
              </w:tabs>
              <w:adjustRightInd w:val="0"/>
              <w:snapToGrid w:val="0"/>
              <w:jc w:val="center"/>
              <w:rPr>
                <w:rFonts w:hint="default" w:eastAsia="宋体"/>
                <w:color w:val="auto"/>
                <w:szCs w:val="22"/>
                <w:highlight w:val="none"/>
                <w:lang w:val="en-US" w:eastAsia="zh-CN"/>
              </w:rPr>
            </w:pPr>
            <w:r>
              <w:rPr>
                <w:rFonts w:hint="eastAsia"/>
                <w:color w:val="auto"/>
                <w:szCs w:val="22"/>
                <w:highlight w:val="none"/>
                <w:lang w:val="en-US" w:eastAsia="zh-CN"/>
              </w:rPr>
              <w:t>7.67</w:t>
            </w:r>
          </w:p>
        </w:tc>
        <w:tc>
          <w:tcPr>
            <w:tcW w:w="851" w:type="pct"/>
            <w:vAlign w:val="center"/>
          </w:tcPr>
          <w:p>
            <w:pPr>
              <w:adjustRightInd w:val="0"/>
              <w:snapToGrid w:val="0"/>
              <w:jc w:val="center"/>
              <w:rPr>
                <w:color w:val="auto"/>
                <w:highlight w:val="none"/>
              </w:rPr>
            </w:pPr>
            <w:r>
              <w:rPr>
                <w:rFonts w:hint="eastAsia"/>
                <w:color w:val="auto"/>
                <w:highlight w:val="none"/>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tblHeader/>
          <w:jc w:val="center"/>
        </w:trPr>
        <w:tc>
          <w:tcPr>
            <w:tcW w:w="722" w:type="pct"/>
            <w:vMerge w:val="continue"/>
            <w:vAlign w:val="center"/>
          </w:tcPr>
          <w:p>
            <w:pPr>
              <w:pStyle w:val="77"/>
              <w:ind w:firstLine="0" w:firstLineChars="0"/>
              <w:rPr>
                <w:rStyle w:val="110"/>
                <w:rFonts w:hint="default"/>
                <w:color w:val="auto"/>
                <w:highlight w:val="none"/>
              </w:rPr>
            </w:pPr>
          </w:p>
        </w:tc>
        <w:tc>
          <w:tcPr>
            <w:tcW w:w="836" w:type="pct"/>
            <w:vMerge w:val="continue"/>
            <w:vAlign w:val="center"/>
          </w:tcPr>
          <w:p>
            <w:pPr>
              <w:pStyle w:val="77"/>
              <w:ind w:firstLine="0" w:firstLineChars="0"/>
              <w:rPr>
                <w:rStyle w:val="110"/>
                <w:rFonts w:hint="default"/>
                <w:color w:val="auto"/>
                <w:highlight w:val="none"/>
              </w:rPr>
            </w:pPr>
          </w:p>
        </w:tc>
        <w:tc>
          <w:tcPr>
            <w:tcW w:w="745" w:type="pct"/>
            <w:vMerge w:val="continue"/>
            <w:vAlign w:val="center"/>
          </w:tcPr>
          <w:p>
            <w:pPr>
              <w:pStyle w:val="77"/>
              <w:ind w:firstLine="0" w:firstLineChars="0"/>
              <w:rPr>
                <w:rStyle w:val="110"/>
                <w:rFonts w:hint="default"/>
                <w:color w:val="auto"/>
                <w:highlight w:val="none"/>
              </w:rPr>
            </w:pPr>
          </w:p>
        </w:tc>
        <w:tc>
          <w:tcPr>
            <w:tcW w:w="623" w:type="pct"/>
            <w:vAlign w:val="center"/>
          </w:tcPr>
          <w:p>
            <w:pPr>
              <w:adjustRightInd w:val="0"/>
              <w:snapToGrid w:val="0"/>
              <w:jc w:val="center"/>
              <w:rPr>
                <w:color w:val="auto"/>
                <w:highlight w:val="none"/>
              </w:rPr>
            </w:pPr>
            <w:r>
              <w:rPr>
                <w:color w:val="auto"/>
                <w:highlight w:val="none"/>
              </w:rPr>
              <w:t>CODcr</w:t>
            </w:r>
          </w:p>
        </w:tc>
        <w:tc>
          <w:tcPr>
            <w:tcW w:w="1220" w:type="pct"/>
            <w:vAlign w:val="center"/>
          </w:tcPr>
          <w:p>
            <w:pPr>
              <w:tabs>
                <w:tab w:val="left" w:pos="9795"/>
              </w:tabs>
              <w:adjustRightInd w:val="0"/>
              <w:snapToGrid w:val="0"/>
              <w:jc w:val="center"/>
              <w:rPr>
                <w:rFonts w:hint="default" w:eastAsia="宋体"/>
                <w:color w:val="auto"/>
                <w:szCs w:val="22"/>
                <w:highlight w:val="none"/>
                <w:lang w:val="en-US" w:eastAsia="zh-CN"/>
              </w:rPr>
            </w:pPr>
            <w:r>
              <w:rPr>
                <w:rFonts w:hint="eastAsia"/>
                <w:color w:val="auto"/>
                <w:szCs w:val="22"/>
                <w:highlight w:val="none"/>
                <w:lang w:val="en-US" w:eastAsia="zh-CN"/>
              </w:rPr>
              <w:t>171.3</w:t>
            </w:r>
          </w:p>
        </w:tc>
        <w:tc>
          <w:tcPr>
            <w:tcW w:w="851" w:type="pct"/>
            <w:vAlign w:val="center"/>
          </w:tcPr>
          <w:p>
            <w:pPr>
              <w:adjustRightInd w:val="0"/>
              <w:snapToGrid w:val="0"/>
              <w:jc w:val="center"/>
              <w:rPr>
                <w:rFonts w:hint="default" w:eastAsia="宋体"/>
                <w:color w:val="auto"/>
                <w:highlight w:val="none"/>
                <w:lang w:val="en-US" w:eastAsia="zh-CN"/>
              </w:rPr>
            </w:pPr>
            <w:r>
              <w:rPr>
                <w:rFonts w:hint="eastAsia"/>
                <w:color w:val="auto"/>
                <w:highlight w:val="none"/>
                <w:lang w:val="en-US" w:eastAsia="zh-CN"/>
              </w:rPr>
              <w:t>2.07</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tblHeader/>
          <w:jc w:val="center"/>
        </w:trPr>
        <w:tc>
          <w:tcPr>
            <w:tcW w:w="722" w:type="pct"/>
            <w:vMerge w:val="continue"/>
            <w:vAlign w:val="center"/>
          </w:tcPr>
          <w:p>
            <w:pPr>
              <w:pStyle w:val="77"/>
              <w:ind w:firstLine="0" w:firstLineChars="0"/>
              <w:rPr>
                <w:rStyle w:val="110"/>
                <w:rFonts w:hint="default"/>
                <w:color w:val="auto"/>
                <w:highlight w:val="none"/>
              </w:rPr>
            </w:pPr>
          </w:p>
        </w:tc>
        <w:tc>
          <w:tcPr>
            <w:tcW w:w="836" w:type="pct"/>
            <w:vMerge w:val="continue"/>
            <w:vAlign w:val="center"/>
          </w:tcPr>
          <w:p>
            <w:pPr>
              <w:pStyle w:val="77"/>
              <w:ind w:firstLine="0" w:firstLineChars="0"/>
              <w:rPr>
                <w:rStyle w:val="110"/>
                <w:rFonts w:hint="default"/>
                <w:color w:val="auto"/>
                <w:highlight w:val="none"/>
              </w:rPr>
            </w:pPr>
          </w:p>
        </w:tc>
        <w:tc>
          <w:tcPr>
            <w:tcW w:w="745" w:type="pct"/>
            <w:vMerge w:val="continue"/>
            <w:vAlign w:val="center"/>
          </w:tcPr>
          <w:p>
            <w:pPr>
              <w:pStyle w:val="77"/>
              <w:ind w:firstLine="0" w:firstLineChars="0"/>
              <w:rPr>
                <w:rStyle w:val="110"/>
                <w:rFonts w:hint="default"/>
                <w:color w:val="auto"/>
                <w:highlight w:val="none"/>
              </w:rPr>
            </w:pPr>
          </w:p>
        </w:tc>
        <w:tc>
          <w:tcPr>
            <w:tcW w:w="623" w:type="pct"/>
            <w:vAlign w:val="center"/>
          </w:tcPr>
          <w:p>
            <w:pPr>
              <w:adjustRightInd w:val="0"/>
              <w:snapToGrid w:val="0"/>
              <w:jc w:val="center"/>
              <w:rPr>
                <w:rFonts w:hint="default" w:eastAsia="宋体"/>
                <w:color w:val="auto"/>
                <w:highlight w:val="none"/>
                <w:lang w:val="en-US" w:eastAsia="zh-CN"/>
              </w:rPr>
            </w:pPr>
            <w:r>
              <w:rPr>
                <w:rFonts w:hint="eastAsia"/>
                <w:color w:val="auto"/>
                <w:highlight w:val="none"/>
                <w:lang w:val="en-US" w:eastAsia="zh-CN"/>
              </w:rPr>
              <w:t>BOD</w:t>
            </w:r>
            <w:r>
              <w:rPr>
                <w:rFonts w:hint="eastAsia"/>
                <w:color w:val="auto"/>
                <w:highlight w:val="none"/>
                <w:vertAlign w:val="subscript"/>
                <w:lang w:val="en-US" w:eastAsia="zh-CN"/>
              </w:rPr>
              <w:t>5</w:t>
            </w:r>
          </w:p>
        </w:tc>
        <w:tc>
          <w:tcPr>
            <w:tcW w:w="1220" w:type="pct"/>
            <w:vAlign w:val="center"/>
          </w:tcPr>
          <w:p>
            <w:pPr>
              <w:tabs>
                <w:tab w:val="left" w:pos="9795"/>
              </w:tabs>
              <w:adjustRightInd w:val="0"/>
              <w:snapToGrid w:val="0"/>
              <w:jc w:val="center"/>
              <w:rPr>
                <w:rFonts w:hint="default"/>
                <w:color w:val="auto"/>
                <w:szCs w:val="22"/>
                <w:highlight w:val="none"/>
                <w:lang w:val="en-US" w:eastAsia="zh-CN"/>
              </w:rPr>
            </w:pPr>
            <w:r>
              <w:rPr>
                <w:rFonts w:hint="eastAsia"/>
                <w:color w:val="auto"/>
                <w:szCs w:val="22"/>
                <w:highlight w:val="none"/>
                <w:lang w:val="en-US" w:eastAsia="zh-CN"/>
              </w:rPr>
              <w:t>47.3</w:t>
            </w:r>
          </w:p>
        </w:tc>
        <w:tc>
          <w:tcPr>
            <w:tcW w:w="851" w:type="pct"/>
            <w:vAlign w:val="center"/>
          </w:tcPr>
          <w:p>
            <w:pPr>
              <w:adjustRightInd w:val="0"/>
              <w:snapToGrid w:val="0"/>
              <w:jc w:val="center"/>
              <w:rPr>
                <w:rFonts w:hint="default"/>
                <w:color w:val="auto"/>
                <w:highlight w:val="none"/>
                <w:lang w:val="en-US" w:eastAsia="zh-CN"/>
              </w:rPr>
            </w:pPr>
            <w:r>
              <w:rPr>
                <w:rFonts w:hint="eastAsia"/>
                <w:color w:val="auto"/>
                <w:highlight w:val="none"/>
                <w:lang w:val="en-US" w:eastAsia="zh-CN"/>
              </w:rPr>
              <w:t>0.57</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tblHeader/>
          <w:jc w:val="center"/>
        </w:trPr>
        <w:tc>
          <w:tcPr>
            <w:tcW w:w="722" w:type="pct"/>
            <w:vMerge w:val="continue"/>
            <w:vAlign w:val="center"/>
          </w:tcPr>
          <w:p>
            <w:pPr>
              <w:pStyle w:val="77"/>
              <w:ind w:firstLine="0" w:firstLineChars="0"/>
              <w:rPr>
                <w:rStyle w:val="110"/>
                <w:rFonts w:hint="default"/>
                <w:color w:val="auto"/>
                <w:highlight w:val="none"/>
              </w:rPr>
            </w:pPr>
          </w:p>
        </w:tc>
        <w:tc>
          <w:tcPr>
            <w:tcW w:w="836" w:type="pct"/>
            <w:vMerge w:val="continue"/>
            <w:vAlign w:val="center"/>
          </w:tcPr>
          <w:p>
            <w:pPr>
              <w:pStyle w:val="77"/>
              <w:ind w:firstLine="0" w:firstLineChars="0"/>
              <w:rPr>
                <w:rStyle w:val="110"/>
                <w:rFonts w:hint="default"/>
                <w:color w:val="auto"/>
                <w:highlight w:val="none"/>
              </w:rPr>
            </w:pPr>
          </w:p>
        </w:tc>
        <w:tc>
          <w:tcPr>
            <w:tcW w:w="745" w:type="pct"/>
            <w:vMerge w:val="continue"/>
            <w:vAlign w:val="center"/>
          </w:tcPr>
          <w:p>
            <w:pPr>
              <w:pStyle w:val="77"/>
              <w:ind w:firstLine="0" w:firstLineChars="0"/>
              <w:rPr>
                <w:rStyle w:val="110"/>
                <w:rFonts w:hint="default"/>
                <w:color w:val="auto"/>
                <w:highlight w:val="none"/>
              </w:rPr>
            </w:pPr>
          </w:p>
        </w:tc>
        <w:tc>
          <w:tcPr>
            <w:tcW w:w="623" w:type="pct"/>
            <w:vAlign w:val="center"/>
          </w:tcPr>
          <w:p>
            <w:pPr>
              <w:adjustRightInd w:val="0"/>
              <w:snapToGrid w:val="0"/>
              <w:jc w:val="center"/>
              <w:rPr>
                <w:rFonts w:hint="eastAsia" w:eastAsia="宋体"/>
                <w:color w:val="auto"/>
                <w:highlight w:val="none"/>
                <w:lang w:val="en-US" w:eastAsia="zh-CN"/>
              </w:rPr>
            </w:pPr>
            <w:r>
              <w:rPr>
                <w:rFonts w:hint="eastAsia"/>
                <w:color w:val="auto"/>
                <w:highlight w:val="none"/>
                <w:lang w:val="en-US" w:eastAsia="zh-CN"/>
              </w:rPr>
              <w:t>氨氮</w:t>
            </w:r>
          </w:p>
        </w:tc>
        <w:tc>
          <w:tcPr>
            <w:tcW w:w="1220" w:type="pct"/>
            <w:vAlign w:val="center"/>
          </w:tcPr>
          <w:p>
            <w:pPr>
              <w:tabs>
                <w:tab w:val="left" w:pos="9795"/>
              </w:tabs>
              <w:adjustRightInd w:val="0"/>
              <w:snapToGrid w:val="0"/>
              <w:jc w:val="center"/>
              <w:rPr>
                <w:rFonts w:hint="default"/>
                <w:color w:val="auto"/>
                <w:szCs w:val="22"/>
                <w:highlight w:val="none"/>
                <w:lang w:val="en-US" w:eastAsia="zh-CN"/>
              </w:rPr>
            </w:pPr>
            <w:r>
              <w:rPr>
                <w:rFonts w:hint="eastAsia"/>
                <w:color w:val="auto"/>
                <w:szCs w:val="22"/>
                <w:highlight w:val="none"/>
                <w:lang w:val="en-US" w:eastAsia="zh-CN"/>
              </w:rPr>
              <w:t>18.5</w:t>
            </w:r>
          </w:p>
        </w:tc>
        <w:tc>
          <w:tcPr>
            <w:tcW w:w="851" w:type="pct"/>
            <w:vAlign w:val="center"/>
          </w:tcPr>
          <w:p>
            <w:pPr>
              <w:adjustRightInd w:val="0"/>
              <w:snapToGrid w:val="0"/>
              <w:jc w:val="center"/>
              <w:rPr>
                <w:rFonts w:hint="default"/>
                <w:color w:val="auto"/>
                <w:highlight w:val="none"/>
                <w:lang w:val="en-US" w:eastAsia="zh-CN"/>
              </w:rPr>
            </w:pPr>
            <w:r>
              <w:rPr>
                <w:rFonts w:hint="eastAsia"/>
                <w:color w:val="auto"/>
                <w:highlight w:val="none"/>
                <w:lang w:val="en-US" w:eastAsia="zh-CN"/>
              </w:rPr>
              <w:t>0.22</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tblHeader/>
          <w:jc w:val="center"/>
        </w:trPr>
        <w:tc>
          <w:tcPr>
            <w:tcW w:w="722" w:type="pct"/>
            <w:vMerge w:val="continue"/>
            <w:vAlign w:val="center"/>
          </w:tcPr>
          <w:p>
            <w:pPr>
              <w:pStyle w:val="77"/>
              <w:ind w:firstLine="0" w:firstLineChars="0"/>
              <w:rPr>
                <w:rStyle w:val="110"/>
                <w:rFonts w:hint="default"/>
                <w:color w:val="auto"/>
                <w:highlight w:val="none"/>
              </w:rPr>
            </w:pPr>
          </w:p>
        </w:tc>
        <w:tc>
          <w:tcPr>
            <w:tcW w:w="836" w:type="pct"/>
            <w:vMerge w:val="continue"/>
            <w:vAlign w:val="center"/>
          </w:tcPr>
          <w:p>
            <w:pPr>
              <w:pStyle w:val="77"/>
              <w:ind w:firstLine="0" w:firstLineChars="0"/>
              <w:rPr>
                <w:rStyle w:val="110"/>
                <w:rFonts w:hint="default"/>
                <w:color w:val="auto"/>
                <w:highlight w:val="none"/>
              </w:rPr>
            </w:pPr>
          </w:p>
        </w:tc>
        <w:tc>
          <w:tcPr>
            <w:tcW w:w="745" w:type="pct"/>
            <w:vMerge w:val="continue"/>
            <w:vAlign w:val="center"/>
          </w:tcPr>
          <w:p>
            <w:pPr>
              <w:pStyle w:val="77"/>
              <w:ind w:firstLine="0" w:firstLineChars="0"/>
              <w:rPr>
                <w:rStyle w:val="110"/>
                <w:rFonts w:hint="default"/>
                <w:color w:val="auto"/>
                <w:highlight w:val="none"/>
              </w:rPr>
            </w:pPr>
          </w:p>
        </w:tc>
        <w:tc>
          <w:tcPr>
            <w:tcW w:w="623" w:type="pct"/>
            <w:vAlign w:val="center"/>
          </w:tcPr>
          <w:p>
            <w:pPr>
              <w:jc w:val="center"/>
              <w:rPr>
                <w:rFonts w:hint="eastAsia"/>
                <w:color w:val="auto"/>
                <w:highlight w:val="none"/>
                <w:lang w:val="en-US" w:eastAsia="zh-CN"/>
              </w:rPr>
            </w:pPr>
            <w:r>
              <w:rPr>
                <w:rFonts w:hint="eastAsia"/>
                <w:color w:val="auto"/>
                <w:szCs w:val="21"/>
                <w:highlight w:val="none"/>
                <w:lang w:val="en-US" w:eastAsia="zh-CN"/>
              </w:rPr>
              <w:t>总氮</w:t>
            </w:r>
          </w:p>
        </w:tc>
        <w:tc>
          <w:tcPr>
            <w:tcW w:w="1220" w:type="pct"/>
            <w:vAlign w:val="center"/>
          </w:tcPr>
          <w:p>
            <w:pPr>
              <w:tabs>
                <w:tab w:val="left" w:pos="9795"/>
              </w:tabs>
              <w:adjustRightInd w:val="0"/>
              <w:snapToGrid w:val="0"/>
              <w:jc w:val="center"/>
              <w:rPr>
                <w:rFonts w:hint="default"/>
                <w:color w:val="auto"/>
                <w:szCs w:val="22"/>
                <w:highlight w:val="none"/>
                <w:lang w:val="en-US" w:eastAsia="zh-CN"/>
              </w:rPr>
            </w:pPr>
            <w:r>
              <w:rPr>
                <w:rFonts w:hint="eastAsia"/>
                <w:color w:val="auto"/>
                <w:szCs w:val="22"/>
                <w:highlight w:val="none"/>
                <w:lang w:val="en-US" w:eastAsia="zh-CN"/>
              </w:rPr>
              <w:t>36.1</w:t>
            </w:r>
          </w:p>
        </w:tc>
        <w:tc>
          <w:tcPr>
            <w:tcW w:w="851" w:type="pct"/>
            <w:vAlign w:val="center"/>
          </w:tcPr>
          <w:p>
            <w:pPr>
              <w:adjustRightInd w:val="0"/>
              <w:snapToGrid w:val="0"/>
              <w:jc w:val="center"/>
              <w:rPr>
                <w:rFonts w:hint="default"/>
                <w:color w:val="auto"/>
                <w:highlight w:val="none"/>
                <w:lang w:val="en-US" w:eastAsia="zh-CN"/>
              </w:rPr>
            </w:pPr>
            <w:r>
              <w:rPr>
                <w:rFonts w:hint="eastAsia"/>
                <w:color w:val="auto"/>
                <w:highlight w:val="none"/>
                <w:lang w:val="en-US" w:eastAsia="zh-CN"/>
              </w:rPr>
              <w:t>0.44</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tblHeader/>
          <w:jc w:val="center"/>
        </w:trPr>
        <w:tc>
          <w:tcPr>
            <w:tcW w:w="722" w:type="pct"/>
            <w:vMerge w:val="continue"/>
            <w:vAlign w:val="center"/>
          </w:tcPr>
          <w:p>
            <w:pPr>
              <w:pStyle w:val="77"/>
              <w:ind w:firstLine="0" w:firstLineChars="0"/>
              <w:rPr>
                <w:rStyle w:val="110"/>
                <w:rFonts w:hint="default"/>
                <w:color w:val="auto"/>
                <w:highlight w:val="none"/>
              </w:rPr>
            </w:pPr>
          </w:p>
        </w:tc>
        <w:tc>
          <w:tcPr>
            <w:tcW w:w="836" w:type="pct"/>
            <w:vMerge w:val="continue"/>
            <w:vAlign w:val="center"/>
          </w:tcPr>
          <w:p>
            <w:pPr>
              <w:pStyle w:val="77"/>
              <w:ind w:firstLine="0" w:firstLineChars="0"/>
              <w:rPr>
                <w:rStyle w:val="110"/>
                <w:rFonts w:hint="default"/>
                <w:color w:val="auto"/>
                <w:highlight w:val="none"/>
              </w:rPr>
            </w:pPr>
          </w:p>
        </w:tc>
        <w:tc>
          <w:tcPr>
            <w:tcW w:w="745" w:type="pct"/>
            <w:vMerge w:val="continue"/>
            <w:vAlign w:val="center"/>
          </w:tcPr>
          <w:p>
            <w:pPr>
              <w:pStyle w:val="77"/>
              <w:ind w:firstLine="0" w:firstLineChars="0"/>
              <w:rPr>
                <w:rStyle w:val="110"/>
                <w:rFonts w:hint="default"/>
                <w:color w:val="auto"/>
                <w:highlight w:val="none"/>
              </w:rPr>
            </w:pPr>
          </w:p>
        </w:tc>
        <w:tc>
          <w:tcPr>
            <w:tcW w:w="623" w:type="pct"/>
            <w:vAlign w:val="center"/>
          </w:tcPr>
          <w:p>
            <w:pPr>
              <w:jc w:val="center"/>
              <w:rPr>
                <w:rFonts w:hint="eastAsia"/>
                <w:color w:val="auto"/>
                <w:highlight w:val="none"/>
                <w:lang w:val="en-US" w:eastAsia="zh-CN"/>
              </w:rPr>
            </w:pPr>
            <w:r>
              <w:rPr>
                <w:rFonts w:hint="eastAsia"/>
                <w:color w:val="auto"/>
                <w:szCs w:val="21"/>
                <w:highlight w:val="none"/>
                <w:lang w:val="en-US" w:eastAsia="zh-CN"/>
              </w:rPr>
              <w:t>总磷</w:t>
            </w:r>
          </w:p>
        </w:tc>
        <w:tc>
          <w:tcPr>
            <w:tcW w:w="1220" w:type="pct"/>
            <w:vAlign w:val="center"/>
          </w:tcPr>
          <w:p>
            <w:pPr>
              <w:tabs>
                <w:tab w:val="left" w:pos="9795"/>
              </w:tabs>
              <w:adjustRightInd w:val="0"/>
              <w:snapToGrid w:val="0"/>
              <w:jc w:val="center"/>
              <w:rPr>
                <w:rFonts w:hint="default"/>
                <w:color w:val="auto"/>
                <w:szCs w:val="22"/>
                <w:highlight w:val="none"/>
                <w:lang w:val="en-US" w:eastAsia="zh-CN"/>
              </w:rPr>
            </w:pPr>
            <w:r>
              <w:rPr>
                <w:rFonts w:hint="eastAsia"/>
                <w:color w:val="auto"/>
                <w:szCs w:val="22"/>
                <w:highlight w:val="none"/>
                <w:lang w:val="en-US" w:eastAsia="zh-CN"/>
              </w:rPr>
              <w:t>3.6</w:t>
            </w:r>
          </w:p>
        </w:tc>
        <w:tc>
          <w:tcPr>
            <w:tcW w:w="851" w:type="pct"/>
            <w:vAlign w:val="center"/>
          </w:tcPr>
          <w:p>
            <w:pPr>
              <w:adjustRightInd w:val="0"/>
              <w:snapToGrid w:val="0"/>
              <w:jc w:val="center"/>
              <w:rPr>
                <w:rFonts w:hint="default"/>
                <w:color w:val="auto"/>
                <w:highlight w:val="none"/>
                <w:lang w:val="en-US" w:eastAsia="zh-CN"/>
              </w:rPr>
            </w:pPr>
            <w:r>
              <w:rPr>
                <w:rFonts w:hint="eastAsia"/>
                <w:color w:val="auto"/>
                <w:highlight w:val="none"/>
                <w:lang w:val="en-US" w:eastAsia="zh-CN"/>
              </w:rPr>
              <w:t>0.043</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tblHeader/>
          <w:jc w:val="center"/>
        </w:trPr>
        <w:tc>
          <w:tcPr>
            <w:tcW w:w="722" w:type="pct"/>
            <w:vMerge w:val="continue"/>
            <w:vAlign w:val="center"/>
          </w:tcPr>
          <w:p>
            <w:pPr>
              <w:pStyle w:val="77"/>
              <w:ind w:firstLine="0" w:firstLineChars="0"/>
              <w:rPr>
                <w:rStyle w:val="110"/>
                <w:rFonts w:hint="default"/>
                <w:color w:val="auto"/>
                <w:highlight w:val="none"/>
              </w:rPr>
            </w:pPr>
          </w:p>
        </w:tc>
        <w:tc>
          <w:tcPr>
            <w:tcW w:w="836" w:type="pct"/>
            <w:vMerge w:val="continue"/>
            <w:vAlign w:val="center"/>
          </w:tcPr>
          <w:p>
            <w:pPr>
              <w:pStyle w:val="77"/>
              <w:ind w:firstLine="0" w:firstLineChars="0"/>
              <w:rPr>
                <w:rStyle w:val="110"/>
                <w:rFonts w:hint="default"/>
                <w:color w:val="auto"/>
                <w:highlight w:val="none"/>
              </w:rPr>
            </w:pPr>
          </w:p>
        </w:tc>
        <w:tc>
          <w:tcPr>
            <w:tcW w:w="745" w:type="pct"/>
            <w:vMerge w:val="continue"/>
            <w:vAlign w:val="center"/>
          </w:tcPr>
          <w:p>
            <w:pPr>
              <w:pStyle w:val="77"/>
              <w:ind w:firstLine="0" w:firstLineChars="0"/>
              <w:rPr>
                <w:rStyle w:val="110"/>
                <w:rFonts w:hint="default"/>
                <w:color w:val="auto"/>
                <w:highlight w:val="none"/>
              </w:rPr>
            </w:pPr>
          </w:p>
        </w:tc>
        <w:tc>
          <w:tcPr>
            <w:tcW w:w="623" w:type="pct"/>
            <w:vAlign w:val="center"/>
          </w:tcPr>
          <w:p>
            <w:pPr>
              <w:jc w:val="center"/>
              <w:rPr>
                <w:rFonts w:hint="default"/>
                <w:color w:val="auto"/>
                <w:highlight w:val="none"/>
                <w:lang w:val="en-US" w:eastAsia="zh-CN"/>
              </w:rPr>
            </w:pPr>
            <w:r>
              <w:rPr>
                <w:rFonts w:hint="eastAsia"/>
                <w:color w:val="auto"/>
                <w:szCs w:val="21"/>
                <w:highlight w:val="none"/>
                <w:lang w:val="en-US" w:eastAsia="zh-CN"/>
              </w:rPr>
              <w:t>SS</w:t>
            </w:r>
          </w:p>
        </w:tc>
        <w:tc>
          <w:tcPr>
            <w:tcW w:w="1220" w:type="pct"/>
            <w:vAlign w:val="center"/>
          </w:tcPr>
          <w:p>
            <w:pPr>
              <w:tabs>
                <w:tab w:val="left" w:pos="9795"/>
              </w:tabs>
              <w:adjustRightInd w:val="0"/>
              <w:snapToGrid w:val="0"/>
              <w:jc w:val="center"/>
              <w:rPr>
                <w:rFonts w:hint="default"/>
                <w:color w:val="auto"/>
                <w:szCs w:val="22"/>
                <w:highlight w:val="none"/>
                <w:lang w:val="en-US" w:eastAsia="zh-CN"/>
              </w:rPr>
            </w:pPr>
            <w:r>
              <w:rPr>
                <w:rFonts w:hint="eastAsia"/>
                <w:color w:val="auto"/>
                <w:szCs w:val="22"/>
                <w:highlight w:val="none"/>
                <w:lang w:val="en-US" w:eastAsia="zh-CN"/>
              </w:rPr>
              <w:t>136</w:t>
            </w:r>
          </w:p>
        </w:tc>
        <w:tc>
          <w:tcPr>
            <w:tcW w:w="851" w:type="pct"/>
            <w:vAlign w:val="center"/>
          </w:tcPr>
          <w:p>
            <w:pPr>
              <w:adjustRightInd w:val="0"/>
              <w:snapToGrid w:val="0"/>
              <w:jc w:val="center"/>
              <w:rPr>
                <w:rFonts w:hint="default"/>
                <w:color w:val="auto"/>
                <w:highlight w:val="none"/>
                <w:lang w:val="en-US" w:eastAsia="zh-CN"/>
              </w:rPr>
            </w:pPr>
            <w:r>
              <w:rPr>
                <w:rFonts w:hint="eastAsia"/>
                <w:color w:val="auto"/>
                <w:highlight w:val="none"/>
                <w:lang w:val="en-US" w:eastAsia="zh-CN"/>
              </w:rPr>
              <w:t>1.64</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tblHeader/>
          <w:jc w:val="center"/>
        </w:trPr>
        <w:tc>
          <w:tcPr>
            <w:tcW w:w="722" w:type="pct"/>
            <w:vMerge w:val="continue"/>
            <w:vAlign w:val="center"/>
          </w:tcPr>
          <w:p>
            <w:pPr>
              <w:pStyle w:val="77"/>
              <w:ind w:firstLine="0" w:firstLineChars="0"/>
              <w:rPr>
                <w:rStyle w:val="110"/>
                <w:rFonts w:hint="default"/>
                <w:color w:val="auto"/>
                <w:highlight w:val="none"/>
              </w:rPr>
            </w:pPr>
          </w:p>
        </w:tc>
        <w:tc>
          <w:tcPr>
            <w:tcW w:w="836" w:type="pct"/>
            <w:vMerge w:val="continue"/>
            <w:vAlign w:val="center"/>
          </w:tcPr>
          <w:p>
            <w:pPr>
              <w:pStyle w:val="77"/>
              <w:ind w:firstLine="0" w:firstLineChars="0"/>
              <w:rPr>
                <w:rStyle w:val="110"/>
                <w:rFonts w:hint="default"/>
                <w:color w:val="auto"/>
                <w:highlight w:val="none"/>
              </w:rPr>
            </w:pPr>
          </w:p>
        </w:tc>
        <w:tc>
          <w:tcPr>
            <w:tcW w:w="745" w:type="pct"/>
            <w:vMerge w:val="continue"/>
            <w:vAlign w:val="center"/>
          </w:tcPr>
          <w:p>
            <w:pPr>
              <w:pStyle w:val="77"/>
              <w:ind w:firstLine="0" w:firstLineChars="0"/>
              <w:rPr>
                <w:rStyle w:val="110"/>
                <w:rFonts w:hint="default"/>
                <w:color w:val="auto"/>
                <w:highlight w:val="none"/>
              </w:rPr>
            </w:pPr>
          </w:p>
        </w:tc>
        <w:tc>
          <w:tcPr>
            <w:tcW w:w="623" w:type="pct"/>
            <w:vAlign w:val="center"/>
          </w:tcPr>
          <w:p>
            <w:pPr>
              <w:adjustRightInd w:val="0"/>
              <w:snapToGrid w:val="0"/>
              <w:jc w:val="center"/>
              <w:rPr>
                <w:rFonts w:hint="eastAsia"/>
                <w:color w:val="auto"/>
                <w:highlight w:val="none"/>
                <w:lang w:val="en-US" w:eastAsia="zh-CN"/>
              </w:rPr>
            </w:pPr>
            <w:r>
              <w:rPr>
                <w:rFonts w:hint="eastAsia"/>
                <w:color w:val="auto"/>
                <w:szCs w:val="21"/>
                <w:highlight w:val="none"/>
                <w:lang w:val="en-US" w:eastAsia="zh-CN"/>
              </w:rPr>
              <w:t>石油类</w:t>
            </w:r>
          </w:p>
        </w:tc>
        <w:tc>
          <w:tcPr>
            <w:tcW w:w="1220" w:type="pct"/>
            <w:vAlign w:val="center"/>
          </w:tcPr>
          <w:p>
            <w:pPr>
              <w:tabs>
                <w:tab w:val="left" w:pos="9795"/>
              </w:tabs>
              <w:adjustRightInd w:val="0"/>
              <w:snapToGrid w:val="0"/>
              <w:jc w:val="center"/>
              <w:rPr>
                <w:rFonts w:hint="default"/>
                <w:color w:val="auto"/>
                <w:szCs w:val="22"/>
                <w:highlight w:val="none"/>
                <w:lang w:val="en-US" w:eastAsia="zh-CN"/>
              </w:rPr>
            </w:pPr>
            <w:r>
              <w:rPr>
                <w:rFonts w:hint="eastAsia"/>
                <w:color w:val="auto"/>
                <w:szCs w:val="22"/>
                <w:highlight w:val="none"/>
                <w:lang w:val="en-US" w:eastAsia="zh-CN"/>
              </w:rPr>
              <w:t>5.4</w:t>
            </w:r>
          </w:p>
        </w:tc>
        <w:tc>
          <w:tcPr>
            <w:tcW w:w="851" w:type="pct"/>
            <w:vAlign w:val="center"/>
          </w:tcPr>
          <w:p>
            <w:pPr>
              <w:adjustRightInd w:val="0"/>
              <w:snapToGrid w:val="0"/>
              <w:jc w:val="center"/>
              <w:rPr>
                <w:rFonts w:hint="default"/>
                <w:color w:val="auto"/>
                <w:highlight w:val="none"/>
                <w:lang w:val="en-US" w:eastAsia="zh-CN"/>
              </w:rPr>
            </w:pPr>
            <w:r>
              <w:rPr>
                <w:rFonts w:hint="eastAsia"/>
                <w:color w:val="auto"/>
                <w:highlight w:val="none"/>
                <w:lang w:val="en-US" w:eastAsia="zh-CN"/>
              </w:rPr>
              <w:t>0.065</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tblHeader/>
          <w:jc w:val="center"/>
        </w:trPr>
        <w:tc>
          <w:tcPr>
            <w:tcW w:w="722" w:type="pct"/>
            <w:vMerge w:val="continue"/>
            <w:vAlign w:val="center"/>
          </w:tcPr>
          <w:p>
            <w:pPr>
              <w:pStyle w:val="77"/>
              <w:ind w:firstLine="0" w:firstLineChars="0"/>
              <w:rPr>
                <w:color w:val="auto"/>
                <w:highlight w:val="none"/>
              </w:rPr>
            </w:pPr>
          </w:p>
        </w:tc>
        <w:tc>
          <w:tcPr>
            <w:tcW w:w="836" w:type="pct"/>
            <w:vMerge w:val="continue"/>
            <w:vAlign w:val="center"/>
          </w:tcPr>
          <w:p>
            <w:pPr>
              <w:pStyle w:val="77"/>
              <w:ind w:firstLine="0" w:firstLineChars="0"/>
              <w:rPr>
                <w:color w:val="auto"/>
                <w:highlight w:val="none"/>
              </w:rPr>
            </w:pPr>
          </w:p>
        </w:tc>
        <w:tc>
          <w:tcPr>
            <w:tcW w:w="745" w:type="pct"/>
            <w:vMerge w:val="continue"/>
            <w:vAlign w:val="center"/>
          </w:tcPr>
          <w:p>
            <w:pPr>
              <w:pStyle w:val="77"/>
              <w:ind w:firstLine="0" w:firstLineChars="0"/>
              <w:rPr>
                <w:color w:val="auto"/>
                <w:highlight w:val="none"/>
              </w:rPr>
            </w:pPr>
          </w:p>
        </w:tc>
        <w:tc>
          <w:tcPr>
            <w:tcW w:w="623" w:type="pct"/>
            <w:vAlign w:val="center"/>
          </w:tcPr>
          <w:p>
            <w:pPr>
              <w:adjustRightInd w:val="0"/>
              <w:snapToGrid w:val="0"/>
              <w:jc w:val="center"/>
              <w:rPr>
                <w:rFonts w:hint="eastAsia" w:eastAsia="宋体"/>
                <w:color w:val="auto"/>
                <w:highlight w:val="none"/>
                <w:lang w:val="en-US" w:eastAsia="zh-CN"/>
              </w:rPr>
            </w:pPr>
            <w:r>
              <w:rPr>
                <w:rFonts w:hint="eastAsia"/>
                <w:color w:val="auto"/>
                <w:highlight w:val="none"/>
                <w:lang w:val="en-US" w:eastAsia="zh-CN"/>
              </w:rPr>
              <w:t>总锌</w:t>
            </w:r>
          </w:p>
        </w:tc>
        <w:tc>
          <w:tcPr>
            <w:tcW w:w="1220" w:type="pct"/>
            <w:vAlign w:val="center"/>
          </w:tcPr>
          <w:p>
            <w:pPr>
              <w:tabs>
                <w:tab w:val="left" w:pos="9795"/>
              </w:tabs>
              <w:adjustRightInd w:val="0"/>
              <w:snapToGrid w:val="0"/>
              <w:jc w:val="center"/>
              <w:rPr>
                <w:rFonts w:hint="default" w:eastAsia="宋体"/>
                <w:color w:val="auto"/>
                <w:szCs w:val="22"/>
                <w:highlight w:val="none"/>
                <w:lang w:val="en-US" w:eastAsia="zh-CN"/>
              </w:rPr>
            </w:pPr>
            <w:r>
              <w:rPr>
                <w:rFonts w:hint="eastAsia"/>
                <w:color w:val="auto"/>
                <w:szCs w:val="22"/>
                <w:highlight w:val="none"/>
                <w:lang w:val="en-US" w:eastAsia="zh-CN"/>
              </w:rPr>
              <w:t>0.24</w:t>
            </w:r>
          </w:p>
        </w:tc>
        <w:tc>
          <w:tcPr>
            <w:tcW w:w="851" w:type="pct"/>
            <w:vAlign w:val="center"/>
          </w:tcPr>
          <w:p>
            <w:pPr>
              <w:adjustRightInd w:val="0"/>
              <w:snapToGrid w:val="0"/>
              <w:jc w:val="center"/>
              <w:rPr>
                <w:rFonts w:hint="default" w:eastAsia="宋体"/>
                <w:color w:val="auto"/>
                <w:highlight w:val="none"/>
                <w:lang w:val="en-US" w:eastAsia="zh-CN"/>
              </w:rPr>
            </w:pPr>
            <w:r>
              <w:rPr>
                <w:rFonts w:hint="eastAsia"/>
                <w:color w:val="auto"/>
                <w:highlight w:val="none"/>
              </w:rPr>
              <w:t>0.</w:t>
            </w:r>
            <w:r>
              <w:rPr>
                <w:rFonts w:hint="eastAsia"/>
                <w:color w:val="auto"/>
                <w:highlight w:val="none"/>
                <w:lang w:val="en-US" w:eastAsia="zh-CN"/>
              </w:rPr>
              <w:t>003</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tblHeader/>
          <w:jc w:val="center"/>
        </w:trPr>
        <w:tc>
          <w:tcPr>
            <w:tcW w:w="722" w:type="pct"/>
            <w:vMerge w:val="continue"/>
            <w:vAlign w:val="center"/>
          </w:tcPr>
          <w:p>
            <w:pPr>
              <w:pStyle w:val="77"/>
              <w:ind w:firstLine="0" w:firstLineChars="0"/>
              <w:rPr>
                <w:color w:val="auto"/>
                <w:highlight w:val="none"/>
              </w:rPr>
            </w:pPr>
          </w:p>
        </w:tc>
        <w:tc>
          <w:tcPr>
            <w:tcW w:w="836" w:type="pct"/>
            <w:vMerge w:val="continue"/>
            <w:vAlign w:val="center"/>
          </w:tcPr>
          <w:p>
            <w:pPr>
              <w:pStyle w:val="77"/>
              <w:ind w:firstLine="0" w:firstLineChars="0"/>
              <w:rPr>
                <w:color w:val="auto"/>
                <w:highlight w:val="none"/>
              </w:rPr>
            </w:pPr>
          </w:p>
        </w:tc>
        <w:tc>
          <w:tcPr>
            <w:tcW w:w="745" w:type="pct"/>
            <w:vMerge w:val="continue"/>
            <w:vAlign w:val="center"/>
          </w:tcPr>
          <w:p>
            <w:pPr>
              <w:pStyle w:val="77"/>
              <w:ind w:firstLine="0" w:firstLineChars="0"/>
              <w:rPr>
                <w:color w:val="auto"/>
                <w:highlight w:val="none"/>
              </w:rPr>
            </w:pPr>
          </w:p>
        </w:tc>
        <w:tc>
          <w:tcPr>
            <w:tcW w:w="623" w:type="pct"/>
            <w:vAlign w:val="center"/>
          </w:tcPr>
          <w:p>
            <w:pPr>
              <w:adjustRightInd w:val="0"/>
              <w:snapToGrid w:val="0"/>
              <w:jc w:val="center"/>
              <w:rPr>
                <w:rFonts w:hint="eastAsia" w:eastAsia="宋体"/>
                <w:color w:val="auto"/>
                <w:highlight w:val="none"/>
                <w:lang w:val="en-US" w:eastAsia="zh-CN"/>
              </w:rPr>
            </w:pPr>
            <w:r>
              <w:rPr>
                <w:rFonts w:hint="eastAsia"/>
                <w:color w:val="auto"/>
                <w:highlight w:val="none"/>
              </w:rPr>
              <w:t>总</w:t>
            </w:r>
            <w:r>
              <w:rPr>
                <w:rFonts w:hint="eastAsia"/>
                <w:color w:val="auto"/>
                <w:highlight w:val="none"/>
                <w:lang w:val="en-US" w:eastAsia="zh-CN"/>
              </w:rPr>
              <w:t>铜</w:t>
            </w:r>
          </w:p>
        </w:tc>
        <w:tc>
          <w:tcPr>
            <w:tcW w:w="1220" w:type="pct"/>
            <w:vAlign w:val="center"/>
          </w:tcPr>
          <w:p>
            <w:pPr>
              <w:tabs>
                <w:tab w:val="left" w:pos="9795"/>
              </w:tabs>
              <w:adjustRightInd w:val="0"/>
              <w:snapToGrid w:val="0"/>
              <w:jc w:val="center"/>
              <w:rPr>
                <w:rFonts w:hint="default" w:eastAsia="宋体"/>
                <w:color w:val="auto"/>
                <w:szCs w:val="22"/>
                <w:highlight w:val="none"/>
                <w:lang w:val="en-US" w:eastAsia="zh-CN"/>
              </w:rPr>
            </w:pPr>
            <w:r>
              <w:rPr>
                <w:rFonts w:hint="eastAsia"/>
                <w:color w:val="auto"/>
                <w:szCs w:val="22"/>
                <w:highlight w:val="none"/>
                <w:lang w:val="en-US" w:eastAsia="zh-CN"/>
              </w:rPr>
              <w:t>0.11</w:t>
            </w:r>
          </w:p>
        </w:tc>
        <w:tc>
          <w:tcPr>
            <w:tcW w:w="851" w:type="pct"/>
            <w:vAlign w:val="center"/>
          </w:tcPr>
          <w:p>
            <w:pPr>
              <w:adjustRightInd w:val="0"/>
              <w:snapToGrid w:val="0"/>
              <w:jc w:val="center"/>
              <w:rPr>
                <w:rFonts w:hint="default" w:eastAsia="宋体"/>
                <w:color w:val="auto"/>
                <w:highlight w:val="none"/>
                <w:lang w:val="en-US" w:eastAsia="zh-CN"/>
              </w:rPr>
            </w:pPr>
            <w:r>
              <w:rPr>
                <w:rFonts w:hint="eastAsia"/>
                <w:color w:val="auto"/>
                <w:highlight w:val="none"/>
              </w:rPr>
              <w:t>0.0</w:t>
            </w:r>
            <w:r>
              <w:rPr>
                <w:rFonts w:hint="eastAsia"/>
                <w:color w:val="auto"/>
                <w:highlight w:val="none"/>
                <w:lang w:val="en-US" w:eastAsia="zh-CN"/>
              </w:rPr>
              <w:t>01</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tblHeader/>
          <w:jc w:val="center"/>
        </w:trPr>
        <w:tc>
          <w:tcPr>
            <w:tcW w:w="722" w:type="pct"/>
            <w:vMerge w:val="restart"/>
            <w:vAlign w:val="center"/>
          </w:tcPr>
          <w:p>
            <w:pPr>
              <w:pStyle w:val="77"/>
              <w:ind w:firstLine="0" w:firstLineChars="0"/>
              <w:rPr>
                <w:rFonts w:hint="default" w:eastAsia="宋体"/>
                <w:color w:val="auto"/>
                <w:highlight w:val="none"/>
                <w:lang w:val="en-US" w:eastAsia="zh-CN"/>
              </w:rPr>
            </w:pPr>
            <w:r>
              <w:rPr>
                <w:rFonts w:hint="eastAsia"/>
                <w:color w:val="auto"/>
                <w:highlight w:val="none"/>
                <w:lang w:val="en-US" w:eastAsia="zh-CN"/>
              </w:rPr>
              <w:t>生产废水</w:t>
            </w:r>
          </w:p>
        </w:tc>
        <w:tc>
          <w:tcPr>
            <w:tcW w:w="836" w:type="pct"/>
            <w:vMerge w:val="restart"/>
            <w:vAlign w:val="center"/>
          </w:tcPr>
          <w:p>
            <w:pPr>
              <w:pStyle w:val="77"/>
              <w:ind w:firstLine="0" w:firstLineChars="0"/>
              <w:rPr>
                <w:color w:val="auto"/>
                <w:highlight w:val="none"/>
              </w:rPr>
            </w:pPr>
            <w:r>
              <w:rPr>
                <w:rFonts w:hint="eastAsia"/>
                <w:color w:val="auto"/>
                <w:szCs w:val="21"/>
                <w:highlight w:val="none"/>
                <w:lang w:val="en-US" w:eastAsia="zh-CN"/>
              </w:rPr>
              <w:t>综合污水处理站排污口</w:t>
            </w:r>
          </w:p>
        </w:tc>
        <w:tc>
          <w:tcPr>
            <w:tcW w:w="745" w:type="pct"/>
            <w:vMerge w:val="continue"/>
            <w:vAlign w:val="center"/>
          </w:tcPr>
          <w:p>
            <w:pPr>
              <w:pStyle w:val="77"/>
              <w:ind w:firstLine="0" w:firstLineChars="0"/>
              <w:rPr>
                <w:color w:val="auto"/>
                <w:highlight w:val="none"/>
              </w:rPr>
            </w:pPr>
          </w:p>
        </w:tc>
        <w:tc>
          <w:tcPr>
            <w:tcW w:w="623" w:type="pct"/>
            <w:vAlign w:val="center"/>
          </w:tcPr>
          <w:p>
            <w:pPr>
              <w:adjustRightInd w:val="0"/>
              <w:snapToGrid w:val="0"/>
              <w:jc w:val="center"/>
              <w:rPr>
                <w:rFonts w:hint="eastAsia" w:eastAsia="宋体"/>
                <w:color w:val="auto"/>
                <w:highlight w:val="none"/>
                <w:lang w:eastAsia="zh-CN"/>
              </w:rPr>
            </w:pPr>
            <w:r>
              <w:rPr>
                <w:rFonts w:hint="eastAsia"/>
                <w:color w:val="auto"/>
                <w:highlight w:val="none"/>
                <w:lang w:eastAsia="zh-CN"/>
              </w:rPr>
              <w:t>总银</w:t>
            </w:r>
          </w:p>
        </w:tc>
        <w:tc>
          <w:tcPr>
            <w:tcW w:w="2252" w:type="dxa"/>
            <w:vAlign w:val="center"/>
          </w:tcPr>
          <w:p>
            <w:pPr>
              <w:tabs>
                <w:tab w:val="left" w:pos="9795"/>
              </w:tabs>
              <w:adjustRightInd w:val="0"/>
              <w:snapToGrid w:val="0"/>
              <w:jc w:val="center"/>
              <w:rPr>
                <w:rFonts w:hint="default"/>
                <w:color w:val="auto"/>
                <w:szCs w:val="22"/>
                <w:highlight w:val="none"/>
                <w:lang w:val="en-US" w:eastAsia="zh-CN"/>
              </w:rPr>
            </w:pPr>
            <w:r>
              <w:rPr>
                <w:rFonts w:hint="eastAsia"/>
                <w:color w:val="auto"/>
                <w:szCs w:val="22"/>
                <w:highlight w:val="none"/>
                <w:lang w:val="en-US" w:eastAsia="zh-CN"/>
              </w:rPr>
              <w:t>0.3</w:t>
            </w:r>
          </w:p>
        </w:tc>
        <w:tc>
          <w:tcPr>
            <w:tcW w:w="851" w:type="pct"/>
            <w:vAlign w:val="center"/>
          </w:tcPr>
          <w:p>
            <w:pPr>
              <w:adjustRightInd w:val="0"/>
              <w:snapToGrid w:val="0"/>
              <w:jc w:val="center"/>
              <w:rPr>
                <w:rFonts w:hint="default"/>
                <w:color w:val="auto"/>
                <w:highlight w:val="none"/>
                <w:lang w:val="en-US" w:eastAsia="zh-CN"/>
              </w:rPr>
            </w:pPr>
            <w:r>
              <w:rPr>
                <w:rFonts w:hint="eastAsia"/>
                <w:color w:val="auto"/>
                <w:highlight w:val="none"/>
                <w:lang w:val="en-US" w:eastAsia="zh-CN"/>
              </w:rPr>
              <w:t>0.0029</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tblHeader/>
          <w:jc w:val="center"/>
        </w:trPr>
        <w:tc>
          <w:tcPr>
            <w:tcW w:w="722" w:type="pct"/>
            <w:vMerge w:val="continue"/>
            <w:vAlign w:val="center"/>
          </w:tcPr>
          <w:p>
            <w:pPr>
              <w:pStyle w:val="77"/>
              <w:ind w:firstLine="0" w:firstLineChars="0"/>
              <w:rPr>
                <w:color w:val="auto"/>
                <w:highlight w:val="none"/>
              </w:rPr>
            </w:pPr>
          </w:p>
        </w:tc>
        <w:tc>
          <w:tcPr>
            <w:tcW w:w="836" w:type="pct"/>
            <w:vMerge w:val="continue"/>
            <w:vAlign w:val="center"/>
          </w:tcPr>
          <w:p>
            <w:pPr>
              <w:pStyle w:val="77"/>
              <w:ind w:firstLine="0" w:firstLineChars="0"/>
              <w:rPr>
                <w:color w:val="auto"/>
                <w:highlight w:val="none"/>
              </w:rPr>
            </w:pPr>
          </w:p>
        </w:tc>
        <w:tc>
          <w:tcPr>
            <w:tcW w:w="745" w:type="pct"/>
            <w:vMerge w:val="continue"/>
            <w:vAlign w:val="center"/>
          </w:tcPr>
          <w:p>
            <w:pPr>
              <w:pStyle w:val="77"/>
              <w:ind w:firstLine="0" w:firstLineChars="0"/>
              <w:rPr>
                <w:color w:val="auto"/>
                <w:highlight w:val="none"/>
              </w:rPr>
            </w:pPr>
          </w:p>
        </w:tc>
        <w:tc>
          <w:tcPr>
            <w:tcW w:w="623" w:type="pct"/>
            <w:vAlign w:val="center"/>
          </w:tcPr>
          <w:p>
            <w:pPr>
              <w:adjustRightInd w:val="0"/>
              <w:snapToGrid w:val="0"/>
              <w:jc w:val="center"/>
              <w:rPr>
                <w:rFonts w:hint="eastAsia" w:eastAsia="宋体"/>
                <w:color w:val="auto"/>
                <w:highlight w:val="none"/>
                <w:lang w:eastAsia="zh-CN"/>
              </w:rPr>
            </w:pPr>
            <w:r>
              <w:rPr>
                <w:rFonts w:hint="eastAsia"/>
                <w:color w:val="auto"/>
                <w:highlight w:val="none"/>
                <w:lang w:val="en-US" w:eastAsia="zh-CN"/>
              </w:rPr>
              <w:t>总锡</w:t>
            </w:r>
          </w:p>
        </w:tc>
        <w:tc>
          <w:tcPr>
            <w:tcW w:w="2252" w:type="dxa"/>
            <w:vAlign w:val="center"/>
          </w:tcPr>
          <w:p>
            <w:pPr>
              <w:tabs>
                <w:tab w:val="left" w:pos="9795"/>
              </w:tabs>
              <w:adjustRightInd w:val="0"/>
              <w:snapToGrid w:val="0"/>
              <w:jc w:val="center"/>
              <w:rPr>
                <w:rFonts w:hint="default" w:eastAsia="宋体"/>
                <w:color w:val="auto"/>
                <w:szCs w:val="22"/>
                <w:highlight w:val="none"/>
                <w:lang w:val="en-US" w:eastAsia="zh-CN"/>
              </w:rPr>
            </w:pPr>
            <w:r>
              <w:rPr>
                <w:rFonts w:hint="eastAsia"/>
                <w:color w:val="auto"/>
                <w:szCs w:val="22"/>
                <w:highlight w:val="none"/>
                <w:lang w:val="en-US" w:eastAsia="zh-CN"/>
              </w:rPr>
              <w:t>0.2</w:t>
            </w:r>
          </w:p>
        </w:tc>
        <w:tc>
          <w:tcPr>
            <w:tcW w:w="851" w:type="pct"/>
            <w:vAlign w:val="center"/>
          </w:tcPr>
          <w:p>
            <w:pPr>
              <w:adjustRightInd w:val="0"/>
              <w:snapToGrid w:val="0"/>
              <w:jc w:val="center"/>
              <w:rPr>
                <w:rFonts w:hint="default"/>
                <w:color w:val="auto"/>
                <w:highlight w:val="none"/>
                <w:lang w:val="en-US" w:eastAsia="zh-CN"/>
              </w:rPr>
            </w:pPr>
            <w:r>
              <w:rPr>
                <w:rFonts w:hint="eastAsia"/>
                <w:color w:val="auto"/>
                <w:highlight w:val="none"/>
                <w:lang w:val="en-US" w:eastAsia="zh-CN"/>
              </w:rPr>
              <w:t>0.0019</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tblHeader/>
          <w:jc w:val="center"/>
        </w:trPr>
        <w:tc>
          <w:tcPr>
            <w:tcW w:w="722" w:type="pct"/>
            <w:vAlign w:val="center"/>
          </w:tcPr>
          <w:p>
            <w:pPr>
              <w:pStyle w:val="77"/>
              <w:ind w:firstLine="0" w:firstLineChars="0"/>
              <w:rPr>
                <w:rFonts w:hint="default" w:eastAsia="宋体"/>
                <w:color w:val="auto"/>
                <w:highlight w:val="none"/>
                <w:lang w:val="en-US" w:eastAsia="zh-CN"/>
              </w:rPr>
            </w:pPr>
            <w:r>
              <w:rPr>
                <w:rFonts w:hint="eastAsia"/>
                <w:color w:val="auto"/>
                <w:highlight w:val="none"/>
                <w:lang w:val="en-US" w:eastAsia="zh-CN"/>
              </w:rPr>
              <w:t>含镍废水</w:t>
            </w:r>
          </w:p>
        </w:tc>
        <w:tc>
          <w:tcPr>
            <w:tcW w:w="836" w:type="pct"/>
            <w:vAlign w:val="center"/>
          </w:tcPr>
          <w:p>
            <w:pPr>
              <w:pStyle w:val="77"/>
              <w:ind w:firstLine="0" w:firstLineChars="0"/>
              <w:rPr>
                <w:color w:val="auto"/>
                <w:highlight w:val="none"/>
              </w:rPr>
            </w:pPr>
            <w:r>
              <w:rPr>
                <w:rFonts w:hint="eastAsia"/>
                <w:color w:val="auto"/>
                <w:szCs w:val="21"/>
                <w:highlight w:val="none"/>
                <w:lang w:val="en-US" w:eastAsia="zh-CN"/>
              </w:rPr>
              <w:t>含镍污水处理站排污口</w:t>
            </w:r>
          </w:p>
        </w:tc>
        <w:tc>
          <w:tcPr>
            <w:tcW w:w="745" w:type="pct"/>
            <w:vAlign w:val="center"/>
          </w:tcPr>
          <w:p>
            <w:pPr>
              <w:pStyle w:val="77"/>
              <w:ind w:firstLine="0" w:firstLineChars="0"/>
              <w:rPr>
                <w:color w:val="auto"/>
                <w:highlight w:val="none"/>
              </w:rPr>
            </w:pPr>
            <w:r>
              <w:rPr>
                <w:rFonts w:hint="eastAsia"/>
                <w:color w:val="auto"/>
                <w:highlight w:val="none"/>
                <w:lang w:val="en-US" w:eastAsia="zh-CN"/>
              </w:rPr>
              <w:t>257</w:t>
            </w:r>
          </w:p>
        </w:tc>
        <w:tc>
          <w:tcPr>
            <w:tcW w:w="623" w:type="pct"/>
            <w:vAlign w:val="center"/>
          </w:tcPr>
          <w:p>
            <w:pPr>
              <w:adjustRightInd w:val="0"/>
              <w:snapToGrid w:val="0"/>
              <w:jc w:val="center"/>
              <w:rPr>
                <w:rFonts w:hint="eastAsia" w:eastAsia="宋体"/>
                <w:color w:val="auto"/>
                <w:highlight w:val="none"/>
                <w:lang w:eastAsia="zh-CN"/>
              </w:rPr>
            </w:pPr>
            <w:r>
              <w:rPr>
                <w:rFonts w:hint="eastAsia"/>
                <w:color w:val="auto"/>
                <w:highlight w:val="none"/>
              </w:rPr>
              <w:t>总</w:t>
            </w:r>
            <w:r>
              <w:rPr>
                <w:rFonts w:hint="eastAsia"/>
                <w:color w:val="auto"/>
                <w:highlight w:val="none"/>
                <w:lang w:val="en-US" w:eastAsia="zh-CN"/>
              </w:rPr>
              <w:t>镍</w:t>
            </w:r>
          </w:p>
        </w:tc>
        <w:tc>
          <w:tcPr>
            <w:tcW w:w="1220" w:type="pct"/>
            <w:vAlign w:val="center"/>
          </w:tcPr>
          <w:p>
            <w:pPr>
              <w:tabs>
                <w:tab w:val="left" w:pos="9795"/>
              </w:tabs>
              <w:adjustRightInd w:val="0"/>
              <w:snapToGrid w:val="0"/>
              <w:jc w:val="center"/>
              <w:rPr>
                <w:rFonts w:hint="default" w:eastAsia="宋体"/>
                <w:color w:val="auto"/>
                <w:szCs w:val="22"/>
                <w:highlight w:val="none"/>
                <w:lang w:val="en-US" w:eastAsia="zh-CN"/>
              </w:rPr>
            </w:pPr>
            <w:r>
              <w:rPr>
                <w:rFonts w:hint="eastAsia"/>
                <w:color w:val="auto"/>
                <w:szCs w:val="22"/>
                <w:highlight w:val="none"/>
                <w:lang w:val="en-US" w:eastAsia="zh-CN"/>
              </w:rPr>
              <w:t>0.21</w:t>
            </w:r>
          </w:p>
        </w:tc>
        <w:tc>
          <w:tcPr>
            <w:tcW w:w="851" w:type="pct"/>
            <w:vAlign w:val="center"/>
          </w:tcPr>
          <w:p>
            <w:pPr>
              <w:adjustRightInd w:val="0"/>
              <w:snapToGrid w:val="0"/>
              <w:jc w:val="center"/>
              <w:rPr>
                <w:rFonts w:hint="default" w:eastAsia="宋体"/>
                <w:color w:val="auto"/>
                <w:highlight w:val="none"/>
                <w:lang w:val="en-US" w:eastAsia="zh-CN"/>
              </w:rPr>
            </w:pPr>
            <w:r>
              <w:rPr>
                <w:rFonts w:hint="eastAsia"/>
                <w:color w:val="auto"/>
                <w:highlight w:val="none"/>
              </w:rPr>
              <w:t>0.0</w:t>
            </w:r>
            <w:r>
              <w:rPr>
                <w:rFonts w:hint="eastAsia"/>
                <w:color w:val="auto"/>
                <w:highlight w:val="none"/>
                <w:lang w:val="en-US" w:eastAsia="zh-CN"/>
              </w:rPr>
              <w:t>0005</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tblHeader/>
          <w:jc w:val="center"/>
        </w:trPr>
        <w:tc>
          <w:tcPr>
            <w:tcW w:w="722" w:type="pct"/>
            <w:vMerge w:val="restart"/>
            <w:vAlign w:val="center"/>
          </w:tcPr>
          <w:p>
            <w:pPr>
              <w:pStyle w:val="77"/>
              <w:ind w:firstLine="0" w:firstLineChars="0"/>
              <w:rPr>
                <w:rFonts w:hint="default" w:eastAsia="宋体"/>
                <w:color w:val="auto"/>
                <w:highlight w:val="none"/>
                <w:lang w:val="en-US" w:eastAsia="zh-CN"/>
              </w:rPr>
            </w:pPr>
            <w:r>
              <w:rPr>
                <w:rFonts w:hint="eastAsia"/>
                <w:color w:val="auto"/>
                <w:highlight w:val="none"/>
                <w:lang w:val="en-US" w:eastAsia="zh-CN"/>
              </w:rPr>
              <w:t>含铬废水</w:t>
            </w:r>
          </w:p>
        </w:tc>
        <w:tc>
          <w:tcPr>
            <w:tcW w:w="836" w:type="pct"/>
            <w:vMerge w:val="restart"/>
            <w:vAlign w:val="center"/>
          </w:tcPr>
          <w:p>
            <w:pPr>
              <w:pStyle w:val="77"/>
              <w:ind w:firstLine="0" w:firstLineChars="0"/>
              <w:rPr>
                <w:color w:val="auto"/>
                <w:highlight w:val="none"/>
              </w:rPr>
            </w:pPr>
            <w:r>
              <w:rPr>
                <w:rFonts w:hint="eastAsia"/>
                <w:color w:val="auto"/>
                <w:highlight w:val="none"/>
                <w:lang w:val="en-US" w:eastAsia="zh-CN"/>
              </w:rPr>
              <w:t>含铬</w:t>
            </w:r>
            <w:r>
              <w:rPr>
                <w:rFonts w:hint="eastAsia"/>
                <w:color w:val="auto"/>
                <w:highlight w:val="none"/>
              </w:rPr>
              <w:t>污水处理站排污口</w:t>
            </w:r>
          </w:p>
        </w:tc>
        <w:tc>
          <w:tcPr>
            <w:tcW w:w="745" w:type="pct"/>
            <w:vMerge w:val="restart"/>
            <w:vAlign w:val="center"/>
          </w:tcPr>
          <w:p>
            <w:pPr>
              <w:pStyle w:val="77"/>
              <w:ind w:firstLine="0" w:firstLineChars="0"/>
              <w:rPr>
                <w:rFonts w:hint="default" w:eastAsia="宋体"/>
                <w:color w:val="auto"/>
                <w:highlight w:val="none"/>
                <w:lang w:val="en-US" w:eastAsia="zh-CN"/>
              </w:rPr>
            </w:pPr>
            <w:r>
              <w:rPr>
                <w:rFonts w:hint="eastAsia"/>
                <w:color w:val="auto"/>
                <w:highlight w:val="none"/>
                <w:lang w:val="en-US" w:eastAsia="zh-CN"/>
              </w:rPr>
              <w:t>1564</w:t>
            </w:r>
          </w:p>
        </w:tc>
        <w:tc>
          <w:tcPr>
            <w:tcW w:w="623" w:type="pct"/>
            <w:vAlign w:val="center"/>
          </w:tcPr>
          <w:p>
            <w:pPr>
              <w:adjustRightInd w:val="0"/>
              <w:snapToGrid w:val="0"/>
              <w:jc w:val="center"/>
              <w:rPr>
                <w:color w:val="auto"/>
                <w:highlight w:val="none"/>
              </w:rPr>
            </w:pPr>
            <w:r>
              <w:rPr>
                <w:rFonts w:hint="eastAsia"/>
                <w:color w:val="auto"/>
                <w:highlight w:val="none"/>
              </w:rPr>
              <w:t>总铬</w:t>
            </w:r>
          </w:p>
        </w:tc>
        <w:tc>
          <w:tcPr>
            <w:tcW w:w="1220" w:type="pct"/>
            <w:vAlign w:val="center"/>
          </w:tcPr>
          <w:p>
            <w:pPr>
              <w:tabs>
                <w:tab w:val="left" w:pos="9795"/>
              </w:tabs>
              <w:adjustRightInd w:val="0"/>
              <w:snapToGrid w:val="0"/>
              <w:jc w:val="center"/>
              <w:rPr>
                <w:rFonts w:hint="default" w:eastAsia="宋体"/>
                <w:color w:val="auto"/>
                <w:szCs w:val="22"/>
                <w:highlight w:val="none"/>
                <w:lang w:val="en-US" w:eastAsia="zh-CN"/>
              </w:rPr>
            </w:pPr>
            <w:r>
              <w:rPr>
                <w:rFonts w:hint="eastAsia"/>
                <w:color w:val="auto"/>
                <w:szCs w:val="22"/>
                <w:highlight w:val="none"/>
                <w:lang w:val="en-US" w:eastAsia="zh-CN"/>
              </w:rPr>
              <w:t>0.23</w:t>
            </w:r>
          </w:p>
        </w:tc>
        <w:tc>
          <w:tcPr>
            <w:tcW w:w="851" w:type="pct"/>
            <w:vAlign w:val="center"/>
          </w:tcPr>
          <w:p>
            <w:pPr>
              <w:adjustRightInd w:val="0"/>
              <w:snapToGrid w:val="0"/>
              <w:jc w:val="center"/>
              <w:rPr>
                <w:rFonts w:hint="default" w:eastAsia="宋体"/>
                <w:color w:val="auto"/>
                <w:highlight w:val="none"/>
                <w:lang w:val="en-US" w:eastAsia="zh-CN"/>
              </w:rPr>
            </w:pPr>
            <w:r>
              <w:rPr>
                <w:rFonts w:hint="eastAsia"/>
                <w:color w:val="auto"/>
                <w:highlight w:val="none"/>
              </w:rPr>
              <w:t>0.</w:t>
            </w:r>
            <w:r>
              <w:rPr>
                <w:rFonts w:hint="eastAsia"/>
                <w:color w:val="auto"/>
                <w:highlight w:val="none"/>
                <w:lang w:val="en-US" w:eastAsia="zh-CN"/>
              </w:rPr>
              <w:t>0004</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tblHeader/>
          <w:jc w:val="center"/>
        </w:trPr>
        <w:tc>
          <w:tcPr>
            <w:tcW w:w="722" w:type="pct"/>
            <w:vMerge w:val="continue"/>
            <w:vAlign w:val="center"/>
          </w:tcPr>
          <w:p>
            <w:pPr>
              <w:pStyle w:val="77"/>
              <w:ind w:firstLine="0" w:firstLineChars="0"/>
              <w:rPr>
                <w:color w:val="auto"/>
                <w:highlight w:val="none"/>
              </w:rPr>
            </w:pPr>
          </w:p>
        </w:tc>
        <w:tc>
          <w:tcPr>
            <w:tcW w:w="836" w:type="pct"/>
            <w:vMerge w:val="continue"/>
            <w:vAlign w:val="center"/>
          </w:tcPr>
          <w:p>
            <w:pPr>
              <w:pStyle w:val="77"/>
              <w:ind w:firstLine="0" w:firstLineChars="0"/>
              <w:rPr>
                <w:color w:val="auto"/>
                <w:highlight w:val="none"/>
              </w:rPr>
            </w:pPr>
          </w:p>
        </w:tc>
        <w:tc>
          <w:tcPr>
            <w:tcW w:w="745" w:type="pct"/>
            <w:vMerge w:val="continue"/>
            <w:vAlign w:val="center"/>
          </w:tcPr>
          <w:p>
            <w:pPr>
              <w:pStyle w:val="77"/>
              <w:ind w:firstLine="0" w:firstLineChars="0"/>
              <w:rPr>
                <w:color w:val="auto"/>
                <w:highlight w:val="none"/>
              </w:rPr>
            </w:pPr>
          </w:p>
        </w:tc>
        <w:tc>
          <w:tcPr>
            <w:tcW w:w="623" w:type="pct"/>
            <w:vAlign w:val="center"/>
          </w:tcPr>
          <w:p>
            <w:pPr>
              <w:adjustRightInd w:val="0"/>
              <w:snapToGrid w:val="0"/>
              <w:jc w:val="center"/>
              <w:rPr>
                <w:color w:val="auto"/>
                <w:highlight w:val="none"/>
              </w:rPr>
            </w:pPr>
            <w:r>
              <w:rPr>
                <w:rFonts w:hint="eastAsia"/>
                <w:color w:val="auto"/>
                <w:highlight w:val="none"/>
              </w:rPr>
              <w:t>六价铬</w:t>
            </w:r>
          </w:p>
        </w:tc>
        <w:tc>
          <w:tcPr>
            <w:tcW w:w="1220" w:type="pct"/>
            <w:vAlign w:val="center"/>
          </w:tcPr>
          <w:p>
            <w:pPr>
              <w:tabs>
                <w:tab w:val="left" w:pos="9795"/>
              </w:tabs>
              <w:adjustRightInd w:val="0"/>
              <w:snapToGrid w:val="0"/>
              <w:jc w:val="center"/>
              <w:rPr>
                <w:rFonts w:hint="default" w:eastAsia="宋体"/>
                <w:color w:val="auto"/>
                <w:szCs w:val="22"/>
                <w:highlight w:val="none"/>
                <w:lang w:val="en-US" w:eastAsia="zh-CN"/>
              </w:rPr>
            </w:pPr>
            <w:r>
              <w:rPr>
                <w:rFonts w:hint="eastAsia"/>
                <w:color w:val="auto"/>
                <w:szCs w:val="22"/>
                <w:highlight w:val="none"/>
                <w:lang w:val="en-US" w:eastAsia="zh-CN"/>
              </w:rPr>
              <w:t>0.09</w:t>
            </w:r>
          </w:p>
        </w:tc>
        <w:tc>
          <w:tcPr>
            <w:tcW w:w="851" w:type="pct"/>
            <w:vAlign w:val="center"/>
          </w:tcPr>
          <w:p>
            <w:pPr>
              <w:adjustRightInd w:val="0"/>
              <w:snapToGrid w:val="0"/>
              <w:jc w:val="center"/>
              <w:rPr>
                <w:rFonts w:hint="default"/>
                <w:color w:val="auto"/>
                <w:highlight w:val="none"/>
                <w:lang w:val="en-US"/>
              </w:rPr>
            </w:pPr>
            <w:r>
              <w:rPr>
                <w:rFonts w:hint="eastAsia"/>
                <w:color w:val="auto"/>
                <w:highlight w:val="none"/>
              </w:rPr>
              <w:t>0.0</w:t>
            </w:r>
            <w:r>
              <w:rPr>
                <w:rFonts w:hint="eastAsia"/>
                <w:color w:val="auto"/>
                <w:highlight w:val="none"/>
                <w:lang w:val="en-US" w:eastAsia="zh-CN"/>
              </w:rPr>
              <w:t>0014</w:t>
            </w:r>
          </w:p>
        </w:tc>
      </w:tr>
    </w:tbl>
    <w:p>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default" w:ascii="黑体" w:hAnsi="黑体" w:eastAsia="黑体"/>
          <w:color w:val="auto"/>
          <w:sz w:val="24"/>
          <w:highlight w:val="none"/>
          <w:lang w:val="en-US" w:eastAsia="zh-CN"/>
        </w:rPr>
      </w:pPr>
      <w:r>
        <w:rPr>
          <w:rFonts w:hint="eastAsia" w:ascii="黑体" w:hAnsi="黑体" w:eastAsia="黑体"/>
          <w:color w:val="auto"/>
          <w:sz w:val="24"/>
          <w:highlight w:val="none"/>
          <w:lang w:val="en-US" w:eastAsia="zh-CN"/>
        </w:rPr>
        <w:t>注：</w:t>
      </w:r>
      <w:r>
        <w:rPr>
          <w:rFonts w:hint="eastAsia"/>
          <w:color w:val="auto"/>
          <w:sz w:val="20"/>
          <w:szCs w:val="20"/>
          <w:highlight w:val="none"/>
          <w:lang w:val="en-US" w:eastAsia="zh-CN"/>
        </w:rPr>
        <w:t>银、锡未检出，均采用检出限值计算。</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2"/>
        <w:rPr>
          <w:rFonts w:ascii="黑体" w:hAnsi="黑体" w:eastAsia="黑体"/>
          <w:color w:val="auto"/>
          <w:sz w:val="24"/>
          <w:highlight w:val="none"/>
        </w:rPr>
      </w:pPr>
      <w:r>
        <w:rPr>
          <w:rFonts w:hint="eastAsia" w:ascii="黑体" w:hAnsi="黑体" w:eastAsia="黑体"/>
          <w:color w:val="auto"/>
          <w:sz w:val="24"/>
          <w:highlight w:val="none"/>
          <w:lang w:eastAsia="zh-CN"/>
        </w:rPr>
        <w:t>2.5</w:t>
      </w:r>
      <w:r>
        <w:rPr>
          <w:rFonts w:hint="eastAsia" w:ascii="黑体" w:hAnsi="黑体" w:eastAsia="黑体"/>
          <w:color w:val="auto"/>
          <w:sz w:val="24"/>
          <w:highlight w:val="none"/>
        </w:rPr>
        <w:t>.2 废气</w:t>
      </w:r>
    </w:p>
    <w:p>
      <w:pPr>
        <w:tabs>
          <w:tab w:val="left" w:pos="900"/>
        </w:tabs>
        <w:autoSpaceDE w:val="0"/>
        <w:autoSpaceDN w:val="0"/>
        <w:adjustRightInd w:val="0"/>
        <w:snapToGrid w:val="0"/>
        <w:spacing w:line="360" w:lineRule="auto"/>
        <w:ind w:firstLine="540" w:firstLineChars="225"/>
        <w:rPr>
          <w:rFonts w:hint="eastAsia"/>
          <w:color w:val="auto"/>
          <w:sz w:val="24"/>
          <w:highlight w:val="none"/>
        </w:rPr>
      </w:pPr>
      <w:r>
        <w:rPr>
          <w:rFonts w:hint="eastAsia"/>
          <w:color w:val="auto"/>
          <w:sz w:val="24"/>
          <w:highlight w:val="none"/>
          <w:lang w:val="en-US" w:eastAsia="zh-CN"/>
        </w:rPr>
        <w:t>项目电镀</w:t>
      </w:r>
      <w:r>
        <w:rPr>
          <w:rFonts w:hint="eastAsia"/>
          <w:color w:val="auto"/>
          <w:sz w:val="24"/>
          <w:highlight w:val="none"/>
        </w:rPr>
        <w:t>生产线中大气污染源主要为酸洗、活化去油、镀酸铜、粗化、敏化、抛光、镀锡</w:t>
      </w:r>
      <w:r>
        <w:rPr>
          <w:rFonts w:hint="eastAsia"/>
          <w:color w:val="auto"/>
          <w:sz w:val="24"/>
          <w:highlight w:val="none"/>
          <w:lang w:eastAsia="zh-CN"/>
        </w:rPr>
        <w:t>、</w:t>
      </w:r>
      <w:r>
        <w:rPr>
          <w:rFonts w:hint="eastAsia"/>
          <w:color w:val="auto"/>
          <w:sz w:val="24"/>
          <w:highlight w:val="none"/>
          <w:lang w:val="en-US" w:eastAsia="zh-CN"/>
        </w:rPr>
        <w:t>镀铬、镀银</w:t>
      </w:r>
      <w:r>
        <w:rPr>
          <w:rFonts w:hint="eastAsia"/>
          <w:color w:val="auto"/>
          <w:sz w:val="24"/>
          <w:highlight w:val="none"/>
        </w:rPr>
        <w:t>等工序，主要污染物为氯化氢、硫酸雾、甲基磺酸雾、氮氧化物、碱雾</w:t>
      </w:r>
      <w:r>
        <w:rPr>
          <w:rFonts w:hint="eastAsia"/>
          <w:color w:val="auto"/>
          <w:sz w:val="24"/>
          <w:highlight w:val="none"/>
          <w:lang w:eastAsia="zh-CN"/>
        </w:rPr>
        <w:t>、</w:t>
      </w:r>
      <w:r>
        <w:rPr>
          <w:rFonts w:hint="eastAsia"/>
          <w:color w:val="auto"/>
          <w:sz w:val="24"/>
          <w:highlight w:val="none"/>
        </w:rPr>
        <w:t>铬酸雾</w:t>
      </w:r>
      <w:r>
        <w:rPr>
          <w:rFonts w:hint="eastAsia"/>
          <w:color w:val="auto"/>
          <w:sz w:val="24"/>
          <w:highlight w:val="none"/>
          <w:lang w:eastAsia="zh-CN"/>
        </w:rPr>
        <w:t>、氨</w:t>
      </w:r>
      <w:r>
        <w:rPr>
          <w:rFonts w:hint="eastAsia"/>
          <w:color w:val="auto"/>
          <w:sz w:val="24"/>
          <w:highlight w:val="none"/>
        </w:rPr>
        <w:t>。考虑到NaOH没有质量标准与排放标准，并结合其操作条件及工艺参数，本评价对碱雾的产生源强、排放情况等不做估算。</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outlineLvl w:val="9"/>
        <w:rPr>
          <w:rFonts w:hint="eastAsia" w:eastAsia="宋体"/>
          <w:color w:val="auto"/>
          <w:sz w:val="24"/>
          <w:highlight w:val="none"/>
          <w:lang w:val="en-US" w:eastAsia="zh-CN"/>
        </w:rPr>
      </w:pPr>
      <w:r>
        <w:rPr>
          <w:color w:val="auto"/>
          <w:sz w:val="24"/>
          <w:highlight w:val="none"/>
        </w:rPr>
        <w:t>项目生产线为自动线。</w:t>
      </w:r>
      <w:r>
        <w:rPr>
          <w:rFonts w:hint="eastAsia"/>
          <w:color w:val="auto"/>
          <w:sz w:val="24"/>
          <w:highlight w:val="none"/>
        </w:rPr>
        <w:t>根据具体生产线情况，充分依托车间墙体或廊柱，在全线或局部</w:t>
      </w:r>
      <w:r>
        <w:rPr>
          <w:rFonts w:hint="eastAsia"/>
          <w:color w:val="auto"/>
          <w:sz w:val="24"/>
          <w:highlight w:val="none"/>
          <w:lang w:eastAsia="zh-CN"/>
        </w:rPr>
        <w:t>废气产生</w:t>
      </w:r>
      <w:r>
        <w:rPr>
          <w:rFonts w:hint="eastAsia"/>
          <w:color w:val="auto"/>
          <w:sz w:val="24"/>
          <w:highlight w:val="none"/>
        </w:rPr>
        <w:t>工位设置四周密闭罩，罩内设置顶吸</w:t>
      </w:r>
      <w:r>
        <w:rPr>
          <w:rFonts w:hint="eastAsia"/>
          <w:color w:val="auto"/>
          <w:sz w:val="24"/>
          <w:highlight w:val="none"/>
          <w:lang w:eastAsia="zh-CN"/>
        </w:rPr>
        <w:t>罩</w:t>
      </w:r>
      <w:r>
        <w:rPr>
          <w:rFonts w:hint="eastAsia"/>
          <w:color w:val="auto"/>
          <w:sz w:val="24"/>
          <w:highlight w:val="none"/>
          <w:lang w:eastAsia="zh-CN"/>
        </w:rPr>
        <w:t>或</w:t>
      </w:r>
      <w:r>
        <w:rPr>
          <w:rFonts w:hint="eastAsia"/>
          <w:color w:val="auto"/>
          <w:sz w:val="24"/>
          <w:highlight w:val="none"/>
        </w:rPr>
        <w:t>槽边</w:t>
      </w:r>
      <w:r>
        <w:rPr>
          <w:color w:val="auto"/>
          <w:sz w:val="24"/>
          <w:highlight w:val="none"/>
        </w:rPr>
        <w:t>设置侧吸孔，</w:t>
      </w:r>
      <w:r>
        <w:rPr>
          <w:rFonts w:hint="eastAsia"/>
          <w:color w:val="auto"/>
          <w:sz w:val="24"/>
          <w:highlight w:val="none"/>
        </w:rPr>
        <w:t>生产时，电镀生产废气则通过侧吸</w:t>
      </w:r>
      <w:r>
        <w:rPr>
          <w:rFonts w:hint="eastAsia"/>
          <w:color w:val="auto"/>
          <w:sz w:val="24"/>
          <w:highlight w:val="none"/>
          <w:lang w:eastAsia="zh-CN"/>
        </w:rPr>
        <w:t>或</w:t>
      </w:r>
      <w:r>
        <w:rPr>
          <w:rFonts w:hint="eastAsia"/>
          <w:color w:val="auto"/>
          <w:sz w:val="24"/>
          <w:highlight w:val="none"/>
        </w:rPr>
        <w:t>顶吸进入相应专用管道，输送至净化塔处理。</w:t>
      </w:r>
      <w:r>
        <w:rPr>
          <w:color w:val="auto"/>
          <w:sz w:val="24"/>
          <w:highlight w:val="none"/>
        </w:rPr>
        <w:t>各净化塔均设pH、液位自动控制系统。</w:t>
      </w:r>
      <w:r>
        <w:rPr>
          <w:rFonts w:hint="eastAsia"/>
          <w:color w:val="auto"/>
          <w:sz w:val="24"/>
          <w:highlight w:val="none"/>
        </w:rPr>
        <w:t>酸雾塔对电镀酸性废气的净化原理，主要为酸碱中和，去除效率较高</w:t>
      </w:r>
      <w:r>
        <w:rPr>
          <w:rFonts w:hint="eastAsia"/>
          <w:color w:val="auto"/>
          <w:sz w:val="24"/>
          <w:highlight w:val="none"/>
          <w:lang w:eastAsia="zh-CN"/>
        </w:rPr>
        <w:t>。</w:t>
      </w:r>
    </w:p>
    <w:p>
      <w:pPr>
        <w:tabs>
          <w:tab w:val="left" w:pos="900"/>
        </w:tabs>
        <w:autoSpaceDE w:val="0"/>
        <w:autoSpaceDN w:val="0"/>
        <w:adjustRightInd w:val="0"/>
        <w:snapToGrid w:val="0"/>
        <w:spacing w:line="360" w:lineRule="auto"/>
        <w:ind w:firstLine="540" w:firstLineChars="225"/>
        <w:rPr>
          <w:rFonts w:hint="eastAsia" w:eastAsia="宋体"/>
          <w:color w:val="auto"/>
          <w:sz w:val="24"/>
          <w:highlight w:val="none"/>
          <w:lang w:eastAsia="zh-CN"/>
        </w:rPr>
      </w:pPr>
      <w:r>
        <w:rPr>
          <w:rFonts w:hint="eastAsia"/>
          <w:color w:val="auto"/>
          <w:sz w:val="24"/>
          <w:highlight w:val="none"/>
          <w:lang w:val="en-US" w:eastAsia="zh-CN"/>
        </w:rPr>
        <w:t>项目4#车间</w:t>
      </w:r>
      <w:r>
        <w:rPr>
          <w:rFonts w:hint="eastAsia"/>
          <w:color w:val="auto"/>
          <w:sz w:val="24"/>
          <w:highlight w:val="none"/>
        </w:rPr>
        <w:t>设置了1台0.</w:t>
      </w:r>
      <w:r>
        <w:rPr>
          <w:rFonts w:hint="eastAsia"/>
          <w:color w:val="auto"/>
          <w:sz w:val="24"/>
          <w:highlight w:val="none"/>
          <w:lang w:val="en-US" w:eastAsia="zh-CN"/>
        </w:rPr>
        <w:t>5</w:t>
      </w:r>
      <w:r>
        <w:rPr>
          <w:rFonts w:hint="eastAsia"/>
          <w:color w:val="auto"/>
          <w:sz w:val="24"/>
          <w:highlight w:val="none"/>
        </w:rPr>
        <w:t>t/h的燃气锅炉，主要污染物为</w:t>
      </w:r>
      <w:r>
        <w:rPr>
          <w:color w:val="auto"/>
          <w:sz w:val="24"/>
          <w:szCs w:val="24"/>
          <w:highlight w:val="none"/>
        </w:rPr>
        <w:t>SO</w:t>
      </w:r>
      <w:r>
        <w:rPr>
          <w:color w:val="auto"/>
          <w:sz w:val="24"/>
          <w:szCs w:val="24"/>
          <w:highlight w:val="none"/>
          <w:vertAlign w:val="subscript"/>
        </w:rPr>
        <w:t>2</w:t>
      </w:r>
      <w:r>
        <w:rPr>
          <w:color w:val="auto"/>
          <w:sz w:val="24"/>
          <w:szCs w:val="24"/>
          <w:highlight w:val="none"/>
        </w:rPr>
        <w:t>、NOx、烟尘</w:t>
      </w:r>
      <w:r>
        <w:rPr>
          <w:rFonts w:hint="eastAsia"/>
          <w:color w:val="auto"/>
          <w:szCs w:val="21"/>
          <w:highlight w:val="none"/>
          <w:lang w:eastAsia="zh-CN"/>
        </w:rPr>
        <w:t>。</w:t>
      </w:r>
    </w:p>
    <w:p>
      <w:pPr>
        <w:tabs>
          <w:tab w:val="left" w:pos="900"/>
        </w:tabs>
        <w:autoSpaceDE w:val="0"/>
        <w:autoSpaceDN w:val="0"/>
        <w:adjustRightInd w:val="0"/>
        <w:snapToGrid w:val="0"/>
        <w:spacing w:line="360" w:lineRule="auto"/>
        <w:ind w:firstLine="540" w:firstLineChars="225"/>
        <w:rPr>
          <w:rFonts w:hint="eastAsia"/>
          <w:color w:val="auto"/>
          <w:sz w:val="24"/>
          <w:highlight w:val="none"/>
        </w:rPr>
      </w:pPr>
      <w:r>
        <w:rPr>
          <w:rFonts w:hint="eastAsia"/>
          <w:color w:val="auto"/>
          <w:sz w:val="24"/>
          <w:highlight w:val="none"/>
        </w:rPr>
        <w:t>1、有组织排放废气</w:t>
      </w:r>
    </w:p>
    <w:p>
      <w:pPr>
        <w:tabs>
          <w:tab w:val="left" w:pos="900"/>
        </w:tabs>
        <w:autoSpaceDE w:val="0"/>
        <w:autoSpaceDN w:val="0"/>
        <w:adjustRightInd w:val="0"/>
        <w:snapToGrid w:val="0"/>
        <w:spacing w:line="360" w:lineRule="auto"/>
        <w:ind w:firstLine="540" w:firstLineChars="225"/>
        <w:rPr>
          <w:color w:val="auto"/>
          <w:sz w:val="24"/>
          <w:highlight w:val="none"/>
        </w:rPr>
      </w:pPr>
      <w:r>
        <w:rPr>
          <w:rFonts w:hint="eastAsia"/>
          <w:color w:val="auto"/>
          <w:sz w:val="24"/>
          <w:highlight w:val="none"/>
          <w:lang w:val="en-US" w:eastAsia="zh-CN"/>
        </w:rPr>
        <w:t>项目</w:t>
      </w:r>
      <w:r>
        <w:rPr>
          <w:rFonts w:hint="eastAsia"/>
          <w:color w:val="auto"/>
          <w:sz w:val="24"/>
          <w:highlight w:val="none"/>
        </w:rPr>
        <w:t>排气筒污染物排放情况见表</w:t>
      </w:r>
      <w:r>
        <w:rPr>
          <w:rFonts w:hint="eastAsia"/>
          <w:color w:val="auto"/>
          <w:sz w:val="24"/>
          <w:highlight w:val="none"/>
          <w:lang w:val="en-US" w:eastAsia="zh-CN"/>
        </w:rPr>
        <w:t>2.5</w:t>
      </w:r>
      <w:r>
        <w:rPr>
          <w:rFonts w:hint="eastAsia"/>
          <w:color w:val="auto"/>
          <w:sz w:val="24"/>
          <w:highlight w:val="none"/>
        </w:rPr>
        <w:t>-4</w:t>
      </w:r>
      <w:r>
        <w:rPr>
          <w:color w:val="auto"/>
          <w:sz w:val="24"/>
          <w:highlight w:val="none"/>
        </w:rPr>
        <w:t>。</w:t>
      </w:r>
    </w:p>
    <w:p>
      <w:pPr>
        <w:snapToGrid w:val="0"/>
        <w:spacing w:line="360" w:lineRule="auto"/>
        <w:ind w:right="480"/>
        <w:jc w:val="center"/>
        <w:rPr>
          <w:color w:val="auto"/>
          <w:highlight w:val="none"/>
        </w:rPr>
      </w:pPr>
      <w:r>
        <w:rPr>
          <w:rFonts w:eastAsia="黑体"/>
          <w:bCs/>
          <w:color w:val="auto"/>
          <w:sz w:val="24"/>
          <w:highlight w:val="none"/>
        </w:rPr>
        <w:t>表</w:t>
      </w:r>
      <w:r>
        <w:rPr>
          <w:rFonts w:hint="eastAsia" w:eastAsia="黑体"/>
          <w:bCs/>
          <w:color w:val="auto"/>
          <w:sz w:val="24"/>
          <w:highlight w:val="none"/>
          <w:lang w:eastAsia="zh-CN"/>
        </w:rPr>
        <w:t>2.5</w:t>
      </w:r>
      <w:r>
        <w:rPr>
          <w:rFonts w:eastAsia="黑体"/>
          <w:bCs/>
          <w:color w:val="auto"/>
          <w:sz w:val="24"/>
          <w:highlight w:val="none"/>
        </w:rPr>
        <w:t>-</w:t>
      </w:r>
      <w:r>
        <w:rPr>
          <w:rFonts w:hint="eastAsia" w:eastAsia="黑体"/>
          <w:bCs/>
          <w:color w:val="auto"/>
          <w:sz w:val="24"/>
          <w:highlight w:val="none"/>
          <w:lang w:val="en-US" w:eastAsia="zh-CN"/>
        </w:rPr>
        <w:t>4</w:t>
      </w:r>
      <w:r>
        <w:rPr>
          <w:rFonts w:eastAsia="黑体"/>
          <w:bCs/>
          <w:color w:val="auto"/>
          <w:sz w:val="24"/>
          <w:highlight w:val="none"/>
        </w:rPr>
        <w:t xml:space="preserve">  </w:t>
      </w:r>
      <w:r>
        <w:rPr>
          <w:rFonts w:hint="eastAsia" w:eastAsia="黑体"/>
          <w:bCs/>
          <w:color w:val="auto"/>
          <w:sz w:val="24"/>
          <w:highlight w:val="none"/>
        </w:rPr>
        <w:t>项目有组织排气筒排放情况汇总</w:t>
      </w:r>
    </w:p>
    <w:tbl>
      <w:tblPr>
        <w:tblStyle w:val="36"/>
        <w:tblW w:w="9230" w:type="dxa"/>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657"/>
        <w:gridCol w:w="1383"/>
        <w:gridCol w:w="1667"/>
        <w:gridCol w:w="2483"/>
        <w:gridCol w:w="1259"/>
        <w:gridCol w:w="1781"/>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jc w:val="center"/>
        </w:trPr>
        <w:tc>
          <w:tcPr>
            <w:tcW w:w="657" w:type="dxa"/>
            <w:tcBorders>
              <w:tl2br w:val="nil"/>
              <w:tr2bl w:val="nil"/>
            </w:tcBorders>
            <w:noWrap w:val="0"/>
            <w:vAlign w:val="center"/>
          </w:tcPr>
          <w:p>
            <w:pPr>
              <w:jc w:val="center"/>
              <w:rPr>
                <w:b/>
                <w:color w:val="auto"/>
                <w:szCs w:val="21"/>
                <w:highlight w:val="none"/>
              </w:rPr>
            </w:pPr>
            <w:r>
              <w:rPr>
                <w:b/>
                <w:color w:val="auto"/>
                <w:szCs w:val="21"/>
                <w:highlight w:val="none"/>
              </w:rPr>
              <w:t>编号</w:t>
            </w:r>
          </w:p>
        </w:tc>
        <w:tc>
          <w:tcPr>
            <w:tcW w:w="1383" w:type="dxa"/>
            <w:tcBorders>
              <w:tl2br w:val="nil"/>
              <w:tr2bl w:val="nil"/>
            </w:tcBorders>
            <w:noWrap w:val="0"/>
            <w:vAlign w:val="center"/>
          </w:tcPr>
          <w:p>
            <w:pPr>
              <w:jc w:val="center"/>
              <w:rPr>
                <w:rFonts w:hint="eastAsia" w:eastAsia="宋体"/>
                <w:b/>
                <w:color w:val="auto"/>
                <w:szCs w:val="21"/>
                <w:highlight w:val="none"/>
                <w:lang w:val="en-US" w:eastAsia="zh-CN"/>
              </w:rPr>
            </w:pPr>
            <w:r>
              <w:rPr>
                <w:rFonts w:hint="eastAsia"/>
                <w:b/>
                <w:color w:val="auto"/>
                <w:szCs w:val="21"/>
                <w:highlight w:val="none"/>
                <w:lang w:val="en-US" w:eastAsia="zh-CN"/>
              </w:rPr>
              <w:t>排气筒编号</w:t>
            </w:r>
          </w:p>
        </w:tc>
        <w:tc>
          <w:tcPr>
            <w:tcW w:w="1667" w:type="dxa"/>
            <w:tcBorders>
              <w:tl2br w:val="nil"/>
              <w:tr2bl w:val="nil"/>
            </w:tcBorders>
            <w:noWrap w:val="0"/>
            <w:vAlign w:val="center"/>
          </w:tcPr>
          <w:p>
            <w:pPr>
              <w:jc w:val="center"/>
              <w:rPr>
                <w:rFonts w:hint="eastAsia" w:eastAsia="宋体"/>
                <w:b/>
                <w:color w:val="auto"/>
                <w:szCs w:val="21"/>
                <w:highlight w:val="none"/>
                <w:lang w:eastAsia="zh-CN"/>
              </w:rPr>
            </w:pPr>
            <w:r>
              <w:rPr>
                <w:rFonts w:hint="eastAsia"/>
                <w:b/>
                <w:color w:val="auto"/>
                <w:szCs w:val="21"/>
                <w:highlight w:val="none"/>
              </w:rPr>
              <w:t>排气筒高度</w:t>
            </w:r>
            <w:r>
              <w:rPr>
                <w:rFonts w:hint="eastAsia"/>
                <w:b/>
                <w:color w:val="auto"/>
                <w:szCs w:val="21"/>
                <w:highlight w:val="none"/>
                <w:lang w:eastAsia="zh-CN"/>
              </w:rPr>
              <w:t>(</w:t>
            </w:r>
            <w:r>
              <w:rPr>
                <w:rFonts w:hint="eastAsia"/>
                <w:b/>
                <w:color w:val="auto"/>
                <w:szCs w:val="21"/>
                <w:highlight w:val="none"/>
              </w:rPr>
              <w:t>m</w:t>
            </w:r>
            <w:r>
              <w:rPr>
                <w:rFonts w:hint="eastAsia"/>
                <w:b/>
                <w:color w:val="auto"/>
                <w:szCs w:val="21"/>
                <w:highlight w:val="none"/>
                <w:lang w:eastAsia="zh-CN"/>
              </w:rPr>
              <w:t>)</w:t>
            </w:r>
          </w:p>
        </w:tc>
        <w:tc>
          <w:tcPr>
            <w:tcW w:w="2483" w:type="dxa"/>
            <w:tcBorders>
              <w:tl2br w:val="nil"/>
              <w:tr2bl w:val="nil"/>
            </w:tcBorders>
            <w:noWrap w:val="0"/>
            <w:vAlign w:val="center"/>
          </w:tcPr>
          <w:p>
            <w:pPr>
              <w:jc w:val="center"/>
              <w:rPr>
                <w:rFonts w:hint="eastAsia" w:eastAsia="宋体"/>
                <w:b/>
                <w:color w:val="auto"/>
                <w:szCs w:val="21"/>
                <w:highlight w:val="none"/>
                <w:lang w:eastAsia="zh-CN"/>
              </w:rPr>
            </w:pPr>
            <w:r>
              <w:rPr>
                <w:rFonts w:hint="eastAsia"/>
                <w:b/>
                <w:color w:val="auto"/>
                <w:szCs w:val="21"/>
                <w:highlight w:val="none"/>
                <w:lang w:val="en-US" w:eastAsia="zh-CN"/>
              </w:rPr>
              <w:t>污染物</w:t>
            </w:r>
          </w:p>
        </w:tc>
        <w:tc>
          <w:tcPr>
            <w:tcW w:w="1259" w:type="dxa"/>
            <w:tcBorders>
              <w:tl2br w:val="nil"/>
              <w:tr2bl w:val="nil"/>
            </w:tcBorders>
            <w:noWrap w:val="0"/>
            <w:vAlign w:val="center"/>
          </w:tcPr>
          <w:p>
            <w:pPr>
              <w:jc w:val="center"/>
              <w:rPr>
                <w:rFonts w:hint="eastAsia" w:eastAsia="宋体"/>
                <w:b/>
                <w:color w:val="auto"/>
                <w:szCs w:val="21"/>
                <w:highlight w:val="none"/>
                <w:lang w:val="en-US" w:eastAsia="zh-CN"/>
              </w:rPr>
            </w:pPr>
            <w:r>
              <w:rPr>
                <w:rFonts w:hint="eastAsia"/>
                <w:b/>
                <w:color w:val="auto"/>
                <w:szCs w:val="21"/>
                <w:highlight w:val="none"/>
                <w:lang w:val="en-US" w:eastAsia="zh-CN"/>
              </w:rPr>
              <w:t>排放车间</w:t>
            </w:r>
          </w:p>
        </w:tc>
        <w:tc>
          <w:tcPr>
            <w:tcW w:w="1781" w:type="dxa"/>
            <w:tcBorders>
              <w:tl2br w:val="nil"/>
              <w:tr2bl w:val="nil"/>
            </w:tcBorders>
            <w:noWrap w:val="0"/>
            <w:vAlign w:val="center"/>
          </w:tcPr>
          <w:p>
            <w:pPr>
              <w:jc w:val="center"/>
              <w:rPr>
                <w:rFonts w:hint="eastAsia" w:eastAsia="宋体"/>
                <w:b/>
                <w:color w:val="auto"/>
                <w:szCs w:val="21"/>
                <w:highlight w:val="none"/>
                <w:lang w:val="en-US" w:eastAsia="zh-CN"/>
              </w:rPr>
            </w:pPr>
            <w:r>
              <w:rPr>
                <w:rFonts w:hint="eastAsia"/>
                <w:b/>
                <w:color w:val="auto"/>
                <w:szCs w:val="21"/>
                <w:highlight w:val="none"/>
                <w:lang w:val="en-US" w:eastAsia="zh-CN"/>
              </w:rPr>
              <w:t>产生过程</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jc w:val="center"/>
        </w:trPr>
        <w:tc>
          <w:tcPr>
            <w:tcW w:w="657" w:type="dxa"/>
            <w:tcBorders>
              <w:tl2br w:val="nil"/>
              <w:tr2bl w:val="nil"/>
            </w:tcBorders>
            <w:noWrap w:val="0"/>
            <w:vAlign w:val="center"/>
          </w:tcPr>
          <w:p>
            <w:pPr>
              <w:jc w:val="center"/>
              <w:rPr>
                <w:rFonts w:hint="eastAsia" w:eastAsia="宋体"/>
                <w:color w:val="auto"/>
                <w:szCs w:val="21"/>
                <w:highlight w:val="none"/>
                <w:lang w:eastAsia="zh-CN"/>
              </w:rPr>
            </w:pPr>
            <w:r>
              <w:rPr>
                <w:rFonts w:hint="eastAsia"/>
                <w:color w:val="auto"/>
                <w:szCs w:val="21"/>
                <w:highlight w:val="none"/>
                <w:lang w:val="en-US" w:eastAsia="zh-CN"/>
              </w:rPr>
              <w:t>1</w:t>
            </w:r>
          </w:p>
        </w:tc>
        <w:tc>
          <w:tcPr>
            <w:tcW w:w="1383" w:type="dxa"/>
            <w:tcBorders>
              <w:tl2br w:val="nil"/>
              <w:tr2bl w:val="nil"/>
            </w:tcBorders>
            <w:noWrap w:val="0"/>
            <w:vAlign w:val="center"/>
          </w:tcPr>
          <w:p>
            <w:pPr>
              <w:jc w:val="center"/>
              <w:rPr>
                <w:rFonts w:hint="eastAsia" w:eastAsia="宋体"/>
                <w:color w:val="auto"/>
                <w:highlight w:val="none"/>
                <w:lang w:val="en-US" w:eastAsia="zh-CN"/>
              </w:rPr>
            </w:pPr>
            <w:r>
              <w:rPr>
                <w:color w:val="auto"/>
                <w:szCs w:val="21"/>
                <w:highlight w:val="none"/>
              </w:rPr>
              <w:t>P1</w:t>
            </w:r>
          </w:p>
        </w:tc>
        <w:tc>
          <w:tcPr>
            <w:tcW w:w="1667" w:type="dxa"/>
            <w:tcBorders>
              <w:tl2br w:val="nil"/>
              <w:tr2bl w:val="nil"/>
            </w:tcBorders>
            <w:noWrap w:val="0"/>
            <w:vAlign w:val="center"/>
          </w:tcPr>
          <w:p>
            <w:pPr>
              <w:jc w:val="center"/>
              <w:rPr>
                <w:rFonts w:hint="eastAsia" w:eastAsia="宋体"/>
                <w:color w:val="auto"/>
                <w:highlight w:val="none"/>
                <w:lang w:val="en-US" w:eastAsia="zh-CN"/>
              </w:rPr>
            </w:pPr>
            <w:r>
              <w:rPr>
                <w:rFonts w:hint="eastAsia"/>
                <w:color w:val="auto"/>
                <w:highlight w:val="none"/>
                <w:lang w:val="en-US" w:eastAsia="zh-CN"/>
              </w:rPr>
              <w:t>18</w:t>
            </w:r>
          </w:p>
        </w:tc>
        <w:tc>
          <w:tcPr>
            <w:tcW w:w="2483" w:type="dxa"/>
            <w:tcBorders>
              <w:tl2br w:val="nil"/>
              <w:tr2bl w:val="nil"/>
            </w:tcBorders>
            <w:noWrap w:val="0"/>
            <w:vAlign w:val="center"/>
          </w:tcPr>
          <w:p>
            <w:pPr>
              <w:jc w:val="center"/>
              <w:rPr>
                <w:color w:val="auto"/>
                <w:highlight w:val="none"/>
                <w:lang w:val="en-US"/>
              </w:rPr>
            </w:pPr>
            <w:r>
              <w:rPr>
                <w:rFonts w:hint="default" w:ascii="Times New Roman" w:hAnsi="Times New Roman" w:cs="Times New Roman"/>
                <w:color w:val="auto"/>
                <w:sz w:val="21"/>
                <w:szCs w:val="21"/>
                <w:highlight w:val="none"/>
              </w:rPr>
              <w:t>氯化氢</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NO</w:t>
            </w:r>
            <w:r>
              <w:rPr>
                <w:rFonts w:hint="default" w:ascii="Times New Roman" w:hAnsi="Times New Roman" w:cs="Times New Roman"/>
                <w:color w:val="auto"/>
                <w:sz w:val="21"/>
                <w:szCs w:val="21"/>
                <w:highlight w:val="none"/>
                <w:vertAlign w:val="subscript"/>
              </w:rPr>
              <w:t>x</w:t>
            </w:r>
            <w:r>
              <w:rPr>
                <w:rFonts w:hint="eastAsia"/>
                <w:color w:val="auto"/>
                <w:highlight w:val="none"/>
                <w:lang w:eastAsia="zh-CN"/>
              </w:rPr>
              <w:t>、硫酸雾、</w:t>
            </w:r>
            <w:r>
              <w:rPr>
                <w:rFonts w:hint="eastAsia"/>
                <w:color w:val="auto"/>
                <w:highlight w:val="none"/>
                <w:lang w:val="en-US" w:eastAsia="zh-CN"/>
              </w:rPr>
              <w:t>甲基磺酸雾</w:t>
            </w:r>
          </w:p>
        </w:tc>
        <w:tc>
          <w:tcPr>
            <w:tcW w:w="1259" w:type="dxa"/>
            <w:tcBorders>
              <w:tl2br w:val="nil"/>
              <w:tr2bl w:val="nil"/>
            </w:tcBorders>
            <w:noWrap w:val="0"/>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1#车间</w:t>
            </w:r>
          </w:p>
        </w:tc>
        <w:tc>
          <w:tcPr>
            <w:tcW w:w="1781" w:type="dxa"/>
            <w:tcBorders>
              <w:tl2br w:val="nil"/>
              <w:tr2bl w:val="nil"/>
            </w:tcBorders>
            <w:noWrap w:val="0"/>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镀锡</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jc w:val="center"/>
        </w:trPr>
        <w:tc>
          <w:tcPr>
            <w:tcW w:w="657" w:type="dxa"/>
            <w:tcBorders>
              <w:tl2br w:val="nil"/>
              <w:tr2bl w:val="nil"/>
            </w:tcBorders>
            <w:noWrap w:val="0"/>
            <w:vAlign w:val="center"/>
          </w:tcPr>
          <w:p>
            <w:pPr>
              <w:jc w:val="center"/>
              <w:rPr>
                <w:rFonts w:hint="eastAsia" w:eastAsia="宋体"/>
                <w:color w:val="auto"/>
                <w:szCs w:val="21"/>
                <w:highlight w:val="none"/>
                <w:lang w:eastAsia="zh-CN"/>
              </w:rPr>
            </w:pPr>
            <w:r>
              <w:rPr>
                <w:rFonts w:hint="eastAsia"/>
                <w:color w:val="auto"/>
                <w:szCs w:val="21"/>
                <w:highlight w:val="none"/>
                <w:lang w:val="en-US" w:eastAsia="zh-CN"/>
              </w:rPr>
              <w:t>2</w:t>
            </w:r>
          </w:p>
        </w:tc>
        <w:tc>
          <w:tcPr>
            <w:tcW w:w="1383" w:type="dxa"/>
            <w:tcBorders>
              <w:tl2br w:val="nil"/>
              <w:tr2bl w:val="nil"/>
            </w:tcBorders>
            <w:noWrap w:val="0"/>
            <w:vAlign w:val="center"/>
          </w:tcPr>
          <w:p>
            <w:pPr>
              <w:jc w:val="center"/>
              <w:rPr>
                <w:rFonts w:hint="eastAsia" w:eastAsia="宋体"/>
                <w:color w:val="auto"/>
                <w:highlight w:val="none"/>
                <w:lang w:val="en-US" w:eastAsia="zh-CN"/>
              </w:rPr>
            </w:pPr>
            <w:r>
              <w:rPr>
                <w:color w:val="auto"/>
                <w:szCs w:val="21"/>
                <w:highlight w:val="none"/>
              </w:rPr>
              <w:t>P</w:t>
            </w:r>
            <w:r>
              <w:rPr>
                <w:rFonts w:hint="eastAsia"/>
                <w:color w:val="auto"/>
                <w:szCs w:val="21"/>
                <w:highlight w:val="none"/>
                <w:lang w:val="en-US" w:eastAsia="zh-CN"/>
              </w:rPr>
              <w:t>2</w:t>
            </w:r>
          </w:p>
        </w:tc>
        <w:tc>
          <w:tcPr>
            <w:tcW w:w="1667" w:type="dxa"/>
            <w:tcBorders>
              <w:tl2br w:val="nil"/>
              <w:tr2bl w:val="nil"/>
            </w:tcBorders>
            <w:noWrap w:val="0"/>
            <w:vAlign w:val="center"/>
          </w:tcPr>
          <w:p>
            <w:pPr>
              <w:jc w:val="center"/>
              <w:rPr>
                <w:rFonts w:hint="eastAsia" w:eastAsia="宋体"/>
                <w:color w:val="auto"/>
                <w:highlight w:val="none"/>
                <w:lang w:val="en-US" w:eastAsia="zh-CN"/>
              </w:rPr>
            </w:pPr>
            <w:r>
              <w:rPr>
                <w:rFonts w:hint="eastAsia"/>
                <w:color w:val="auto"/>
                <w:highlight w:val="none"/>
                <w:lang w:val="en-US" w:eastAsia="zh-CN"/>
              </w:rPr>
              <w:t>18</w:t>
            </w:r>
          </w:p>
        </w:tc>
        <w:tc>
          <w:tcPr>
            <w:tcW w:w="2483" w:type="dxa"/>
            <w:tcBorders>
              <w:tl2br w:val="nil"/>
              <w:tr2bl w:val="nil"/>
            </w:tcBorders>
            <w:noWrap w:val="0"/>
            <w:vAlign w:val="center"/>
          </w:tcPr>
          <w:p>
            <w:pPr>
              <w:jc w:val="center"/>
              <w:rPr>
                <w:rFonts w:hint="eastAsia" w:eastAsia="宋体"/>
                <w:color w:val="auto"/>
                <w:highlight w:val="none"/>
                <w:lang w:eastAsia="zh-CN"/>
              </w:rPr>
            </w:pPr>
            <w:r>
              <w:rPr>
                <w:rFonts w:hint="default" w:ascii="Times New Roman" w:hAnsi="Times New Roman" w:cs="Times New Roman"/>
                <w:color w:val="auto"/>
                <w:sz w:val="21"/>
                <w:szCs w:val="21"/>
                <w:highlight w:val="none"/>
              </w:rPr>
              <w:t>氯化氢</w:t>
            </w:r>
          </w:p>
        </w:tc>
        <w:tc>
          <w:tcPr>
            <w:tcW w:w="1259" w:type="dxa"/>
            <w:tcBorders>
              <w:tl2br w:val="nil"/>
              <w:tr2bl w:val="nil"/>
            </w:tcBorders>
            <w:noWrap w:val="0"/>
            <w:vAlign w:val="center"/>
          </w:tcPr>
          <w:p>
            <w:pPr>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2</w:t>
            </w:r>
            <w:r>
              <w:rPr>
                <w:rFonts w:hint="eastAsia" w:ascii="Times New Roman" w:hAnsi="Times New Roman" w:cs="Times New Roman"/>
                <w:color w:val="auto"/>
                <w:sz w:val="21"/>
                <w:szCs w:val="21"/>
                <w:highlight w:val="none"/>
                <w:lang w:val="en-US" w:eastAsia="zh-CN"/>
              </w:rPr>
              <w:t>#车间</w:t>
            </w:r>
          </w:p>
        </w:tc>
        <w:tc>
          <w:tcPr>
            <w:tcW w:w="1781" w:type="dxa"/>
            <w:tcBorders>
              <w:tl2br w:val="nil"/>
              <w:tr2bl w:val="nil"/>
            </w:tcBorders>
            <w:noWrap w:val="0"/>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镀锌</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jc w:val="center"/>
        </w:trPr>
        <w:tc>
          <w:tcPr>
            <w:tcW w:w="657" w:type="dxa"/>
            <w:tcBorders>
              <w:tl2br w:val="nil"/>
              <w:tr2bl w:val="nil"/>
            </w:tcBorders>
            <w:noWrap w:val="0"/>
            <w:vAlign w:val="center"/>
          </w:tcPr>
          <w:p>
            <w:pPr>
              <w:jc w:val="center"/>
              <w:rPr>
                <w:rFonts w:hint="eastAsia" w:eastAsia="宋体"/>
                <w:color w:val="auto"/>
                <w:szCs w:val="21"/>
                <w:highlight w:val="none"/>
                <w:lang w:eastAsia="zh-CN"/>
              </w:rPr>
            </w:pPr>
            <w:r>
              <w:rPr>
                <w:rFonts w:hint="eastAsia"/>
                <w:color w:val="auto"/>
                <w:szCs w:val="21"/>
                <w:highlight w:val="none"/>
                <w:lang w:val="en-US" w:eastAsia="zh-CN"/>
              </w:rPr>
              <w:t>3</w:t>
            </w:r>
          </w:p>
        </w:tc>
        <w:tc>
          <w:tcPr>
            <w:tcW w:w="1383" w:type="dxa"/>
            <w:tcBorders>
              <w:tl2br w:val="nil"/>
              <w:tr2bl w:val="nil"/>
            </w:tcBorders>
            <w:noWrap w:val="0"/>
            <w:vAlign w:val="center"/>
          </w:tcPr>
          <w:p>
            <w:pPr>
              <w:jc w:val="center"/>
              <w:rPr>
                <w:rFonts w:hint="eastAsia" w:eastAsia="宋体"/>
                <w:color w:val="auto"/>
                <w:highlight w:val="none"/>
                <w:lang w:val="en-US" w:eastAsia="zh-CN"/>
              </w:rPr>
            </w:pPr>
            <w:r>
              <w:rPr>
                <w:color w:val="auto"/>
                <w:szCs w:val="21"/>
                <w:highlight w:val="none"/>
              </w:rPr>
              <w:t>P</w:t>
            </w:r>
            <w:r>
              <w:rPr>
                <w:rFonts w:hint="eastAsia"/>
                <w:color w:val="auto"/>
                <w:szCs w:val="21"/>
                <w:highlight w:val="none"/>
                <w:lang w:val="en-US" w:eastAsia="zh-CN"/>
              </w:rPr>
              <w:t>3</w:t>
            </w:r>
          </w:p>
        </w:tc>
        <w:tc>
          <w:tcPr>
            <w:tcW w:w="1667" w:type="dxa"/>
            <w:tcBorders>
              <w:tl2br w:val="nil"/>
              <w:tr2bl w:val="nil"/>
            </w:tcBorders>
            <w:noWrap w:val="0"/>
            <w:vAlign w:val="center"/>
          </w:tcPr>
          <w:p>
            <w:pPr>
              <w:jc w:val="center"/>
              <w:rPr>
                <w:rFonts w:hint="eastAsia" w:eastAsia="宋体"/>
                <w:color w:val="auto"/>
                <w:highlight w:val="none"/>
                <w:lang w:val="en-US" w:eastAsia="zh-CN"/>
              </w:rPr>
            </w:pPr>
            <w:r>
              <w:rPr>
                <w:rFonts w:hint="eastAsia"/>
                <w:color w:val="auto"/>
                <w:highlight w:val="none"/>
                <w:lang w:val="en-US" w:eastAsia="zh-CN"/>
              </w:rPr>
              <w:t>18</w:t>
            </w:r>
          </w:p>
        </w:tc>
        <w:tc>
          <w:tcPr>
            <w:tcW w:w="2483" w:type="dxa"/>
            <w:tcBorders>
              <w:tl2br w:val="nil"/>
              <w:tr2bl w:val="nil"/>
            </w:tcBorders>
            <w:noWrap w:val="0"/>
            <w:vAlign w:val="center"/>
          </w:tcPr>
          <w:p>
            <w:pPr>
              <w:jc w:val="center"/>
              <w:rPr>
                <w:rFonts w:hint="eastAsia" w:eastAsia="宋体"/>
                <w:color w:val="auto"/>
                <w:highlight w:val="none"/>
                <w:lang w:eastAsia="zh-CN"/>
              </w:rPr>
            </w:pPr>
            <w:r>
              <w:rPr>
                <w:rFonts w:hint="eastAsia"/>
                <w:color w:val="auto"/>
                <w:highlight w:val="none"/>
                <w:lang w:eastAsia="zh-CN"/>
              </w:rPr>
              <w:t>氯化氢、硫酸雾、铬酸雾</w:t>
            </w:r>
          </w:p>
        </w:tc>
        <w:tc>
          <w:tcPr>
            <w:tcW w:w="1259" w:type="dxa"/>
            <w:tcBorders>
              <w:tl2br w:val="nil"/>
              <w:tr2bl w:val="nil"/>
            </w:tcBorders>
            <w:noWrap w:val="0"/>
            <w:vAlign w:val="center"/>
          </w:tcPr>
          <w:p>
            <w:pPr>
              <w:jc w:val="center"/>
              <w:rPr>
                <w:rFonts w:hint="eastAsia"/>
                <w:color w:val="auto"/>
                <w:highlight w:val="none"/>
                <w:lang w:eastAsia="zh-CN"/>
              </w:rPr>
            </w:pPr>
            <w:r>
              <w:rPr>
                <w:rFonts w:hint="eastAsia" w:cs="Times New Roman"/>
                <w:color w:val="auto"/>
                <w:sz w:val="21"/>
                <w:szCs w:val="21"/>
                <w:highlight w:val="none"/>
                <w:lang w:val="en-US" w:eastAsia="zh-CN"/>
              </w:rPr>
              <w:t>3</w:t>
            </w:r>
            <w:r>
              <w:rPr>
                <w:rFonts w:hint="eastAsia" w:ascii="Times New Roman" w:hAnsi="Times New Roman" w:cs="Times New Roman"/>
                <w:color w:val="auto"/>
                <w:sz w:val="21"/>
                <w:szCs w:val="21"/>
                <w:highlight w:val="none"/>
                <w:lang w:val="en-US" w:eastAsia="zh-CN"/>
              </w:rPr>
              <w:t>#车间</w:t>
            </w:r>
          </w:p>
        </w:tc>
        <w:tc>
          <w:tcPr>
            <w:tcW w:w="1781" w:type="dxa"/>
            <w:tcBorders>
              <w:tl2br w:val="nil"/>
              <w:tr2bl w:val="nil"/>
            </w:tcBorders>
            <w:noWrap w:val="0"/>
            <w:vAlign w:val="center"/>
          </w:tcPr>
          <w:p>
            <w:pPr>
              <w:jc w:val="center"/>
              <w:rPr>
                <w:rFonts w:hint="eastAsia"/>
                <w:color w:val="auto"/>
                <w:highlight w:val="none"/>
                <w:lang w:val="en-US" w:eastAsia="zh-CN"/>
              </w:rPr>
            </w:pPr>
            <w:r>
              <w:rPr>
                <w:rFonts w:hint="eastAsia"/>
                <w:color w:val="auto"/>
                <w:highlight w:val="none"/>
                <w:lang w:val="en-US" w:eastAsia="zh-CN"/>
              </w:rPr>
              <w:t>镀铜、镍、铬</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jc w:val="center"/>
        </w:trPr>
        <w:tc>
          <w:tcPr>
            <w:tcW w:w="657" w:type="dxa"/>
            <w:tcBorders>
              <w:tl2br w:val="nil"/>
              <w:tr2bl w:val="nil"/>
            </w:tcBorders>
            <w:noWrap w:val="0"/>
            <w:vAlign w:val="center"/>
          </w:tcPr>
          <w:p>
            <w:pPr>
              <w:jc w:val="center"/>
              <w:rPr>
                <w:color w:val="auto"/>
                <w:szCs w:val="21"/>
                <w:highlight w:val="none"/>
              </w:rPr>
            </w:pPr>
            <w:r>
              <w:rPr>
                <w:rFonts w:hint="eastAsia"/>
                <w:color w:val="auto"/>
                <w:szCs w:val="21"/>
                <w:highlight w:val="none"/>
                <w:lang w:val="en-US" w:eastAsia="zh-CN"/>
              </w:rPr>
              <w:t>4</w:t>
            </w:r>
          </w:p>
        </w:tc>
        <w:tc>
          <w:tcPr>
            <w:tcW w:w="1383" w:type="dxa"/>
            <w:tcBorders>
              <w:tl2br w:val="nil"/>
              <w:tr2bl w:val="nil"/>
            </w:tcBorders>
            <w:noWrap w:val="0"/>
            <w:vAlign w:val="center"/>
          </w:tcPr>
          <w:p>
            <w:pPr>
              <w:jc w:val="center"/>
              <w:rPr>
                <w:rFonts w:hint="eastAsia" w:eastAsia="宋体"/>
                <w:color w:val="auto"/>
                <w:highlight w:val="none"/>
                <w:lang w:val="en-US" w:eastAsia="zh-CN"/>
              </w:rPr>
            </w:pPr>
            <w:r>
              <w:rPr>
                <w:color w:val="auto"/>
                <w:szCs w:val="21"/>
                <w:highlight w:val="none"/>
              </w:rPr>
              <w:t>P</w:t>
            </w:r>
            <w:r>
              <w:rPr>
                <w:rFonts w:hint="eastAsia"/>
                <w:color w:val="auto"/>
                <w:szCs w:val="21"/>
                <w:highlight w:val="none"/>
                <w:lang w:val="en-US" w:eastAsia="zh-CN"/>
              </w:rPr>
              <w:t>4-</w:t>
            </w:r>
            <w:r>
              <w:rPr>
                <w:color w:val="auto"/>
                <w:szCs w:val="21"/>
                <w:highlight w:val="none"/>
              </w:rPr>
              <w:t>1</w:t>
            </w:r>
          </w:p>
        </w:tc>
        <w:tc>
          <w:tcPr>
            <w:tcW w:w="1667" w:type="dxa"/>
            <w:tcBorders>
              <w:tl2br w:val="nil"/>
              <w:tr2bl w:val="nil"/>
            </w:tcBorders>
            <w:noWrap w:val="0"/>
            <w:vAlign w:val="center"/>
          </w:tcPr>
          <w:p>
            <w:pPr>
              <w:jc w:val="center"/>
              <w:rPr>
                <w:rFonts w:hint="eastAsia" w:eastAsia="宋体"/>
                <w:color w:val="auto"/>
                <w:highlight w:val="none"/>
                <w:lang w:val="en-US" w:eastAsia="zh-CN"/>
              </w:rPr>
            </w:pPr>
            <w:r>
              <w:rPr>
                <w:rFonts w:hint="eastAsia"/>
                <w:color w:val="auto"/>
                <w:highlight w:val="none"/>
                <w:lang w:val="en-US" w:eastAsia="zh-CN"/>
              </w:rPr>
              <w:t>15</w:t>
            </w:r>
          </w:p>
        </w:tc>
        <w:tc>
          <w:tcPr>
            <w:tcW w:w="2483" w:type="dxa"/>
            <w:tcBorders>
              <w:tl2br w:val="nil"/>
              <w:tr2bl w:val="nil"/>
            </w:tcBorders>
            <w:noWrap w:val="0"/>
            <w:vAlign w:val="center"/>
          </w:tcPr>
          <w:p>
            <w:pPr>
              <w:jc w:val="center"/>
              <w:rPr>
                <w:color w:val="auto"/>
                <w:highlight w:val="none"/>
                <w:lang w:val="en-US"/>
              </w:rPr>
            </w:pPr>
            <w:r>
              <w:rPr>
                <w:rFonts w:hint="eastAsia" w:ascii="Times New Roman" w:hAnsi="Times New Roman" w:cs="Times New Roman"/>
                <w:color w:val="auto"/>
                <w:sz w:val="21"/>
                <w:szCs w:val="21"/>
                <w:highlight w:val="none"/>
                <w:lang w:eastAsia="zh-CN"/>
              </w:rPr>
              <w:t>颗粒物</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NO</w:t>
            </w:r>
            <w:r>
              <w:rPr>
                <w:rFonts w:hint="default" w:ascii="Times New Roman" w:hAnsi="Times New Roman" w:cs="Times New Roman"/>
                <w:color w:val="auto"/>
                <w:sz w:val="21"/>
                <w:szCs w:val="21"/>
                <w:highlight w:val="none"/>
                <w:vertAlign w:val="subscript"/>
              </w:rPr>
              <w:t>x</w:t>
            </w:r>
            <w:r>
              <w:rPr>
                <w:rFonts w:hint="default"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SO</w:t>
            </w:r>
            <w:r>
              <w:rPr>
                <w:rFonts w:hint="eastAsia" w:ascii="Times New Roman" w:hAnsi="Times New Roman" w:cs="Times New Roman"/>
                <w:color w:val="auto"/>
                <w:sz w:val="21"/>
                <w:szCs w:val="21"/>
                <w:highlight w:val="none"/>
                <w:vertAlign w:val="subscript"/>
                <w:lang w:val="en-US" w:eastAsia="zh-CN"/>
              </w:rPr>
              <w:t>2</w:t>
            </w:r>
          </w:p>
        </w:tc>
        <w:tc>
          <w:tcPr>
            <w:tcW w:w="1259" w:type="dxa"/>
            <w:vMerge w:val="restart"/>
            <w:tcBorders>
              <w:tl2br w:val="nil"/>
              <w:tr2bl w:val="nil"/>
            </w:tcBorders>
            <w:noWrap w:val="0"/>
            <w:vAlign w:val="center"/>
          </w:tcPr>
          <w:p>
            <w:pPr>
              <w:jc w:val="center"/>
              <w:rPr>
                <w:rFonts w:hint="eastAsia" w:ascii="Times New Roman" w:hAnsi="Times New Roman" w:cs="Times New Roman"/>
                <w:color w:val="auto"/>
                <w:sz w:val="21"/>
                <w:szCs w:val="21"/>
                <w:highlight w:val="none"/>
                <w:lang w:eastAsia="zh-CN"/>
              </w:rPr>
            </w:pPr>
            <w:r>
              <w:rPr>
                <w:rFonts w:hint="eastAsia" w:cs="Times New Roman"/>
                <w:color w:val="auto"/>
                <w:sz w:val="21"/>
                <w:szCs w:val="21"/>
                <w:highlight w:val="none"/>
                <w:lang w:val="en-US" w:eastAsia="zh-CN"/>
              </w:rPr>
              <w:t>4</w:t>
            </w:r>
            <w:r>
              <w:rPr>
                <w:rFonts w:hint="eastAsia" w:ascii="Times New Roman" w:hAnsi="Times New Roman" w:cs="Times New Roman"/>
                <w:color w:val="auto"/>
                <w:sz w:val="21"/>
                <w:szCs w:val="21"/>
                <w:highlight w:val="none"/>
                <w:lang w:val="en-US" w:eastAsia="zh-CN"/>
              </w:rPr>
              <w:t>#车间</w:t>
            </w:r>
          </w:p>
        </w:tc>
        <w:tc>
          <w:tcPr>
            <w:tcW w:w="1781" w:type="dxa"/>
            <w:tcBorders>
              <w:tl2br w:val="nil"/>
              <w:tr2bl w:val="nil"/>
            </w:tcBorders>
            <w:noWrap w:val="0"/>
            <w:vAlign w:val="center"/>
          </w:tcPr>
          <w:p>
            <w:pPr>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燃气燃烧</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jc w:val="center"/>
        </w:trPr>
        <w:tc>
          <w:tcPr>
            <w:tcW w:w="657" w:type="dxa"/>
            <w:tcBorders>
              <w:tl2br w:val="nil"/>
              <w:tr2bl w:val="nil"/>
            </w:tcBorders>
            <w:noWrap w:val="0"/>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5</w:t>
            </w:r>
          </w:p>
        </w:tc>
        <w:tc>
          <w:tcPr>
            <w:tcW w:w="1383" w:type="dxa"/>
            <w:tcBorders>
              <w:tl2br w:val="nil"/>
              <w:tr2bl w:val="nil"/>
            </w:tcBorders>
            <w:noWrap w:val="0"/>
            <w:vAlign w:val="center"/>
          </w:tcPr>
          <w:p>
            <w:pPr>
              <w:jc w:val="center"/>
              <w:rPr>
                <w:rFonts w:hint="eastAsia" w:eastAsia="宋体"/>
                <w:color w:val="auto"/>
                <w:highlight w:val="none"/>
                <w:lang w:val="en-US" w:eastAsia="zh-CN"/>
              </w:rPr>
            </w:pPr>
            <w:r>
              <w:rPr>
                <w:color w:val="auto"/>
                <w:szCs w:val="21"/>
                <w:highlight w:val="none"/>
              </w:rPr>
              <w:t>P</w:t>
            </w:r>
            <w:r>
              <w:rPr>
                <w:rFonts w:hint="eastAsia"/>
                <w:color w:val="auto"/>
                <w:szCs w:val="21"/>
                <w:highlight w:val="none"/>
                <w:lang w:val="en-US" w:eastAsia="zh-CN"/>
              </w:rPr>
              <w:t>4-2</w:t>
            </w:r>
          </w:p>
        </w:tc>
        <w:tc>
          <w:tcPr>
            <w:tcW w:w="1667" w:type="dxa"/>
            <w:tcBorders>
              <w:tl2br w:val="nil"/>
              <w:tr2bl w:val="nil"/>
            </w:tcBorders>
            <w:noWrap w:val="0"/>
            <w:vAlign w:val="center"/>
          </w:tcPr>
          <w:p>
            <w:pPr>
              <w:jc w:val="center"/>
              <w:rPr>
                <w:rFonts w:hint="eastAsia" w:eastAsia="宋体"/>
                <w:color w:val="auto"/>
                <w:highlight w:val="none"/>
                <w:lang w:val="en-US" w:eastAsia="zh-CN"/>
              </w:rPr>
            </w:pPr>
            <w:r>
              <w:rPr>
                <w:rFonts w:hint="eastAsia"/>
                <w:color w:val="auto"/>
                <w:highlight w:val="none"/>
                <w:lang w:val="en-US" w:eastAsia="zh-CN"/>
              </w:rPr>
              <w:t>25</w:t>
            </w:r>
          </w:p>
        </w:tc>
        <w:tc>
          <w:tcPr>
            <w:tcW w:w="2483" w:type="dxa"/>
            <w:tcBorders>
              <w:tl2br w:val="nil"/>
              <w:tr2bl w:val="nil"/>
            </w:tcBorders>
            <w:noWrap w:val="0"/>
            <w:vAlign w:val="center"/>
          </w:tcPr>
          <w:p>
            <w:pPr>
              <w:jc w:val="center"/>
              <w:rPr>
                <w:color w:val="auto"/>
                <w:highlight w:val="none"/>
              </w:rPr>
            </w:pPr>
            <w:r>
              <w:rPr>
                <w:rFonts w:hint="default" w:ascii="Times New Roman" w:hAnsi="Times New Roman" w:cs="Times New Roman"/>
                <w:color w:val="auto"/>
                <w:sz w:val="21"/>
                <w:szCs w:val="21"/>
                <w:highlight w:val="none"/>
              </w:rPr>
              <w:t>氯化氢</w:t>
            </w:r>
            <w:r>
              <w:rPr>
                <w:rFonts w:hint="default" w:ascii="Times New Roman" w:hAnsi="Times New Roman" w:cs="Times New Roman"/>
                <w:color w:val="auto"/>
                <w:sz w:val="21"/>
                <w:szCs w:val="21"/>
                <w:highlight w:val="none"/>
                <w:lang w:eastAsia="zh-CN"/>
              </w:rPr>
              <w:t>、</w:t>
            </w:r>
            <w:r>
              <w:rPr>
                <w:rFonts w:hint="eastAsia"/>
                <w:color w:val="auto"/>
                <w:highlight w:val="none"/>
                <w:lang w:eastAsia="zh-CN"/>
              </w:rPr>
              <w:t>硫酸雾</w:t>
            </w:r>
          </w:p>
        </w:tc>
        <w:tc>
          <w:tcPr>
            <w:tcW w:w="1259" w:type="dxa"/>
            <w:vMerge w:val="continue"/>
            <w:tcBorders>
              <w:tl2br w:val="nil"/>
              <w:tr2bl w:val="nil"/>
            </w:tcBorders>
            <w:noWrap w:val="0"/>
            <w:vAlign w:val="center"/>
          </w:tcPr>
          <w:p>
            <w:pPr>
              <w:jc w:val="center"/>
              <w:rPr>
                <w:rFonts w:hint="default" w:ascii="Times New Roman" w:hAnsi="Times New Roman" w:cs="Times New Roman"/>
                <w:color w:val="auto"/>
                <w:sz w:val="21"/>
                <w:szCs w:val="21"/>
                <w:highlight w:val="none"/>
              </w:rPr>
            </w:pPr>
          </w:p>
        </w:tc>
        <w:tc>
          <w:tcPr>
            <w:tcW w:w="1781" w:type="dxa"/>
            <w:tcBorders>
              <w:tl2br w:val="nil"/>
              <w:tr2bl w:val="nil"/>
            </w:tcBorders>
            <w:noWrap w:val="0"/>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镀锌</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jc w:val="center"/>
        </w:trPr>
        <w:tc>
          <w:tcPr>
            <w:tcW w:w="657" w:type="dxa"/>
            <w:tcBorders>
              <w:tl2br w:val="nil"/>
              <w:tr2bl w:val="nil"/>
            </w:tcBorders>
            <w:noWrap w:val="0"/>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6</w:t>
            </w:r>
          </w:p>
        </w:tc>
        <w:tc>
          <w:tcPr>
            <w:tcW w:w="1383" w:type="dxa"/>
            <w:tcBorders>
              <w:tl2br w:val="nil"/>
              <w:tr2bl w:val="nil"/>
            </w:tcBorders>
            <w:noWrap w:val="0"/>
            <w:vAlign w:val="center"/>
          </w:tcPr>
          <w:p>
            <w:pPr>
              <w:jc w:val="center"/>
              <w:rPr>
                <w:rFonts w:hint="eastAsia" w:eastAsia="宋体"/>
                <w:color w:val="auto"/>
                <w:highlight w:val="none"/>
                <w:lang w:val="en-US" w:eastAsia="zh-CN"/>
              </w:rPr>
            </w:pPr>
            <w:r>
              <w:rPr>
                <w:color w:val="auto"/>
                <w:szCs w:val="21"/>
                <w:highlight w:val="none"/>
              </w:rPr>
              <w:t>P</w:t>
            </w:r>
            <w:r>
              <w:rPr>
                <w:rFonts w:hint="eastAsia"/>
                <w:color w:val="auto"/>
                <w:szCs w:val="21"/>
                <w:highlight w:val="none"/>
                <w:lang w:val="en-US" w:eastAsia="zh-CN"/>
              </w:rPr>
              <w:t>5</w:t>
            </w:r>
          </w:p>
        </w:tc>
        <w:tc>
          <w:tcPr>
            <w:tcW w:w="1667" w:type="dxa"/>
            <w:tcBorders>
              <w:tl2br w:val="nil"/>
              <w:tr2bl w:val="nil"/>
            </w:tcBorders>
            <w:noWrap w:val="0"/>
            <w:vAlign w:val="center"/>
          </w:tcPr>
          <w:p>
            <w:pPr>
              <w:jc w:val="center"/>
              <w:rPr>
                <w:rFonts w:hint="eastAsia" w:eastAsia="宋体"/>
                <w:color w:val="auto"/>
                <w:highlight w:val="none"/>
                <w:lang w:val="en-US" w:eastAsia="zh-CN"/>
              </w:rPr>
            </w:pPr>
            <w:r>
              <w:rPr>
                <w:rFonts w:hint="eastAsia"/>
                <w:color w:val="auto"/>
                <w:highlight w:val="none"/>
                <w:lang w:val="en-US" w:eastAsia="zh-CN"/>
              </w:rPr>
              <w:t>25</w:t>
            </w:r>
          </w:p>
        </w:tc>
        <w:tc>
          <w:tcPr>
            <w:tcW w:w="2483" w:type="dxa"/>
            <w:tcBorders>
              <w:tl2br w:val="nil"/>
              <w:tr2bl w:val="nil"/>
            </w:tcBorders>
            <w:noWrap w:val="0"/>
            <w:vAlign w:val="center"/>
          </w:tcPr>
          <w:p>
            <w:pPr>
              <w:jc w:val="center"/>
              <w:rPr>
                <w:rFonts w:hint="eastAsia" w:eastAsia="宋体"/>
                <w:color w:val="auto"/>
                <w:highlight w:val="none"/>
                <w:lang w:val="en-US" w:eastAsia="zh-CN"/>
              </w:rPr>
            </w:pPr>
            <w:r>
              <w:rPr>
                <w:rFonts w:hint="eastAsia"/>
                <w:color w:val="auto"/>
                <w:highlight w:val="none"/>
                <w:lang w:val="en-US" w:eastAsia="zh-CN"/>
              </w:rPr>
              <w:t>铬酸雾、氯化氢、氨</w:t>
            </w:r>
          </w:p>
        </w:tc>
        <w:tc>
          <w:tcPr>
            <w:tcW w:w="1259" w:type="dxa"/>
            <w:tcBorders>
              <w:tl2br w:val="nil"/>
              <w:tr2bl w:val="nil"/>
            </w:tcBorders>
            <w:noWrap w:val="0"/>
            <w:vAlign w:val="center"/>
          </w:tcPr>
          <w:p>
            <w:pPr>
              <w:jc w:val="center"/>
              <w:rPr>
                <w:rFonts w:hint="eastAsia"/>
                <w:color w:val="auto"/>
                <w:highlight w:val="none"/>
                <w:lang w:val="en-US" w:eastAsia="zh-CN"/>
              </w:rPr>
            </w:pPr>
            <w:r>
              <w:rPr>
                <w:rFonts w:hint="eastAsia" w:cs="Times New Roman"/>
                <w:color w:val="auto"/>
                <w:sz w:val="21"/>
                <w:szCs w:val="21"/>
                <w:highlight w:val="none"/>
                <w:lang w:val="en-US" w:eastAsia="zh-CN"/>
              </w:rPr>
              <w:t>5</w:t>
            </w:r>
            <w:r>
              <w:rPr>
                <w:rFonts w:hint="eastAsia" w:ascii="Times New Roman" w:hAnsi="Times New Roman" w:cs="Times New Roman"/>
                <w:color w:val="auto"/>
                <w:sz w:val="21"/>
                <w:szCs w:val="21"/>
                <w:highlight w:val="none"/>
                <w:lang w:val="en-US" w:eastAsia="zh-CN"/>
              </w:rPr>
              <w:t>#车间</w:t>
            </w:r>
          </w:p>
        </w:tc>
        <w:tc>
          <w:tcPr>
            <w:tcW w:w="1781" w:type="dxa"/>
            <w:tcBorders>
              <w:tl2br w:val="nil"/>
              <w:tr2bl w:val="nil"/>
            </w:tcBorders>
            <w:noWrap w:val="0"/>
            <w:vAlign w:val="center"/>
          </w:tcPr>
          <w:p>
            <w:pPr>
              <w:jc w:val="center"/>
              <w:rPr>
                <w:rFonts w:hint="eastAsia"/>
                <w:color w:val="auto"/>
                <w:highlight w:val="none"/>
                <w:lang w:val="en-US" w:eastAsia="zh-CN"/>
              </w:rPr>
            </w:pPr>
            <w:r>
              <w:rPr>
                <w:rFonts w:hint="eastAsia"/>
                <w:color w:val="auto"/>
                <w:highlight w:val="none"/>
                <w:lang w:val="en-US" w:eastAsia="zh-CN"/>
              </w:rPr>
              <w:t>镀银</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jc w:val="center"/>
        </w:trPr>
        <w:tc>
          <w:tcPr>
            <w:tcW w:w="657" w:type="dxa"/>
            <w:tcBorders>
              <w:tl2br w:val="nil"/>
              <w:tr2bl w:val="nil"/>
            </w:tcBorders>
            <w:noWrap w:val="0"/>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7</w:t>
            </w:r>
          </w:p>
        </w:tc>
        <w:tc>
          <w:tcPr>
            <w:tcW w:w="1383" w:type="dxa"/>
            <w:tcBorders>
              <w:tl2br w:val="nil"/>
              <w:tr2bl w:val="nil"/>
            </w:tcBorders>
            <w:noWrap w:val="0"/>
            <w:vAlign w:val="center"/>
          </w:tcPr>
          <w:p>
            <w:pPr>
              <w:jc w:val="center"/>
              <w:rPr>
                <w:rFonts w:hint="eastAsia" w:eastAsia="宋体"/>
                <w:color w:val="auto"/>
                <w:highlight w:val="none"/>
                <w:lang w:val="en-US" w:eastAsia="zh-CN"/>
              </w:rPr>
            </w:pPr>
            <w:r>
              <w:rPr>
                <w:color w:val="auto"/>
                <w:szCs w:val="21"/>
                <w:highlight w:val="none"/>
              </w:rPr>
              <w:t>P</w:t>
            </w:r>
            <w:r>
              <w:rPr>
                <w:rFonts w:hint="eastAsia"/>
                <w:color w:val="auto"/>
                <w:szCs w:val="21"/>
                <w:highlight w:val="none"/>
                <w:lang w:val="en-US" w:eastAsia="zh-CN"/>
              </w:rPr>
              <w:t>6</w:t>
            </w:r>
          </w:p>
        </w:tc>
        <w:tc>
          <w:tcPr>
            <w:tcW w:w="1667" w:type="dxa"/>
            <w:tcBorders>
              <w:tl2br w:val="nil"/>
              <w:tr2bl w:val="nil"/>
            </w:tcBorders>
            <w:noWrap w:val="0"/>
            <w:vAlign w:val="center"/>
          </w:tcPr>
          <w:p>
            <w:pPr>
              <w:jc w:val="center"/>
              <w:rPr>
                <w:rFonts w:hint="eastAsia" w:eastAsia="宋体"/>
                <w:color w:val="auto"/>
                <w:highlight w:val="none"/>
                <w:lang w:val="en-US" w:eastAsia="zh-CN"/>
              </w:rPr>
            </w:pPr>
            <w:r>
              <w:rPr>
                <w:rFonts w:hint="eastAsia"/>
                <w:color w:val="auto"/>
                <w:highlight w:val="none"/>
                <w:lang w:val="en-US" w:eastAsia="zh-CN"/>
              </w:rPr>
              <w:t>25</w:t>
            </w:r>
          </w:p>
        </w:tc>
        <w:tc>
          <w:tcPr>
            <w:tcW w:w="2483" w:type="dxa"/>
            <w:tcBorders>
              <w:tl2br w:val="nil"/>
              <w:tr2bl w:val="nil"/>
            </w:tcBorders>
            <w:noWrap w:val="0"/>
            <w:vAlign w:val="center"/>
          </w:tcPr>
          <w:p>
            <w:pPr>
              <w:jc w:val="center"/>
              <w:rPr>
                <w:color w:val="auto"/>
                <w:highlight w:val="none"/>
              </w:rPr>
            </w:pPr>
            <w:r>
              <w:rPr>
                <w:rFonts w:hint="default" w:ascii="Times New Roman" w:hAnsi="Times New Roman" w:cs="Times New Roman"/>
                <w:color w:val="auto"/>
                <w:sz w:val="21"/>
                <w:szCs w:val="21"/>
                <w:highlight w:val="none"/>
              </w:rPr>
              <w:t>氯化氢</w:t>
            </w:r>
          </w:p>
        </w:tc>
        <w:tc>
          <w:tcPr>
            <w:tcW w:w="1259" w:type="dxa"/>
            <w:tcBorders>
              <w:tl2br w:val="nil"/>
              <w:tr2bl w:val="nil"/>
            </w:tcBorders>
            <w:noWrap w:val="0"/>
            <w:vAlign w:val="center"/>
          </w:tcPr>
          <w:p>
            <w:pPr>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6</w:t>
            </w:r>
            <w:r>
              <w:rPr>
                <w:rFonts w:hint="eastAsia" w:ascii="Times New Roman" w:hAnsi="Times New Roman" w:cs="Times New Roman"/>
                <w:color w:val="auto"/>
                <w:sz w:val="21"/>
                <w:szCs w:val="21"/>
                <w:highlight w:val="none"/>
                <w:lang w:val="en-US" w:eastAsia="zh-CN"/>
              </w:rPr>
              <w:t>#车间</w:t>
            </w:r>
          </w:p>
        </w:tc>
        <w:tc>
          <w:tcPr>
            <w:tcW w:w="1781" w:type="dxa"/>
            <w:tcBorders>
              <w:tl2br w:val="nil"/>
              <w:tr2bl w:val="nil"/>
            </w:tcBorders>
            <w:noWrap w:val="0"/>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镀锌</w:t>
            </w:r>
          </w:p>
        </w:tc>
      </w:tr>
    </w:tbl>
    <w:p>
      <w:pPr>
        <w:tabs>
          <w:tab w:val="left" w:pos="900"/>
        </w:tabs>
        <w:autoSpaceDE w:val="0"/>
        <w:autoSpaceDN w:val="0"/>
        <w:adjustRightInd w:val="0"/>
        <w:snapToGrid w:val="0"/>
        <w:spacing w:line="360" w:lineRule="auto"/>
        <w:ind w:firstLine="540" w:firstLineChars="225"/>
        <w:rPr>
          <w:rFonts w:hint="eastAsia" w:eastAsia="宋体"/>
          <w:color w:val="auto"/>
          <w:sz w:val="24"/>
          <w:highlight w:val="none"/>
          <w:lang w:eastAsia="zh-CN"/>
        </w:rPr>
      </w:pPr>
      <w:r>
        <w:rPr>
          <w:rFonts w:hint="default" w:ascii="Times New Roman" w:hAnsi="Times New Roman" w:cs="Times New Roman"/>
          <w:color w:val="auto"/>
          <w:sz w:val="24"/>
          <w:highlight w:val="none"/>
        </w:rPr>
        <w:t>选择项目正常生产期间，</w:t>
      </w:r>
      <w:r>
        <w:rPr>
          <w:rFonts w:hint="eastAsia"/>
          <w:color w:val="auto"/>
          <w:sz w:val="24"/>
          <w:highlight w:val="none"/>
        </w:rPr>
        <w:t>本次评价对酸雾塔排气筒</w:t>
      </w:r>
      <w:r>
        <w:rPr>
          <w:rFonts w:hint="eastAsia"/>
          <w:color w:val="auto"/>
          <w:sz w:val="24"/>
          <w:highlight w:val="none"/>
          <w:lang w:eastAsia="zh-CN"/>
        </w:rPr>
        <w:t>(</w:t>
      </w:r>
      <w:r>
        <w:rPr>
          <w:rFonts w:hint="eastAsia"/>
          <w:color w:val="auto"/>
          <w:sz w:val="24"/>
          <w:highlight w:val="none"/>
        </w:rPr>
        <w:t>P1~P</w:t>
      </w:r>
      <w:r>
        <w:rPr>
          <w:rFonts w:hint="eastAsia"/>
          <w:color w:val="auto"/>
          <w:sz w:val="24"/>
          <w:highlight w:val="none"/>
          <w:lang w:val="en-US" w:eastAsia="zh-CN"/>
        </w:rPr>
        <w:t>6</w:t>
      </w:r>
      <w:r>
        <w:rPr>
          <w:rFonts w:hint="eastAsia"/>
          <w:color w:val="auto"/>
          <w:sz w:val="24"/>
          <w:highlight w:val="none"/>
          <w:lang w:eastAsia="zh-CN"/>
        </w:rPr>
        <w:t>)</w:t>
      </w:r>
      <w:r>
        <w:rPr>
          <w:rFonts w:hint="eastAsia"/>
          <w:color w:val="auto"/>
          <w:sz w:val="24"/>
          <w:highlight w:val="none"/>
        </w:rPr>
        <w:t>进行了取样监测，监测时间为201</w:t>
      </w:r>
      <w:r>
        <w:rPr>
          <w:rFonts w:hint="eastAsia"/>
          <w:color w:val="auto"/>
          <w:sz w:val="24"/>
          <w:highlight w:val="none"/>
          <w:lang w:val="en-US" w:eastAsia="zh-CN"/>
        </w:rPr>
        <w:t>9</w:t>
      </w:r>
      <w:r>
        <w:rPr>
          <w:rFonts w:hint="eastAsia"/>
          <w:color w:val="auto"/>
          <w:sz w:val="24"/>
          <w:highlight w:val="none"/>
        </w:rPr>
        <w:t>年</w:t>
      </w:r>
      <w:r>
        <w:rPr>
          <w:rFonts w:hint="eastAsia"/>
          <w:color w:val="auto"/>
          <w:sz w:val="24"/>
          <w:highlight w:val="none"/>
          <w:lang w:val="en-US" w:eastAsia="zh-CN"/>
        </w:rPr>
        <w:t>9</w:t>
      </w:r>
      <w:r>
        <w:rPr>
          <w:rFonts w:hint="eastAsia"/>
          <w:color w:val="auto"/>
          <w:sz w:val="24"/>
          <w:highlight w:val="none"/>
        </w:rPr>
        <w:t>月</w:t>
      </w:r>
      <w:r>
        <w:rPr>
          <w:rFonts w:hint="eastAsia"/>
          <w:color w:val="auto"/>
          <w:sz w:val="24"/>
          <w:highlight w:val="none"/>
          <w:lang w:val="en-US" w:eastAsia="zh-CN"/>
        </w:rPr>
        <w:t>9</w:t>
      </w:r>
      <w:r>
        <w:rPr>
          <w:rFonts w:hint="eastAsia"/>
          <w:color w:val="auto"/>
          <w:sz w:val="24"/>
          <w:highlight w:val="none"/>
        </w:rPr>
        <w:t>日至201</w:t>
      </w:r>
      <w:r>
        <w:rPr>
          <w:rFonts w:hint="eastAsia"/>
          <w:color w:val="auto"/>
          <w:sz w:val="24"/>
          <w:highlight w:val="none"/>
          <w:lang w:val="en-US" w:eastAsia="zh-CN"/>
        </w:rPr>
        <w:t>9</w:t>
      </w:r>
      <w:r>
        <w:rPr>
          <w:rFonts w:hint="eastAsia"/>
          <w:color w:val="auto"/>
          <w:sz w:val="24"/>
          <w:highlight w:val="none"/>
        </w:rPr>
        <w:t>年</w:t>
      </w:r>
      <w:r>
        <w:rPr>
          <w:rFonts w:hint="eastAsia"/>
          <w:color w:val="auto"/>
          <w:sz w:val="24"/>
          <w:highlight w:val="none"/>
          <w:lang w:val="en-US" w:eastAsia="zh-CN"/>
        </w:rPr>
        <w:t>10</w:t>
      </w:r>
      <w:r>
        <w:rPr>
          <w:rFonts w:hint="eastAsia"/>
          <w:color w:val="auto"/>
          <w:sz w:val="24"/>
          <w:highlight w:val="none"/>
        </w:rPr>
        <w:t>月</w:t>
      </w:r>
      <w:r>
        <w:rPr>
          <w:rFonts w:hint="eastAsia"/>
          <w:color w:val="auto"/>
          <w:sz w:val="24"/>
          <w:highlight w:val="none"/>
          <w:lang w:val="en-US" w:eastAsia="zh-CN"/>
        </w:rPr>
        <w:t>10</w:t>
      </w:r>
      <w:r>
        <w:rPr>
          <w:rFonts w:hint="eastAsia"/>
          <w:color w:val="auto"/>
          <w:sz w:val="24"/>
          <w:highlight w:val="none"/>
        </w:rPr>
        <w:t>日，监测结果见下</w:t>
      </w:r>
      <w:r>
        <w:rPr>
          <w:rFonts w:hint="eastAsia"/>
          <w:color w:val="auto"/>
          <w:sz w:val="24"/>
          <w:highlight w:val="none"/>
        </w:rPr>
        <w:t>表</w:t>
      </w:r>
      <w:r>
        <w:rPr>
          <w:rFonts w:hint="eastAsia"/>
          <w:color w:val="auto"/>
          <w:sz w:val="24"/>
          <w:highlight w:val="none"/>
          <w:lang w:val="en-US" w:eastAsia="zh-CN"/>
        </w:rPr>
        <w:t>2.5</w:t>
      </w:r>
      <w:r>
        <w:rPr>
          <w:rFonts w:hint="eastAsia"/>
          <w:color w:val="auto"/>
          <w:sz w:val="24"/>
          <w:highlight w:val="none"/>
        </w:rPr>
        <w:t>-5。</w:t>
      </w:r>
    </w:p>
    <w:p>
      <w:pPr>
        <w:keepNext w:val="0"/>
        <w:keepLines w:val="0"/>
        <w:pageBreakBefore w:val="0"/>
        <w:widowControl w:val="0"/>
        <w:kinsoku/>
        <w:wordWrap/>
        <w:overflowPunct/>
        <w:topLinePunct w:val="0"/>
        <w:autoSpaceDE/>
        <w:autoSpaceDN/>
        <w:bidi w:val="0"/>
        <w:adjustRightInd/>
        <w:snapToGrid w:val="0"/>
        <w:spacing w:line="240" w:lineRule="auto"/>
        <w:ind w:right="482"/>
        <w:jc w:val="center"/>
        <w:textAlignment w:val="auto"/>
        <w:outlineLvl w:val="9"/>
        <w:rPr>
          <w:rFonts w:eastAsia="黑体"/>
          <w:bCs/>
          <w:color w:val="auto"/>
          <w:sz w:val="24"/>
          <w:highlight w:val="none"/>
        </w:rPr>
      </w:pPr>
      <w:r>
        <w:rPr>
          <w:rFonts w:eastAsia="黑体"/>
          <w:bCs/>
          <w:color w:val="auto"/>
          <w:sz w:val="24"/>
          <w:highlight w:val="none"/>
        </w:rPr>
        <w:t>表</w:t>
      </w:r>
      <w:r>
        <w:rPr>
          <w:rFonts w:hint="eastAsia" w:eastAsia="黑体"/>
          <w:bCs/>
          <w:color w:val="auto"/>
          <w:sz w:val="24"/>
          <w:highlight w:val="none"/>
          <w:lang w:eastAsia="zh-CN"/>
        </w:rPr>
        <w:t>2.5</w:t>
      </w:r>
      <w:r>
        <w:rPr>
          <w:rFonts w:eastAsia="黑体"/>
          <w:bCs/>
          <w:color w:val="auto"/>
          <w:sz w:val="24"/>
          <w:highlight w:val="none"/>
        </w:rPr>
        <w:t>-</w:t>
      </w:r>
      <w:r>
        <w:rPr>
          <w:rFonts w:hint="eastAsia" w:eastAsia="黑体"/>
          <w:bCs/>
          <w:color w:val="auto"/>
          <w:sz w:val="24"/>
          <w:highlight w:val="none"/>
          <w:lang w:val="en-US" w:eastAsia="zh-CN"/>
        </w:rPr>
        <w:t>5</w:t>
      </w:r>
      <w:r>
        <w:rPr>
          <w:rFonts w:eastAsia="黑体"/>
          <w:bCs/>
          <w:color w:val="auto"/>
          <w:sz w:val="24"/>
          <w:highlight w:val="none"/>
        </w:rPr>
        <w:t xml:space="preserve">  有组织废气监测结果</w:t>
      </w:r>
    </w:p>
    <w:tbl>
      <w:tblPr>
        <w:tblStyle w:val="36"/>
        <w:tblW w:w="9996" w:type="dxa"/>
        <w:jc w:val="center"/>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fixed"/>
        <w:tblCellMar>
          <w:top w:w="0" w:type="dxa"/>
          <w:left w:w="0" w:type="dxa"/>
          <w:bottom w:w="0" w:type="dxa"/>
          <w:right w:w="0" w:type="dxa"/>
        </w:tblCellMar>
      </w:tblPr>
      <w:tblGrid>
        <w:gridCol w:w="431"/>
        <w:gridCol w:w="800"/>
        <w:gridCol w:w="1700"/>
        <w:gridCol w:w="550"/>
        <w:gridCol w:w="883"/>
        <w:gridCol w:w="850"/>
        <w:gridCol w:w="833"/>
        <w:gridCol w:w="967"/>
        <w:gridCol w:w="933"/>
        <w:gridCol w:w="980"/>
        <w:gridCol w:w="1069"/>
      </w:tblGrid>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821" w:hRule="exact"/>
          <w:jc w:val="center"/>
        </w:trPr>
        <w:tc>
          <w:tcPr>
            <w:tcW w:w="2931" w:type="dxa"/>
            <w:gridSpan w:val="3"/>
            <w:vAlign w:val="center"/>
          </w:tcPr>
          <w:p>
            <w:pPr>
              <w:jc w:val="center"/>
              <w:rPr>
                <w:b/>
                <w:bCs/>
                <w:color w:val="auto"/>
                <w:highlight w:val="none"/>
              </w:rPr>
            </w:pPr>
            <w:r>
              <w:rPr>
                <w:rFonts w:hint="eastAsia"/>
                <w:b/>
                <w:bCs/>
                <w:color w:val="auto"/>
                <w:highlight w:val="none"/>
              </w:rPr>
              <w:t>项目</w:t>
            </w:r>
          </w:p>
        </w:tc>
        <w:tc>
          <w:tcPr>
            <w:tcW w:w="550" w:type="dxa"/>
            <w:vAlign w:val="center"/>
          </w:tcPr>
          <w:p>
            <w:pPr>
              <w:jc w:val="center"/>
              <w:rPr>
                <w:b/>
                <w:bCs/>
                <w:color w:val="auto"/>
                <w:highlight w:val="none"/>
              </w:rPr>
            </w:pPr>
            <w:r>
              <w:rPr>
                <w:rFonts w:hint="eastAsia"/>
                <w:b/>
                <w:bCs/>
                <w:color w:val="auto"/>
                <w:highlight w:val="none"/>
              </w:rPr>
              <w:t>日期</w:t>
            </w:r>
          </w:p>
        </w:tc>
        <w:tc>
          <w:tcPr>
            <w:tcW w:w="2566" w:type="dxa"/>
            <w:gridSpan w:val="3"/>
            <w:vAlign w:val="center"/>
          </w:tcPr>
          <w:p>
            <w:pPr>
              <w:jc w:val="center"/>
              <w:rPr>
                <w:b/>
                <w:bCs/>
                <w:color w:val="auto"/>
                <w:highlight w:val="none"/>
              </w:rPr>
            </w:pPr>
            <w:r>
              <w:rPr>
                <w:rFonts w:hint="eastAsia"/>
                <w:b/>
                <w:bCs/>
                <w:color w:val="auto"/>
                <w:highlight w:val="none"/>
              </w:rPr>
              <w:t>进口</w:t>
            </w:r>
          </w:p>
        </w:tc>
        <w:tc>
          <w:tcPr>
            <w:tcW w:w="2880" w:type="dxa"/>
            <w:gridSpan w:val="3"/>
            <w:vAlign w:val="center"/>
          </w:tcPr>
          <w:p>
            <w:pPr>
              <w:jc w:val="center"/>
              <w:rPr>
                <w:b/>
                <w:bCs/>
                <w:color w:val="auto"/>
                <w:highlight w:val="none"/>
              </w:rPr>
            </w:pPr>
            <w:r>
              <w:rPr>
                <w:rFonts w:hint="eastAsia"/>
                <w:b/>
                <w:bCs/>
                <w:color w:val="auto"/>
                <w:highlight w:val="none"/>
              </w:rPr>
              <w:t>出口</w:t>
            </w:r>
          </w:p>
        </w:tc>
        <w:tc>
          <w:tcPr>
            <w:tcW w:w="1069" w:type="dxa"/>
            <w:vAlign w:val="center"/>
          </w:tcPr>
          <w:p>
            <w:pPr>
              <w:jc w:val="center"/>
              <w:rPr>
                <w:rFonts w:hint="eastAsia" w:eastAsia="宋体"/>
                <w:b/>
                <w:bCs/>
                <w:color w:val="auto"/>
                <w:highlight w:val="none"/>
                <w:lang w:val="en-US" w:eastAsia="zh-CN"/>
              </w:rPr>
            </w:pPr>
            <w:r>
              <w:rPr>
                <w:rFonts w:hint="eastAsia"/>
                <w:b/>
                <w:bCs/>
                <w:color w:val="auto"/>
                <w:sz w:val="20"/>
                <w:szCs w:val="22"/>
                <w:highlight w:val="none"/>
                <w:lang w:val="en-US" w:eastAsia="zh-CN"/>
              </w:rPr>
              <w:t>最大</w:t>
            </w:r>
            <w:r>
              <w:rPr>
                <w:rFonts w:hint="eastAsia"/>
                <w:b/>
                <w:bCs/>
                <w:color w:val="auto"/>
                <w:sz w:val="20"/>
                <w:szCs w:val="22"/>
                <w:highlight w:val="none"/>
              </w:rPr>
              <w:t>基准气量浓度</w:t>
            </w:r>
            <w:r>
              <w:rPr>
                <w:rFonts w:hint="eastAsia"/>
                <w:b/>
                <w:bCs/>
                <w:color w:val="auto"/>
                <w:sz w:val="20"/>
                <w:szCs w:val="22"/>
                <w:highlight w:val="none"/>
                <w:lang w:val="en-US" w:eastAsia="zh-CN"/>
              </w:rPr>
              <w:t>(</w:t>
            </w:r>
            <w:r>
              <w:rPr>
                <w:rFonts w:hint="eastAsia"/>
                <w:b/>
                <w:bCs/>
                <w:color w:val="auto"/>
                <w:sz w:val="20"/>
                <w:szCs w:val="22"/>
                <w:highlight w:val="none"/>
              </w:rPr>
              <w:t>mg/m</w:t>
            </w:r>
            <w:r>
              <w:rPr>
                <w:rFonts w:hint="eastAsia"/>
                <w:b/>
                <w:bCs/>
                <w:color w:val="auto"/>
                <w:sz w:val="20"/>
                <w:szCs w:val="22"/>
                <w:highlight w:val="none"/>
                <w:vertAlign w:val="superscript"/>
              </w:rPr>
              <w:t>3</w:t>
            </w:r>
            <w:r>
              <w:rPr>
                <w:rFonts w:hint="eastAsia"/>
                <w:b/>
                <w:bCs/>
                <w:color w:val="auto"/>
                <w:sz w:val="20"/>
                <w:szCs w:val="22"/>
                <w:highlight w:val="none"/>
                <w:vertAlign w:val="baseline"/>
                <w:lang w:val="en-US" w:eastAsia="zh-CN"/>
              </w:rPr>
              <w:t>)</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431" w:type="dxa"/>
            <w:vMerge w:val="restart"/>
            <w:vAlign w:val="center"/>
          </w:tcPr>
          <w:p>
            <w:pPr>
              <w:jc w:val="center"/>
              <w:rPr>
                <w:rFonts w:hint="eastAsia" w:eastAsia="宋体"/>
                <w:color w:val="auto"/>
                <w:highlight w:val="none"/>
                <w:lang w:val="en-US" w:eastAsia="zh-CN"/>
              </w:rPr>
            </w:pPr>
            <w:r>
              <w:rPr>
                <w:rFonts w:hint="eastAsia"/>
                <w:color w:val="auto"/>
                <w:highlight w:val="none"/>
                <w:lang w:val="en-US" w:eastAsia="zh-CN"/>
              </w:rPr>
              <w:t>P1</w:t>
            </w:r>
          </w:p>
        </w:tc>
        <w:tc>
          <w:tcPr>
            <w:tcW w:w="2500" w:type="dxa"/>
            <w:gridSpan w:val="2"/>
            <w:vAlign w:val="center"/>
          </w:tcPr>
          <w:p>
            <w:pPr>
              <w:tabs>
                <w:tab w:val="left" w:pos="7020"/>
              </w:tabs>
              <w:spacing w:line="160" w:lineRule="atLeast"/>
              <w:jc w:val="center"/>
              <w:rPr>
                <w:color w:val="auto"/>
                <w:highlight w:val="none"/>
              </w:rPr>
            </w:pPr>
            <w:r>
              <w:rPr>
                <w:color w:val="auto"/>
                <w:highlight w:val="none"/>
              </w:rPr>
              <w:t>标干废气量(m</w:t>
            </w:r>
            <w:r>
              <w:rPr>
                <w:color w:val="auto"/>
                <w:highlight w:val="none"/>
                <w:vertAlign w:val="superscript"/>
              </w:rPr>
              <w:t>3</w:t>
            </w:r>
            <w:r>
              <w:rPr>
                <w:color w:val="auto"/>
                <w:highlight w:val="none"/>
              </w:rPr>
              <w:t>/h)</w:t>
            </w:r>
          </w:p>
        </w:tc>
        <w:tc>
          <w:tcPr>
            <w:tcW w:w="550" w:type="dxa"/>
            <w:vMerge w:val="restart"/>
            <w:vAlign w:val="center"/>
          </w:tcPr>
          <w:p>
            <w:pPr>
              <w:jc w:val="center"/>
              <w:rPr>
                <w:rFonts w:hint="eastAsia" w:eastAsia="宋体"/>
                <w:color w:val="auto"/>
                <w:highlight w:val="none"/>
                <w:lang w:val="en-US" w:eastAsia="zh-CN"/>
              </w:rPr>
            </w:pPr>
            <w:r>
              <w:rPr>
                <w:rFonts w:hint="eastAsia"/>
                <w:color w:val="auto"/>
                <w:highlight w:val="none"/>
                <w:lang w:val="en-US" w:eastAsia="zh-CN"/>
              </w:rPr>
              <w:t>9</w:t>
            </w:r>
            <w:r>
              <w:rPr>
                <w:rFonts w:hint="eastAsia"/>
                <w:color w:val="auto"/>
                <w:highlight w:val="none"/>
              </w:rPr>
              <w:t>.</w:t>
            </w:r>
            <w:r>
              <w:rPr>
                <w:rFonts w:hint="eastAsia"/>
                <w:color w:val="auto"/>
                <w:highlight w:val="none"/>
                <w:lang w:val="en-US" w:eastAsia="zh-CN"/>
              </w:rPr>
              <w:t>9</w:t>
            </w:r>
          </w:p>
        </w:tc>
        <w:tc>
          <w:tcPr>
            <w:tcW w:w="883" w:type="dxa"/>
            <w:vAlign w:val="center"/>
          </w:tcPr>
          <w:p>
            <w:pPr>
              <w:jc w:val="center"/>
              <w:rPr>
                <w:rFonts w:hint="eastAsia" w:eastAsia="宋体"/>
                <w:color w:val="auto"/>
                <w:highlight w:val="none"/>
                <w:lang w:val="en-US" w:eastAsia="zh-CN"/>
              </w:rPr>
            </w:pPr>
            <w:r>
              <w:rPr>
                <w:rFonts w:hint="eastAsia"/>
                <w:color w:val="auto"/>
                <w:highlight w:val="none"/>
                <w:lang w:val="en-US" w:eastAsia="zh-CN"/>
              </w:rPr>
              <w:t>8651</w:t>
            </w:r>
          </w:p>
        </w:tc>
        <w:tc>
          <w:tcPr>
            <w:tcW w:w="850" w:type="dxa"/>
            <w:vAlign w:val="center"/>
          </w:tcPr>
          <w:p>
            <w:pPr>
              <w:jc w:val="center"/>
              <w:rPr>
                <w:rFonts w:hint="eastAsia" w:eastAsia="宋体"/>
                <w:color w:val="auto"/>
                <w:highlight w:val="none"/>
                <w:lang w:val="en-US" w:eastAsia="zh-CN"/>
              </w:rPr>
            </w:pPr>
            <w:r>
              <w:rPr>
                <w:rFonts w:hint="eastAsia"/>
                <w:color w:val="auto"/>
                <w:highlight w:val="none"/>
                <w:lang w:val="en-US" w:eastAsia="zh-CN"/>
              </w:rPr>
              <w:t>8658</w:t>
            </w:r>
          </w:p>
        </w:tc>
        <w:tc>
          <w:tcPr>
            <w:tcW w:w="833" w:type="dxa"/>
            <w:vAlign w:val="center"/>
          </w:tcPr>
          <w:p>
            <w:pPr>
              <w:jc w:val="center"/>
              <w:rPr>
                <w:rFonts w:hint="eastAsia" w:eastAsia="宋体"/>
                <w:color w:val="auto"/>
                <w:highlight w:val="none"/>
                <w:lang w:val="en-US" w:eastAsia="zh-CN"/>
              </w:rPr>
            </w:pPr>
            <w:r>
              <w:rPr>
                <w:rFonts w:hint="eastAsia"/>
                <w:color w:val="auto"/>
                <w:highlight w:val="none"/>
                <w:lang w:val="en-US" w:eastAsia="zh-CN"/>
              </w:rPr>
              <w:t>8266</w:t>
            </w:r>
          </w:p>
        </w:tc>
        <w:tc>
          <w:tcPr>
            <w:tcW w:w="967" w:type="dxa"/>
            <w:vAlign w:val="center"/>
          </w:tcPr>
          <w:p>
            <w:pPr>
              <w:jc w:val="center"/>
              <w:rPr>
                <w:rFonts w:hint="eastAsia" w:eastAsia="宋体"/>
                <w:color w:val="auto"/>
                <w:highlight w:val="none"/>
                <w:lang w:val="en-US" w:eastAsia="zh-CN"/>
              </w:rPr>
            </w:pPr>
            <w:r>
              <w:rPr>
                <w:rFonts w:hint="eastAsia"/>
                <w:color w:val="auto"/>
                <w:highlight w:val="none"/>
                <w:lang w:val="en-US" w:eastAsia="zh-CN"/>
              </w:rPr>
              <w:t>8148</w:t>
            </w:r>
          </w:p>
        </w:tc>
        <w:tc>
          <w:tcPr>
            <w:tcW w:w="933" w:type="dxa"/>
            <w:vAlign w:val="center"/>
          </w:tcPr>
          <w:p>
            <w:pPr>
              <w:jc w:val="center"/>
              <w:rPr>
                <w:rFonts w:hint="eastAsia" w:eastAsia="宋体"/>
                <w:color w:val="auto"/>
                <w:highlight w:val="none"/>
                <w:lang w:val="en-US" w:eastAsia="zh-CN"/>
              </w:rPr>
            </w:pPr>
            <w:r>
              <w:rPr>
                <w:rFonts w:hint="eastAsia"/>
                <w:color w:val="auto"/>
                <w:highlight w:val="none"/>
                <w:lang w:val="en-US" w:eastAsia="zh-CN"/>
              </w:rPr>
              <w:t>8358</w:t>
            </w:r>
          </w:p>
        </w:tc>
        <w:tc>
          <w:tcPr>
            <w:tcW w:w="980" w:type="dxa"/>
            <w:vAlign w:val="center"/>
          </w:tcPr>
          <w:p>
            <w:pPr>
              <w:jc w:val="center"/>
              <w:rPr>
                <w:rFonts w:hint="eastAsia" w:eastAsia="宋体"/>
                <w:color w:val="auto"/>
                <w:highlight w:val="none"/>
                <w:lang w:val="en-US" w:eastAsia="zh-CN"/>
              </w:rPr>
            </w:pPr>
            <w:r>
              <w:rPr>
                <w:rFonts w:hint="eastAsia"/>
                <w:color w:val="auto"/>
                <w:highlight w:val="none"/>
                <w:lang w:val="en-US" w:eastAsia="zh-CN"/>
              </w:rPr>
              <w:t>8637</w:t>
            </w:r>
          </w:p>
        </w:tc>
        <w:tc>
          <w:tcPr>
            <w:tcW w:w="1069" w:type="dxa"/>
            <w:vMerge w:val="restart"/>
            <w:vAlign w:val="center"/>
          </w:tcPr>
          <w:p>
            <w:pPr>
              <w:jc w:val="center"/>
              <w:rPr>
                <w:rFonts w:hint="eastAsia"/>
                <w:color w:val="auto"/>
                <w:highlight w:val="none"/>
                <w:lang w:val="en-US" w:eastAsia="zh-CN"/>
              </w:rPr>
            </w:pPr>
            <w:r>
              <w:rPr>
                <w:rFonts w:hint="eastAsia"/>
                <w:color w:val="auto"/>
                <w:highlight w:val="none"/>
                <w:lang w:val="en-US" w:eastAsia="zh-CN"/>
              </w:rPr>
              <w:t>13.68</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431" w:type="dxa"/>
            <w:vMerge w:val="continue"/>
            <w:vAlign w:val="center"/>
          </w:tcPr>
          <w:p>
            <w:pPr>
              <w:jc w:val="center"/>
              <w:rPr>
                <w:color w:val="auto"/>
                <w:highlight w:val="none"/>
              </w:rPr>
            </w:pPr>
          </w:p>
        </w:tc>
        <w:tc>
          <w:tcPr>
            <w:tcW w:w="800" w:type="dxa"/>
            <w:vMerge w:val="restart"/>
            <w:vAlign w:val="center"/>
          </w:tcPr>
          <w:p>
            <w:pPr>
              <w:tabs>
                <w:tab w:val="left" w:pos="7020"/>
              </w:tabs>
              <w:spacing w:line="160" w:lineRule="atLeast"/>
              <w:jc w:val="center"/>
              <w:rPr>
                <w:color w:val="auto"/>
                <w:highlight w:val="none"/>
              </w:rPr>
            </w:pPr>
            <w:r>
              <w:rPr>
                <w:rFonts w:hint="default" w:ascii="Times New Roman" w:hAnsi="Times New Roman" w:cs="Times New Roman"/>
                <w:color w:val="auto"/>
                <w:sz w:val="21"/>
                <w:szCs w:val="21"/>
                <w:highlight w:val="none"/>
              </w:rPr>
              <w:t>氯化氢</w:t>
            </w:r>
          </w:p>
        </w:tc>
        <w:tc>
          <w:tcPr>
            <w:tcW w:w="1700" w:type="dxa"/>
            <w:vAlign w:val="center"/>
          </w:tcPr>
          <w:p>
            <w:pPr>
              <w:tabs>
                <w:tab w:val="left" w:pos="7020"/>
              </w:tabs>
              <w:spacing w:line="160" w:lineRule="atLeast"/>
              <w:jc w:val="center"/>
              <w:rPr>
                <w:color w:val="auto"/>
                <w:highlight w:val="none"/>
              </w:rPr>
            </w:pPr>
            <w:r>
              <w:rPr>
                <w:color w:val="auto"/>
                <w:highlight w:val="none"/>
              </w:rPr>
              <w:t>排放浓</w:t>
            </w:r>
            <w:r>
              <w:rPr>
                <w:rFonts w:hint="eastAsia"/>
                <w:color w:val="auto"/>
                <w:highlight w:val="none"/>
              </w:rPr>
              <w:t>度</w:t>
            </w:r>
            <w:r>
              <w:rPr>
                <w:color w:val="auto"/>
                <w:highlight w:val="none"/>
              </w:rPr>
              <w:t>(mg/m</w:t>
            </w:r>
            <w:r>
              <w:rPr>
                <w:color w:val="auto"/>
                <w:highlight w:val="none"/>
                <w:vertAlign w:val="superscript"/>
              </w:rPr>
              <w:t>3</w:t>
            </w:r>
            <w:r>
              <w:rPr>
                <w:color w:val="auto"/>
                <w:highlight w:val="none"/>
              </w:rPr>
              <w:t>)</w:t>
            </w:r>
          </w:p>
        </w:tc>
        <w:tc>
          <w:tcPr>
            <w:tcW w:w="550" w:type="dxa"/>
            <w:vMerge w:val="continue"/>
            <w:vAlign w:val="center"/>
          </w:tcPr>
          <w:p>
            <w:pPr>
              <w:jc w:val="center"/>
              <w:rPr>
                <w:color w:val="auto"/>
                <w:highlight w:val="none"/>
              </w:rPr>
            </w:pPr>
          </w:p>
        </w:tc>
        <w:tc>
          <w:tcPr>
            <w:tcW w:w="883" w:type="dxa"/>
            <w:vAlign w:val="center"/>
          </w:tcPr>
          <w:p>
            <w:pPr>
              <w:jc w:val="center"/>
              <w:rPr>
                <w:color w:val="auto"/>
                <w:highlight w:val="none"/>
                <w:lang w:val="en-US"/>
              </w:rPr>
            </w:pPr>
            <w:r>
              <w:rPr>
                <w:rFonts w:hint="eastAsia"/>
                <w:color w:val="auto"/>
                <w:highlight w:val="none"/>
                <w:lang w:val="en-US" w:eastAsia="zh-CN"/>
              </w:rPr>
              <w:t>3.3</w:t>
            </w:r>
          </w:p>
        </w:tc>
        <w:tc>
          <w:tcPr>
            <w:tcW w:w="850" w:type="dxa"/>
            <w:vAlign w:val="center"/>
          </w:tcPr>
          <w:p>
            <w:pPr>
              <w:jc w:val="center"/>
              <w:rPr>
                <w:rFonts w:hint="eastAsia" w:eastAsia="宋体"/>
                <w:color w:val="auto"/>
                <w:highlight w:val="none"/>
                <w:lang w:val="en-US" w:eastAsia="zh-CN"/>
              </w:rPr>
            </w:pPr>
            <w:r>
              <w:rPr>
                <w:rFonts w:hint="eastAsia"/>
                <w:color w:val="auto"/>
                <w:highlight w:val="none"/>
                <w:lang w:val="en-US" w:eastAsia="zh-CN"/>
              </w:rPr>
              <w:t>2.6</w:t>
            </w:r>
          </w:p>
        </w:tc>
        <w:tc>
          <w:tcPr>
            <w:tcW w:w="833" w:type="dxa"/>
            <w:vAlign w:val="center"/>
          </w:tcPr>
          <w:p>
            <w:pPr>
              <w:jc w:val="center"/>
              <w:rPr>
                <w:rFonts w:hint="eastAsia" w:eastAsia="宋体"/>
                <w:color w:val="auto"/>
                <w:highlight w:val="none"/>
                <w:lang w:val="en-US" w:eastAsia="zh-CN"/>
              </w:rPr>
            </w:pPr>
            <w:r>
              <w:rPr>
                <w:rFonts w:hint="eastAsia"/>
                <w:color w:val="auto"/>
                <w:highlight w:val="none"/>
                <w:lang w:val="en-US" w:eastAsia="zh-CN"/>
              </w:rPr>
              <w:t>3.0</w:t>
            </w:r>
          </w:p>
        </w:tc>
        <w:tc>
          <w:tcPr>
            <w:tcW w:w="967" w:type="dxa"/>
            <w:vAlign w:val="center"/>
          </w:tcPr>
          <w:p>
            <w:pPr>
              <w:jc w:val="center"/>
              <w:rPr>
                <w:rFonts w:hint="eastAsia" w:eastAsia="宋体"/>
                <w:color w:val="auto"/>
                <w:highlight w:val="none"/>
                <w:lang w:val="en-US" w:eastAsia="zh-CN"/>
              </w:rPr>
            </w:pPr>
            <w:r>
              <w:rPr>
                <w:rFonts w:hint="eastAsia"/>
                <w:color w:val="auto"/>
                <w:highlight w:val="none"/>
                <w:lang w:val="en-US" w:eastAsia="zh-CN"/>
              </w:rPr>
              <w:t>＜0.2</w:t>
            </w:r>
          </w:p>
        </w:tc>
        <w:tc>
          <w:tcPr>
            <w:tcW w:w="933" w:type="dxa"/>
            <w:vAlign w:val="center"/>
          </w:tcPr>
          <w:p>
            <w:pPr>
              <w:jc w:val="center"/>
              <w:rPr>
                <w:rFonts w:hint="eastAsia" w:eastAsia="宋体"/>
                <w:color w:val="auto"/>
                <w:highlight w:val="none"/>
                <w:lang w:val="en-US" w:eastAsia="zh-CN"/>
              </w:rPr>
            </w:pPr>
            <w:r>
              <w:rPr>
                <w:rFonts w:hint="eastAsia"/>
                <w:color w:val="auto"/>
                <w:highlight w:val="none"/>
                <w:lang w:val="en-US" w:eastAsia="zh-CN"/>
              </w:rPr>
              <w:t>0.229</w:t>
            </w:r>
          </w:p>
        </w:tc>
        <w:tc>
          <w:tcPr>
            <w:tcW w:w="980" w:type="dxa"/>
            <w:vAlign w:val="center"/>
          </w:tcPr>
          <w:p>
            <w:pPr>
              <w:jc w:val="center"/>
              <w:rPr>
                <w:rFonts w:hint="eastAsia" w:eastAsia="宋体"/>
                <w:color w:val="auto"/>
                <w:highlight w:val="none"/>
                <w:lang w:val="en-US" w:eastAsia="zh-CN"/>
              </w:rPr>
            </w:pPr>
            <w:r>
              <w:rPr>
                <w:rFonts w:hint="eastAsia"/>
                <w:color w:val="auto"/>
                <w:highlight w:val="none"/>
                <w:lang w:val="en-US" w:eastAsia="zh-CN"/>
              </w:rPr>
              <w:t>＜0.2</w:t>
            </w:r>
          </w:p>
        </w:tc>
        <w:tc>
          <w:tcPr>
            <w:tcW w:w="1069" w:type="dxa"/>
            <w:vMerge w:val="continue"/>
            <w:vAlign w:val="center"/>
          </w:tcPr>
          <w:p>
            <w:pPr>
              <w:jc w:val="center"/>
              <w:rPr>
                <w:rFonts w:hint="eastAsia"/>
                <w:color w:val="auto"/>
                <w:highlight w:val="none"/>
                <w:lang w:val="en-US" w:eastAsia="zh-CN"/>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431" w:type="dxa"/>
            <w:vMerge w:val="continue"/>
            <w:vAlign w:val="center"/>
          </w:tcPr>
          <w:p>
            <w:pPr>
              <w:jc w:val="center"/>
              <w:rPr>
                <w:color w:val="auto"/>
                <w:highlight w:val="none"/>
              </w:rPr>
            </w:pPr>
          </w:p>
        </w:tc>
        <w:tc>
          <w:tcPr>
            <w:tcW w:w="800" w:type="dxa"/>
            <w:vMerge w:val="continue"/>
            <w:vAlign w:val="center"/>
          </w:tcPr>
          <w:p>
            <w:pPr>
              <w:tabs>
                <w:tab w:val="left" w:pos="7020"/>
              </w:tabs>
              <w:spacing w:line="160" w:lineRule="atLeast"/>
              <w:jc w:val="center"/>
              <w:rPr>
                <w:color w:val="auto"/>
                <w:highlight w:val="none"/>
              </w:rPr>
            </w:pPr>
          </w:p>
        </w:tc>
        <w:tc>
          <w:tcPr>
            <w:tcW w:w="1700" w:type="dxa"/>
            <w:vAlign w:val="center"/>
          </w:tcPr>
          <w:p>
            <w:pPr>
              <w:tabs>
                <w:tab w:val="left" w:pos="7020"/>
              </w:tabs>
              <w:spacing w:line="160" w:lineRule="atLeast"/>
              <w:jc w:val="center"/>
              <w:rPr>
                <w:color w:val="auto"/>
                <w:highlight w:val="none"/>
              </w:rPr>
            </w:pPr>
            <w:r>
              <w:rPr>
                <w:color w:val="auto"/>
                <w:highlight w:val="none"/>
              </w:rPr>
              <w:t>排放速率(kg/h)</w:t>
            </w:r>
          </w:p>
        </w:tc>
        <w:tc>
          <w:tcPr>
            <w:tcW w:w="550" w:type="dxa"/>
            <w:vMerge w:val="continue"/>
            <w:vAlign w:val="center"/>
          </w:tcPr>
          <w:p>
            <w:pPr>
              <w:jc w:val="center"/>
              <w:rPr>
                <w:color w:val="auto"/>
                <w:highlight w:val="none"/>
              </w:rPr>
            </w:pPr>
          </w:p>
        </w:tc>
        <w:tc>
          <w:tcPr>
            <w:tcW w:w="883" w:type="dxa"/>
            <w:vAlign w:val="center"/>
          </w:tcPr>
          <w:p>
            <w:pPr>
              <w:jc w:val="center"/>
              <w:rPr>
                <w:rFonts w:hint="eastAsia" w:eastAsia="宋体"/>
                <w:color w:val="auto"/>
                <w:highlight w:val="none"/>
                <w:lang w:val="en-US" w:eastAsia="zh-CN"/>
              </w:rPr>
            </w:pPr>
            <w:r>
              <w:rPr>
                <w:rFonts w:hint="eastAsia"/>
                <w:color w:val="auto"/>
                <w:highlight w:val="none"/>
                <w:lang w:val="en-US" w:eastAsia="zh-CN"/>
              </w:rPr>
              <w:t>0.029</w:t>
            </w:r>
          </w:p>
        </w:tc>
        <w:tc>
          <w:tcPr>
            <w:tcW w:w="850" w:type="dxa"/>
            <w:vAlign w:val="center"/>
          </w:tcPr>
          <w:p>
            <w:pPr>
              <w:jc w:val="center"/>
              <w:rPr>
                <w:rFonts w:hint="eastAsia" w:eastAsia="宋体"/>
                <w:color w:val="auto"/>
                <w:highlight w:val="none"/>
                <w:lang w:val="en-US" w:eastAsia="zh-CN"/>
              </w:rPr>
            </w:pPr>
            <w:r>
              <w:rPr>
                <w:rFonts w:hint="eastAsia"/>
                <w:color w:val="auto"/>
                <w:highlight w:val="none"/>
                <w:lang w:val="en-US" w:eastAsia="zh-CN"/>
              </w:rPr>
              <w:t>0.022</w:t>
            </w:r>
          </w:p>
        </w:tc>
        <w:tc>
          <w:tcPr>
            <w:tcW w:w="833" w:type="dxa"/>
            <w:vAlign w:val="center"/>
          </w:tcPr>
          <w:p>
            <w:pPr>
              <w:jc w:val="center"/>
              <w:rPr>
                <w:rFonts w:hint="eastAsia" w:eastAsia="宋体"/>
                <w:color w:val="auto"/>
                <w:highlight w:val="none"/>
                <w:lang w:val="en-US" w:eastAsia="zh-CN"/>
              </w:rPr>
            </w:pPr>
            <w:r>
              <w:rPr>
                <w:rFonts w:hint="eastAsia"/>
                <w:color w:val="auto"/>
                <w:highlight w:val="none"/>
                <w:lang w:val="en-US" w:eastAsia="zh-CN"/>
              </w:rPr>
              <w:t>0.024</w:t>
            </w:r>
          </w:p>
        </w:tc>
        <w:tc>
          <w:tcPr>
            <w:tcW w:w="967" w:type="dxa"/>
            <w:vAlign w:val="center"/>
          </w:tcPr>
          <w:p>
            <w:pPr>
              <w:jc w:val="center"/>
              <w:rPr>
                <w:rFonts w:hint="eastAsia" w:eastAsia="宋体"/>
                <w:color w:val="auto"/>
                <w:highlight w:val="none"/>
                <w:lang w:val="en-US" w:eastAsia="zh-CN"/>
              </w:rPr>
            </w:pPr>
            <w:r>
              <w:rPr>
                <w:rFonts w:hint="eastAsia"/>
                <w:color w:val="auto"/>
                <w:highlight w:val="none"/>
                <w:lang w:val="en-US" w:eastAsia="zh-CN"/>
              </w:rPr>
              <w:t>/</w:t>
            </w:r>
          </w:p>
        </w:tc>
        <w:tc>
          <w:tcPr>
            <w:tcW w:w="933" w:type="dxa"/>
            <w:vAlign w:val="center"/>
          </w:tcPr>
          <w:p>
            <w:pPr>
              <w:jc w:val="center"/>
              <w:rPr>
                <w:rFonts w:hint="eastAsia" w:eastAsia="宋体"/>
                <w:color w:val="auto"/>
                <w:highlight w:val="none"/>
                <w:lang w:val="en-US" w:eastAsia="zh-CN"/>
              </w:rPr>
            </w:pPr>
            <w:r>
              <w:rPr>
                <w:rFonts w:hint="eastAsia"/>
                <w:color w:val="auto"/>
                <w:highlight w:val="none"/>
                <w:lang w:val="en-US" w:eastAsia="zh-CN"/>
              </w:rPr>
              <w:t>1.91×10</w:t>
            </w:r>
            <w:r>
              <w:rPr>
                <w:rFonts w:hint="eastAsia"/>
                <w:color w:val="auto"/>
                <w:highlight w:val="none"/>
                <w:vertAlign w:val="superscript"/>
                <w:lang w:val="en-US" w:eastAsia="zh-CN"/>
              </w:rPr>
              <w:t>-3</w:t>
            </w:r>
          </w:p>
        </w:tc>
        <w:tc>
          <w:tcPr>
            <w:tcW w:w="980" w:type="dxa"/>
            <w:vAlign w:val="center"/>
          </w:tcPr>
          <w:p>
            <w:pPr>
              <w:jc w:val="center"/>
              <w:rPr>
                <w:rFonts w:hint="eastAsia" w:eastAsia="宋体"/>
                <w:color w:val="auto"/>
                <w:highlight w:val="none"/>
                <w:lang w:val="en-US" w:eastAsia="zh-CN"/>
              </w:rPr>
            </w:pPr>
            <w:r>
              <w:rPr>
                <w:rFonts w:hint="eastAsia"/>
                <w:color w:val="auto"/>
                <w:highlight w:val="none"/>
                <w:lang w:val="en-US" w:eastAsia="zh-CN"/>
              </w:rPr>
              <w:t>/</w:t>
            </w:r>
          </w:p>
        </w:tc>
        <w:tc>
          <w:tcPr>
            <w:tcW w:w="1069" w:type="dxa"/>
            <w:vMerge w:val="continue"/>
            <w:vAlign w:val="center"/>
          </w:tcPr>
          <w:p>
            <w:pPr>
              <w:jc w:val="center"/>
              <w:rPr>
                <w:rFonts w:hint="eastAsia"/>
                <w:color w:val="auto"/>
                <w:highlight w:val="none"/>
                <w:lang w:val="en-US" w:eastAsia="zh-CN"/>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431" w:type="dxa"/>
            <w:vMerge w:val="continue"/>
            <w:vAlign w:val="center"/>
          </w:tcPr>
          <w:p>
            <w:pPr>
              <w:jc w:val="center"/>
              <w:rPr>
                <w:color w:val="auto"/>
                <w:highlight w:val="none"/>
              </w:rPr>
            </w:pPr>
          </w:p>
        </w:tc>
        <w:tc>
          <w:tcPr>
            <w:tcW w:w="800" w:type="dxa"/>
            <w:vMerge w:val="restart"/>
            <w:vAlign w:val="center"/>
          </w:tcPr>
          <w:p>
            <w:pPr>
              <w:tabs>
                <w:tab w:val="left" w:pos="7020"/>
              </w:tabs>
              <w:spacing w:line="160" w:lineRule="atLeast"/>
              <w:jc w:val="center"/>
              <w:rPr>
                <w:color w:val="auto"/>
                <w:highlight w:val="none"/>
              </w:rPr>
            </w:pPr>
            <w:r>
              <w:rPr>
                <w:rFonts w:hint="default" w:ascii="Times New Roman" w:hAnsi="Times New Roman" w:cs="Times New Roman"/>
                <w:color w:val="auto"/>
                <w:sz w:val="21"/>
                <w:szCs w:val="21"/>
                <w:highlight w:val="none"/>
              </w:rPr>
              <w:t>NO</w:t>
            </w:r>
            <w:r>
              <w:rPr>
                <w:rFonts w:hint="default" w:ascii="Times New Roman" w:hAnsi="Times New Roman" w:cs="Times New Roman"/>
                <w:color w:val="auto"/>
                <w:sz w:val="21"/>
                <w:szCs w:val="21"/>
                <w:highlight w:val="none"/>
                <w:vertAlign w:val="subscript"/>
              </w:rPr>
              <w:t>x</w:t>
            </w:r>
          </w:p>
        </w:tc>
        <w:tc>
          <w:tcPr>
            <w:tcW w:w="1700" w:type="dxa"/>
            <w:vAlign w:val="center"/>
          </w:tcPr>
          <w:p>
            <w:pPr>
              <w:tabs>
                <w:tab w:val="left" w:pos="7020"/>
              </w:tabs>
              <w:spacing w:line="160" w:lineRule="atLeast"/>
              <w:jc w:val="center"/>
              <w:rPr>
                <w:color w:val="auto"/>
                <w:highlight w:val="none"/>
              </w:rPr>
            </w:pPr>
            <w:r>
              <w:rPr>
                <w:color w:val="auto"/>
                <w:highlight w:val="none"/>
              </w:rPr>
              <w:t>排放浓</w:t>
            </w:r>
            <w:r>
              <w:rPr>
                <w:rFonts w:hint="eastAsia"/>
                <w:color w:val="auto"/>
                <w:highlight w:val="none"/>
              </w:rPr>
              <w:t>度</w:t>
            </w:r>
            <w:r>
              <w:rPr>
                <w:color w:val="auto"/>
                <w:highlight w:val="none"/>
              </w:rPr>
              <w:t>(mg/m</w:t>
            </w:r>
            <w:r>
              <w:rPr>
                <w:color w:val="auto"/>
                <w:highlight w:val="none"/>
                <w:vertAlign w:val="superscript"/>
              </w:rPr>
              <w:t>3</w:t>
            </w:r>
            <w:r>
              <w:rPr>
                <w:color w:val="auto"/>
                <w:highlight w:val="none"/>
              </w:rPr>
              <w:t>)</w:t>
            </w:r>
          </w:p>
        </w:tc>
        <w:tc>
          <w:tcPr>
            <w:tcW w:w="550" w:type="dxa"/>
            <w:vMerge w:val="continue"/>
            <w:vAlign w:val="center"/>
          </w:tcPr>
          <w:p>
            <w:pPr>
              <w:jc w:val="center"/>
              <w:rPr>
                <w:color w:val="auto"/>
                <w:highlight w:val="none"/>
              </w:rPr>
            </w:pPr>
          </w:p>
        </w:tc>
        <w:tc>
          <w:tcPr>
            <w:tcW w:w="883" w:type="dxa"/>
            <w:vAlign w:val="center"/>
          </w:tcPr>
          <w:p>
            <w:pPr>
              <w:jc w:val="center"/>
              <w:rPr>
                <w:rFonts w:hint="eastAsia" w:eastAsia="宋体"/>
                <w:color w:val="auto"/>
                <w:highlight w:val="none"/>
                <w:lang w:val="en-US" w:eastAsia="zh-CN"/>
              </w:rPr>
            </w:pPr>
            <w:r>
              <w:rPr>
                <w:rFonts w:hint="eastAsia"/>
                <w:color w:val="auto"/>
                <w:highlight w:val="none"/>
                <w:lang w:val="en-US" w:eastAsia="zh-CN"/>
              </w:rPr>
              <w:t>3</w:t>
            </w:r>
          </w:p>
        </w:tc>
        <w:tc>
          <w:tcPr>
            <w:tcW w:w="850" w:type="dxa"/>
            <w:vAlign w:val="center"/>
          </w:tcPr>
          <w:p>
            <w:pPr>
              <w:jc w:val="center"/>
              <w:rPr>
                <w:rFonts w:hint="eastAsia" w:eastAsia="宋体"/>
                <w:color w:val="auto"/>
                <w:highlight w:val="none"/>
                <w:lang w:val="en-US" w:eastAsia="zh-CN"/>
              </w:rPr>
            </w:pPr>
            <w:r>
              <w:rPr>
                <w:rFonts w:hint="eastAsia"/>
                <w:color w:val="auto"/>
                <w:highlight w:val="none"/>
                <w:lang w:val="en-US" w:eastAsia="zh-CN"/>
              </w:rPr>
              <w:t>2</w:t>
            </w:r>
          </w:p>
        </w:tc>
        <w:tc>
          <w:tcPr>
            <w:tcW w:w="833" w:type="dxa"/>
            <w:vAlign w:val="center"/>
          </w:tcPr>
          <w:p>
            <w:pPr>
              <w:jc w:val="center"/>
              <w:rPr>
                <w:rFonts w:hint="eastAsia" w:eastAsia="宋体"/>
                <w:color w:val="auto"/>
                <w:highlight w:val="none"/>
                <w:lang w:val="en-US" w:eastAsia="zh-CN"/>
              </w:rPr>
            </w:pPr>
            <w:r>
              <w:rPr>
                <w:rFonts w:hint="eastAsia"/>
                <w:color w:val="auto"/>
                <w:highlight w:val="none"/>
                <w:lang w:val="en-US" w:eastAsia="zh-CN"/>
              </w:rPr>
              <w:t>2</w:t>
            </w:r>
          </w:p>
        </w:tc>
        <w:tc>
          <w:tcPr>
            <w:tcW w:w="967" w:type="dxa"/>
            <w:vAlign w:val="center"/>
          </w:tcPr>
          <w:p>
            <w:pPr>
              <w:jc w:val="center"/>
              <w:rPr>
                <w:rFonts w:hint="eastAsia" w:eastAsia="宋体"/>
                <w:color w:val="auto"/>
                <w:highlight w:val="none"/>
                <w:lang w:val="en-US" w:eastAsia="zh-CN"/>
              </w:rPr>
            </w:pPr>
            <w:r>
              <w:rPr>
                <w:rFonts w:hint="eastAsia"/>
                <w:color w:val="auto"/>
                <w:highlight w:val="none"/>
                <w:lang w:val="en-US" w:eastAsia="zh-CN"/>
              </w:rPr>
              <w:t>＜1.34</w:t>
            </w:r>
          </w:p>
        </w:tc>
        <w:tc>
          <w:tcPr>
            <w:tcW w:w="933" w:type="dxa"/>
            <w:vAlign w:val="center"/>
          </w:tcPr>
          <w:p>
            <w:pPr>
              <w:jc w:val="center"/>
              <w:rPr>
                <w:rFonts w:hint="eastAsia" w:eastAsia="宋体"/>
                <w:color w:val="auto"/>
                <w:highlight w:val="none"/>
                <w:lang w:val="en-US" w:eastAsia="zh-CN"/>
              </w:rPr>
            </w:pPr>
            <w:r>
              <w:rPr>
                <w:rFonts w:hint="eastAsia"/>
                <w:color w:val="auto"/>
                <w:highlight w:val="none"/>
                <w:lang w:val="en-US" w:eastAsia="zh-CN"/>
              </w:rPr>
              <w:t>＜1.34</w:t>
            </w:r>
          </w:p>
        </w:tc>
        <w:tc>
          <w:tcPr>
            <w:tcW w:w="980" w:type="dxa"/>
            <w:vAlign w:val="center"/>
          </w:tcPr>
          <w:p>
            <w:pPr>
              <w:jc w:val="center"/>
              <w:rPr>
                <w:rFonts w:hint="eastAsia" w:eastAsia="宋体"/>
                <w:color w:val="auto"/>
                <w:highlight w:val="none"/>
                <w:lang w:val="en-US" w:eastAsia="zh-CN"/>
              </w:rPr>
            </w:pPr>
            <w:r>
              <w:rPr>
                <w:rFonts w:hint="eastAsia"/>
                <w:color w:val="auto"/>
                <w:highlight w:val="none"/>
                <w:lang w:val="en-US" w:eastAsia="zh-CN"/>
              </w:rPr>
              <w:t>＜1.34</w:t>
            </w:r>
          </w:p>
        </w:tc>
        <w:tc>
          <w:tcPr>
            <w:tcW w:w="1069" w:type="dxa"/>
            <w:vMerge w:val="restart"/>
            <w:vAlign w:val="center"/>
          </w:tcPr>
          <w:p>
            <w:pPr>
              <w:jc w:val="center"/>
              <w:rPr>
                <w:rFonts w:hint="eastAsia"/>
                <w:color w:val="auto"/>
                <w:highlight w:val="none"/>
                <w:lang w:val="en-US" w:eastAsia="zh-CN"/>
              </w:rPr>
            </w:pPr>
            <w:r>
              <w:rPr>
                <w:rFonts w:hint="eastAsia"/>
                <w:color w:val="auto"/>
                <w:highlight w:val="none"/>
                <w:lang w:val="en-US" w:eastAsia="zh-CN"/>
              </w:rPr>
              <w:t>/</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431" w:type="dxa"/>
            <w:vMerge w:val="continue"/>
            <w:vAlign w:val="center"/>
          </w:tcPr>
          <w:p>
            <w:pPr>
              <w:jc w:val="center"/>
              <w:rPr>
                <w:color w:val="auto"/>
                <w:highlight w:val="none"/>
              </w:rPr>
            </w:pPr>
          </w:p>
        </w:tc>
        <w:tc>
          <w:tcPr>
            <w:tcW w:w="800" w:type="dxa"/>
            <w:vMerge w:val="continue"/>
            <w:vAlign w:val="center"/>
          </w:tcPr>
          <w:p>
            <w:pPr>
              <w:tabs>
                <w:tab w:val="left" w:pos="7020"/>
              </w:tabs>
              <w:spacing w:line="160" w:lineRule="atLeast"/>
              <w:jc w:val="center"/>
              <w:rPr>
                <w:color w:val="auto"/>
                <w:highlight w:val="none"/>
              </w:rPr>
            </w:pPr>
          </w:p>
        </w:tc>
        <w:tc>
          <w:tcPr>
            <w:tcW w:w="1700" w:type="dxa"/>
            <w:vAlign w:val="center"/>
          </w:tcPr>
          <w:p>
            <w:pPr>
              <w:tabs>
                <w:tab w:val="left" w:pos="7020"/>
              </w:tabs>
              <w:spacing w:line="160" w:lineRule="atLeast"/>
              <w:jc w:val="center"/>
              <w:rPr>
                <w:color w:val="auto"/>
                <w:highlight w:val="none"/>
              </w:rPr>
            </w:pPr>
            <w:r>
              <w:rPr>
                <w:color w:val="auto"/>
                <w:highlight w:val="none"/>
              </w:rPr>
              <w:t>排放速率(kg/h)</w:t>
            </w:r>
          </w:p>
        </w:tc>
        <w:tc>
          <w:tcPr>
            <w:tcW w:w="550" w:type="dxa"/>
            <w:vMerge w:val="continue"/>
            <w:vAlign w:val="center"/>
          </w:tcPr>
          <w:p>
            <w:pPr>
              <w:jc w:val="center"/>
              <w:rPr>
                <w:color w:val="auto"/>
                <w:highlight w:val="none"/>
              </w:rPr>
            </w:pPr>
          </w:p>
        </w:tc>
        <w:tc>
          <w:tcPr>
            <w:tcW w:w="883" w:type="dxa"/>
            <w:vAlign w:val="center"/>
          </w:tcPr>
          <w:p>
            <w:pPr>
              <w:jc w:val="center"/>
              <w:rPr>
                <w:rFonts w:hint="eastAsia" w:eastAsia="宋体"/>
                <w:color w:val="auto"/>
                <w:highlight w:val="none"/>
                <w:lang w:val="en-US" w:eastAsia="zh-CN"/>
              </w:rPr>
            </w:pPr>
            <w:r>
              <w:rPr>
                <w:rFonts w:hint="eastAsia"/>
                <w:color w:val="auto"/>
                <w:highlight w:val="none"/>
                <w:lang w:val="en-US" w:eastAsia="zh-CN"/>
              </w:rPr>
              <w:t>0.026</w:t>
            </w:r>
          </w:p>
        </w:tc>
        <w:tc>
          <w:tcPr>
            <w:tcW w:w="850" w:type="dxa"/>
            <w:vAlign w:val="center"/>
          </w:tcPr>
          <w:p>
            <w:pPr>
              <w:jc w:val="center"/>
              <w:rPr>
                <w:rFonts w:hint="eastAsia" w:eastAsia="宋体"/>
                <w:color w:val="auto"/>
                <w:highlight w:val="none"/>
                <w:lang w:val="en-US" w:eastAsia="zh-CN"/>
              </w:rPr>
            </w:pPr>
            <w:r>
              <w:rPr>
                <w:rFonts w:hint="eastAsia"/>
                <w:color w:val="auto"/>
                <w:highlight w:val="none"/>
                <w:lang w:val="en-US" w:eastAsia="zh-CN"/>
              </w:rPr>
              <w:t>0.017</w:t>
            </w:r>
          </w:p>
        </w:tc>
        <w:tc>
          <w:tcPr>
            <w:tcW w:w="833" w:type="dxa"/>
            <w:vAlign w:val="center"/>
          </w:tcPr>
          <w:p>
            <w:pPr>
              <w:jc w:val="center"/>
              <w:rPr>
                <w:rFonts w:hint="eastAsia" w:eastAsia="宋体"/>
                <w:color w:val="auto"/>
                <w:highlight w:val="none"/>
                <w:lang w:val="en-US" w:eastAsia="zh-CN"/>
              </w:rPr>
            </w:pPr>
            <w:r>
              <w:rPr>
                <w:rFonts w:hint="eastAsia"/>
                <w:color w:val="auto"/>
                <w:highlight w:val="none"/>
                <w:lang w:val="en-US" w:eastAsia="zh-CN"/>
              </w:rPr>
              <w:t>0.017</w:t>
            </w:r>
          </w:p>
        </w:tc>
        <w:tc>
          <w:tcPr>
            <w:tcW w:w="967" w:type="dxa"/>
            <w:vAlign w:val="center"/>
          </w:tcPr>
          <w:p>
            <w:pPr>
              <w:jc w:val="center"/>
              <w:rPr>
                <w:color w:val="auto"/>
                <w:highlight w:val="none"/>
              </w:rPr>
            </w:pPr>
            <w:r>
              <w:rPr>
                <w:rFonts w:hint="eastAsia"/>
                <w:color w:val="auto"/>
                <w:highlight w:val="none"/>
                <w:lang w:val="en-US" w:eastAsia="zh-CN"/>
              </w:rPr>
              <w:t>/</w:t>
            </w:r>
          </w:p>
        </w:tc>
        <w:tc>
          <w:tcPr>
            <w:tcW w:w="933" w:type="dxa"/>
            <w:vAlign w:val="center"/>
          </w:tcPr>
          <w:p>
            <w:pPr>
              <w:jc w:val="center"/>
              <w:rPr>
                <w:color w:val="auto"/>
                <w:highlight w:val="none"/>
              </w:rPr>
            </w:pPr>
            <w:r>
              <w:rPr>
                <w:rFonts w:hint="eastAsia"/>
                <w:color w:val="auto"/>
                <w:highlight w:val="none"/>
                <w:lang w:val="en-US" w:eastAsia="zh-CN"/>
              </w:rPr>
              <w:t>/</w:t>
            </w:r>
          </w:p>
        </w:tc>
        <w:tc>
          <w:tcPr>
            <w:tcW w:w="980" w:type="dxa"/>
            <w:vAlign w:val="center"/>
          </w:tcPr>
          <w:p>
            <w:pPr>
              <w:jc w:val="center"/>
              <w:rPr>
                <w:color w:val="auto"/>
                <w:highlight w:val="none"/>
              </w:rPr>
            </w:pPr>
            <w:r>
              <w:rPr>
                <w:rFonts w:hint="eastAsia"/>
                <w:color w:val="auto"/>
                <w:highlight w:val="none"/>
                <w:lang w:val="en-US" w:eastAsia="zh-CN"/>
              </w:rPr>
              <w:t>/</w:t>
            </w:r>
          </w:p>
        </w:tc>
        <w:tc>
          <w:tcPr>
            <w:tcW w:w="1069" w:type="dxa"/>
            <w:vMerge w:val="continue"/>
            <w:vAlign w:val="center"/>
          </w:tcPr>
          <w:p>
            <w:pPr>
              <w:jc w:val="center"/>
              <w:rPr>
                <w:rFonts w:hint="eastAsia"/>
                <w:color w:val="auto"/>
                <w:highlight w:val="none"/>
                <w:lang w:val="en-US" w:eastAsia="zh-CN"/>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431" w:type="dxa"/>
            <w:vMerge w:val="continue"/>
            <w:vAlign w:val="center"/>
          </w:tcPr>
          <w:p>
            <w:pPr>
              <w:jc w:val="center"/>
              <w:rPr>
                <w:color w:val="auto"/>
                <w:highlight w:val="none"/>
              </w:rPr>
            </w:pPr>
          </w:p>
        </w:tc>
        <w:tc>
          <w:tcPr>
            <w:tcW w:w="2500" w:type="dxa"/>
            <w:gridSpan w:val="2"/>
            <w:vAlign w:val="center"/>
          </w:tcPr>
          <w:p>
            <w:pPr>
              <w:tabs>
                <w:tab w:val="left" w:pos="7020"/>
              </w:tabs>
              <w:spacing w:line="160" w:lineRule="atLeast"/>
              <w:jc w:val="center"/>
              <w:rPr>
                <w:color w:val="auto"/>
                <w:highlight w:val="none"/>
              </w:rPr>
            </w:pPr>
            <w:r>
              <w:rPr>
                <w:color w:val="auto"/>
                <w:highlight w:val="none"/>
              </w:rPr>
              <w:t>标干废气量(m</w:t>
            </w:r>
            <w:r>
              <w:rPr>
                <w:color w:val="auto"/>
                <w:highlight w:val="none"/>
                <w:vertAlign w:val="superscript"/>
              </w:rPr>
              <w:t>3</w:t>
            </w:r>
            <w:r>
              <w:rPr>
                <w:color w:val="auto"/>
                <w:highlight w:val="none"/>
              </w:rPr>
              <w:t>/h)</w:t>
            </w:r>
          </w:p>
        </w:tc>
        <w:tc>
          <w:tcPr>
            <w:tcW w:w="550" w:type="dxa"/>
            <w:vMerge w:val="restart"/>
            <w:vAlign w:val="center"/>
          </w:tcPr>
          <w:p>
            <w:pPr>
              <w:jc w:val="center"/>
              <w:rPr>
                <w:color w:val="auto"/>
                <w:highlight w:val="none"/>
                <w:lang w:val="en-US"/>
              </w:rPr>
            </w:pPr>
            <w:r>
              <w:rPr>
                <w:rFonts w:hint="eastAsia"/>
                <w:color w:val="auto"/>
                <w:highlight w:val="none"/>
                <w:lang w:val="en-US" w:eastAsia="zh-CN"/>
              </w:rPr>
              <w:t>9</w:t>
            </w:r>
            <w:r>
              <w:rPr>
                <w:rFonts w:hint="eastAsia"/>
                <w:color w:val="auto"/>
                <w:highlight w:val="none"/>
              </w:rPr>
              <w:t>.</w:t>
            </w:r>
            <w:r>
              <w:rPr>
                <w:rFonts w:hint="eastAsia"/>
                <w:color w:val="auto"/>
                <w:highlight w:val="none"/>
                <w:lang w:val="en-US" w:eastAsia="zh-CN"/>
              </w:rPr>
              <w:t>10</w:t>
            </w:r>
          </w:p>
        </w:tc>
        <w:tc>
          <w:tcPr>
            <w:tcW w:w="883" w:type="dxa"/>
            <w:vAlign w:val="center"/>
          </w:tcPr>
          <w:p>
            <w:pPr>
              <w:jc w:val="center"/>
              <w:rPr>
                <w:color w:val="auto"/>
                <w:highlight w:val="none"/>
              </w:rPr>
            </w:pPr>
            <w:r>
              <w:rPr>
                <w:rFonts w:hint="eastAsia"/>
                <w:color w:val="auto"/>
                <w:highlight w:val="none"/>
                <w:lang w:val="en-US" w:eastAsia="zh-CN"/>
              </w:rPr>
              <w:t>8182</w:t>
            </w:r>
          </w:p>
        </w:tc>
        <w:tc>
          <w:tcPr>
            <w:tcW w:w="850" w:type="dxa"/>
            <w:vAlign w:val="center"/>
          </w:tcPr>
          <w:p>
            <w:pPr>
              <w:jc w:val="center"/>
              <w:rPr>
                <w:color w:val="auto"/>
                <w:highlight w:val="none"/>
              </w:rPr>
            </w:pPr>
            <w:r>
              <w:rPr>
                <w:rFonts w:hint="eastAsia"/>
                <w:color w:val="auto"/>
                <w:highlight w:val="none"/>
                <w:lang w:val="en-US" w:eastAsia="zh-CN"/>
              </w:rPr>
              <w:t>8358</w:t>
            </w:r>
          </w:p>
        </w:tc>
        <w:tc>
          <w:tcPr>
            <w:tcW w:w="833" w:type="dxa"/>
            <w:vAlign w:val="center"/>
          </w:tcPr>
          <w:p>
            <w:pPr>
              <w:jc w:val="center"/>
              <w:rPr>
                <w:color w:val="auto"/>
                <w:highlight w:val="none"/>
              </w:rPr>
            </w:pPr>
            <w:r>
              <w:rPr>
                <w:rFonts w:hint="eastAsia"/>
                <w:color w:val="auto"/>
                <w:highlight w:val="none"/>
                <w:lang w:val="en-US" w:eastAsia="zh-CN"/>
              </w:rPr>
              <w:t>8466</w:t>
            </w:r>
          </w:p>
        </w:tc>
        <w:tc>
          <w:tcPr>
            <w:tcW w:w="967" w:type="dxa"/>
            <w:vAlign w:val="center"/>
          </w:tcPr>
          <w:p>
            <w:pPr>
              <w:jc w:val="center"/>
              <w:rPr>
                <w:rFonts w:hint="eastAsia" w:eastAsia="宋体"/>
                <w:color w:val="auto"/>
                <w:highlight w:val="none"/>
                <w:lang w:val="en-US" w:eastAsia="zh-CN"/>
              </w:rPr>
            </w:pPr>
            <w:r>
              <w:rPr>
                <w:rFonts w:hint="eastAsia"/>
                <w:color w:val="auto"/>
                <w:highlight w:val="none"/>
                <w:lang w:val="en-US" w:eastAsia="zh-CN"/>
              </w:rPr>
              <w:t>8567</w:t>
            </w:r>
          </w:p>
        </w:tc>
        <w:tc>
          <w:tcPr>
            <w:tcW w:w="933" w:type="dxa"/>
            <w:vAlign w:val="center"/>
          </w:tcPr>
          <w:p>
            <w:pPr>
              <w:jc w:val="center"/>
              <w:rPr>
                <w:rFonts w:hint="eastAsia" w:eastAsia="宋体"/>
                <w:color w:val="auto"/>
                <w:highlight w:val="none"/>
                <w:lang w:val="en-US" w:eastAsia="zh-CN"/>
              </w:rPr>
            </w:pPr>
            <w:r>
              <w:rPr>
                <w:rFonts w:hint="eastAsia"/>
                <w:color w:val="auto"/>
                <w:highlight w:val="none"/>
                <w:lang w:val="en-US" w:eastAsia="zh-CN"/>
              </w:rPr>
              <w:t>7940</w:t>
            </w:r>
          </w:p>
        </w:tc>
        <w:tc>
          <w:tcPr>
            <w:tcW w:w="980" w:type="dxa"/>
            <w:vAlign w:val="center"/>
          </w:tcPr>
          <w:p>
            <w:pPr>
              <w:jc w:val="center"/>
              <w:rPr>
                <w:rFonts w:hint="eastAsia" w:eastAsia="宋体"/>
                <w:color w:val="auto"/>
                <w:highlight w:val="none"/>
                <w:lang w:val="en-US" w:eastAsia="zh-CN"/>
              </w:rPr>
            </w:pPr>
            <w:r>
              <w:rPr>
                <w:rFonts w:hint="eastAsia"/>
                <w:color w:val="auto"/>
                <w:highlight w:val="none"/>
                <w:lang w:val="en-US" w:eastAsia="zh-CN"/>
              </w:rPr>
              <w:t>8290</w:t>
            </w:r>
          </w:p>
        </w:tc>
        <w:tc>
          <w:tcPr>
            <w:tcW w:w="1069" w:type="dxa"/>
            <w:vMerge w:val="restart"/>
            <w:vAlign w:val="center"/>
          </w:tcPr>
          <w:p>
            <w:pPr>
              <w:jc w:val="center"/>
              <w:rPr>
                <w:rFonts w:hint="eastAsia"/>
                <w:color w:val="auto"/>
                <w:highlight w:val="none"/>
                <w:lang w:val="en-US" w:eastAsia="zh-CN"/>
              </w:rPr>
            </w:pPr>
            <w:r>
              <w:rPr>
                <w:rFonts w:hint="eastAsia"/>
                <w:color w:val="auto"/>
                <w:highlight w:val="none"/>
                <w:lang w:val="en-US" w:eastAsia="zh-CN"/>
              </w:rPr>
              <w:t>17.95</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431" w:type="dxa"/>
            <w:vMerge w:val="continue"/>
            <w:vAlign w:val="center"/>
          </w:tcPr>
          <w:p>
            <w:pPr>
              <w:jc w:val="center"/>
              <w:rPr>
                <w:color w:val="auto"/>
                <w:highlight w:val="none"/>
              </w:rPr>
            </w:pPr>
          </w:p>
        </w:tc>
        <w:tc>
          <w:tcPr>
            <w:tcW w:w="800" w:type="dxa"/>
            <w:vMerge w:val="restart"/>
            <w:vAlign w:val="center"/>
          </w:tcPr>
          <w:p>
            <w:pPr>
              <w:tabs>
                <w:tab w:val="left" w:pos="7020"/>
              </w:tabs>
              <w:spacing w:line="160" w:lineRule="atLeast"/>
              <w:jc w:val="center"/>
              <w:rPr>
                <w:color w:val="auto"/>
                <w:highlight w:val="none"/>
              </w:rPr>
            </w:pPr>
            <w:r>
              <w:rPr>
                <w:rFonts w:hint="default" w:ascii="Times New Roman" w:hAnsi="Times New Roman" w:cs="Times New Roman"/>
                <w:color w:val="auto"/>
                <w:sz w:val="21"/>
                <w:szCs w:val="21"/>
                <w:highlight w:val="none"/>
              </w:rPr>
              <w:t>氯化氢</w:t>
            </w:r>
          </w:p>
        </w:tc>
        <w:tc>
          <w:tcPr>
            <w:tcW w:w="1700" w:type="dxa"/>
            <w:vAlign w:val="center"/>
          </w:tcPr>
          <w:p>
            <w:pPr>
              <w:tabs>
                <w:tab w:val="left" w:pos="7020"/>
              </w:tabs>
              <w:spacing w:line="160" w:lineRule="atLeast"/>
              <w:jc w:val="center"/>
              <w:rPr>
                <w:color w:val="auto"/>
                <w:highlight w:val="none"/>
              </w:rPr>
            </w:pPr>
            <w:r>
              <w:rPr>
                <w:color w:val="auto"/>
                <w:highlight w:val="none"/>
              </w:rPr>
              <w:t>排放浓</w:t>
            </w:r>
            <w:r>
              <w:rPr>
                <w:rFonts w:hint="eastAsia"/>
                <w:color w:val="auto"/>
                <w:highlight w:val="none"/>
              </w:rPr>
              <w:t>度</w:t>
            </w:r>
            <w:r>
              <w:rPr>
                <w:color w:val="auto"/>
                <w:highlight w:val="none"/>
              </w:rPr>
              <w:t>(mg/m</w:t>
            </w:r>
            <w:r>
              <w:rPr>
                <w:color w:val="auto"/>
                <w:highlight w:val="none"/>
                <w:vertAlign w:val="superscript"/>
              </w:rPr>
              <w:t>3</w:t>
            </w:r>
            <w:r>
              <w:rPr>
                <w:color w:val="auto"/>
                <w:highlight w:val="none"/>
              </w:rPr>
              <w:t>)</w:t>
            </w:r>
          </w:p>
        </w:tc>
        <w:tc>
          <w:tcPr>
            <w:tcW w:w="550" w:type="dxa"/>
            <w:vMerge w:val="continue"/>
            <w:vAlign w:val="center"/>
          </w:tcPr>
          <w:p>
            <w:pPr>
              <w:jc w:val="center"/>
              <w:rPr>
                <w:color w:val="auto"/>
                <w:highlight w:val="none"/>
              </w:rPr>
            </w:pPr>
          </w:p>
        </w:tc>
        <w:tc>
          <w:tcPr>
            <w:tcW w:w="883" w:type="dxa"/>
            <w:vAlign w:val="center"/>
          </w:tcPr>
          <w:p>
            <w:pPr>
              <w:jc w:val="center"/>
              <w:rPr>
                <w:color w:val="auto"/>
                <w:highlight w:val="none"/>
              </w:rPr>
            </w:pPr>
            <w:r>
              <w:rPr>
                <w:rFonts w:hint="eastAsia"/>
                <w:color w:val="auto"/>
                <w:highlight w:val="none"/>
                <w:lang w:val="en-US" w:eastAsia="zh-CN"/>
              </w:rPr>
              <w:t>2.2</w:t>
            </w:r>
          </w:p>
        </w:tc>
        <w:tc>
          <w:tcPr>
            <w:tcW w:w="850" w:type="dxa"/>
            <w:vAlign w:val="center"/>
          </w:tcPr>
          <w:p>
            <w:pPr>
              <w:jc w:val="center"/>
              <w:rPr>
                <w:color w:val="auto"/>
                <w:highlight w:val="none"/>
              </w:rPr>
            </w:pPr>
            <w:r>
              <w:rPr>
                <w:color w:val="auto"/>
                <w:highlight w:val="none"/>
              </w:rPr>
              <w:t>2.</w:t>
            </w:r>
            <w:r>
              <w:rPr>
                <w:rFonts w:hint="eastAsia"/>
                <w:color w:val="auto"/>
                <w:highlight w:val="none"/>
                <w:lang w:val="en-US" w:eastAsia="zh-CN"/>
              </w:rPr>
              <w:t>9</w:t>
            </w:r>
          </w:p>
        </w:tc>
        <w:tc>
          <w:tcPr>
            <w:tcW w:w="833" w:type="dxa"/>
            <w:vAlign w:val="center"/>
          </w:tcPr>
          <w:p>
            <w:pPr>
              <w:jc w:val="center"/>
              <w:rPr>
                <w:color w:val="auto"/>
                <w:highlight w:val="none"/>
              </w:rPr>
            </w:pPr>
            <w:r>
              <w:rPr>
                <w:rFonts w:hint="eastAsia"/>
                <w:color w:val="auto"/>
                <w:highlight w:val="none"/>
                <w:lang w:val="en-US" w:eastAsia="zh-CN"/>
              </w:rPr>
              <w:t>2.9</w:t>
            </w:r>
          </w:p>
        </w:tc>
        <w:tc>
          <w:tcPr>
            <w:tcW w:w="967" w:type="dxa"/>
            <w:vAlign w:val="center"/>
          </w:tcPr>
          <w:p>
            <w:pPr>
              <w:jc w:val="center"/>
              <w:rPr>
                <w:rFonts w:hint="eastAsia" w:eastAsia="宋体"/>
                <w:color w:val="auto"/>
                <w:highlight w:val="none"/>
                <w:lang w:val="en-US" w:eastAsia="zh-CN"/>
              </w:rPr>
            </w:pPr>
            <w:r>
              <w:rPr>
                <w:rFonts w:hint="eastAsia"/>
                <w:color w:val="auto"/>
                <w:highlight w:val="none"/>
                <w:lang w:val="en-US" w:eastAsia="zh-CN"/>
              </w:rPr>
              <w:t>0.293</w:t>
            </w:r>
          </w:p>
        </w:tc>
        <w:tc>
          <w:tcPr>
            <w:tcW w:w="933" w:type="dxa"/>
            <w:vAlign w:val="center"/>
          </w:tcPr>
          <w:p>
            <w:pPr>
              <w:jc w:val="center"/>
              <w:rPr>
                <w:rFonts w:hint="eastAsia" w:eastAsia="宋体"/>
                <w:color w:val="auto"/>
                <w:highlight w:val="none"/>
                <w:lang w:val="en-US" w:eastAsia="zh-CN"/>
              </w:rPr>
            </w:pPr>
            <w:r>
              <w:rPr>
                <w:rFonts w:hint="eastAsia"/>
                <w:color w:val="auto"/>
                <w:highlight w:val="none"/>
                <w:lang w:val="en-US" w:eastAsia="zh-CN"/>
              </w:rPr>
              <w:t>0.211</w:t>
            </w:r>
          </w:p>
        </w:tc>
        <w:tc>
          <w:tcPr>
            <w:tcW w:w="980" w:type="dxa"/>
            <w:vAlign w:val="center"/>
          </w:tcPr>
          <w:p>
            <w:pPr>
              <w:jc w:val="center"/>
              <w:rPr>
                <w:rFonts w:hint="eastAsia" w:eastAsia="宋体"/>
                <w:color w:val="auto"/>
                <w:highlight w:val="none"/>
                <w:lang w:val="en-US" w:eastAsia="zh-CN"/>
              </w:rPr>
            </w:pPr>
            <w:r>
              <w:rPr>
                <w:rFonts w:hint="eastAsia"/>
                <w:color w:val="auto"/>
                <w:highlight w:val="none"/>
                <w:lang w:val="en-US" w:eastAsia="zh-CN"/>
              </w:rPr>
              <w:t>＜0.2</w:t>
            </w:r>
          </w:p>
        </w:tc>
        <w:tc>
          <w:tcPr>
            <w:tcW w:w="1069" w:type="dxa"/>
            <w:vMerge w:val="continue"/>
            <w:vAlign w:val="center"/>
          </w:tcPr>
          <w:p>
            <w:pPr>
              <w:jc w:val="center"/>
              <w:rPr>
                <w:rFonts w:hint="eastAsia"/>
                <w:color w:val="auto"/>
                <w:highlight w:val="none"/>
                <w:lang w:val="en-US" w:eastAsia="zh-CN"/>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431" w:type="dxa"/>
            <w:vMerge w:val="continue"/>
            <w:vAlign w:val="center"/>
          </w:tcPr>
          <w:p>
            <w:pPr>
              <w:jc w:val="center"/>
              <w:rPr>
                <w:color w:val="auto"/>
                <w:highlight w:val="none"/>
              </w:rPr>
            </w:pPr>
          </w:p>
        </w:tc>
        <w:tc>
          <w:tcPr>
            <w:tcW w:w="800" w:type="dxa"/>
            <w:vMerge w:val="continue"/>
            <w:vAlign w:val="center"/>
          </w:tcPr>
          <w:p>
            <w:pPr>
              <w:tabs>
                <w:tab w:val="left" w:pos="7020"/>
              </w:tabs>
              <w:spacing w:line="160" w:lineRule="atLeast"/>
              <w:jc w:val="center"/>
              <w:rPr>
                <w:color w:val="auto"/>
                <w:highlight w:val="none"/>
              </w:rPr>
            </w:pPr>
          </w:p>
        </w:tc>
        <w:tc>
          <w:tcPr>
            <w:tcW w:w="1700" w:type="dxa"/>
            <w:vAlign w:val="center"/>
          </w:tcPr>
          <w:p>
            <w:pPr>
              <w:tabs>
                <w:tab w:val="left" w:pos="7020"/>
              </w:tabs>
              <w:spacing w:line="160" w:lineRule="atLeast"/>
              <w:jc w:val="center"/>
              <w:rPr>
                <w:color w:val="auto"/>
                <w:highlight w:val="none"/>
              </w:rPr>
            </w:pPr>
            <w:r>
              <w:rPr>
                <w:color w:val="auto"/>
                <w:highlight w:val="none"/>
              </w:rPr>
              <w:t>排放速率(kg/h)</w:t>
            </w:r>
          </w:p>
        </w:tc>
        <w:tc>
          <w:tcPr>
            <w:tcW w:w="550" w:type="dxa"/>
            <w:vMerge w:val="continue"/>
            <w:vAlign w:val="center"/>
          </w:tcPr>
          <w:p>
            <w:pPr>
              <w:jc w:val="center"/>
              <w:rPr>
                <w:color w:val="auto"/>
                <w:highlight w:val="none"/>
              </w:rPr>
            </w:pPr>
          </w:p>
        </w:tc>
        <w:tc>
          <w:tcPr>
            <w:tcW w:w="883" w:type="dxa"/>
            <w:vAlign w:val="center"/>
          </w:tcPr>
          <w:p>
            <w:pPr>
              <w:jc w:val="center"/>
              <w:rPr>
                <w:color w:val="auto"/>
                <w:highlight w:val="none"/>
              </w:rPr>
            </w:pPr>
            <w:r>
              <w:rPr>
                <w:rFonts w:hint="eastAsia"/>
                <w:color w:val="auto"/>
                <w:highlight w:val="none"/>
                <w:lang w:val="en-US" w:eastAsia="zh-CN"/>
              </w:rPr>
              <w:t>0.018</w:t>
            </w:r>
          </w:p>
        </w:tc>
        <w:tc>
          <w:tcPr>
            <w:tcW w:w="850" w:type="dxa"/>
            <w:vAlign w:val="center"/>
          </w:tcPr>
          <w:p>
            <w:pPr>
              <w:jc w:val="center"/>
              <w:rPr>
                <w:color w:val="auto"/>
                <w:highlight w:val="none"/>
              </w:rPr>
            </w:pPr>
            <w:r>
              <w:rPr>
                <w:rFonts w:hint="eastAsia"/>
                <w:color w:val="auto"/>
                <w:highlight w:val="none"/>
                <w:lang w:val="en-US" w:eastAsia="zh-CN"/>
              </w:rPr>
              <w:t>0.024</w:t>
            </w:r>
          </w:p>
        </w:tc>
        <w:tc>
          <w:tcPr>
            <w:tcW w:w="833" w:type="dxa"/>
            <w:vAlign w:val="center"/>
          </w:tcPr>
          <w:p>
            <w:pPr>
              <w:jc w:val="center"/>
              <w:rPr>
                <w:color w:val="auto"/>
                <w:highlight w:val="none"/>
              </w:rPr>
            </w:pPr>
            <w:r>
              <w:rPr>
                <w:rFonts w:hint="eastAsia"/>
                <w:color w:val="auto"/>
                <w:highlight w:val="none"/>
                <w:lang w:val="en-US" w:eastAsia="zh-CN"/>
              </w:rPr>
              <w:t>0.025</w:t>
            </w:r>
          </w:p>
        </w:tc>
        <w:tc>
          <w:tcPr>
            <w:tcW w:w="967" w:type="dxa"/>
            <w:vAlign w:val="center"/>
          </w:tcPr>
          <w:p>
            <w:pPr>
              <w:jc w:val="center"/>
              <w:rPr>
                <w:rFonts w:hint="eastAsia" w:eastAsia="宋体"/>
                <w:color w:val="auto"/>
                <w:highlight w:val="none"/>
                <w:lang w:val="en-US" w:eastAsia="zh-CN"/>
              </w:rPr>
            </w:pPr>
            <w:r>
              <w:rPr>
                <w:rFonts w:hint="eastAsia"/>
                <w:color w:val="auto"/>
                <w:highlight w:val="none"/>
                <w:lang w:val="en-US" w:eastAsia="zh-CN"/>
              </w:rPr>
              <w:t>2.51×10</w:t>
            </w:r>
            <w:r>
              <w:rPr>
                <w:rFonts w:hint="eastAsia"/>
                <w:color w:val="auto"/>
                <w:highlight w:val="none"/>
                <w:vertAlign w:val="superscript"/>
                <w:lang w:val="en-US" w:eastAsia="zh-CN"/>
              </w:rPr>
              <w:t>-3</w:t>
            </w:r>
          </w:p>
        </w:tc>
        <w:tc>
          <w:tcPr>
            <w:tcW w:w="933" w:type="dxa"/>
            <w:vAlign w:val="center"/>
          </w:tcPr>
          <w:p>
            <w:pPr>
              <w:jc w:val="center"/>
              <w:rPr>
                <w:rFonts w:hint="eastAsia" w:eastAsia="宋体"/>
                <w:color w:val="auto"/>
                <w:highlight w:val="none"/>
                <w:lang w:val="en-US" w:eastAsia="zh-CN"/>
              </w:rPr>
            </w:pPr>
            <w:r>
              <w:rPr>
                <w:rFonts w:hint="eastAsia"/>
                <w:color w:val="auto"/>
                <w:highlight w:val="none"/>
                <w:lang w:val="en-US" w:eastAsia="zh-CN"/>
              </w:rPr>
              <w:t>1.68×10</w:t>
            </w:r>
            <w:r>
              <w:rPr>
                <w:rFonts w:hint="eastAsia"/>
                <w:color w:val="auto"/>
                <w:highlight w:val="none"/>
                <w:vertAlign w:val="superscript"/>
                <w:lang w:val="en-US" w:eastAsia="zh-CN"/>
              </w:rPr>
              <w:t>-3</w:t>
            </w:r>
          </w:p>
        </w:tc>
        <w:tc>
          <w:tcPr>
            <w:tcW w:w="980" w:type="dxa"/>
            <w:vAlign w:val="center"/>
          </w:tcPr>
          <w:p>
            <w:pPr>
              <w:jc w:val="center"/>
              <w:rPr>
                <w:rFonts w:hint="eastAsia" w:eastAsia="宋体"/>
                <w:color w:val="auto"/>
                <w:highlight w:val="none"/>
                <w:lang w:val="en-US" w:eastAsia="zh-CN"/>
              </w:rPr>
            </w:pPr>
            <w:r>
              <w:rPr>
                <w:rFonts w:hint="eastAsia"/>
                <w:color w:val="auto"/>
                <w:highlight w:val="none"/>
                <w:lang w:val="en-US" w:eastAsia="zh-CN"/>
              </w:rPr>
              <w:t>/</w:t>
            </w:r>
          </w:p>
        </w:tc>
        <w:tc>
          <w:tcPr>
            <w:tcW w:w="1069" w:type="dxa"/>
            <w:vMerge w:val="continue"/>
            <w:vAlign w:val="center"/>
          </w:tcPr>
          <w:p>
            <w:pPr>
              <w:jc w:val="center"/>
              <w:rPr>
                <w:rFonts w:hint="eastAsia"/>
                <w:color w:val="auto"/>
                <w:highlight w:val="none"/>
                <w:lang w:val="en-US" w:eastAsia="zh-CN"/>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431" w:type="dxa"/>
            <w:vMerge w:val="continue"/>
            <w:vAlign w:val="center"/>
          </w:tcPr>
          <w:p>
            <w:pPr>
              <w:jc w:val="center"/>
              <w:rPr>
                <w:color w:val="auto"/>
                <w:highlight w:val="none"/>
              </w:rPr>
            </w:pPr>
          </w:p>
        </w:tc>
        <w:tc>
          <w:tcPr>
            <w:tcW w:w="800" w:type="dxa"/>
            <w:vMerge w:val="restart"/>
            <w:vAlign w:val="center"/>
          </w:tcPr>
          <w:p>
            <w:pPr>
              <w:tabs>
                <w:tab w:val="left" w:pos="7020"/>
              </w:tabs>
              <w:spacing w:line="160" w:lineRule="atLeast"/>
              <w:jc w:val="center"/>
              <w:rPr>
                <w:color w:val="auto"/>
                <w:highlight w:val="none"/>
              </w:rPr>
            </w:pPr>
            <w:r>
              <w:rPr>
                <w:rFonts w:hint="default" w:ascii="Times New Roman" w:hAnsi="Times New Roman" w:cs="Times New Roman"/>
                <w:color w:val="auto"/>
                <w:sz w:val="21"/>
                <w:szCs w:val="21"/>
                <w:highlight w:val="none"/>
              </w:rPr>
              <w:t>NO</w:t>
            </w:r>
            <w:r>
              <w:rPr>
                <w:rFonts w:hint="default" w:ascii="Times New Roman" w:hAnsi="Times New Roman" w:cs="Times New Roman"/>
                <w:color w:val="auto"/>
                <w:sz w:val="21"/>
                <w:szCs w:val="21"/>
                <w:highlight w:val="none"/>
                <w:vertAlign w:val="subscript"/>
              </w:rPr>
              <w:t>x</w:t>
            </w:r>
          </w:p>
        </w:tc>
        <w:tc>
          <w:tcPr>
            <w:tcW w:w="1700" w:type="dxa"/>
            <w:vAlign w:val="center"/>
          </w:tcPr>
          <w:p>
            <w:pPr>
              <w:tabs>
                <w:tab w:val="left" w:pos="7020"/>
              </w:tabs>
              <w:spacing w:line="160" w:lineRule="atLeast"/>
              <w:jc w:val="center"/>
              <w:rPr>
                <w:color w:val="auto"/>
                <w:highlight w:val="none"/>
              </w:rPr>
            </w:pPr>
            <w:r>
              <w:rPr>
                <w:color w:val="auto"/>
                <w:highlight w:val="none"/>
              </w:rPr>
              <w:t>排放浓</w:t>
            </w:r>
            <w:r>
              <w:rPr>
                <w:rFonts w:hint="eastAsia"/>
                <w:color w:val="auto"/>
                <w:highlight w:val="none"/>
              </w:rPr>
              <w:t>度</w:t>
            </w:r>
            <w:r>
              <w:rPr>
                <w:color w:val="auto"/>
                <w:highlight w:val="none"/>
              </w:rPr>
              <w:t>(mg/m</w:t>
            </w:r>
            <w:r>
              <w:rPr>
                <w:color w:val="auto"/>
                <w:highlight w:val="none"/>
                <w:vertAlign w:val="superscript"/>
              </w:rPr>
              <w:t>3</w:t>
            </w:r>
            <w:r>
              <w:rPr>
                <w:color w:val="auto"/>
                <w:highlight w:val="none"/>
              </w:rPr>
              <w:t>)</w:t>
            </w:r>
          </w:p>
        </w:tc>
        <w:tc>
          <w:tcPr>
            <w:tcW w:w="550" w:type="dxa"/>
            <w:vMerge w:val="continue"/>
            <w:vAlign w:val="center"/>
          </w:tcPr>
          <w:p>
            <w:pPr>
              <w:jc w:val="center"/>
              <w:rPr>
                <w:color w:val="auto"/>
                <w:highlight w:val="none"/>
              </w:rPr>
            </w:pPr>
          </w:p>
        </w:tc>
        <w:tc>
          <w:tcPr>
            <w:tcW w:w="883" w:type="dxa"/>
            <w:vAlign w:val="center"/>
          </w:tcPr>
          <w:p>
            <w:pPr>
              <w:jc w:val="center"/>
              <w:rPr>
                <w:rFonts w:hint="eastAsia" w:eastAsia="宋体"/>
                <w:color w:val="auto"/>
                <w:highlight w:val="none"/>
                <w:lang w:val="en-US" w:eastAsia="zh-CN"/>
              </w:rPr>
            </w:pPr>
            <w:r>
              <w:rPr>
                <w:rFonts w:hint="eastAsia"/>
                <w:color w:val="auto"/>
                <w:highlight w:val="none"/>
                <w:lang w:val="en-US" w:eastAsia="zh-CN"/>
              </w:rPr>
              <w:t>3</w:t>
            </w:r>
          </w:p>
        </w:tc>
        <w:tc>
          <w:tcPr>
            <w:tcW w:w="850" w:type="dxa"/>
            <w:vAlign w:val="center"/>
          </w:tcPr>
          <w:p>
            <w:pPr>
              <w:jc w:val="center"/>
              <w:rPr>
                <w:rFonts w:hint="eastAsia" w:eastAsia="宋体"/>
                <w:color w:val="auto"/>
                <w:highlight w:val="none"/>
                <w:lang w:val="en-US" w:eastAsia="zh-CN"/>
              </w:rPr>
            </w:pPr>
            <w:r>
              <w:rPr>
                <w:rFonts w:hint="eastAsia"/>
                <w:color w:val="auto"/>
                <w:highlight w:val="none"/>
                <w:lang w:val="en-US" w:eastAsia="zh-CN"/>
              </w:rPr>
              <w:t>2</w:t>
            </w:r>
          </w:p>
        </w:tc>
        <w:tc>
          <w:tcPr>
            <w:tcW w:w="833" w:type="dxa"/>
            <w:vAlign w:val="center"/>
          </w:tcPr>
          <w:p>
            <w:pPr>
              <w:jc w:val="center"/>
              <w:rPr>
                <w:rFonts w:hint="eastAsia" w:eastAsia="宋体"/>
                <w:color w:val="auto"/>
                <w:highlight w:val="none"/>
                <w:lang w:val="en-US" w:eastAsia="zh-CN"/>
              </w:rPr>
            </w:pPr>
            <w:r>
              <w:rPr>
                <w:rFonts w:hint="eastAsia"/>
                <w:color w:val="auto"/>
                <w:highlight w:val="none"/>
                <w:lang w:val="en-US" w:eastAsia="zh-CN"/>
              </w:rPr>
              <w:t>2</w:t>
            </w:r>
          </w:p>
        </w:tc>
        <w:tc>
          <w:tcPr>
            <w:tcW w:w="967" w:type="dxa"/>
            <w:vAlign w:val="center"/>
          </w:tcPr>
          <w:p>
            <w:pPr>
              <w:jc w:val="center"/>
              <w:rPr>
                <w:rFonts w:hint="eastAsia" w:eastAsia="宋体"/>
                <w:color w:val="auto"/>
                <w:highlight w:val="none"/>
                <w:lang w:val="en-US" w:eastAsia="zh-CN"/>
              </w:rPr>
            </w:pPr>
            <w:r>
              <w:rPr>
                <w:rFonts w:hint="eastAsia"/>
                <w:color w:val="auto"/>
                <w:highlight w:val="none"/>
                <w:lang w:val="en-US" w:eastAsia="zh-CN"/>
              </w:rPr>
              <w:t>＜1.34</w:t>
            </w:r>
          </w:p>
        </w:tc>
        <w:tc>
          <w:tcPr>
            <w:tcW w:w="933" w:type="dxa"/>
            <w:vAlign w:val="center"/>
          </w:tcPr>
          <w:p>
            <w:pPr>
              <w:jc w:val="center"/>
              <w:rPr>
                <w:rFonts w:hint="eastAsia" w:eastAsia="宋体"/>
                <w:color w:val="auto"/>
                <w:highlight w:val="none"/>
                <w:lang w:val="en-US" w:eastAsia="zh-CN"/>
              </w:rPr>
            </w:pPr>
            <w:r>
              <w:rPr>
                <w:rFonts w:hint="eastAsia"/>
                <w:color w:val="auto"/>
                <w:highlight w:val="none"/>
                <w:lang w:val="en-US" w:eastAsia="zh-CN"/>
              </w:rPr>
              <w:t>＜1.34</w:t>
            </w:r>
          </w:p>
        </w:tc>
        <w:tc>
          <w:tcPr>
            <w:tcW w:w="980" w:type="dxa"/>
            <w:vAlign w:val="center"/>
          </w:tcPr>
          <w:p>
            <w:pPr>
              <w:jc w:val="center"/>
              <w:rPr>
                <w:rFonts w:hint="eastAsia" w:eastAsia="宋体"/>
                <w:color w:val="auto"/>
                <w:highlight w:val="none"/>
                <w:lang w:val="en-US" w:eastAsia="zh-CN"/>
              </w:rPr>
            </w:pPr>
            <w:r>
              <w:rPr>
                <w:rFonts w:hint="eastAsia"/>
                <w:color w:val="auto"/>
                <w:highlight w:val="none"/>
                <w:lang w:val="en-US" w:eastAsia="zh-CN"/>
              </w:rPr>
              <w:t>＜1.34</w:t>
            </w:r>
          </w:p>
        </w:tc>
        <w:tc>
          <w:tcPr>
            <w:tcW w:w="1069" w:type="dxa"/>
            <w:vMerge w:val="restart"/>
            <w:vAlign w:val="center"/>
          </w:tcPr>
          <w:p>
            <w:pPr>
              <w:jc w:val="center"/>
              <w:rPr>
                <w:rFonts w:hint="eastAsia"/>
                <w:color w:val="auto"/>
                <w:highlight w:val="none"/>
                <w:lang w:val="en-US" w:eastAsia="zh-CN"/>
              </w:rPr>
            </w:pPr>
            <w:r>
              <w:rPr>
                <w:rFonts w:hint="eastAsia"/>
                <w:color w:val="auto"/>
                <w:highlight w:val="none"/>
                <w:lang w:val="en-US" w:eastAsia="zh-CN"/>
              </w:rPr>
              <w:t>/</w:t>
            </w:r>
          </w:p>
          <w:p>
            <w:pPr>
              <w:jc w:val="center"/>
              <w:rPr>
                <w:rFonts w:hint="eastAsia"/>
                <w:color w:val="auto"/>
                <w:highlight w:val="none"/>
                <w:lang w:val="en-US" w:eastAsia="zh-CN"/>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431" w:type="dxa"/>
            <w:vMerge w:val="continue"/>
            <w:vAlign w:val="center"/>
          </w:tcPr>
          <w:p>
            <w:pPr>
              <w:jc w:val="center"/>
              <w:rPr>
                <w:color w:val="auto"/>
                <w:highlight w:val="none"/>
              </w:rPr>
            </w:pPr>
          </w:p>
        </w:tc>
        <w:tc>
          <w:tcPr>
            <w:tcW w:w="800" w:type="dxa"/>
            <w:vMerge w:val="continue"/>
            <w:vAlign w:val="center"/>
          </w:tcPr>
          <w:p>
            <w:pPr>
              <w:tabs>
                <w:tab w:val="left" w:pos="7020"/>
              </w:tabs>
              <w:spacing w:line="160" w:lineRule="atLeast"/>
              <w:jc w:val="center"/>
              <w:rPr>
                <w:color w:val="auto"/>
                <w:highlight w:val="none"/>
              </w:rPr>
            </w:pPr>
          </w:p>
        </w:tc>
        <w:tc>
          <w:tcPr>
            <w:tcW w:w="1700" w:type="dxa"/>
            <w:vAlign w:val="center"/>
          </w:tcPr>
          <w:p>
            <w:pPr>
              <w:tabs>
                <w:tab w:val="left" w:pos="7020"/>
              </w:tabs>
              <w:spacing w:line="160" w:lineRule="atLeast"/>
              <w:jc w:val="center"/>
              <w:rPr>
                <w:color w:val="auto"/>
                <w:highlight w:val="none"/>
              </w:rPr>
            </w:pPr>
            <w:r>
              <w:rPr>
                <w:color w:val="auto"/>
                <w:highlight w:val="none"/>
              </w:rPr>
              <w:t>排放速率(kg/h)</w:t>
            </w:r>
          </w:p>
        </w:tc>
        <w:tc>
          <w:tcPr>
            <w:tcW w:w="550" w:type="dxa"/>
            <w:vMerge w:val="continue"/>
            <w:vAlign w:val="center"/>
          </w:tcPr>
          <w:p>
            <w:pPr>
              <w:jc w:val="center"/>
              <w:rPr>
                <w:color w:val="auto"/>
                <w:highlight w:val="none"/>
              </w:rPr>
            </w:pPr>
          </w:p>
        </w:tc>
        <w:tc>
          <w:tcPr>
            <w:tcW w:w="883" w:type="dxa"/>
            <w:vAlign w:val="center"/>
          </w:tcPr>
          <w:p>
            <w:pPr>
              <w:jc w:val="center"/>
              <w:rPr>
                <w:rFonts w:hint="eastAsia" w:eastAsia="宋体"/>
                <w:color w:val="auto"/>
                <w:highlight w:val="none"/>
                <w:lang w:val="en-US" w:eastAsia="zh-CN"/>
              </w:rPr>
            </w:pPr>
            <w:r>
              <w:rPr>
                <w:rFonts w:hint="eastAsia"/>
                <w:color w:val="auto"/>
                <w:highlight w:val="none"/>
                <w:lang w:val="en-US" w:eastAsia="zh-CN"/>
              </w:rPr>
              <w:t>0.025</w:t>
            </w:r>
          </w:p>
        </w:tc>
        <w:tc>
          <w:tcPr>
            <w:tcW w:w="850" w:type="dxa"/>
            <w:vAlign w:val="center"/>
          </w:tcPr>
          <w:p>
            <w:pPr>
              <w:jc w:val="center"/>
              <w:rPr>
                <w:rFonts w:hint="eastAsia" w:eastAsia="宋体"/>
                <w:color w:val="auto"/>
                <w:highlight w:val="none"/>
                <w:lang w:val="en-US" w:eastAsia="zh-CN"/>
              </w:rPr>
            </w:pPr>
            <w:r>
              <w:rPr>
                <w:rFonts w:hint="eastAsia"/>
                <w:color w:val="auto"/>
                <w:highlight w:val="none"/>
                <w:lang w:val="en-US" w:eastAsia="zh-CN"/>
              </w:rPr>
              <w:t>0.017</w:t>
            </w:r>
          </w:p>
        </w:tc>
        <w:tc>
          <w:tcPr>
            <w:tcW w:w="833" w:type="dxa"/>
            <w:vAlign w:val="center"/>
          </w:tcPr>
          <w:p>
            <w:pPr>
              <w:jc w:val="center"/>
              <w:rPr>
                <w:rFonts w:hint="eastAsia" w:eastAsia="宋体"/>
                <w:color w:val="auto"/>
                <w:highlight w:val="none"/>
                <w:lang w:val="en-US" w:eastAsia="zh-CN"/>
              </w:rPr>
            </w:pPr>
            <w:r>
              <w:rPr>
                <w:rFonts w:hint="eastAsia"/>
                <w:color w:val="auto"/>
                <w:highlight w:val="none"/>
                <w:lang w:val="en-US" w:eastAsia="zh-CN"/>
              </w:rPr>
              <w:t>0.017</w:t>
            </w:r>
          </w:p>
        </w:tc>
        <w:tc>
          <w:tcPr>
            <w:tcW w:w="967" w:type="dxa"/>
            <w:vAlign w:val="center"/>
          </w:tcPr>
          <w:p>
            <w:pPr>
              <w:jc w:val="center"/>
              <w:rPr>
                <w:color w:val="auto"/>
                <w:highlight w:val="none"/>
              </w:rPr>
            </w:pPr>
            <w:r>
              <w:rPr>
                <w:rFonts w:hint="eastAsia"/>
                <w:color w:val="auto"/>
                <w:highlight w:val="none"/>
                <w:lang w:val="en-US" w:eastAsia="zh-CN"/>
              </w:rPr>
              <w:t>/</w:t>
            </w:r>
          </w:p>
        </w:tc>
        <w:tc>
          <w:tcPr>
            <w:tcW w:w="933" w:type="dxa"/>
            <w:vAlign w:val="center"/>
          </w:tcPr>
          <w:p>
            <w:pPr>
              <w:jc w:val="center"/>
              <w:rPr>
                <w:color w:val="auto"/>
                <w:highlight w:val="none"/>
              </w:rPr>
            </w:pPr>
            <w:r>
              <w:rPr>
                <w:rFonts w:hint="eastAsia"/>
                <w:color w:val="auto"/>
                <w:highlight w:val="none"/>
                <w:lang w:val="en-US" w:eastAsia="zh-CN"/>
              </w:rPr>
              <w:t>/</w:t>
            </w:r>
          </w:p>
        </w:tc>
        <w:tc>
          <w:tcPr>
            <w:tcW w:w="980" w:type="dxa"/>
            <w:vAlign w:val="center"/>
          </w:tcPr>
          <w:p>
            <w:pPr>
              <w:jc w:val="center"/>
              <w:rPr>
                <w:color w:val="auto"/>
                <w:highlight w:val="none"/>
              </w:rPr>
            </w:pPr>
            <w:r>
              <w:rPr>
                <w:rFonts w:hint="eastAsia"/>
                <w:color w:val="auto"/>
                <w:highlight w:val="none"/>
                <w:lang w:val="en-US" w:eastAsia="zh-CN"/>
              </w:rPr>
              <w:t>/</w:t>
            </w:r>
          </w:p>
        </w:tc>
        <w:tc>
          <w:tcPr>
            <w:tcW w:w="1069" w:type="dxa"/>
            <w:vMerge w:val="continue"/>
            <w:vAlign w:val="center"/>
          </w:tcPr>
          <w:p>
            <w:pPr>
              <w:jc w:val="center"/>
              <w:rPr>
                <w:rFonts w:hint="eastAsia"/>
                <w:color w:val="auto"/>
                <w:highlight w:val="none"/>
                <w:lang w:val="en-US" w:eastAsia="zh-CN"/>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431" w:type="dxa"/>
            <w:vMerge w:val="continue"/>
            <w:vAlign w:val="center"/>
          </w:tcPr>
          <w:p>
            <w:pPr>
              <w:jc w:val="center"/>
              <w:rPr>
                <w:color w:val="auto"/>
                <w:highlight w:val="none"/>
              </w:rPr>
            </w:pPr>
          </w:p>
        </w:tc>
        <w:tc>
          <w:tcPr>
            <w:tcW w:w="2500" w:type="dxa"/>
            <w:gridSpan w:val="2"/>
            <w:vAlign w:val="center"/>
          </w:tcPr>
          <w:p>
            <w:pPr>
              <w:tabs>
                <w:tab w:val="left" w:pos="7020"/>
              </w:tabs>
              <w:spacing w:line="160" w:lineRule="atLeast"/>
              <w:jc w:val="center"/>
              <w:rPr>
                <w:color w:val="auto"/>
                <w:highlight w:val="none"/>
              </w:rPr>
            </w:pPr>
            <w:r>
              <w:rPr>
                <w:color w:val="auto"/>
                <w:highlight w:val="none"/>
              </w:rPr>
              <w:t>标干废气量(m</w:t>
            </w:r>
            <w:r>
              <w:rPr>
                <w:color w:val="auto"/>
                <w:highlight w:val="none"/>
                <w:vertAlign w:val="superscript"/>
              </w:rPr>
              <w:t>3</w:t>
            </w:r>
            <w:r>
              <w:rPr>
                <w:color w:val="auto"/>
                <w:highlight w:val="none"/>
              </w:rPr>
              <w:t>/h)</w:t>
            </w:r>
          </w:p>
        </w:tc>
        <w:tc>
          <w:tcPr>
            <w:tcW w:w="550" w:type="dxa"/>
            <w:vMerge w:val="restart"/>
            <w:vAlign w:val="center"/>
          </w:tcPr>
          <w:p>
            <w:pPr>
              <w:jc w:val="center"/>
              <w:rPr>
                <w:rFonts w:hint="eastAsia" w:eastAsia="宋体"/>
                <w:color w:val="auto"/>
                <w:highlight w:val="none"/>
                <w:lang w:val="en-US" w:eastAsia="zh-CN"/>
              </w:rPr>
            </w:pPr>
            <w:r>
              <w:rPr>
                <w:rFonts w:hint="eastAsia"/>
                <w:color w:val="auto"/>
                <w:highlight w:val="none"/>
                <w:lang w:val="en-US" w:eastAsia="zh-CN"/>
              </w:rPr>
              <w:t>9</w:t>
            </w:r>
            <w:r>
              <w:rPr>
                <w:rFonts w:hint="eastAsia"/>
                <w:color w:val="auto"/>
                <w:highlight w:val="none"/>
              </w:rPr>
              <w:t>.</w:t>
            </w:r>
            <w:r>
              <w:rPr>
                <w:rFonts w:hint="eastAsia"/>
                <w:color w:val="auto"/>
                <w:highlight w:val="none"/>
                <w:lang w:val="en-US" w:eastAsia="zh-CN"/>
              </w:rPr>
              <w:t>11</w:t>
            </w:r>
          </w:p>
        </w:tc>
        <w:tc>
          <w:tcPr>
            <w:tcW w:w="883" w:type="dxa"/>
            <w:vAlign w:val="center"/>
          </w:tcPr>
          <w:p>
            <w:pPr>
              <w:jc w:val="center"/>
              <w:rPr>
                <w:rFonts w:hint="eastAsia" w:eastAsia="宋体"/>
                <w:color w:val="auto"/>
                <w:highlight w:val="none"/>
                <w:lang w:val="en-US" w:eastAsia="zh-CN"/>
              </w:rPr>
            </w:pPr>
            <w:r>
              <w:rPr>
                <w:rFonts w:hint="eastAsia"/>
                <w:color w:val="auto"/>
                <w:highlight w:val="none"/>
                <w:lang w:val="en-US" w:eastAsia="zh-CN"/>
              </w:rPr>
              <w:t>8193</w:t>
            </w:r>
          </w:p>
        </w:tc>
        <w:tc>
          <w:tcPr>
            <w:tcW w:w="850" w:type="dxa"/>
            <w:vAlign w:val="center"/>
          </w:tcPr>
          <w:p>
            <w:pPr>
              <w:jc w:val="center"/>
              <w:rPr>
                <w:rFonts w:hint="eastAsia" w:eastAsia="宋体"/>
                <w:color w:val="auto"/>
                <w:highlight w:val="none"/>
                <w:lang w:val="en-US" w:eastAsia="zh-CN"/>
              </w:rPr>
            </w:pPr>
            <w:r>
              <w:rPr>
                <w:rFonts w:hint="eastAsia"/>
                <w:color w:val="auto"/>
                <w:highlight w:val="none"/>
                <w:lang w:val="en-US" w:eastAsia="zh-CN"/>
              </w:rPr>
              <w:t>8463</w:t>
            </w:r>
          </w:p>
        </w:tc>
        <w:tc>
          <w:tcPr>
            <w:tcW w:w="833" w:type="dxa"/>
            <w:vAlign w:val="center"/>
          </w:tcPr>
          <w:p>
            <w:pPr>
              <w:jc w:val="center"/>
              <w:rPr>
                <w:rFonts w:hint="eastAsia" w:eastAsia="宋体"/>
                <w:color w:val="auto"/>
                <w:highlight w:val="none"/>
                <w:lang w:val="en-US" w:eastAsia="zh-CN"/>
              </w:rPr>
            </w:pPr>
            <w:r>
              <w:rPr>
                <w:rFonts w:hint="eastAsia"/>
                <w:color w:val="auto"/>
                <w:highlight w:val="none"/>
                <w:lang w:val="en-US" w:eastAsia="zh-CN"/>
              </w:rPr>
              <w:t>8429</w:t>
            </w:r>
          </w:p>
        </w:tc>
        <w:tc>
          <w:tcPr>
            <w:tcW w:w="967" w:type="dxa"/>
            <w:vAlign w:val="center"/>
          </w:tcPr>
          <w:p>
            <w:pPr>
              <w:jc w:val="center"/>
              <w:rPr>
                <w:rFonts w:hint="eastAsia" w:eastAsia="宋体"/>
                <w:color w:val="auto"/>
                <w:highlight w:val="none"/>
                <w:lang w:val="en-US" w:eastAsia="zh-CN"/>
              </w:rPr>
            </w:pPr>
            <w:r>
              <w:rPr>
                <w:rFonts w:hint="eastAsia"/>
                <w:color w:val="auto"/>
                <w:highlight w:val="none"/>
                <w:lang w:val="en-US" w:eastAsia="zh-CN"/>
              </w:rPr>
              <w:t>8607</w:t>
            </w:r>
          </w:p>
        </w:tc>
        <w:tc>
          <w:tcPr>
            <w:tcW w:w="933" w:type="dxa"/>
            <w:vAlign w:val="center"/>
          </w:tcPr>
          <w:p>
            <w:pPr>
              <w:jc w:val="center"/>
              <w:rPr>
                <w:rFonts w:hint="eastAsia" w:eastAsia="宋体"/>
                <w:color w:val="auto"/>
                <w:highlight w:val="none"/>
                <w:lang w:val="en-US" w:eastAsia="zh-CN"/>
              </w:rPr>
            </w:pPr>
            <w:r>
              <w:rPr>
                <w:rFonts w:hint="eastAsia"/>
                <w:color w:val="auto"/>
                <w:highlight w:val="none"/>
                <w:lang w:val="en-US" w:eastAsia="zh-CN"/>
              </w:rPr>
              <w:t>8469</w:t>
            </w:r>
          </w:p>
        </w:tc>
        <w:tc>
          <w:tcPr>
            <w:tcW w:w="980" w:type="dxa"/>
            <w:vAlign w:val="center"/>
          </w:tcPr>
          <w:p>
            <w:pPr>
              <w:jc w:val="center"/>
              <w:rPr>
                <w:rFonts w:hint="eastAsia" w:eastAsia="宋体"/>
                <w:color w:val="auto"/>
                <w:highlight w:val="none"/>
                <w:lang w:val="en-US" w:eastAsia="zh-CN"/>
              </w:rPr>
            </w:pPr>
            <w:r>
              <w:rPr>
                <w:rFonts w:hint="eastAsia"/>
                <w:color w:val="auto"/>
                <w:highlight w:val="none"/>
                <w:lang w:val="en-US" w:eastAsia="zh-CN"/>
              </w:rPr>
              <w:t>8783</w:t>
            </w:r>
          </w:p>
        </w:tc>
        <w:tc>
          <w:tcPr>
            <w:tcW w:w="1069" w:type="dxa"/>
            <w:vMerge w:val="restart"/>
            <w:vAlign w:val="center"/>
          </w:tcPr>
          <w:p>
            <w:pPr>
              <w:jc w:val="center"/>
              <w:rPr>
                <w:rFonts w:hint="eastAsia"/>
                <w:color w:val="auto"/>
                <w:highlight w:val="none"/>
                <w:lang w:val="en-US" w:eastAsia="zh-CN"/>
              </w:rPr>
            </w:pPr>
            <w:r>
              <w:rPr>
                <w:rFonts w:hint="eastAsia"/>
                <w:color w:val="auto"/>
                <w:highlight w:val="none"/>
                <w:lang w:val="en-US" w:eastAsia="zh-CN"/>
              </w:rPr>
              <w:t>12.31</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431" w:type="dxa"/>
            <w:vMerge w:val="continue"/>
            <w:vAlign w:val="center"/>
          </w:tcPr>
          <w:p>
            <w:pPr>
              <w:jc w:val="center"/>
              <w:rPr>
                <w:color w:val="auto"/>
                <w:highlight w:val="none"/>
              </w:rPr>
            </w:pPr>
          </w:p>
        </w:tc>
        <w:tc>
          <w:tcPr>
            <w:tcW w:w="800" w:type="dxa"/>
            <w:vMerge w:val="restart"/>
            <w:vAlign w:val="center"/>
          </w:tcPr>
          <w:p>
            <w:pPr>
              <w:tabs>
                <w:tab w:val="left" w:pos="7020"/>
              </w:tabs>
              <w:spacing w:line="160" w:lineRule="atLeast"/>
              <w:jc w:val="center"/>
              <w:rPr>
                <w:color w:val="auto"/>
                <w:highlight w:val="none"/>
              </w:rPr>
            </w:pPr>
            <w:r>
              <w:rPr>
                <w:rFonts w:hint="eastAsia"/>
                <w:color w:val="auto"/>
                <w:highlight w:val="none"/>
                <w:lang w:eastAsia="zh-CN"/>
              </w:rPr>
              <w:t>硫酸雾</w:t>
            </w:r>
          </w:p>
        </w:tc>
        <w:tc>
          <w:tcPr>
            <w:tcW w:w="1700" w:type="dxa"/>
            <w:vAlign w:val="center"/>
          </w:tcPr>
          <w:p>
            <w:pPr>
              <w:tabs>
                <w:tab w:val="left" w:pos="7020"/>
              </w:tabs>
              <w:spacing w:line="160" w:lineRule="atLeast"/>
              <w:jc w:val="center"/>
              <w:rPr>
                <w:color w:val="auto"/>
                <w:highlight w:val="none"/>
              </w:rPr>
            </w:pPr>
            <w:r>
              <w:rPr>
                <w:color w:val="auto"/>
                <w:highlight w:val="none"/>
              </w:rPr>
              <w:t>排放浓</w:t>
            </w:r>
            <w:r>
              <w:rPr>
                <w:rFonts w:hint="eastAsia"/>
                <w:color w:val="auto"/>
                <w:highlight w:val="none"/>
              </w:rPr>
              <w:t>度</w:t>
            </w:r>
            <w:r>
              <w:rPr>
                <w:color w:val="auto"/>
                <w:highlight w:val="none"/>
              </w:rPr>
              <w:t>(mg/m</w:t>
            </w:r>
            <w:r>
              <w:rPr>
                <w:color w:val="auto"/>
                <w:highlight w:val="none"/>
                <w:vertAlign w:val="superscript"/>
              </w:rPr>
              <w:t>3</w:t>
            </w:r>
            <w:r>
              <w:rPr>
                <w:color w:val="auto"/>
                <w:highlight w:val="none"/>
              </w:rPr>
              <w:t>)</w:t>
            </w:r>
          </w:p>
        </w:tc>
        <w:tc>
          <w:tcPr>
            <w:tcW w:w="550" w:type="dxa"/>
            <w:vMerge w:val="continue"/>
            <w:vAlign w:val="center"/>
          </w:tcPr>
          <w:p>
            <w:pPr>
              <w:jc w:val="center"/>
              <w:rPr>
                <w:color w:val="auto"/>
                <w:highlight w:val="none"/>
              </w:rPr>
            </w:pPr>
          </w:p>
        </w:tc>
        <w:tc>
          <w:tcPr>
            <w:tcW w:w="883" w:type="dxa"/>
            <w:vAlign w:val="center"/>
          </w:tcPr>
          <w:p>
            <w:pPr>
              <w:jc w:val="center"/>
              <w:rPr>
                <w:color w:val="auto"/>
                <w:highlight w:val="none"/>
                <w:lang w:val="en-US"/>
              </w:rPr>
            </w:pPr>
            <w:r>
              <w:rPr>
                <w:rFonts w:hint="eastAsia"/>
                <w:color w:val="auto"/>
                <w:highlight w:val="none"/>
                <w:lang w:val="en-US" w:eastAsia="zh-CN"/>
              </w:rPr>
              <w:t>1.6</w:t>
            </w:r>
          </w:p>
        </w:tc>
        <w:tc>
          <w:tcPr>
            <w:tcW w:w="850" w:type="dxa"/>
            <w:vAlign w:val="center"/>
          </w:tcPr>
          <w:p>
            <w:pPr>
              <w:jc w:val="center"/>
              <w:rPr>
                <w:rFonts w:hint="eastAsia" w:eastAsia="宋体"/>
                <w:color w:val="auto"/>
                <w:highlight w:val="none"/>
                <w:lang w:val="en-US" w:eastAsia="zh-CN"/>
              </w:rPr>
            </w:pPr>
            <w:r>
              <w:rPr>
                <w:rFonts w:hint="eastAsia"/>
                <w:color w:val="auto"/>
                <w:highlight w:val="none"/>
                <w:lang w:val="en-US" w:eastAsia="zh-CN"/>
              </w:rPr>
              <w:t>1.5</w:t>
            </w:r>
          </w:p>
        </w:tc>
        <w:tc>
          <w:tcPr>
            <w:tcW w:w="833" w:type="dxa"/>
            <w:vAlign w:val="center"/>
          </w:tcPr>
          <w:p>
            <w:pPr>
              <w:jc w:val="center"/>
              <w:rPr>
                <w:color w:val="auto"/>
                <w:highlight w:val="none"/>
                <w:lang w:val="en-US"/>
              </w:rPr>
            </w:pPr>
            <w:r>
              <w:rPr>
                <w:rFonts w:hint="eastAsia"/>
                <w:color w:val="auto"/>
                <w:highlight w:val="none"/>
                <w:lang w:val="en-US" w:eastAsia="zh-CN"/>
              </w:rPr>
              <w:t>1.8</w:t>
            </w:r>
          </w:p>
        </w:tc>
        <w:tc>
          <w:tcPr>
            <w:tcW w:w="967" w:type="dxa"/>
            <w:vAlign w:val="center"/>
          </w:tcPr>
          <w:p>
            <w:pPr>
              <w:jc w:val="center"/>
              <w:rPr>
                <w:rFonts w:hint="eastAsia" w:eastAsia="宋体"/>
                <w:color w:val="auto"/>
                <w:highlight w:val="none"/>
                <w:lang w:val="en-US" w:eastAsia="zh-CN"/>
              </w:rPr>
            </w:pPr>
            <w:r>
              <w:rPr>
                <w:rFonts w:hint="eastAsia"/>
                <w:color w:val="auto"/>
                <w:highlight w:val="none"/>
                <w:lang w:val="en-US" w:eastAsia="zh-CN"/>
              </w:rPr>
              <w:t>0.2</w:t>
            </w:r>
          </w:p>
        </w:tc>
        <w:tc>
          <w:tcPr>
            <w:tcW w:w="933" w:type="dxa"/>
            <w:vAlign w:val="center"/>
          </w:tcPr>
          <w:p>
            <w:pPr>
              <w:jc w:val="center"/>
              <w:rPr>
                <w:rFonts w:hint="eastAsia" w:eastAsia="宋体"/>
                <w:color w:val="auto"/>
                <w:highlight w:val="none"/>
                <w:lang w:val="en-US" w:eastAsia="zh-CN"/>
              </w:rPr>
            </w:pPr>
            <w:r>
              <w:rPr>
                <w:rFonts w:hint="eastAsia"/>
                <w:color w:val="auto"/>
                <w:highlight w:val="none"/>
                <w:lang w:val="en-US" w:eastAsia="zh-CN"/>
              </w:rPr>
              <w:t>0.2</w:t>
            </w:r>
          </w:p>
        </w:tc>
        <w:tc>
          <w:tcPr>
            <w:tcW w:w="980" w:type="dxa"/>
            <w:vAlign w:val="center"/>
          </w:tcPr>
          <w:p>
            <w:pPr>
              <w:jc w:val="center"/>
              <w:rPr>
                <w:rFonts w:hint="eastAsia" w:eastAsia="宋体"/>
                <w:color w:val="auto"/>
                <w:highlight w:val="none"/>
                <w:lang w:eastAsia="zh-CN"/>
              </w:rPr>
            </w:pPr>
            <w:r>
              <w:rPr>
                <w:rFonts w:hint="eastAsia"/>
                <w:color w:val="auto"/>
                <w:highlight w:val="none"/>
                <w:lang w:val="en-US" w:eastAsia="zh-CN"/>
              </w:rPr>
              <w:t>＜0.2</w:t>
            </w:r>
          </w:p>
        </w:tc>
        <w:tc>
          <w:tcPr>
            <w:tcW w:w="1069" w:type="dxa"/>
            <w:vMerge w:val="continue"/>
            <w:vAlign w:val="center"/>
          </w:tcPr>
          <w:p>
            <w:pPr>
              <w:jc w:val="center"/>
              <w:rPr>
                <w:rFonts w:hint="eastAsia"/>
                <w:color w:val="auto"/>
                <w:highlight w:val="none"/>
                <w:lang w:val="en-US" w:eastAsia="zh-CN"/>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431" w:type="dxa"/>
            <w:vMerge w:val="continue"/>
            <w:vAlign w:val="center"/>
          </w:tcPr>
          <w:p>
            <w:pPr>
              <w:jc w:val="center"/>
              <w:rPr>
                <w:color w:val="auto"/>
                <w:highlight w:val="none"/>
              </w:rPr>
            </w:pPr>
          </w:p>
        </w:tc>
        <w:tc>
          <w:tcPr>
            <w:tcW w:w="800" w:type="dxa"/>
            <w:vMerge w:val="continue"/>
            <w:vAlign w:val="center"/>
          </w:tcPr>
          <w:p>
            <w:pPr>
              <w:tabs>
                <w:tab w:val="left" w:pos="7020"/>
              </w:tabs>
              <w:spacing w:line="160" w:lineRule="atLeast"/>
              <w:jc w:val="center"/>
              <w:rPr>
                <w:color w:val="auto"/>
                <w:highlight w:val="none"/>
              </w:rPr>
            </w:pPr>
          </w:p>
        </w:tc>
        <w:tc>
          <w:tcPr>
            <w:tcW w:w="1700" w:type="dxa"/>
            <w:vAlign w:val="center"/>
          </w:tcPr>
          <w:p>
            <w:pPr>
              <w:tabs>
                <w:tab w:val="left" w:pos="7020"/>
              </w:tabs>
              <w:spacing w:line="160" w:lineRule="atLeast"/>
              <w:jc w:val="center"/>
              <w:rPr>
                <w:color w:val="auto"/>
                <w:highlight w:val="none"/>
              </w:rPr>
            </w:pPr>
            <w:r>
              <w:rPr>
                <w:color w:val="auto"/>
                <w:highlight w:val="none"/>
              </w:rPr>
              <w:t>排放速率(kg/h)</w:t>
            </w:r>
          </w:p>
        </w:tc>
        <w:tc>
          <w:tcPr>
            <w:tcW w:w="550" w:type="dxa"/>
            <w:vMerge w:val="continue"/>
            <w:vAlign w:val="center"/>
          </w:tcPr>
          <w:p>
            <w:pPr>
              <w:jc w:val="center"/>
              <w:rPr>
                <w:color w:val="auto"/>
                <w:highlight w:val="none"/>
              </w:rPr>
            </w:pPr>
          </w:p>
        </w:tc>
        <w:tc>
          <w:tcPr>
            <w:tcW w:w="883" w:type="dxa"/>
            <w:vAlign w:val="center"/>
          </w:tcPr>
          <w:p>
            <w:pPr>
              <w:jc w:val="center"/>
              <w:rPr>
                <w:rFonts w:hint="eastAsia" w:eastAsia="宋体"/>
                <w:color w:val="auto"/>
                <w:highlight w:val="none"/>
                <w:lang w:val="en-US" w:eastAsia="zh-CN"/>
              </w:rPr>
            </w:pPr>
            <w:r>
              <w:rPr>
                <w:rFonts w:hint="eastAsia"/>
                <w:color w:val="auto"/>
                <w:highlight w:val="none"/>
                <w:lang w:val="en-US" w:eastAsia="zh-CN"/>
              </w:rPr>
              <w:t>0.013</w:t>
            </w:r>
          </w:p>
        </w:tc>
        <w:tc>
          <w:tcPr>
            <w:tcW w:w="850" w:type="dxa"/>
            <w:vAlign w:val="center"/>
          </w:tcPr>
          <w:p>
            <w:pPr>
              <w:jc w:val="center"/>
              <w:rPr>
                <w:rFonts w:hint="eastAsia" w:eastAsia="宋体"/>
                <w:color w:val="auto"/>
                <w:highlight w:val="none"/>
                <w:lang w:val="en-US" w:eastAsia="zh-CN"/>
              </w:rPr>
            </w:pPr>
            <w:r>
              <w:rPr>
                <w:rFonts w:hint="eastAsia"/>
                <w:color w:val="auto"/>
                <w:highlight w:val="none"/>
                <w:lang w:val="en-US" w:eastAsia="zh-CN"/>
              </w:rPr>
              <w:t>0.013</w:t>
            </w:r>
          </w:p>
        </w:tc>
        <w:tc>
          <w:tcPr>
            <w:tcW w:w="833" w:type="dxa"/>
            <w:vAlign w:val="center"/>
          </w:tcPr>
          <w:p>
            <w:pPr>
              <w:jc w:val="center"/>
              <w:rPr>
                <w:rFonts w:hint="eastAsia" w:eastAsia="宋体"/>
                <w:color w:val="auto"/>
                <w:highlight w:val="none"/>
                <w:lang w:val="en-US" w:eastAsia="zh-CN"/>
              </w:rPr>
            </w:pPr>
            <w:r>
              <w:rPr>
                <w:rFonts w:hint="eastAsia"/>
                <w:color w:val="auto"/>
                <w:highlight w:val="none"/>
                <w:lang w:val="en-US" w:eastAsia="zh-CN"/>
              </w:rPr>
              <w:t>0.015</w:t>
            </w:r>
          </w:p>
        </w:tc>
        <w:tc>
          <w:tcPr>
            <w:tcW w:w="967" w:type="dxa"/>
            <w:vAlign w:val="center"/>
          </w:tcPr>
          <w:p>
            <w:pPr>
              <w:jc w:val="center"/>
              <w:rPr>
                <w:rFonts w:hint="eastAsia" w:eastAsia="宋体"/>
                <w:color w:val="auto"/>
                <w:highlight w:val="none"/>
                <w:lang w:eastAsia="zh-CN"/>
              </w:rPr>
            </w:pPr>
            <w:r>
              <w:rPr>
                <w:rFonts w:hint="eastAsia"/>
                <w:color w:val="auto"/>
                <w:highlight w:val="none"/>
                <w:lang w:val="en-US" w:eastAsia="zh-CN"/>
              </w:rPr>
              <w:t>2.11</w:t>
            </w:r>
            <w:r>
              <w:rPr>
                <w:color w:val="auto"/>
                <w:highlight w:val="none"/>
              </w:rPr>
              <w:t>×10</w:t>
            </w:r>
            <w:r>
              <w:rPr>
                <w:color w:val="auto"/>
                <w:highlight w:val="none"/>
                <w:vertAlign w:val="superscript"/>
              </w:rPr>
              <w:t>-</w:t>
            </w:r>
            <w:r>
              <w:rPr>
                <w:rFonts w:hint="eastAsia"/>
                <w:color w:val="auto"/>
                <w:highlight w:val="none"/>
                <w:vertAlign w:val="superscript"/>
                <w:lang w:val="en-US" w:eastAsia="zh-CN"/>
              </w:rPr>
              <w:t>3</w:t>
            </w:r>
          </w:p>
        </w:tc>
        <w:tc>
          <w:tcPr>
            <w:tcW w:w="933" w:type="dxa"/>
            <w:vAlign w:val="center"/>
          </w:tcPr>
          <w:p>
            <w:pPr>
              <w:jc w:val="center"/>
              <w:rPr>
                <w:rFonts w:hint="eastAsia" w:eastAsia="宋体"/>
                <w:color w:val="auto"/>
                <w:highlight w:val="none"/>
                <w:lang w:eastAsia="zh-CN"/>
              </w:rPr>
            </w:pPr>
            <w:r>
              <w:rPr>
                <w:rFonts w:hint="eastAsia"/>
                <w:color w:val="auto"/>
                <w:highlight w:val="none"/>
                <w:lang w:val="en-US" w:eastAsia="zh-CN"/>
              </w:rPr>
              <w:t>2.03</w:t>
            </w:r>
            <w:r>
              <w:rPr>
                <w:color w:val="auto"/>
                <w:highlight w:val="none"/>
              </w:rPr>
              <w:t>×10</w:t>
            </w:r>
            <w:r>
              <w:rPr>
                <w:color w:val="auto"/>
                <w:highlight w:val="none"/>
                <w:vertAlign w:val="superscript"/>
              </w:rPr>
              <w:t>-</w:t>
            </w:r>
            <w:r>
              <w:rPr>
                <w:rFonts w:hint="eastAsia"/>
                <w:color w:val="auto"/>
                <w:highlight w:val="none"/>
                <w:vertAlign w:val="superscript"/>
                <w:lang w:val="en-US" w:eastAsia="zh-CN"/>
              </w:rPr>
              <w:t>3</w:t>
            </w:r>
          </w:p>
        </w:tc>
        <w:tc>
          <w:tcPr>
            <w:tcW w:w="980" w:type="dxa"/>
            <w:vAlign w:val="center"/>
          </w:tcPr>
          <w:p>
            <w:pPr>
              <w:jc w:val="center"/>
              <w:rPr>
                <w:rFonts w:hint="eastAsia" w:eastAsia="宋体"/>
                <w:color w:val="auto"/>
                <w:highlight w:val="none"/>
                <w:lang w:val="en-US" w:eastAsia="zh-CN"/>
              </w:rPr>
            </w:pPr>
            <w:r>
              <w:rPr>
                <w:rFonts w:hint="eastAsia"/>
                <w:color w:val="auto"/>
                <w:highlight w:val="none"/>
                <w:lang w:val="en-US" w:eastAsia="zh-CN"/>
              </w:rPr>
              <w:t>/</w:t>
            </w:r>
          </w:p>
        </w:tc>
        <w:tc>
          <w:tcPr>
            <w:tcW w:w="1069" w:type="dxa"/>
            <w:vMerge w:val="continue"/>
            <w:vAlign w:val="center"/>
          </w:tcPr>
          <w:p>
            <w:pPr>
              <w:jc w:val="center"/>
              <w:rPr>
                <w:rFonts w:hint="eastAsia"/>
                <w:color w:val="auto"/>
                <w:highlight w:val="none"/>
                <w:lang w:val="en-US" w:eastAsia="zh-CN"/>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431" w:type="dxa"/>
            <w:vMerge w:val="continue"/>
            <w:vAlign w:val="center"/>
          </w:tcPr>
          <w:p>
            <w:pPr>
              <w:jc w:val="center"/>
              <w:rPr>
                <w:color w:val="auto"/>
                <w:highlight w:val="none"/>
              </w:rPr>
            </w:pPr>
          </w:p>
        </w:tc>
        <w:tc>
          <w:tcPr>
            <w:tcW w:w="2500" w:type="dxa"/>
            <w:gridSpan w:val="2"/>
            <w:vAlign w:val="center"/>
          </w:tcPr>
          <w:p>
            <w:pPr>
              <w:tabs>
                <w:tab w:val="left" w:pos="7020"/>
              </w:tabs>
              <w:spacing w:line="160" w:lineRule="atLeast"/>
              <w:jc w:val="center"/>
              <w:rPr>
                <w:color w:val="auto"/>
                <w:highlight w:val="none"/>
              </w:rPr>
            </w:pPr>
            <w:r>
              <w:rPr>
                <w:color w:val="auto"/>
                <w:highlight w:val="none"/>
              </w:rPr>
              <w:t>标干废气量(m</w:t>
            </w:r>
            <w:r>
              <w:rPr>
                <w:color w:val="auto"/>
                <w:highlight w:val="none"/>
                <w:vertAlign w:val="superscript"/>
              </w:rPr>
              <w:t>3</w:t>
            </w:r>
            <w:r>
              <w:rPr>
                <w:color w:val="auto"/>
                <w:highlight w:val="none"/>
              </w:rPr>
              <w:t>/h)</w:t>
            </w:r>
          </w:p>
        </w:tc>
        <w:tc>
          <w:tcPr>
            <w:tcW w:w="550" w:type="dxa"/>
            <w:vMerge w:val="restart"/>
            <w:vAlign w:val="center"/>
          </w:tcPr>
          <w:p>
            <w:pPr>
              <w:jc w:val="center"/>
              <w:rPr>
                <w:color w:val="auto"/>
                <w:highlight w:val="none"/>
              </w:rPr>
            </w:pPr>
            <w:r>
              <w:rPr>
                <w:rFonts w:hint="eastAsia"/>
                <w:color w:val="auto"/>
                <w:highlight w:val="none"/>
                <w:lang w:val="en-US" w:eastAsia="zh-CN"/>
              </w:rPr>
              <w:t>9</w:t>
            </w:r>
            <w:r>
              <w:rPr>
                <w:rFonts w:hint="eastAsia"/>
                <w:color w:val="auto"/>
                <w:highlight w:val="none"/>
              </w:rPr>
              <w:t>.</w:t>
            </w:r>
            <w:r>
              <w:rPr>
                <w:rFonts w:hint="eastAsia"/>
                <w:color w:val="auto"/>
                <w:highlight w:val="none"/>
                <w:lang w:val="en-US" w:eastAsia="zh-CN"/>
              </w:rPr>
              <w:t>12</w:t>
            </w:r>
          </w:p>
        </w:tc>
        <w:tc>
          <w:tcPr>
            <w:tcW w:w="883" w:type="dxa"/>
            <w:vAlign w:val="center"/>
          </w:tcPr>
          <w:p>
            <w:pPr>
              <w:jc w:val="center"/>
              <w:rPr>
                <w:rFonts w:hint="eastAsia"/>
                <w:color w:val="auto"/>
                <w:highlight w:val="none"/>
                <w:lang w:val="en-US" w:eastAsia="zh-CN"/>
              </w:rPr>
            </w:pPr>
            <w:r>
              <w:rPr>
                <w:rFonts w:hint="eastAsia"/>
                <w:color w:val="auto"/>
                <w:highlight w:val="none"/>
                <w:lang w:val="en-US" w:eastAsia="zh-CN"/>
              </w:rPr>
              <w:t>8295</w:t>
            </w:r>
          </w:p>
        </w:tc>
        <w:tc>
          <w:tcPr>
            <w:tcW w:w="850" w:type="dxa"/>
            <w:vAlign w:val="center"/>
          </w:tcPr>
          <w:p>
            <w:pPr>
              <w:jc w:val="center"/>
              <w:rPr>
                <w:rFonts w:hint="eastAsia"/>
                <w:color w:val="auto"/>
                <w:highlight w:val="none"/>
                <w:lang w:val="en-US" w:eastAsia="zh-CN"/>
              </w:rPr>
            </w:pPr>
            <w:r>
              <w:rPr>
                <w:rFonts w:hint="eastAsia"/>
                <w:color w:val="auto"/>
                <w:highlight w:val="none"/>
                <w:lang w:val="en-US" w:eastAsia="zh-CN"/>
              </w:rPr>
              <w:t>8437</w:t>
            </w:r>
          </w:p>
        </w:tc>
        <w:tc>
          <w:tcPr>
            <w:tcW w:w="833" w:type="dxa"/>
            <w:vAlign w:val="center"/>
          </w:tcPr>
          <w:p>
            <w:pPr>
              <w:jc w:val="center"/>
              <w:rPr>
                <w:rFonts w:hint="eastAsia"/>
                <w:color w:val="auto"/>
                <w:highlight w:val="none"/>
                <w:lang w:val="en-US" w:eastAsia="zh-CN"/>
              </w:rPr>
            </w:pPr>
            <w:r>
              <w:rPr>
                <w:rFonts w:hint="eastAsia"/>
                <w:color w:val="auto"/>
                <w:highlight w:val="none"/>
                <w:lang w:val="en-US" w:eastAsia="zh-CN"/>
              </w:rPr>
              <w:t>8157</w:t>
            </w:r>
          </w:p>
        </w:tc>
        <w:tc>
          <w:tcPr>
            <w:tcW w:w="967" w:type="dxa"/>
            <w:vAlign w:val="center"/>
          </w:tcPr>
          <w:p>
            <w:pPr>
              <w:jc w:val="center"/>
              <w:rPr>
                <w:rFonts w:hint="eastAsia" w:eastAsia="宋体"/>
                <w:color w:val="auto"/>
                <w:highlight w:val="none"/>
                <w:lang w:val="en-US" w:eastAsia="zh-CN"/>
              </w:rPr>
            </w:pPr>
            <w:r>
              <w:rPr>
                <w:rFonts w:hint="eastAsia"/>
                <w:color w:val="auto"/>
                <w:highlight w:val="none"/>
                <w:lang w:val="en-US" w:eastAsia="zh-CN"/>
              </w:rPr>
              <w:t>7957</w:t>
            </w:r>
          </w:p>
        </w:tc>
        <w:tc>
          <w:tcPr>
            <w:tcW w:w="933" w:type="dxa"/>
            <w:vAlign w:val="center"/>
          </w:tcPr>
          <w:p>
            <w:pPr>
              <w:jc w:val="center"/>
              <w:rPr>
                <w:rFonts w:hint="eastAsia" w:eastAsia="宋体"/>
                <w:color w:val="auto"/>
                <w:highlight w:val="none"/>
                <w:lang w:val="en-US" w:eastAsia="zh-CN"/>
              </w:rPr>
            </w:pPr>
            <w:r>
              <w:rPr>
                <w:rFonts w:hint="eastAsia"/>
                <w:color w:val="auto"/>
                <w:highlight w:val="none"/>
                <w:lang w:val="en-US" w:eastAsia="zh-CN"/>
              </w:rPr>
              <w:t>7770</w:t>
            </w:r>
          </w:p>
        </w:tc>
        <w:tc>
          <w:tcPr>
            <w:tcW w:w="980" w:type="dxa"/>
            <w:vAlign w:val="center"/>
          </w:tcPr>
          <w:p>
            <w:pPr>
              <w:jc w:val="center"/>
              <w:rPr>
                <w:rFonts w:hint="eastAsia" w:eastAsia="宋体"/>
                <w:color w:val="auto"/>
                <w:highlight w:val="none"/>
                <w:lang w:val="en-US" w:eastAsia="zh-CN"/>
              </w:rPr>
            </w:pPr>
            <w:r>
              <w:rPr>
                <w:rFonts w:hint="eastAsia"/>
                <w:color w:val="auto"/>
                <w:highlight w:val="none"/>
                <w:lang w:val="en-US" w:eastAsia="zh-CN"/>
              </w:rPr>
              <w:t>8559</w:t>
            </w:r>
          </w:p>
        </w:tc>
        <w:tc>
          <w:tcPr>
            <w:tcW w:w="1069" w:type="dxa"/>
            <w:vMerge w:val="restart"/>
            <w:vAlign w:val="center"/>
          </w:tcPr>
          <w:p>
            <w:pPr>
              <w:jc w:val="center"/>
              <w:rPr>
                <w:rFonts w:hint="eastAsia"/>
                <w:color w:val="auto"/>
                <w:highlight w:val="none"/>
                <w:lang w:val="en-US" w:eastAsia="zh-CN"/>
              </w:rPr>
            </w:pPr>
            <w:r>
              <w:rPr>
                <w:rFonts w:hint="eastAsia"/>
                <w:color w:val="auto"/>
                <w:highlight w:val="none"/>
                <w:lang w:val="en-US" w:eastAsia="zh-CN"/>
              </w:rPr>
              <w:t>12.24</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431" w:type="dxa"/>
            <w:vMerge w:val="continue"/>
            <w:vAlign w:val="center"/>
          </w:tcPr>
          <w:p>
            <w:pPr>
              <w:jc w:val="center"/>
              <w:rPr>
                <w:color w:val="auto"/>
                <w:highlight w:val="none"/>
              </w:rPr>
            </w:pPr>
          </w:p>
        </w:tc>
        <w:tc>
          <w:tcPr>
            <w:tcW w:w="800" w:type="dxa"/>
            <w:vMerge w:val="restart"/>
            <w:vAlign w:val="center"/>
          </w:tcPr>
          <w:p>
            <w:pPr>
              <w:tabs>
                <w:tab w:val="left" w:pos="7020"/>
              </w:tabs>
              <w:spacing w:line="160" w:lineRule="atLeast"/>
              <w:jc w:val="center"/>
              <w:rPr>
                <w:color w:val="auto"/>
                <w:highlight w:val="none"/>
              </w:rPr>
            </w:pPr>
            <w:r>
              <w:rPr>
                <w:rFonts w:hint="eastAsia"/>
                <w:color w:val="auto"/>
                <w:highlight w:val="none"/>
                <w:lang w:eastAsia="zh-CN"/>
              </w:rPr>
              <w:t>硫酸雾</w:t>
            </w:r>
          </w:p>
        </w:tc>
        <w:tc>
          <w:tcPr>
            <w:tcW w:w="1700" w:type="dxa"/>
            <w:vAlign w:val="center"/>
          </w:tcPr>
          <w:p>
            <w:pPr>
              <w:tabs>
                <w:tab w:val="left" w:pos="7020"/>
              </w:tabs>
              <w:spacing w:line="160" w:lineRule="atLeast"/>
              <w:jc w:val="center"/>
              <w:rPr>
                <w:color w:val="auto"/>
                <w:highlight w:val="none"/>
              </w:rPr>
            </w:pPr>
            <w:r>
              <w:rPr>
                <w:color w:val="auto"/>
                <w:highlight w:val="none"/>
              </w:rPr>
              <w:t>排放浓</w:t>
            </w:r>
            <w:r>
              <w:rPr>
                <w:rFonts w:hint="eastAsia"/>
                <w:color w:val="auto"/>
                <w:highlight w:val="none"/>
              </w:rPr>
              <w:t>度</w:t>
            </w:r>
            <w:r>
              <w:rPr>
                <w:color w:val="auto"/>
                <w:highlight w:val="none"/>
              </w:rPr>
              <w:t>(mg/m</w:t>
            </w:r>
            <w:r>
              <w:rPr>
                <w:color w:val="auto"/>
                <w:highlight w:val="none"/>
                <w:vertAlign w:val="superscript"/>
              </w:rPr>
              <w:t>3</w:t>
            </w:r>
            <w:r>
              <w:rPr>
                <w:color w:val="auto"/>
                <w:highlight w:val="none"/>
              </w:rPr>
              <w:t>)</w:t>
            </w:r>
          </w:p>
        </w:tc>
        <w:tc>
          <w:tcPr>
            <w:tcW w:w="550" w:type="dxa"/>
            <w:vMerge w:val="continue"/>
            <w:vAlign w:val="center"/>
          </w:tcPr>
          <w:p>
            <w:pPr>
              <w:jc w:val="center"/>
              <w:rPr>
                <w:color w:val="auto"/>
                <w:highlight w:val="none"/>
              </w:rPr>
            </w:pPr>
          </w:p>
        </w:tc>
        <w:tc>
          <w:tcPr>
            <w:tcW w:w="883" w:type="dxa"/>
            <w:vAlign w:val="center"/>
          </w:tcPr>
          <w:p>
            <w:pPr>
              <w:jc w:val="center"/>
              <w:rPr>
                <w:rFonts w:hint="eastAsia"/>
                <w:color w:val="auto"/>
                <w:highlight w:val="none"/>
                <w:lang w:val="en-US" w:eastAsia="zh-CN"/>
              </w:rPr>
            </w:pPr>
            <w:r>
              <w:rPr>
                <w:rFonts w:hint="eastAsia"/>
                <w:color w:val="auto"/>
                <w:highlight w:val="none"/>
                <w:lang w:val="en-US" w:eastAsia="zh-CN"/>
              </w:rPr>
              <w:t>1.4</w:t>
            </w:r>
          </w:p>
        </w:tc>
        <w:tc>
          <w:tcPr>
            <w:tcW w:w="850" w:type="dxa"/>
            <w:vAlign w:val="center"/>
          </w:tcPr>
          <w:p>
            <w:pPr>
              <w:jc w:val="center"/>
              <w:rPr>
                <w:rFonts w:hint="eastAsia"/>
                <w:color w:val="auto"/>
                <w:highlight w:val="none"/>
                <w:lang w:val="en-US" w:eastAsia="zh-CN"/>
              </w:rPr>
            </w:pPr>
            <w:r>
              <w:rPr>
                <w:rFonts w:hint="eastAsia"/>
                <w:color w:val="auto"/>
                <w:highlight w:val="none"/>
                <w:lang w:val="en-US" w:eastAsia="zh-CN"/>
              </w:rPr>
              <w:t>1.7</w:t>
            </w:r>
          </w:p>
        </w:tc>
        <w:tc>
          <w:tcPr>
            <w:tcW w:w="833" w:type="dxa"/>
            <w:vAlign w:val="center"/>
          </w:tcPr>
          <w:p>
            <w:pPr>
              <w:jc w:val="center"/>
              <w:rPr>
                <w:rFonts w:hint="eastAsia"/>
                <w:color w:val="auto"/>
                <w:highlight w:val="none"/>
                <w:lang w:val="en-US" w:eastAsia="zh-CN"/>
              </w:rPr>
            </w:pPr>
            <w:r>
              <w:rPr>
                <w:rFonts w:hint="eastAsia"/>
                <w:color w:val="auto"/>
                <w:highlight w:val="none"/>
                <w:lang w:val="en-US" w:eastAsia="zh-CN"/>
              </w:rPr>
              <w:t>1.8</w:t>
            </w:r>
          </w:p>
        </w:tc>
        <w:tc>
          <w:tcPr>
            <w:tcW w:w="967" w:type="dxa"/>
            <w:vAlign w:val="center"/>
          </w:tcPr>
          <w:p>
            <w:pPr>
              <w:jc w:val="center"/>
              <w:rPr>
                <w:color w:val="auto"/>
                <w:highlight w:val="none"/>
              </w:rPr>
            </w:pPr>
            <w:r>
              <w:rPr>
                <w:rFonts w:hint="eastAsia"/>
                <w:color w:val="auto"/>
                <w:highlight w:val="none"/>
                <w:lang w:val="en-US" w:eastAsia="zh-CN"/>
              </w:rPr>
              <w:t>＜0.2</w:t>
            </w:r>
          </w:p>
        </w:tc>
        <w:tc>
          <w:tcPr>
            <w:tcW w:w="933" w:type="dxa"/>
            <w:vAlign w:val="center"/>
          </w:tcPr>
          <w:p>
            <w:pPr>
              <w:jc w:val="center"/>
              <w:rPr>
                <w:color w:val="auto"/>
                <w:highlight w:val="none"/>
              </w:rPr>
            </w:pPr>
            <w:r>
              <w:rPr>
                <w:rFonts w:hint="eastAsia"/>
                <w:color w:val="auto"/>
                <w:highlight w:val="none"/>
                <w:lang w:val="en-US" w:eastAsia="zh-CN"/>
              </w:rPr>
              <w:t>＜0.2</w:t>
            </w:r>
          </w:p>
        </w:tc>
        <w:tc>
          <w:tcPr>
            <w:tcW w:w="980" w:type="dxa"/>
            <w:vAlign w:val="center"/>
          </w:tcPr>
          <w:p>
            <w:pPr>
              <w:jc w:val="center"/>
              <w:rPr>
                <w:rFonts w:hint="eastAsia" w:eastAsia="宋体"/>
                <w:color w:val="auto"/>
                <w:highlight w:val="none"/>
                <w:lang w:val="en-US" w:eastAsia="zh-CN"/>
              </w:rPr>
            </w:pPr>
            <w:r>
              <w:rPr>
                <w:rFonts w:hint="eastAsia"/>
                <w:color w:val="auto"/>
                <w:highlight w:val="none"/>
                <w:lang w:val="en-US" w:eastAsia="zh-CN"/>
              </w:rPr>
              <w:t>0.2</w:t>
            </w:r>
          </w:p>
        </w:tc>
        <w:tc>
          <w:tcPr>
            <w:tcW w:w="1069" w:type="dxa"/>
            <w:vMerge w:val="continue"/>
            <w:vAlign w:val="center"/>
          </w:tcPr>
          <w:p>
            <w:pPr>
              <w:jc w:val="center"/>
              <w:rPr>
                <w:rFonts w:hint="eastAsia"/>
                <w:color w:val="auto"/>
                <w:highlight w:val="none"/>
                <w:lang w:val="en-US" w:eastAsia="zh-CN"/>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431" w:type="dxa"/>
            <w:vMerge w:val="continue"/>
            <w:vAlign w:val="center"/>
          </w:tcPr>
          <w:p>
            <w:pPr>
              <w:jc w:val="center"/>
              <w:rPr>
                <w:color w:val="auto"/>
                <w:highlight w:val="none"/>
              </w:rPr>
            </w:pPr>
          </w:p>
        </w:tc>
        <w:tc>
          <w:tcPr>
            <w:tcW w:w="800" w:type="dxa"/>
            <w:vMerge w:val="continue"/>
            <w:vAlign w:val="center"/>
          </w:tcPr>
          <w:p>
            <w:pPr>
              <w:tabs>
                <w:tab w:val="left" w:pos="7020"/>
              </w:tabs>
              <w:spacing w:line="160" w:lineRule="atLeast"/>
              <w:jc w:val="center"/>
              <w:rPr>
                <w:color w:val="auto"/>
                <w:highlight w:val="none"/>
              </w:rPr>
            </w:pPr>
          </w:p>
        </w:tc>
        <w:tc>
          <w:tcPr>
            <w:tcW w:w="1700" w:type="dxa"/>
            <w:vAlign w:val="center"/>
          </w:tcPr>
          <w:p>
            <w:pPr>
              <w:tabs>
                <w:tab w:val="left" w:pos="7020"/>
              </w:tabs>
              <w:spacing w:line="160" w:lineRule="atLeast"/>
              <w:jc w:val="center"/>
              <w:rPr>
                <w:color w:val="auto"/>
                <w:highlight w:val="none"/>
              </w:rPr>
            </w:pPr>
            <w:r>
              <w:rPr>
                <w:color w:val="auto"/>
                <w:highlight w:val="none"/>
              </w:rPr>
              <w:t>排放速率(kg/h)</w:t>
            </w:r>
          </w:p>
        </w:tc>
        <w:tc>
          <w:tcPr>
            <w:tcW w:w="550" w:type="dxa"/>
            <w:vMerge w:val="continue"/>
            <w:vAlign w:val="center"/>
          </w:tcPr>
          <w:p>
            <w:pPr>
              <w:jc w:val="center"/>
              <w:rPr>
                <w:color w:val="auto"/>
                <w:highlight w:val="none"/>
              </w:rPr>
            </w:pPr>
          </w:p>
        </w:tc>
        <w:tc>
          <w:tcPr>
            <w:tcW w:w="883" w:type="dxa"/>
            <w:vAlign w:val="center"/>
          </w:tcPr>
          <w:p>
            <w:pPr>
              <w:jc w:val="center"/>
              <w:rPr>
                <w:rFonts w:hint="eastAsia"/>
                <w:color w:val="auto"/>
                <w:highlight w:val="none"/>
                <w:lang w:val="en-US" w:eastAsia="zh-CN"/>
              </w:rPr>
            </w:pPr>
            <w:r>
              <w:rPr>
                <w:rFonts w:hint="eastAsia"/>
                <w:color w:val="auto"/>
                <w:highlight w:val="none"/>
                <w:lang w:val="en-US" w:eastAsia="zh-CN"/>
              </w:rPr>
              <w:t>0.012</w:t>
            </w:r>
          </w:p>
        </w:tc>
        <w:tc>
          <w:tcPr>
            <w:tcW w:w="850" w:type="dxa"/>
            <w:vAlign w:val="center"/>
          </w:tcPr>
          <w:p>
            <w:pPr>
              <w:jc w:val="center"/>
              <w:rPr>
                <w:rFonts w:hint="eastAsia"/>
                <w:color w:val="auto"/>
                <w:highlight w:val="none"/>
                <w:lang w:val="en-US" w:eastAsia="zh-CN"/>
              </w:rPr>
            </w:pPr>
            <w:r>
              <w:rPr>
                <w:rFonts w:hint="eastAsia"/>
                <w:color w:val="auto"/>
                <w:highlight w:val="none"/>
                <w:lang w:val="en-US" w:eastAsia="zh-CN"/>
              </w:rPr>
              <w:t>0.014</w:t>
            </w:r>
          </w:p>
        </w:tc>
        <w:tc>
          <w:tcPr>
            <w:tcW w:w="833" w:type="dxa"/>
            <w:vAlign w:val="center"/>
          </w:tcPr>
          <w:p>
            <w:pPr>
              <w:jc w:val="center"/>
              <w:rPr>
                <w:rFonts w:hint="eastAsia"/>
                <w:color w:val="auto"/>
                <w:highlight w:val="none"/>
                <w:lang w:val="en-US" w:eastAsia="zh-CN"/>
              </w:rPr>
            </w:pPr>
            <w:r>
              <w:rPr>
                <w:rFonts w:hint="eastAsia"/>
                <w:color w:val="auto"/>
                <w:highlight w:val="none"/>
                <w:lang w:val="en-US" w:eastAsia="zh-CN"/>
              </w:rPr>
              <w:t>0.014</w:t>
            </w:r>
          </w:p>
        </w:tc>
        <w:tc>
          <w:tcPr>
            <w:tcW w:w="967" w:type="dxa"/>
            <w:vAlign w:val="center"/>
          </w:tcPr>
          <w:p>
            <w:pPr>
              <w:jc w:val="center"/>
              <w:rPr>
                <w:color w:val="auto"/>
                <w:highlight w:val="none"/>
              </w:rPr>
            </w:pPr>
            <w:r>
              <w:rPr>
                <w:rFonts w:hint="eastAsia"/>
                <w:color w:val="auto"/>
                <w:highlight w:val="none"/>
                <w:lang w:val="en-US" w:eastAsia="zh-CN"/>
              </w:rPr>
              <w:t>/</w:t>
            </w:r>
          </w:p>
        </w:tc>
        <w:tc>
          <w:tcPr>
            <w:tcW w:w="933" w:type="dxa"/>
            <w:vAlign w:val="center"/>
          </w:tcPr>
          <w:p>
            <w:pPr>
              <w:jc w:val="center"/>
              <w:rPr>
                <w:color w:val="auto"/>
                <w:highlight w:val="none"/>
              </w:rPr>
            </w:pPr>
            <w:r>
              <w:rPr>
                <w:rFonts w:hint="eastAsia"/>
                <w:color w:val="auto"/>
                <w:highlight w:val="none"/>
                <w:lang w:val="en-US" w:eastAsia="zh-CN"/>
              </w:rPr>
              <w:t>/</w:t>
            </w:r>
          </w:p>
        </w:tc>
        <w:tc>
          <w:tcPr>
            <w:tcW w:w="980" w:type="dxa"/>
            <w:vAlign w:val="center"/>
          </w:tcPr>
          <w:p>
            <w:pPr>
              <w:jc w:val="center"/>
              <w:rPr>
                <w:color w:val="auto"/>
                <w:highlight w:val="none"/>
              </w:rPr>
            </w:pPr>
            <w:r>
              <w:rPr>
                <w:rFonts w:hint="eastAsia"/>
                <w:color w:val="auto"/>
                <w:highlight w:val="none"/>
                <w:lang w:val="en-US" w:eastAsia="zh-CN"/>
              </w:rPr>
              <w:t>2.09</w:t>
            </w:r>
            <w:r>
              <w:rPr>
                <w:color w:val="auto"/>
                <w:highlight w:val="none"/>
              </w:rPr>
              <w:t>×10</w:t>
            </w:r>
            <w:r>
              <w:rPr>
                <w:color w:val="auto"/>
                <w:highlight w:val="none"/>
                <w:vertAlign w:val="superscript"/>
              </w:rPr>
              <w:t>-</w:t>
            </w:r>
            <w:r>
              <w:rPr>
                <w:rFonts w:hint="eastAsia"/>
                <w:color w:val="auto"/>
                <w:highlight w:val="none"/>
                <w:vertAlign w:val="superscript"/>
                <w:lang w:val="en-US" w:eastAsia="zh-CN"/>
              </w:rPr>
              <w:t>3</w:t>
            </w:r>
          </w:p>
        </w:tc>
        <w:tc>
          <w:tcPr>
            <w:tcW w:w="1069" w:type="dxa"/>
            <w:vMerge w:val="continue"/>
            <w:vAlign w:val="center"/>
          </w:tcPr>
          <w:p>
            <w:pPr>
              <w:jc w:val="center"/>
              <w:rPr>
                <w:rFonts w:hint="eastAsia"/>
                <w:color w:val="auto"/>
                <w:highlight w:val="none"/>
                <w:lang w:val="en-US" w:eastAsia="zh-CN"/>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431" w:type="dxa"/>
            <w:vMerge w:val="continue"/>
            <w:vAlign w:val="center"/>
          </w:tcPr>
          <w:p>
            <w:pPr>
              <w:jc w:val="center"/>
              <w:rPr>
                <w:color w:val="auto"/>
                <w:highlight w:val="none"/>
              </w:rPr>
            </w:pPr>
          </w:p>
        </w:tc>
        <w:tc>
          <w:tcPr>
            <w:tcW w:w="2500" w:type="dxa"/>
            <w:gridSpan w:val="2"/>
            <w:vAlign w:val="center"/>
          </w:tcPr>
          <w:p>
            <w:pPr>
              <w:tabs>
                <w:tab w:val="left" w:pos="7020"/>
              </w:tabs>
              <w:spacing w:line="160" w:lineRule="atLeast"/>
              <w:jc w:val="center"/>
              <w:rPr>
                <w:color w:val="auto"/>
                <w:highlight w:val="none"/>
              </w:rPr>
            </w:pPr>
            <w:r>
              <w:rPr>
                <w:color w:val="auto"/>
                <w:highlight w:val="none"/>
              </w:rPr>
              <w:t>标干废气量(m</w:t>
            </w:r>
            <w:r>
              <w:rPr>
                <w:color w:val="auto"/>
                <w:highlight w:val="none"/>
                <w:vertAlign w:val="superscript"/>
              </w:rPr>
              <w:t>3</w:t>
            </w:r>
            <w:r>
              <w:rPr>
                <w:color w:val="auto"/>
                <w:highlight w:val="none"/>
              </w:rPr>
              <w:t>/h)</w:t>
            </w:r>
          </w:p>
        </w:tc>
        <w:tc>
          <w:tcPr>
            <w:tcW w:w="550" w:type="dxa"/>
            <w:vMerge w:val="restart"/>
            <w:vAlign w:val="center"/>
          </w:tcPr>
          <w:p>
            <w:pPr>
              <w:jc w:val="center"/>
              <w:rPr>
                <w:rFonts w:hint="eastAsia" w:eastAsia="宋体"/>
                <w:color w:val="auto"/>
                <w:highlight w:val="none"/>
                <w:lang w:val="en-US" w:eastAsia="zh-CN"/>
              </w:rPr>
            </w:pPr>
            <w:r>
              <w:rPr>
                <w:rFonts w:hint="eastAsia"/>
                <w:color w:val="auto"/>
                <w:highlight w:val="none"/>
                <w:lang w:val="en-US" w:eastAsia="zh-CN"/>
              </w:rPr>
              <w:t>10.9</w:t>
            </w:r>
          </w:p>
        </w:tc>
        <w:tc>
          <w:tcPr>
            <w:tcW w:w="883" w:type="dxa"/>
            <w:vAlign w:val="center"/>
          </w:tcPr>
          <w:p>
            <w:pPr>
              <w:keepNext w:val="0"/>
              <w:keepLines w:val="0"/>
              <w:widowControl/>
              <w:suppressLineNumbers w:val="0"/>
              <w:jc w:val="center"/>
              <w:textAlignment w:val="bottom"/>
              <w:rPr>
                <w:rFonts w:hint="eastAsia"/>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8536</w:t>
            </w:r>
          </w:p>
        </w:tc>
        <w:tc>
          <w:tcPr>
            <w:tcW w:w="850" w:type="dxa"/>
            <w:vAlign w:val="center"/>
          </w:tcPr>
          <w:p>
            <w:pPr>
              <w:keepNext w:val="0"/>
              <w:keepLines w:val="0"/>
              <w:widowControl/>
              <w:suppressLineNumbers w:val="0"/>
              <w:jc w:val="center"/>
              <w:textAlignment w:val="bottom"/>
              <w:rPr>
                <w:rFonts w:hint="eastAsia"/>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8436</w:t>
            </w:r>
          </w:p>
        </w:tc>
        <w:tc>
          <w:tcPr>
            <w:tcW w:w="833" w:type="dxa"/>
            <w:vAlign w:val="center"/>
          </w:tcPr>
          <w:p>
            <w:pPr>
              <w:keepNext w:val="0"/>
              <w:keepLines w:val="0"/>
              <w:widowControl/>
              <w:suppressLineNumbers w:val="0"/>
              <w:jc w:val="center"/>
              <w:textAlignment w:val="bottom"/>
              <w:rPr>
                <w:rFonts w:hint="eastAsia"/>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8266</w:t>
            </w:r>
          </w:p>
        </w:tc>
        <w:tc>
          <w:tcPr>
            <w:tcW w:w="967" w:type="dxa"/>
            <w:vAlign w:val="center"/>
          </w:tcPr>
          <w:p>
            <w:pPr>
              <w:keepNext w:val="0"/>
              <w:keepLines w:val="0"/>
              <w:widowControl/>
              <w:suppressLineNumbers w:val="0"/>
              <w:jc w:val="center"/>
              <w:textAlignment w:val="bottom"/>
              <w:rPr>
                <w:rFonts w:hint="eastAsia"/>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8207</w:t>
            </w:r>
          </w:p>
        </w:tc>
        <w:tc>
          <w:tcPr>
            <w:tcW w:w="933" w:type="dxa"/>
            <w:vAlign w:val="center"/>
          </w:tcPr>
          <w:p>
            <w:pPr>
              <w:keepNext w:val="0"/>
              <w:keepLines w:val="0"/>
              <w:widowControl/>
              <w:suppressLineNumbers w:val="0"/>
              <w:jc w:val="center"/>
              <w:textAlignment w:val="bottom"/>
              <w:rPr>
                <w:rFonts w:hint="eastAsia"/>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8358</w:t>
            </w:r>
          </w:p>
        </w:tc>
        <w:tc>
          <w:tcPr>
            <w:tcW w:w="980" w:type="dxa"/>
            <w:vAlign w:val="center"/>
          </w:tcPr>
          <w:p>
            <w:pPr>
              <w:keepNext w:val="0"/>
              <w:keepLines w:val="0"/>
              <w:widowControl/>
              <w:suppressLineNumbers w:val="0"/>
              <w:jc w:val="center"/>
              <w:textAlignment w:val="bottom"/>
              <w:rPr>
                <w:rFonts w:hint="eastAsia"/>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8524</w:t>
            </w:r>
          </w:p>
        </w:tc>
        <w:tc>
          <w:tcPr>
            <w:tcW w:w="1069" w:type="dxa"/>
            <w:vMerge w:val="restart"/>
            <w:vAlign w:val="center"/>
          </w:tcPr>
          <w:p>
            <w:pPr>
              <w:jc w:val="center"/>
              <w:rPr>
                <w:rFonts w:hint="eastAsia"/>
                <w:color w:val="auto"/>
                <w:highlight w:val="none"/>
                <w:lang w:val="en-US" w:eastAsia="zh-CN"/>
              </w:rPr>
            </w:pPr>
            <w:r>
              <w:rPr>
                <w:rFonts w:hint="eastAsia"/>
                <w:color w:val="auto"/>
                <w:highlight w:val="none"/>
                <w:lang w:val="en-US" w:eastAsia="zh-CN"/>
              </w:rPr>
              <w:t>23.07</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431" w:type="dxa"/>
            <w:vMerge w:val="continue"/>
            <w:vAlign w:val="center"/>
          </w:tcPr>
          <w:p>
            <w:pPr>
              <w:jc w:val="center"/>
              <w:rPr>
                <w:color w:val="auto"/>
                <w:highlight w:val="none"/>
              </w:rPr>
            </w:pPr>
          </w:p>
        </w:tc>
        <w:tc>
          <w:tcPr>
            <w:tcW w:w="800" w:type="dxa"/>
            <w:vMerge w:val="restart"/>
            <w:vAlign w:val="center"/>
          </w:tcPr>
          <w:p>
            <w:pPr>
              <w:tabs>
                <w:tab w:val="left" w:pos="7020"/>
              </w:tabs>
              <w:spacing w:line="160" w:lineRule="atLeast"/>
              <w:jc w:val="center"/>
              <w:rPr>
                <w:rFonts w:hint="eastAsia" w:eastAsia="宋体"/>
                <w:color w:val="auto"/>
                <w:highlight w:val="none"/>
                <w:lang w:val="en-US" w:eastAsia="zh-CN"/>
              </w:rPr>
            </w:pPr>
            <w:r>
              <w:rPr>
                <w:rFonts w:hint="eastAsia"/>
                <w:color w:val="auto"/>
                <w:highlight w:val="none"/>
                <w:lang w:val="en-US" w:eastAsia="zh-CN"/>
              </w:rPr>
              <w:t>甲基磺酸雾</w:t>
            </w:r>
          </w:p>
        </w:tc>
        <w:tc>
          <w:tcPr>
            <w:tcW w:w="1700" w:type="dxa"/>
            <w:vAlign w:val="center"/>
          </w:tcPr>
          <w:p>
            <w:pPr>
              <w:tabs>
                <w:tab w:val="left" w:pos="7020"/>
              </w:tabs>
              <w:spacing w:line="160" w:lineRule="atLeast"/>
              <w:jc w:val="center"/>
              <w:rPr>
                <w:color w:val="auto"/>
                <w:highlight w:val="none"/>
              </w:rPr>
            </w:pPr>
            <w:r>
              <w:rPr>
                <w:color w:val="auto"/>
                <w:highlight w:val="none"/>
              </w:rPr>
              <w:t>排放浓</w:t>
            </w:r>
            <w:r>
              <w:rPr>
                <w:rFonts w:hint="eastAsia"/>
                <w:color w:val="auto"/>
                <w:highlight w:val="none"/>
              </w:rPr>
              <w:t>度</w:t>
            </w:r>
            <w:r>
              <w:rPr>
                <w:color w:val="auto"/>
                <w:highlight w:val="none"/>
              </w:rPr>
              <w:t>(mg/m</w:t>
            </w:r>
            <w:r>
              <w:rPr>
                <w:color w:val="auto"/>
                <w:highlight w:val="none"/>
                <w:vertAlign w:val="superscript"/>
              </w:rPr>
              <w:t>3</w:t>
            </w:r>
            <w:r>
              <w:rPr>
                <w:color w:val="auto"/>
                <w:highlight w:val="none"/>
              </w:rPr>
              <w:t>)</w:t>
            </w:r>
          </w:p>
        </w:tc>
        <w:tc>
          <w:tcPr>
            <w:tcW w:w="550" w:type="dxa"/>
            <w:vMerge w:val="continue"/>
            <w:vAlign w:val="center"/>
          </w:tcPr>
          <w:p>
            <w:pPr>
              <w:jc w:val="center"/>
              <w:rPr>
                <w:color w:val="auto"/>
                <w:highlight w:val="none"/>
              </w:rPr>
            </w:pPr>
          </w:p>
        </w:tc>
        <w:tc>
          <w:tcPr>
            <w:tcW w:w="883" w:type="dxa"/>
            <w:vAlign w:val="center"/>
          </w:tcPr>
          <w:p>
            <w:pPr>
              <w:keepNext w:val="0"/>
              <w:keepLines w:val="0"/>
              <w:widowControl/>
              <w:suppressLineNumbers w:val="0"/>
              <w:jc w:val="center"/>
              <w:textAlignment w:val="bottom"/>
              <w:rPr>
                <w:rFonts w:hint="eastAsia"/>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7.05</w:t>
            </w:r>
          </w:p>
        </w:tc>
        <w:tc>
          <w:tcPr>
            <w:tcW w:w="850" w:type="dxa"/>
            <w:vAlign w:val="center"/>
          </w:tcPr>
          <w:p>
            <w:pPr>
              <w:keepNext w:val="0"/>
              <w:keepLines w:val="0"/>
              <w:widowControl/>
              <w:suppressLineNumbers w:val="0"/>
              <w:jc w:val="center"/>
              <w:textAlignment w:val="bottom"/>
              <w:rPr>
                <w:rFonts w:hint="eastAsia"/>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7.4</w:t>
            </w:r>
          </w:p>
        </w:tc>
        <w:tc>
          <w:tcPr>
            <w:tcW w:w="833" w:type="dxa"/>
            <w:vAlign w:val="center"/>
          </w:tcPr>
          <w:p>
            <w:pPr>
              <w:keepNext w:val="0"/>
              <w:keepLines w:val="0"/>
              <w:widowControl/>
              <w:suppressLineNumbers w:val="0"/>
              <w:jc w:val="center"/>
              <w:textAlignment w:val="bottom"/>
              <w:rPr>
                <w:rFonts w:hint="eastAsia"/>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6.95</w:t>
            </w:r>
          </w:p>
        </w:tc>
        <w:tc>
          <w:tcPr>
            <w:tcW w:w="967" w:type="dxa"/>
            <w:vAlign w:val="center"/>
          </w:tcPr>
          <w:p>
            <w:pPr>
              <w:keepNext w:val="0"/>
              <w:keepLines w:val="0"/>
              <w:widowControl/>
              <w:suppressLineNumbers w:val="0"/>
              <w:jc w:val="center"/>
              <w:textAlignment w:val="bottom"/>
              <w:rPr>
                <w:rFonts w:hint="eastAsia"/>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0.35</w:t>
            </w:r>
          </w:p>
        </w:tc>
        <w:tc>
          <w:tcPr>
            <w:tcW w:w="933" w:type="dxa"/>
            <w:vAlign w:val="center"/>
          </w:tcPr>
          <w:p>
            <w:pPr>
              <w:keepNext w:val="0"/>
              <w:keepLines w:val="0"/>
              <w:widowControl/>
              <w:suppressLineNumbers w:val="0"/>
              <w:jc w:val="center"/>
              <w:textAlignment w:val="bottom"/>
              <w:rPr>
                <w:rFonts w:hint="eastAsia"/>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0.41</w:t>
            </w:r>
          </w:p>
        </w:tc>
        <w:tc>
          <w:tcPr>
            <w:tcW w:w="980" w:type="dxa"/>
            <w:vAlign w:val="center"/>
          </w:tcPr>
          <w:p>
            <w:pPr>
              <w:keepNext w:val="0"/>
              <w:keepLines w:val="0"/>
              <w:widowControl/>
              <w:suppressLineNumbers w:val="0"/>
              <w:jc w:val="center"/>
              <w:textAlignment w:val="bottom"/>
              <w:rPr>
                <w:rFonts w:hint="eastAsia"/>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0.38</w:t>
            </w:r>
          </w:p>
        </w:tc>
        <w:tc>
          <w:tcPr>
            <w:tcW w:w="1069" w:type="dxa"/>
            <w:vMerge w:val="continue"/>
            <w:vAlign w:val="center"/>
          </w:tcPr>
          <w:p>
            <w:pPr>
              <w:jc w:val="center"/>
              <w:rPr>
                <w:rFonts w:hint="eastAsia"/>
                <w:color w:val="auto"/>
                <w:highlight w:val="none"/>
                <w:lang w:val="en-US" w:eastAsia="zh-CN"/>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431" w:type="dxa"/>
            <w:vMerge w:val="continue"/>
            <w:vAlign w:val="center"/>
          </w:tcPr>
          <w:p>
            <w:pPr>
              <w:jc w:val="center"/>
              <w:rPr>
                <w:color w:val="auto"/>
                <w:highlight w:val="none"/>
              </w:rPr>
            </w:pPr>
          </w:p>
        </w:tc>
        <w:tc>
          <w:tcPr>
            <w:tcW w:w="800" w:type="dxa"/>
            <w:vMerge w:val="continue"/>
            <w:vAlign w:val="center"/>
          </w:tcPr>
          <w:p>
            <w:pPr>
              <w:tabs>
                <w:tab w:val="left" w:pos="7020"/>
              </w:tabs>
              <w:spacing w:line="160" w:lineRule="atLeast"/>
              <w:jc w:val="center"/>
              <w:rPr>
                <w:color w:val="auto"/>
                <w:highlight w:val="none"/>
              </w:rPr>
            </w:pPr>
          </w:p>
        </w:tc>
        <w:tc>
          <w:tcPr>
            <w:tcW w:w="1700" w:type="dxa"/>
            <w:vAlign w:val="center"/>
          </w:tcPr>
          <w:p>
            <w:pPr>
              <w:tabs>
                <w:tab w:val="left" w:pos="7020"/>
              </w:tabs>
              <w:spacing w:line="160" w:lineRule="atLeast"/>
              <w:jc w:val="center"/>
              <w:rPr>
                <w:color w:val="auto"/>
                <w:highlight w:val="none"/>
              </w:rPr>
            </w:pPr>
            <w:r>
              <w:rPr>
                <w:color w:val="auto"/>
                <w:highlight w:val="none"/>
              </w:rPr>
              <w:t>排放速率(kg/h)</w:t>
            </w:r>
          </w:p>
        </w:tc>
        <w:tc>
          <w:tcPr>
            <w:tcW w:w="550" w:type="dxa"/>
            <w:vMerge w:val="continue"/>
            <w:vAlign w:val="center"/>
          </w:tcPr>
          <w:p>
            <w:pPr>
              <w:jc w:val="center"/>
              <w:rPr>
                <w:color w:val="auto"/>
                <w:highlight w:val="none"/>
              </w:rPr>
            </w:pPr>
          </w:p>
        </w:tc>
        <w:tc>
          <w:tcPr>
            <w:tcW w:w="883" w:type="dxa"/>
            <w:vAlign w:val="center"/>
          </w:tcPr>
          <w:p>
            <w:pPr>
              <w:keepNext w:val="0"/>
              <w:keepLines w:val="0"/>
              <w:widowControl/>
              <w:suppressLineNumbers w:val="0"/>
              <w:jc w:val="center"/>
              <w:textAlignment w:val="bottom"/>
              <w:rPr>
                <w:rFonts w:hint="eastAsia"/>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0.0602</w:t>
            </w:r>
          </w:p>
        </w:tc>
        <w:tc>
          <w:tcPr>
            <w:tcW w:w="850" w:type="dxa"/>
            <w:vAlign w:val="center"/>
          </w:tcPr>
          <w:p>
            <w:pPr>
              <w:keepNext w:val="0"/>
              <w:keepLines w:val="0"/>
              <w:widowControl/>
              <w:suppressLineNumbers w:val="0"/>
              <w:jc w:val="center"/>
              <w:textAlignment w:val="bottom"/>
              <w:rPr>
                <w:rFonts w:hint="eastAsia"/>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0.0624</w:t>
            </w:r>
          </w:p>
        </w:tc>
        <w:tc>
          <w:tcPr>
            <w:tcW w:w="833" w:type="dxa"/>
            <w:vAlign w:val="center"/>
          </w:tcPr>
          <w:p>
            <w:pPr>
              <w:keepNext w:val="0"/>
              <w:keepLines w:val="0"/>
              <w:widowControl/>
              <w:suppressLineNumbers w:val="0"/>
              <w:jc w:val="center"/>
              <w:textAlignment w:val="bottom"/>
              <w:rPr>
                <w:rFonts w:hint="eastAsia"/>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0.0574</w:t>
            </w:r>
          </w:p>
        </w:tc>
        <w:tc>
          <w:tcPr>
            <w:tcW w:w="967" w:type="dxa"/>
            <w:vAlign w:val="center"/>
          </w:tcPr>
          <w:p>
            <w:pPr>
              <w:keepNext w:val="0"/>
              <w:keepLines w:val="0"/>
              <w:widowControl/>
              <w:suppressLineNumbers w:val="0"/>
              <w:jc w:val="center"/>
              <w:textAlignment w:val="bottom"/>
              <w:rPr>
                <w:rFonts w:hint="eastAsia"/>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2.87×10</w:t>
            </w:r>
            <w:r>
              <w:rPr>
                <w:rFonts w:hint="default" w:ascii="Times New Roman" w:hAnsi="Times New Roman" w:eastAsia="宋体" w:cs="Times New Roman"/>
                <w:i w:val="0"/>
                <w:color w:val="auto"/>
                <w:kern w:val="0"/>
                <w:sz w:val="21"/>
                <w:szCs w:val="21"/>
                <w:highlight w:val="none"/>
                <w:u w:val="none"/>
                <w:vertAlign w:val="superscript"/>
                <w:lang w:val="en-US" w:eastAsia="zh-CN" w:bidi="ar"/>
              </w:rPr>
              <w:t>-3</w:t>
            </w:r>
          </w:p>
        </w:tc>
        <w:tc>
          <w:tcPr>
            <w:tcW w:w="933" w:type="dxa"/>
            <w:vAlign w:val="center"/>
          </w:tcPr>
          <w:p>
            <w:pPr>
              <w:keepNext w:val="0"/>
              <w:keepLines w:val="0"/>
              <w:widowControl/>
              <w:suppressLineNumbers w:val="0"/>
              <w:jc w:val="center"/>
              <w:textAlignment w:val="bottom"/>
              <w:rPr>
                <w:rFonts w:hint="eastAsia"/>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3.43×10</w:t>
            </w:r>
            <w:r>
              <w:rPr>
                <w:rFonts w:hint="default" w:ascii="Times New Roman" w:hAnsi="Times New Roman" w:eastAsia="宋体" w:cs="Times New Roman"/>
                <w:i w:val="0"/>
                <w:color w:val="auto"/>
                <w:kern w:val="0"/>
                <w:sz w:val="21"/>
                <w:szCs w:val="21"/>
                <w:highlight w:val="none"/>
                <w:u w:val="none"/>
                <w:vertAlign w:val="superscript"/>
                <w:lang w:val="en-US" w:eastAsia="zh-CN" w:bidi="ar"/>
              </w:rPr>
              <w:t>-3</w:t>
            </w:r>
          </w:p>
        </w:tc>
        <w:tc>
          <w:tcPr>
            <w:tcW w:w="980" w:type="dxa"/>
            <w:vAlign w:val="center"/>
          </w:tcPr>
          <w:p>
            <w:pPr>
              <w:keepNext w:val="0"/>
              <w:keepLines w:val="0"/>
              <w:widowControl/>
              <w:suppressLineNumbers w:val="0"/>
              <w:jc w:val="center"/>
              <w:textAlignment w:val="bottom"/>
              <w:rPr>
                <w:rFonts w:hint="eastAsia"/>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3.24×10</w:t>
            </w:r>
            <w:r>
              <w:rPr>
                <w:rFonts w:hint="default" w:ascii="Times New Roman" w:hAnsi="Times New Roman" w:eastAsia="宋体" w:cs="Times New Roman"/>
                <w:i w:val="0"/>
                <w:color w:val="auto"/>
                <w:kern w:val="0"/>
                <w:sz w:val="21"/>
                <w:szCs w:val="21"/>
                <w:highlight w:val="none"/>
                <w:u w:val="none"/>
                <w:vertAlign w:val="superscript"/>
                <w:lang w:val="en-US" w:eastAsia="zh-CN" w:bidi="ar"/>
              </w:rPr>
              <w:t>-3</w:t>
            </w:r>
          </w:p>
        </w:tc>
        <w:tc>
          <w:tcPr>
            <w:tcW w:w="1069" w:type="dxa"/>
            <w:vMerge w:val="continue"/>
            <w:vAlign w:val="center"/>
          </w:tcPr>
          <w:p>
            <w:pPr>
              <w:jc w:val="center"/>
              <w:rPr>
                <w:rFonts w:hint="eastAsia"/>
                <w:color w:val="auto"/>
                <w:highlight w:val="none"/>
                <w:lang w:val="en-US" w:eastAsia="zh-CN"/>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431" w:type="dxa"/>
            <w:vMerge w:val="continue"/>
            <w:vAlign w:val="center"/>
          </w:tcPr>
          <w:p>
            <w:pPr>
              <w:jc w:val="center"/>
              <w:rPr>
                <w:color w:val="auto"/>
                <w:highlight w:val="none"/>
              </w:rPr>
            </w:pPr>
          </w:p>
        </w:tc>
        <w:tc>
          <w:tcPr>
            <w:tcW w:w="2500" w:type="dxa"/>
            <w:gridSpan w:val="2"/>
            <w:vAlign w:val="center"/>
          </w:tcPr>
          <w:p>
            <w:pPr>
              <w:tabs>
                <w:tab w:val="left" w:pos="7020"/>
              </w:tabs>
              <w:spacing w:line="160" w:lineRule="atLeast"/>
              <w:jc w:val="center"/>
              <w:rPr>
                <w:color w:val="auto"/>
                <w:highlight w:val="none"/>
              </w:rPr>
            </w:pPr>
            <w:r>
              <w:rPr>
                <w:color w:val="auto"/>
                <w:highlight w:val="none"/>
              </w:rPr>
              <w:t>标干废气量(m</w:t>
            </w:r>
            <w:r>
              <w:rPr>
                <w:color w:val="auto"/>
                <w:highlight w:val="none"/>
                <w:vertAlign w:val="superscript"/>
              </w:rPr>
              <w:t>3</w:t>
            </w:r>
            <w:r>
              <w:rPr>
                <w:color w:val="auto"/>
                <w:highlight w:val="none"/>
              </w:rPr>
              <w:t>/h)</w:t>
            </w:r>
          </w:p>
        </w:tc>
        <w:tc>
          <w:tcPr>
            <w:tcW w:w="550" w:type="dxa"/>
            <w:vMerge w:val="restart"/>
            <w:vAlign w:val="center"/>
          </w:tcPr>
          <w:p>
            <w:pPr>
              <w:jc w:val="center"/>
              <w:rPr>
                <w:rFonts w:hint="eastAsia" w:eastAsia="宋体"/>
                <w:color w:val="auto"/>
                <w:highlight w:val="none"/>
                <w:lang w:val="en-US" w:eastAsia="zh-CN"/>
              </w:rPr>
            </w:pPr>
            <w:r>
              <w:rPr>
                <w:rFonts w:hint="eastAsia"/>
                <w:color w:val="auto"/>
                <w:highlight w:val="none"/>
                <w:lang w:val="en-US" w:eastAsia="zh-CN"/>
              </w:rPr>
              <w:t>10.10</w:t>
            </w:r>
          </w:p>
        </w:tc>
        <w:tc>
          <w:tcPr>
            <w:tcW w:w="883" w:type="dxa"/>
            <w:vAlign w:val="center"/>
          </w:tcPr>
          <w:p>
            <w:pPr>
              <w:keepNext w:val="0"/>
              <w:keepLines w:val="0"/>
              <w:widowControl/>
              <w:suppressLineNumbers w:val="0"/>
              <w:jc w:val="center"/>
              <w:textAlignment w:val="bottom"/>
              <w:rPr>
                <w:rFonts w:hint="eastAsia"/>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8182</w:t>
            </w:r>
          </w:p>
        </w:tc>
        <w:tc>
          <w:tcPr>
            <w:tcW w:w="850" w:type="dxa"/>
            <w:vAlign w:val="center"/>
          </w:tcPr>
          <w:p>
            <w:pPr>
              <w:keepNext w:val="0"/>
              <w:keepLines w:val="0"/>
              <w:widowControl/>
              <w:suppressLineNumbers w:val="0"/>
              <w:jc w:val="center"/>
              <w:textAlignment w:val="bottom"/>
              <w:rPr>
                <w:rFonts w:hint="eastAsia"/>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8358</w:t>
            </w:r>
          </w:p>
        </w:tc>
        <w:tc>
          <w:tcPr>
            <w:tcW w:w="833" w:type="dxa"/>
            <w:vAlign w:val="center"/>
          </w:tcPr>
          <w:p>
            <w:pPr>
              <w:keepNext w:val="0"/>
              <w:keepLines w:val="0"/>
              <w:widowControl/>
              <w:suppressLineNumbers w:val="0"/>
              <w:jc w:val="center"/>
              <w:textAlignment w:val="bottom"/>
              <w:rPr>
                <w:rFonts w:hint="eastAsia"/>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8523</w:t>
            </w:r>
          </w:p>
        </w:tc>
        <w:tc>
          <w:tcPr>
            <w:tcW w:w="967" w:type="dxa"/>
            <w:vAlign w:val="center"/>
          </w:tcPr>
          <w:p>
            <w:pPr>
              <w:keepNext w:val="0"/>
              <w:keepLines w:val="0"/>
              <w:widowControl/>
              <w:suppressLineNumbers w:val="0"/>
              <w:jc w:val="center"/>
              <w:textAlignment w:val="bottom"/>
              <w:rPr>
                <w:rFonts w:hint="eastAsia"/>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8342</w:t>
            </w:r>
          </w:p>
        </w:tc>
        <w:tc>
          <w:tcPr>
            <w:tcW w:w="933" w:type="dxa"/>
            <w:vAlign w:val="center"/>
          </w:tcPr>
          <w:p>
            <w:pPr>
              <w:keepNext w:val="0"/>
              <w:keepLines w:val="0"/>
              <w:widowControl/>
              <w:suppressLineNumbers w:val="0"/>
              <w:jc w:val="center"/>
              <w:textAlignment w:val="bottom"/>
              <w:rPr>
                <w:rFonts w:hint="eastAsia"/>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7940</w:t>
            </w:r>
          </w:p>
        </w:tc>
        <w:tc>
          <w:tcPr>
            <w:tcW w:w="980" w:type="dxa"/>
            <w:vAlign w:val="center"/>
          </w:tcPr>
          <w:p>
            <w:pPr>
              <w:keepNext w:val="0"/>
              <w:keepLines w:val="0"/>
              <w:widowControl/>
              <w:suppressLineNumbers w:val="0"/>
              <w:jc w:val="center"/>
              <w:textAlignment w:val="bottom"/>
              <w:rPr>
                <w:rFonts w:hint="eastAsia"/>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8290</w:t>
            </w:r>
          </w:p>
        </w:tc>
        <w:tc>
          <w:tcPr>
            <w:tcW w:w="1069" w:type="dxa"/>
            <w:vMerge w:val="restart"/>
            <w:vAlign w:val="center"/>
          </w:tcPr>
          <w:p>
            <w:pPr>
              <w:jc w:val="center"/>
              <w:rPr>
                <w:rFonts w:hint="eastAsia"/>
                <w:color w:val="auto"/>
                <w:highlight w:val="none"/>
                <w:lang w:val="en-US" w:eastAsia="zh-CN"/>
              </w:rPr>
            </w:pPr>
            <w:r>
              <w:rPr>
                <w:rFonts w:hint="eastAsia"/>
                <w:color w:val="auto"/>
                <w:highlight w:val="none"/>
                <w:lang w:val="en-US" w:eastAsia="zh-CN"/>
              </w:rPr>
              <w:t>23.52</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431" w:type="dxa"/>
            <w:vMerge w:val="continue"/>
            <w:vAlign w:val="center"/>
          </w:tcPr>
          <w:p>
            <w:pPr>
              <w:jc w:val="center"/>
              <w:rPr>
                <w:color w:val="auto"/>
                <w:highlight w:val="none"/>
              </w:rPr>
            </w:pPr>
          </w:p>
        </w:tc>
        <w:tc>
          <w:tcPr>
            <w:tcW w:w="800" w:type="dxa"/>
            <w:vMerge w:val="restart"/>
            <w:vAlign w:val="center"/>
          </w:tcPr>
          <w:p>
            <w:pPr>
              <w:tabs>
                <w:tab w:val="left" w:pos="7020"/>
              </w:tabs>
              <w:spacing w:line="160" w:lineRule="atLeast"/>
              <w:jc w:val="center"/>
              <w:rPr>
                <w:color w:val="auto"/>
                <w:highlight w:val="none"/>
              </w:rPr>
            </w:pPr>
            <w:r>
              <w:rPr>
                <w:rFonts w:hint="eastAsia"/>
                <w:color w:val="auto"/>
                <w:highlight w:val="none"/>
                <w:lang w:val="en-US" w:eastAsia="zh-CN"/>
              </w:rPr>
              <w:t>甲基磺酸雾</w:t>
            </w:r>
          </w:p>
        </w:tc>
        <w:tc>
          <w:tcPr>
            <w:tcW w:w="1700" w:type="dxa"/>
            <w:vAlign w:val="center"/>
          </w:tcPr>
          <w:p>
            <w:pPr>
              <w:tabs>
                <w:tab w:val="left" w:pos="7020"/>
              </w:tabs>
              <w:spacing w:line="160" w:lineRule="atLeast"/>
              <w:jc w:val="center"/>
              <w:rPr>
                <w:color w:val="auto"/>
                <w:highlight w:val="none"/>
              </w:rPr>
            </w:pPr>
            <w:r>
              <w:rPr>
                <w:color w:val="auto"/>
                <w:highlight w:val="none"/>
              </w:rPr>
              <w:t>排放浓</w:t>
            </w:r>
            <w:r>
              <w:rPr>
                <w:rFonts w:hint="eastAsia"/>
                <w:color w:val="auto"/>
                <w:highlight w:val="none"/>
              </w:rPr>
              <w:t>度</w:t>
            </w:r>
            <w:r>
              <w:rPr>
                <w:color w:val="auto"/>
                <w:highlight w:val="none"/>
              </w:rPr>
              <w:t>(mg/m</w:t>
            </w:r>
            <w:r>
              <w:rPr>
                <w:color w:val="auto"/>
                <w:highlight w:val="none"/>
                <w:vertAlign w:val="superscript"/>
              </w:rPr>
              <w:t>3</w:t>
            </w:r>
            <w:r>
              <w:rPr>
                <w:color w:val="auto"/>
                <w:highlight w:val="none"/>
              </w:rPr>
              <w:t>)</w:t>
            </w:r>
          </w:p>
        </w:tc>
        <w:tc>
          <w:tcPr>
            <w:tcW w:w="550" w:type="dxa"/>
            <w:vMerge w:val="continue"/>
            <w:vAlign w:val="center"/>
          </w:tcPr>
          <w:p>
            <w:pPr>
              <w:jc w:val="center"/>
              <w:rPr>
                <w:color w:val="auto"/>
                <w:highlight w:val="none"/>
              </w:rPr>
            </w:pPr>
          </w:p>
        </w:tc>
        <w:tc>
          <w:tcPr>
            <w:tcW w:w="883" w:type="dxa"/>
            <w:vAlign w:val="center"/>
          </w:tcPr>
          <w:p>
            <w:pPr>
              <w:keepNext w:val="0"/>
              <w:keepLines w:val="0"/>
              <w:widowControl/>
              <w:suppressLineNumbers w:val="0"/>
              <w:jc w:val="center"/>
              <w:textAlignment w:val="bottom"/>
              <w:rPr>
                <w:rFonts w:hint="eastAsia"/>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7.9</w:t>
            </w:r>
          </w:p>
        </w:tc>
        <w:tc>
          <w:tcPr>
            <w:tcW w:w="850" w:type="dxa"/>
            <w:vAlign w:val="center"/>
          </w:tcPr>
          <w:p>
            <w:pPr>
              <w:keepNext w:val="0"/>
              <w:keepLines w:val="0"/>
              <w:widowControl/>
              <w:suppressLineNumbers w:val="0"/>
              <w:jc w:val="center"/>
              <w:textAlignment w:val="bottom"/>
              <w:rPr>
                <w:rFonts w:hint="eastAsia"/>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8</w:t>
            </w:r>
          </w:p>
        </w:tc>
        <w:tc>
          <w:tcPr>
            <w:tcW w:w="833" w:type="dxa"/>
            <w:vAlign w:val="center"/>
          </w:tcPr>
          <w:p>
            <w:pPr>
              <w:keepNext w:val="0"/>
              <w:keepLines w:val="0"/>
              <w:widowControl/>
              <w:suppressLineNumbers w:val="0"/>
              <w:jc w:val="center"/>
              <w:textAlignment w:val="bottom"/>
              <w:rPr>
                <w:rFonts w:hint="eastAsia"/>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5.88</w:t>
            </w:r>
          </w:p>
        </w:tc>
        <w:tc>
          <w:tcPr>
            <w:tcW w:w="967" w:type="dxa"/>
            <w:vAlign w:val="center"/>
          </w:tcPr>
          <w:p>
            <w:pPr>
              <w:keepNext w:val="0"/>
              <w:keepLines w:val="0"/>
              <w:widowControl/>
              <w:suppressLineNumbers w:val="0"/>
              <w:jc w:val="center"/>
              <w:textAlignment w:val="bottom"/>
              <w:rPr>
                <w:rFonts w:hint="eastAsia"/>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0.33</w:t>
            </w:r>
          </w:p>
        </w:tc>
        <w:tc>
          <w:tcPr>
            <w:tcW w:w="933" w:type="dxa"/>
            <w:vAlign w:val="center"/>
          </w:tcPr>
          <w:p>
            <w:pPr>
              <w:keepNext w:val="0"/>
              <w:keepLines w:val="0"/>
              <w:widowControl/>
              <w:suppressLineNumbers w:val="0"/>
              <w:jc w:val="center"/>
              <w:textAlignment w:val="bottom"/>
              <w:rPr>
                <w:rFonts w:hint="eastAsia"/>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0.44</w:t>
            </w:r>
          </w:p>
        </w:tc>
        <w:tc>
          <w:tcPr>
            <w:tcW w:w="980" w:type="dxa"/>
            <w:vAlign w:val="center"/>
          </w:tcPr>
          <w:p>
            <w:pPr>
              <w:keepNext w:val="0"/>
              <w:keepLines w:val="0"/>
              <w:widowControl/>
              <w:suppressLineNumbers w:val="0"/>
              <w:jc w:val="center"/>
              <w:textAlignment w:val="bottom"/>
              <w:rPr>
                <w:rFonts w:hint="eastAsia"/>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0.4</w:t>
            </w:r>
          </w:p>
        </w:tc>
        <w:tc>
          <w:tcPr>
            <w:tcW w:w="1069" w:type="dxa"/>
            <w:vMerge w:val="continue"/>
            <w:vAlign w:val="center"/>
          </w:tcPr>
          <w:p>
            <w:pPr>
              <w:jc w:val="center"/>
              <w:rPr>
                <w:rFonts w:hint="eastAsia"/>
                <w:color w:val="auto"/>
                <w:highlight w:val="none"/>
                <w:lang w:val="en-US" w:eastAsia="zh-CN"/>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431" w:type="dxa"/>
            <w:vMerge w:val="continue"/>
            <w:vAlign w:val="center"/>
          </w:tcPr>
          <w:p>
            <w:pPr>
              <w:jc w:val="center"/>
              <w:rPr>
                <w:color w:val="auto"/>
                <w:highlight w:val="none"/>
              </w:rPr>
            </w:pPr>
          </w:p>
        </w:tc>
        <w:tc>
          <w:tcPr>
            <w:tcW w:w="800" w:type="dxa"/>
            <w:vMerge w:val="continue"/>
            <w:vAlign w:val="center"/>
          </w:tcPr>
          <w:p>
            <w:pPr>
              <w:tabs>
                <w:tab w:val="left" w:pos="7020"/>
              </w:tabs>
              <w:spacing w:line="160" w:lineRule="atLeast"/>
              <w:jc w:val="center"/>
              <w:rPr>
                <w:color w:val="auto"/>
                <w:highlight w:val="none"/>
              </w:rPr>
            </w:pPr>
          </w:p>
        </w:tc>
        <w:tc>
          <w:tcPr>
            <w:tcW w:w="1700" w:type="dxa"/>
            <w:vAlign w:val="center"/>
          </w:tcPr>
          <w:p>
            <w:pPr>
              <w:tabs>
                <w:tab w:val="left" w:pos="7020"/>
              </w:tabs>
              <w:spacing w:line="160" w:lineRule="atLeast"/>
              <w:jc w:val="center"/>
              <w:rPr>
                <w:color w:val="auto"/>
                <w:highlight w:val="none"/>
              </w:rPr>
            </w:pPr>
            <w:r>
              <w:rPr>
                <w:color w:val="auto"/>
                <w:highlight w:val="none"/>
              </w:rPr>
              <w:t>排放速率(kg/h)</w:t>
            </w:r>
          </w:p>
        </w:tc>
        <w:tc>
          <w:tcPr>
            <w:tcW w:w="550" w:type="dxa"/>
            <w:vMerge w:val="continue"/>
            <w:vAlign w:val="center"/>
          </w:tcPr>
          <w:p>
            <w:pPr>
              <w:jc w:val="center"/>
              <w:rPr>
                <w:color w:val="auto"/>
                <w:highlight w:val="none"/>
              </w:rPr>
            </w:pPr>
          </w:p>
        </w:tc>
        <w:tc>
          <w:tcPr>
            <w:tcW w:w="883" w:type="dxa"/>
            <w:vAlign w:val="center"/>
          </w:tcPr>
          <w:p>
            <w:pPr>
              <w:keepNext w:val="0"/>
              <w:keepLines w:val="0"/>
              <w:widowControl/>
              <w:suppressLineNumbers w:val="0"/>
              <w:jc w:val="center"/>
              <w:textAlignment w:val="bottom"/>
              <w:rPr>
                <w:rFonts w:hint="eastAsia"/>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0.0646</w:t>
            </w:r>
          </w:p>
        </w:tc>
        <w:tc>
          <w:tcPr>
            <w:tcW w:w="850" w:type="dxa"/>
            <w:vAlign w:val="center"/>
          </w:tcPr>
          <w:p>
            <w:pPr>
              <w:keepNext w:val="0"/>
              <w:keepLines w:val="0"/>
              <w:widowControl/>
              <w:suppressLineNumbers w:val="0"/>
              <w:jc w:val="center"/>
              <w:textAlignment w:val="bottom"/>
              <w:rPr>
                <w:rFonts w:hint="eastAsia"/>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0.0669</w:t>
            </w:r>
          </w:p>
        </w:tc>
        <w:tc>
          <w:tcPr>
            <w:tcW w:w="833" w:type="dxa"/>
            <w:vAlign w:val="center"/>
          </w:tcPr>
          <w:p>
            <w:pPr>
              <w:keepNext w:val="0"/>
              <w:keepLines w:val="0"/>
              <w:widowControl/>
              <w:suppressLineNumbers w:val="0"/>
              <w:jc w:val="center"/>
              <w:textAlignment w:val="bottom"/>
              <w:rPr>
                <w:rFonts w:hint="eastAsia"/>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0.0501</w:t>
            </w:r>
          </w:p>
        </w:tc>
        <w:tc>
          <w:tcPr>
            <w:tcW w:w="967" w:type="dxa"/>
            <w:vAlign w:val="center"/>
          </w:tcPr>
          <w:p>
            <w:pPr>
              <w:keepNext w:val="0"/>
              <w:keepLines w:val="0"/>
              <w:widowControl/>
              <w:suppressLineNumbers w:val="0"/>
              <w:jc w:val="center"/>
              <w:textAlignment w:val="bottom"/>
              <w:rPr>
                <w:rFonts w:hint="eastAsia"/>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2.75×10</w:t>
            </w:r>
            <w:r>
              <w:rPr>
                <w:rFonts w:hint="default" w:ascii="Times New Roman" w:hAnsi="Times New Roman" w:eastAsia="宋体" w:cs="Times New Roman"/>
                <w:i w:val="0"/>
                <w:color w:val="auto"/>
                <w:kern w:val="0"/>
                <w:sz w:val="21"/>
                <w:szCs w:val="21"/>
                <w:highlight w:val="none"/>
                <w:u w:val="none"/>
                <w:vertAlign w:val="superscript"/>
                <w:lang w:val="en-US" w:eastAsia="zh-CN" w:bidi="ar"/>
              </w:rPr>
              <w:t>-3</w:t>
            </w:r>
          </w:p>
        </w:tc>
        <w:tc>
          <w:tcPr>
            <w:tcW w:w="933" w:type="dxa"/>
            <w:vAlign w:val="center"/>
          </w:tcPr>
          <w:p>
            <w:pPr>
              <w:keepNext w:val="0"/>
              <w:keepLines w:val="0"/>
              <w:widowControl/>
              <w:suppressLineNumbers w:val="0"/>
              <w:jc w:val="center"/>
              <w:textAlignment w:val="bottom"/>
              <w:rPr>
                <w:rFonts w:hint="eastAsia"/>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3.49×10</w:t>
            </w:r>
            <w:r>
              <w:rPr>
                <w:rFonts w:hint="default" w:ascii="Times New Roman" w:hAnsi="Times New Roman" w:eastAsia="宋体" w:cs="Times New Roman"/>
                <w:i w:val="0"/>
                <w:color w:val="auto"/>
                <w:kern w:val="0"/>
                <w:sz w:val="21"/>
                <w:szCs w:val="21"/>
                <w:highlight w:val="none"/>
                <w:u w:val="none"/>
                <w:vertAlign w:val="superscript"/>
                <w:lang w:val="en-US" w:eastAsia="zh-CN" w:bidi="ar"/>
              </w:rPr>
              <w:t>-3</w:t>
            </w:r>
          </w:p>
        </w:tc>
        <w:tc>
          <w:tcPr>
            <w:tcW w:w="980" w:type="dxa"/>
            <w:vAlign w:val="center"/>
          </w:tcPr>
          <w:p>
            <w:pPr>
              <w:keepNext w:val="0"/>
              <w:keepLines w:val="0"/>
              <w:widowControl/>
              <w:suppressLineNumbers w:val="0"/>
              <w:jc w:val="center"/>
              <w:textAlignment w:val="bottom"/>
              <w:rPr>
                <w:rFonts w:hint="eastAsia"/>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3.32×10</w:t>
            </w:r>
            <w:r>
              <w:rPr>
                <w:rFonts w:hint="default" w:ascii="Times New Roman" w:hAnsi="Times New Roman" w:eastAsia="宋体" w:cs="Times New Roman"/>
                <w:i w:val="0"/>
                <w:color w:val="auto"/>
                <w:kern w:val="0"/>
                <w:sz w:val="21"/>
                <w:szCs w:val="21"/>
                <w:highlight w:val="none"/>
                <w:u w:val="none"/>
                <w:vertAlign w:val="superscript"/>
                <w:lang w:val="en-US" w:eastAsia="zh-CN" w:bidi="ar"/>
              </w:rPr>
              <w:t>-3</w:t>
            </w:r>
          </w:p>
        </w:tc>
        <w:tc>
          <w:tcPr>
            <w:tcW w:w="1069" w:type="dxa"/>
            <w:vMerge w:val="continue"/>
            <w:vAlign w:val="center"/>
          </w:tcPr>
          <w:p>
            <w:pPr>
              <w:jc w:val="center"/>
              <w:rPr>
                <w:rFonts w:hint="eastAsia"/>
                <w:color w:val="auto"/>
                <w:highlight w:val="none"/>
                <w:lang w:val="en-US" w:eastAsia="zh-CN"/>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431" w:type="dxa"/>
            <w:vMerge w:val="restart"/>
            <w:vAlign w:val="center"/>
          </w:tcPr>
          <w:p>
            <w:pPr>
              <w:jc w:val="center"/>
              <w:rPr>
                <w:color w:val="auto"/>
                <w:highlight w:val="none"/>
              </w:rPr>
            </w:pPr>
            <w:r>
              <w:rPr>
                <w:rFonts w:hint="eastAsia"/>
                <w:color w:val="auto"/>
                <w:highlight w:val="none"/>
                <w:lang w:val="en-US" w:eastAsia="zh-CN"/>
              </w:rPr>
              <w:t>P2</w:t>
            </w:r>
          </w:p>
        </w:tc>
        <w:tc>
          <w:tcPr>
            <w:tcW w:w="2500" w:type="dxa"/>
            <w:gridSpan w:val="2"/>
            <w:vAlign w:val="center"/>
          </w:tcPr>
          <w:p>
            <w:pPr>
              <w:tabs>
                <w:tab w:val="left" w:pos="7020"/>
              </w:tabs>
              <w:spacing w:line="160" w:lineRule="atLeast"/>
              <w:jc w:val="center"/>
              <w:rPr>
                <w:color w:val="auto"/>
                <w:highlight w:val="none"/>
              </w:rPr>
            </w:pPr>
            <w:r>
              <w:rPr>
                <w:color w:val="auto"/>
                <w:highlight w:val="none"/>
              </w:rPr>
              <w:t>标干废气量(m</w:t>
            </w:r>
            <w:r>
              <w:rPr>
                <w:color w:val="auto"/>
                <w:highlight w:val="none"/>
                <w:vertAlign w:val="superscript"/>
              </w:rPr>
              <w:t>3</w:t>
            </w:r>
            <w:r>
              <w:rPr>
                <w:color w:val="auto"/>
                <w:highlight w:val="none"/>
              </w:rPr>
              <w:t>/h)</w:t>
            </w:r>
          </w:p>
        </w:tc>
        <w:tc>
          <w:tcPr>
            <w:tcW w:w="550" w:type="dxa"/>
            <w:vMerge w:val="restart"/>
            <w:vAlign w:val="center"/>
          </w:tcPr>
          <w:p>
            <w:pPr>
              <w:jc w:val="center"/>
              <w:rPr>
                <w:rFonts w:hint="eastAsia" w:eastAsia="宋体"/>
                <w:color w:val="auto"/>
                <w:highlight w:val="none"/>
                <w:lang w:val="en-US" w:eastAsia="zh-CN"/>
              </w:rPr>
            </w:pPr>
            <w:r>
              <w:rPr>
                <w:rFonts w:hint="eastAsia"/>
                <w:color w:val="auto"/>
                <w:highlight w:val="none"/>
                <w:lang w:val="en-US" w:eastAsia="zh-CN"/>
              </w:rPr>
              <w:t>9.21</w:t>
            </w:r>
          </w:p>
        </w:tc>
        <w:tc>
          <w:tcPr>
            <w:tcW w:w="883" w:type="dxa"/>
            <w:vAlign w:val="center"/>
          </w:tcPr>
          <w:p>
            <w:pPr>
              <w:jc w:val="center"/>
              <w:rPr>
                <w:rFonts w:hint="eastAsia" w:eastAsia="宋体"/>
                <w:color w:val="auto"/>
                <w:highlight w:val="none"/>
                <w:lang w:val="en-US" w:eastAsia="zh-CN"/>
              </w:rPr>
            </w:pPr>
            <w:r>
              <w:rPr>
                <w:rFonts w:hint="eastAsia"/>
                <w:color w:val="auto"/>
                <w:highlight w:val="none"/>
                <w:lang w:val="en-US" w:eastAsia="zh-CN"/>
              </w:rPr>
              <w:t>8014</w:t>
            </w:r>
          </w:p>
        </w:tc>
        <w:tc>
          <w:tcPr>
            <w:tcW w:w="850" w:type="dxa"/>
            <w:vAlign w:val="center"/>
          </w:tcPr>
          <w:p>
            <w:pPr>
              <w:jc w:val="center"/>
              <w:rPr>
                <w:rFonts w:hint="eastAsia" w:eastAsia="宋体"/>
                <w:color w:val="auto"/>
                <w:highlight w:val="none"/>
                <w:lang w:val="en-US" w:eastAsia="zh-CN"/>
              </w:rPr>
            </w:pPr>
            <w:r>
              <w:rPr>
                <w:rFonts w:hint="eastAsia"/>
                <w:color w:val="auto"/>
                <w:highlight w:val="none"/>
                <w:lang w:val="en-US" w:eastAsia="zh-CN"/>
              </w:rPr>
              <w:t>8063</w:t>
            </w:r>
          </w:p>
        </w:tc>
        <w:tc>
          <w:tcPr>
            <w:tcW w:w="833" w:type="dxa"/>
            <w:vAlign w:val="center"/>
          </w:tcPr>
          <w:p>
            <w:pPr>
              <w:jc w:val="center"/>
              <w:rPr>
                <w:rFonts w:hint="eastAsia" w:eastAsia="宋体"/>
                <w:color w:val="auto"/>
                <w:highlight w:val="none"/>
                <w:lang w:val="en-US" w:eastAsia="zh-CN"/>
              </w:rPr>
            </w:pPr>
            <w:r>
              <w:rPr>
                <w:rFonts w:hint="eastAsia"/>
                <w:color w:val="auto"/>
                <w:highlight w:val="none"/>
                <w:lang w:val="en-US" w:eastAsia="zh-CN"/>
              </w:rPr>
              <w:t>8253</w:t>
            </w:r>
          </w:p>
        </w:tc>
        <w:tc>
          <w:tcPr>
            <w:tcW w:w="967" w:type="dxa"/>
            <w:vAlign w:val="center"/>
          </w:tcPr>
          <w:p>
            <w:pPr>
              <w:jc w:val="center"/>
              <w:rPr>
                <w:rFonts w:hint="eastAsia" w:eastAsia="宋体"/>
                <w:color w:val="auto"/>
                <w:highlight w:val="none"/>
                <w:lang w:val="en-US" w:eastAsia="zh-CN"/>
              </w:rPr>
            </w:pPr>
            <w:r>
              <w:rPr>
                <w:rFonts w:hint="eastAsia"/>
                <w:color w:val="auto"/>
                <w:highlight w:val="none"/>
                <w:lang w:val="en-US" w:eastAsia="zh-CN"/>
              </w:rPr>
              <w:t>8779</w:t>
            </w:r>
          </w:p>
        </w:tc>
        <w:tc>
          <w:tcPr>
            <w:tcW w:w="933" w:type="dxa"/>
            <w:vAlign w:val="center"/>
          </w:tcPr>
          <w:p>
            <w:pPr>
              <w:jc w:val="center"/>
              <w:rPr>
                <w:rFonts w:hint="eastAsia" w:eastAsia="宋体"/>
                <w:color w:val="auto"/>
                <w:highlight w:val="none"/>
                <w:lang w:val="en-US" w:eastAsia="zh-CN"/>
              </w:rPr>
            </w:pPr>
            <w:r>
              <w:rPr>
                <w:rFonts w:hint="eastAsia"/>
                <w:color w:val="auto"/>
                <w:highlight w:val="none"/>
                <w:lang w:val="en-US" w:eastAsia="zh-CN"/>
              </w:rPr>
              <w:t>7603</w:t>
            </w:r>
          </w:p>
        </w:tc>
        <w:tc>
          <w:tcPr>
            <w:tcW w:w="980" w:type="dxa"/>
            <w:vAlign w:val="center"/>
          </w:tcPr>
          <w:p>
            <w:pPr>
              <w:jc w:val="center"/>
              <w:rPr>
                <w:rFonts w:hint="eastAsia" w:eastAsia="宋体"/>
                <w:color w:val="auto"/>
                <w:highlight w:val="none"/>
                <w:lang w:val="en-US" w:eastAsia="zh-CN"/>
              </w:rPr>
            </w:pPr>
            <w:r>
              <w:rPr>
                <w:rFonts w:hint="eastAsia"/>
                <w:color w:val="auto"/>
                <w:highlight w:val="none"/>
                <w:lang w:val="en-US" w:eastAsia="zh-CN"/>
              </w:rPr>
              <w:t>7655</w:t>
            </w:r>
          </w:p>
        </w:tc>
        <w:tc>
          <w:tcPr>
            <w:tcW w:w="1069" w:type="dxa"/>
            <w:vMerge w:val="restart"/>
            <w:vAlign w:val="center"/>
          </w:tcPr>
          <w:p>
            <w:pPr>
              <w:jc w:val="center"/>
              <w:rPr>
                <w:rFonts w:hint="eastAsia"/>
                <w:color w:val="auto"/>
                <w:highlight w:val="none"/>
                <w:lang w:val="en-US" w:eastAsia="zh-CN"/>
              </w:rPr>
            </w:pPr>
            <w:r>
              <w:rPr>
                <w:rFonts w:hint="eastAsia"/>
                <w:color w:val="auto"/>
                <w:highlight w:val="none"/>
                <w:lang w:val="en-US" w:eastAsia="zh-CN"/>
              </w:rPr>
              <w:t>6.80</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431" w:type="dxa"/>
            <w:vMerge w:val="continue"/>
            <w:vAlign w:val="center"/>
          </w:tcPr>
          <w:p>
            <w:pPr>
              <w:jc w:val="center"/>
              <w:rPr>
                <w:color w:val="auto"/>
                <w:highlight w:val="none"/>
              </w:rPr>
            </w:pPr>
          </w:p>
        </w:tc>
        <w:tc>
          <w:tcPr>
            <w:tcW w:w="800" w:type="dxa"/>
            <w:vMerge w:val="restart"/>
            <w:vAlign w:val="center"/>
          </w:tcPr>
          <w:p>
            <w:pPr>
              <w:tabs>
                <w:tab w:val="left" w:pos="7020"/>
              </w:tabs>
              <w:spacing w:line="160" w:lineRule="atLeast"/>
              <w:jc w:val="center"/>
              <w:rPr>
                <w:color w:val="auto"/>
                <w:highlight w:val="none"/>
              </w:rPr>
            </w:pPr>
            <w:r>
              <w:rPr>
                <w:rFonts w:hint="default" w:ascii="Times New Roman" w:hAnsi="Times New Roman" w:cs="Times New Roman"/>
                <w:color w:val="auto"/>
                <w:sz w:val="21"/>
                <w:szCs w:val="21"/>
                <w:highlight w:val="none"/>
              </w:rPr>
              <w:t>氯化氢</w:t>
            </w:r>
          </w:p>
        </w:tc>
        <w:tc>
          <w:tcPr>
            <w:tcW w:w="1700" w:type="dxa"/>
            <w:vAlign w:val="center"/>
          </w:tcPr>
          <w:p>
            <w:pPr>
              <w:tabs>
                <w:tab w:val="left" w:pos="7020"/>
              </w:tabs>
              <w:spacing w:line="160" w:lineRule="atLeast"/>
              <w:jc w:val="center"/>
              <w:rPr>
                <w:color w:val="auto"/>
                <w:highlight w:val="none"/>
              </w:rPr>
            </w:pPr>
            <w:r>
              <w:rPr>
                <w:color w:val="auto"/>
                <w:highlight w:val="none"/>
              </w:rPr>
              <w:t>排放浓</w:t>
            </w:r>
            <w:r>
              <w:rPr>
                <w:rFonts w:hint="eastAsia"/>
                <w:color w:val="auto"/>
                <w:highlight w:val="none"/>
              </w:rPr>
              <w:t>度</w:t>
            </w:r>
            <w:r>
              <w:rPr>
                <w:color w:val="auto"/>
                <w:highlight w:val="none"/>
              </w:rPr>
              <w:t>(mg/m</w:t>
            </w:r>
            <w:r>
              <w:rPr>
                <w:color w:val="auto"/>
                <w:highlight w:val="none"/>
                <w:vertAlign w:val="superscript"/>
              </w:rPr>
              <w:t>3</w:t>
            </w:r>
            <w:r>
              <w:rPr>
                <w:color w:val="auto"/>
                <w:highlight w:val="none"/>
              </w:rPr>
              <w:t>)</w:t>
            </w:r>
          </w:p>
        </w:tc>
        <w:tc>
          <w:tcPr>
            <w:tcW w:w="550" w:type="dxa"/>
            <w:vMerge w:val="continue"/>
            <w:vAlign w:val="center"/>
          </w:tcPr>
          <w:p>
            <w:pPr>
              <w:jc w:val="center"/>
              <w:rPr>
                <w:color w:val="auto"/>
                <w:highlight w:val="none"/>
              </w:rPr>
            </w:pPr>
          </w:p>
        </w:tc>
        <w:tc>
          <w:tcPr>
            <w:tcW w:w="883" w:type="dxa"/>
            <w:vAlign w:val="center"/>
          </w:tcPr>
          <w:p>
            <w:pPr>
              <w:jc w:val="center"/>
              <w:rPr>
                <w:rFonts w:hint="eastAsia" w:eastAsia="宋体"/>
                <w:color w:val="auto"/>
                <w:highlight w:val="none"/>
                <w:lang w:val="en-US" w:eastAsia="zh-CN"/>
              </w:rPr>
            </w:pPr>
            <w:r>
              <w:rPr>
                <w:rFonts w:hint="eastAsia"/>
                <w:color w:val="auto"/>
                <w:highlight w:val="none"/>
                <w:lang w:val="en-US" w:eastAsia="zh-CN"/>
              </w:rPr>
              <w:t>2.5</w:t>
            </w:r>
          </w:p>
        </w:tc>
        <w:tc>
          <w:tcPr>
            <w:tcW w:w="850" w:type="dxa"/>
            <w:vAlign w:val="center"/>
          </w:tcPr>
          <w:p>
            <w:pPr>
              <w:jc w:val="center"/>
              <w:rPr>
                <w:rFonts w:hint="eastAsia" w:eastAsia="宋体"/>
                <w:color w:val="auto"/>
                <w:highlight w:val="none"/>
                <w:lang w:val="en-US" w:eastAsia="zh-CN"/>
              </w:rPr>
            </w:pPr>
            <w:r>
              <w:rPr>
                <w:rFonts w:hint="eastAsia"/>
                <w:color w:val="auto"/>
                <w:highlight w:val="none"/>
                <w:lang w:val="en-US" w:eastAsia="zh-CN"/>
              </w:rPr>
              <w:t>3.4</w:t>
            </w:r>
          </w:p>
        </w:tc>
        <w:tc>
          <w:tcPr>
            <w:tcW w:w="833" w:type="dxa"/>
            <w:vAlign w:val="center"/>
          </w:tcPr>
          <w:p>
            <w:pPr>
              <w:jc w:val="center"/>
              <w:rPr>
                <w:rFonts w:hint="eastAsia" w:eastAsia="宋体"/>
                <w:color w:val="auto"/>
                <w:highlight w:val="none"/>
                <w:lang w:val="en-US" w:eastAsia="zh-CN"/>
              </w:rPr>
            </w:pPr>
            <w:r>
              <w:rPr>
                <w:rFonts w:hint="eastAsia"/>
                <w:color w:val="auto"/>
                <w:highlight w:val="none"/>
                <w:lang w:val="en-US" w:eastAsia="zh-CN"/>
              </w:rPr>
              <w:t>2.9</w:t>
            </w:r>
          </w:p>
        </w:tc>
        <w:tc>
          <w:tcPr>
            <w:tcW w:w="967" w:type="dxa"/>
            <w:vAlign w:val="center"/>
          </w:tcPr>
          <w:p>
            <w:pPr>
              <w:jc w:val="center"/>
              <w:rPr>
                <w:rFonts w:hint="eastAsia" w:eastAsia="宋体"/>
                <w:color w:val="auto"/>
                <w:highlight w:val="none"/>
                <w:lang w:val="en-US" w:eastAsia="zh-CN"/>
              </w:rPr>
            </w:pPr>
            <w:r>
              <w:rPr>
                <w:rFonts w:hint="eastAsia"/>
                <w:color w:val="auto"/>
                <w:highlight w:val="none"/>
                <w:lang w:val="en-US" w:eastAsia="zh-CN"/>
              </w:rPr>
              <w:t>0.3</w:t>
            </w:r>
          </w:p>
        </w:tc>
        <w:tc>
          <w:tcPr>
            <w:tcW w:w="933" w:type="dxa"/>
            <w:vAlign w:val="center"/>
          </w:tcPr>
          <w:p>
            <w:pPr>
              <w:jc w:val="center"/>
              <w:rPr>
                <w:rFonts w:hint="eastAsia" w:eastAsia="宋体"/>
                <w:color w:val="auto"/>
                <w:highlight w:val="none"/>
                <w:lang w:val="en-US" w:eastAsia="zh-CN"/>
              </w:rPr>
            </w:pPr>
            <w:r>
              <w:rPr>
                <w:rFonts w:hint="eastAsia"/>
                <w:color w:val="auto"/>
                <w:highlight w:val="none"/>
                <w:lang w:val="en-US" w:eastAsia="zh-CN"/>
              </w:rPr>
              <w:t>0.2</w:t>
            </w:r>
          </w:p>
        </w:tc>
        <w:tc>
          <w:tcPr>
            <w:tcW w:w="980" w:type="dxa"/>
            <w:vAlign w:val="center"/>
          </w:tcPr>
          <w:p>
            <w:pPr>
              <w:jc w:val="center"/>
              <w:rPr>
                <w:rFonts w:hint="eastAsia" w:eastAsia="宋体"/>
                <w:color w:val="auto"/>
                <w:highlight w:val="none"/>
                <w:lang w:val="en-US" w:eastAsia="zh-CN"/>
              </w:rPr>
            </w:pPr>
            <w:r>
              <w:rPr>
                <w:rFonts w:hint="eastAsia"/>
                <w:color w:val="auto"/>
                <w:highlight w:val="none"/>
                <w:lang w:val="en-US" w:eastAsia="zh-CN"/>
              </w:rPr>
              <w:t>0.2</w:t>
            </w:r>
          </w:p>
        </w:tc>
        <w:tc>
          <w:tcPr>
            <w:tcW w:w="1069" w:type="dxa"/>
            <w:vMerge w:val="continue"/>
            <w:vAlign w:val="center"/>
          </w:tcPr>
          <w:p>
            <w:pPr>
              <w:jc w:val="center"/>
              <w:rPr>
                <w:rFonts w:hint="eastAsia"/>
                <w:color w:val="auto"/>
                <w:highlight w:val="none"/>
                <w:lang w:val="en-US" w:eastAsia="zh-CN"/>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431" w:type="dxa"/>
            <w:vMerge w:val="continue"/>
            <w:vAlign w:val="center"/>
          </w:tcPr>
          <w:p>
            <w:pPr>
              <w:jc w:val="center"/>
              <w:rPr>
                <w:color w:val="auto"/>
                <w:highlight w:val="none"/>
              </w:rPr>
            </w:pPr>
          </w:p>
        </w:tc>
        <w:tc>
          <w:tcPr>
            <w:tcW w:w="800" w:type="dxa"/>
            <w:vMerge w:val="continue"/>
            <w:vAlign w:val="center"/>
          </w:tcPr>
          <w:p>
            <w:pPr>
              <w:tabs>
                <w:tab w:val="left" w:pos="7020"/>
              </w:tabs>
              <w:spacing w:line="160" w:lineRule="atLeast"/>
              <w:jc w:val="center"/>
              <w:rPr>
                <w:color w:val="auto"/>
                <w:highlight w:val="none"/>
              </w:rPr>
            </w:pPr>
          </w:p>
        </w:tc>
        <w:tc>
          <w:tcPr>
            <w:tcW w:w="1700" w:type="dxa"/>
            <w:vAlign w:val="center"/>
          </w:tcPr>
          <w:p>
            <w:pPr>
              <w:tabs>
                <w:tab w:val="left" w:pos="7020"/>
              </w:tabs>
              <w:spacing w:line="160" w:lineRule="atLeast"/>
              <w:jc w:val="center"/>
              <w:rPr>
                <w:color w:val="auto"/>
                <w:highlight w:val="none"/>
              </w:rPr>
            </w:pPr>
            <w:r>
              <w:rPr>
                <w:color w:val="auto"/>
                <w:highlight w:val="none"/>
              </w:rPr>
              <w:t>排放速率(kg/h)</w:t>
            </w:r>
          </w:p>
        </w:tc>
        <w:tc>
          <w:tcPr>
            <w:tcW w:w="550" w:type="dxa"/>
            <w:vMerge w:val="continue"/>
            <w:vAlign w:val="center"/>
          </w:tcPr>
          <w:p>
            <w:pPr>
              <w:jc w:val="center"/>
              <w:rPr>
                <w:color w:val="auto"/>
                <w:highlight w:val="none"/>
              </w:rPr>
            </w:pPr>
          </w:p>
        </w:tc>
        <w:tc>
          <w:tcPr>
            <w:tcW w:w="883" w:type="dxa"/>
            <w:vAlign w:val="center"/>
          </w:tcPr>
          <w:p>
            <w:pPr>
              <w:jc w:val="center"/>
              <w:rPr>
                <w:rFonts w:hint="eastAsia" w:eastAsia="宋体"/>
                <w:color w:val="auto"/>
                <w:highlight w:val="none"/>
                <w:lang w:val="en-US" w:eastAsia="zh-CN"/>
              </w:rPr>
            </w:pPr>
            <w:r>
              <w:rPr>
                <w:rFonts w:hint="eastAsia"/>
                <w:color w:val="auto"/>
                <w:highlight w:val="none"/>
                <w:lang w:val="en-US" w:eastAsia="zh-CN"/>
              </w:rPr>
              <w:t>0.020</w:t>
            </w:r>
          </w:p>
        </w:tc>
        <w:tc>
          <w:tcPr>
            <w:tcW w:w="850" w:type="dxa"/>
            <w:vAlign w:val="center"/>
          </w:tcPr>
          <w:p>
            <w:pPr>
              <w:jc w:val="center"/>
              <w:rPr>
                <w:rFonts w:hint="eastAsia" w:eastAsia="宋体"/>
                <w:color w:val="auto"/>
                <w:highlight w:val="none"/>
                <w:lang w:val="en-US" w:eastAsia="zh-CN"/>
              </w:rPr>
            </w:pPr>
            <w:r>
              <w:rPr>
                <w:rFonts w:hint="eastAsia"/>
                <w:color w:val="auto"/>
                <w:highlight w:val="none"/>
                <w:lang w:val="en-US" w:eastAsia="zh-CN"/>
              </w:rPr>
              <w:t>0.028</w:t>
            </w:r>
          </w:p>
        </w:tc>
        <w:tc>
          <w:tcPr>
            <w:tcW w:w="833" w:type="dxa"/>
            <w:vAlign w:val="center"/>
          </w:tcPr>
          <w:p>
            <w:pPr>
              <w:jc w:val="center"/>
              <w:rPr>
                <w:rFonts w:hint="eastAsia" w:eastAsia="宋体"/>
                <w:color w:val="auto"/>
                <w:highlight w:val="none"/>
                <w:lang w:val="en-US" w:eastAsia="zh-CN"/>
              </w:rPr>
            </w:pPr>
            <w:r>
              <w:rPr>
                <w:rFonts w:hint="eastAsia"/>
                <w:color w:val="auto"/>
                <w:highlight w:val="none"/>
                <w:lang w:val="en-US" w:eastAsia="zh-CN"/>
              </w:rPr>
              <w:t>0.024</w:t>
            </w:r>
          </w:p>
        </w:tc>
        <w:tc>
          <w:tcPr>
            <w:tcW w:w="967" w:type="dxa"/>
            <w:vAlign w:val="center"/>
          </w:tcPr>
          <w:p>
            <w:pPr>
              <w:jc w:val="center"/>
              <w:rPr>
                <w:rFonts w:hint="eastAsia" w:eastAsia="宋体"/>
                <w:color w:val="auto"/>
                <w:highlight w:val="none"/>
                <w:lang w:val="en-US" w:eastAsia="zh-CN"/>
              </w:rPr>
            </w:pPr>
            <w:r>
              <w:rPr>
                <w:rFonts w:hint="eastAsia"/>
                <w:color w:val="auto"/>
                <w:highlight w:val="none"/>
                <w:lang w:val="en-US" w:eastAsia="zh-CN"/>
              </w:rPr>
              <w:t>2.39</w:t>
            </w:r>
            <w:r>
              <w:rPr>
                <w:color w:val="auto"/>
                <w:highlight w:val="none"/>
              </w:rPr>
              <w:t>×10</w:t>
            </w:r>
            <w:r>
              <w:rPr>
                <w:color w:val="auto"/>
                <w:highlight w:val="none"/>
                <w:vertAlign w:val="superscript"/>
              </w:rPr>
              <w:t>-</w:t>
            </w:r>
            <w:r>
              <w:rPr>
                <w:rFonts w:hint="eastAsia"/>
                <w:color w:val="auto"/>
                <w:highlight w:val="none"/>
                <w:vertAlign w:val="superscript"/>
                <w:lang w:val="en-US" w:eastAsia="zh-CN"/>
              </w:rPr>
              <w:t>3</w:t>
            </w:r>
          </w:p>
        </w:tc>
        <w:tc>
          <w:tcPr>
            <w:tcW w:w="933" w:type="dxa"/>
            <w:vAlign w:val="center"/>
          </w:tcPr>
          <w:p>
            <w:pPr>
              <w:jc w:val="center"/>
              <w:rPr>
                <w:rFonts w:hint="eastAsia" w:eastAsia="宋体"/>
                <w:color w:val="auto"/>
                <w:highlight w:val="none"/>
                <w:lang w:val="en-US" w:eastAsia="zh-CN"/>
              </w:rPr>
            </w:pPr>
            <w:r>
              <w:rPr>
                <w:rFonts w:hint="eastAsia"/>
                <w:color w:val="auto"/>
                <w:highlight w:val="none"/>
                <w:lang w:val="en-US" w:eastAsia="zh-CN"/>
              </w:rPr>
              <w:t>1.77</w:t>
            </w:r>
            <w:r>
              <w:rPr>
                <w:color w:val="auto"/>
                <w:highlight w:val="none"/>
              </w:rPr>
              <w:t>×10</w:t>
            </w:r>
            <w:r>
              <w:rPr>
                <w:color w:val="auto"/>
                <w:highlight w:val="none"/>
                <w:vertAlign w:val="superscript"/>
              </w:rPr>
              <w:t>-</w:t>
            </w:r>
            <w:r>
              <w:rPr>
                <w:rFonts w:hint="eastAsia"/>
                <w:color w:val="auto"/>
                <w:highlight w:val="none"/>
                <w:vertAlign w:val="superscript"/>
                <w:lang w:val="en-US" w:eastAsia="zh-CN"/>
              </w:rPr>
              <w:t>3</w:t>
            </w:r>
          </w:p>
        </w:tc>
        <w:tc>
          <w:tcPr>
            <w:tcW w:w="980" w:type="dxa"/>
            <w:vAlign w:val="center"/>
          </w:tcPr>
          <w:p>
            <w:pPr>
              <w:jc w:val="center"/>
              <w:rPr>
                <w:rFonts w:hint="eastAsia" w:eastAsia="宋体"/>
                <w:color w:val="auto"/>
                <w:highlight w:val="none"/>
                <w:lang w:val="en-US" w:eastAsia="zh-CN"/>
              </w:rPr>
            </w:pPr>
            <w:r>
              <w:rPr>
                <w:rFonts w:hint="eastAsia"/>
                <w:color w:val="auto"/>
                <w:highlight w:val="none"/>
                <w:lang w:val="en-US" w:eastAsia="zh-CN"/>
              </w:rPr>
              <w:t>1.76</w:t>
            </w:r>
            <w:r>
              <w:rPr>
                <w:color w:val="auto"/>
                <w:highlight w:val="none"/>
              </w:rPr>
              <w:t>×10</w:t>
            </w:r>
            <w:r>
              <w:rPr>
                <w:color w:val="auto"/>
                <w:highlight w:val="none"/>
                <w:vertAlign w:val="superscript"/>
              </w:rPr>
              <w:t>-</w:t>
            </w:r>
            <w:r>
              <w:rPr>
                <w:rFonts w:hint="eastAsia"/>
                <w:color w:val="auto"/>
                <w:highlight w:val="none"/>
                <w:vertAlign w:val="superscript"/>
                <w:lang w:val="en-US" w:eastAsia="zh-CN"/>
              </w:rPr>
              <w:t>3</w:t>
            </w:r>
          </w:p>
        </w:tc>
        <w:tc>
          <w:tcPr>
            <w:tcW w:w="1069" w:type="dxa"/>
            <w:vMerge w:val="continue"/>
            <w:vAlign w:val="center"/>
          </w:tcPr>
          <w:p>
            <w:pPr>
              <w:jc w:val="center"/>
              <w:rPr>
                <w:rFonts w:hint="eastAsia"/>
                <w:color w:val="auto"/>
                <w:highlight w:val="none"/>
                <w:lang w:val="en-US" w:eastAsia="zh-CN"/>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431" w:type="dxa"/>
            <w:vMerge w:val="continue"/>
            <w:vAlign w:val="center"/>
          </w:tcPr>
          <w:p>
            <w:pPr>
              <w:jc w:val="center"/>
              <w:rPr>
                <w:color w:val="auto"/>
                <w:highlight w:val="none"/>
              </w:rPr>
            </w:pPr>
          </w:p>
        </w:tc>
        <w:tc>
          <w:tcPr>
            <w:tcW w:w="2500" w:type="dxa"/>
            <w:gridSpan w:val="2"/>
            <w:vAlign w:val="center"/>
          </w:tcPr>
          <w:p>
            <w:pPr>
              <w:tabs>
                <w:tab w:val="left" w:pos="7020"/>
              </w:tabs>
              <w:spacing w:line="160" w:lineRule="atLeast"/>
              <w:jc w:val="center"/>
              <w:rPr>
                <w:color w:val="auto"/>
                <w:highlight w:val="none"/>
              </w:rPr>
            </w:pPr>
            <w:r>
              <w:rPr>
                <w:color w:val="auto"/>
                <w:highlight w:val="none"/>
              </w:rPr>
              <w:t>标干废气量(m</w:t>
            </w:r>
            <w:r>
              <w:rPr>
                <w:color w:val="auto"/>
                <w:highlight w:val="none"/>
                <w:vertAlign w:val="superscript"/>
              </w:rPr>
              <w:t>3</w:t>
            </w:r>
            <w:r>
              <w:rPr>
                <w:color w:val="auto"/>
                <w:highlight w:val="none"/>
              </w:rPr>
              <w:t>/h)</w:t>
            </w:r>
          </w:p>
        </w:tc>
        <w:tc>
          <w:tcPr>
            <w:tcW w:w="550" w:type="dxa"/>
            <w:vMerge w:val="restart"/>
            <w:vAlign w:val="center"/>
          </w:tcPr>
          <w:p>
            <w:pPr>
              <w:jc w:val="center"/>
              <w:rPr>
                <w:rFonts w:hint="eastAsia" w:eastAsia="宋体"/>
                <w:color w:val="auto"/>
                <w:highlight w:val="none"/>
                <w:lang w:val="en-US" w:eastAsia="zh-CN"/>
              </w:rPr>
            </w:pPr>
            <w:r>
              <w:rPr>
                <w:rFonts w:hint="eastAsia"/>
                <w:color w:val="auto"/>
                <w:highlight w:val="none"/>
                <w:lang w:val="en-US" w:eastAsia="zh-CN"/>
              </w:rPr>
              <w:t>9.22</w:t>
            </w:r>
          </w:p>
        </w:tc>
        <w:tc>
          <w:tcPr>
            <w:tcW w:w="883" w:type="dxa"/>
            <w:vAlign w:val="center"/>
          </w:tcPr>
          <w:p>
            <w:pPr>
              <w:jc w:val="center"/>
              <w:rPr>
                <w:rFonts w:hint="eastAsia" w:eastAsia="宋体"/>
                <w:color w:val="auto"/>
                <w:highlight w:val="none"/>
                <w:lang w:val="en-US" w:eastAsia="zh-CN"/>
              </w:rPr>
            </w:pPr>
            <w:r>
              <w:rPr>
                <w:rFonts w:hint="eastAsia"/>
                <w:color w:val="auto"/>
                <w:highlight w:val="none"/>
                <w:lang w:val="en-US" w:eastAsia="zh-CN"/>
              </w:rPr>
              <w:t>7693</w:t>
            </w:r>
          </w:p>
        </w:tc>
        <w:tc>
          <w:tcPr>
            <w:tcW w:w="850" w:type="dxa"/>
            <w:vAlign w:val="center"/>
          </w:tcPr>
          <w:p>
            <w:pPr>
              <w:jc w:val="center"/>
              <w:rPr>
                <w:rFonts w:hint="eastAsia" w:eastAsia="宋体"/>
                <w:color w:val="auto"/>
                <w:highlight w:val="none"/>
                <w:lang w:val="en-US" w:eastAsia="zh-CN"/>
              </w:rPr>
            </w:pPr>
            <w:r>
              <w:rPr>
                <w:rFonts w:hint="eastAsia"/>
                <w:color w:val="auto"/>
                <w:highlight w:val="none"/>
                <w:lang w:val="en-US" w:eastAsia="zh-CN"/>
              </w:rPr>
              <w:t>7582</w:t>
            </w:r>
          </w:p>
        </w:tc>
        <w:tc>
          <w:tcPr>
            <w:tcW w:w="833" w:type="dxa"/>
            <w:vAlign w:val="center"/>
          </w:tcPr>
          <w:p>
            <w:pPr>
              <w:jc w:val="center"/>
              <w:rPr>
                <w:rFonts w:hint="eastAsia" w:eastAsia="宋体"/>
                <w:color w:val="auto"/>
                <w:highlight w:val="none"/>
                <w:lang w:val="en-US" w:eastAsia="zh-CN"/>
              </w:rPr>
            </w:pPr>
            <w:r>
              <w:rPr>
                <w:rFonts w:hint="eastAsia"/>
                <w:color w:val="auto"/>
                <w:highlight w:val="none"/>
                <w:lang w:val="en-US" w:eastAsia="zh-CN"/>
              </w:rPr>
              <w:t>8301</w:t>
            </w:r>
          </w:p>
        </w:tc>
        <w:tc>
          <w:tcPr>
            <w:tcW w:w="967" w:type="dxa"/>
            <w:vAlign w:val="center"/>
          </w:tcPr>
          <w:p>
            <w:pPr>
              <w:jc w:val="center"/>
              <w:rPr>
                <w:rFonts w:hint="eastAsia" w:eastAsia="宋体"/>
                <w:color w:val="auto"/>
                <w:highlight w:val="none"/>
                <w:lang w:val="en-US" w:eastAsia="zh-CN"/>
              </w:rPr>
            </w:pPr>
            <w:r>
              <w:rPr>
                <w:rFonts w:hint="eastAsia"/>
                <w:color w:val="auto"/>
                <w:highlight w:val="none"/>
                <w:lang w:val="en-US" w:eastAsia="zh-CN"/>
              </w:rPr>
              <w:t>7857</w:t>
            </w:r>
          </w:p>
        </w:tc>
        <w:tc>
          <w:tcPr>
            <w:tcW w:w="933" w:type="dxa"/>
            <w:vAlign w:val="center"/>
          </w:tcPr>
          <w:p>
            <w:pPr>
              <w:jc w:val="center"/>
              <w:rPr>
                <w:rFonts w:hint="eastAsia" w:eastAsia="宋体"/>
                <w:color w:val="auto"/>
                <w:highlight w:val="none"/>
                <w:lang w:val="en-US" w:eastAsia="zh-CN"/>
              </w:rPr>
            </w:pPr>
            <w:r>
              <w:rPr>
                <w:rFonts w:hint="eastAsia"/>
                <w:color w:val="auto"/>
                <w:highlight w:val="none"/>
                <w:lang w:val="en-US" w:eastAsia="zh-CN"/>
              </w:rPr>
              <w:t>7857</w:t>
            </w:r>
          </w:p>
        </w:tc>
        <w:tc>
          <w:tcPr>
            <w:tcW w:w="980" w:type="dxa"/>
            <w:vAlign w:val="center"/>
          </w:tcPr>
          <w:p>
            <w:pPr>
              <w:jc w:val="center"/>
              <w:rPr>
                <w:color w:val="auto"/>
                <w:highlight w:val="none"/>
              </w:rPr>
            </w:pPr>
            <w:r>
              <w:rPr>
                <w:rFonts w:hint="eastAsia"/>
                <w:color w:val="auto"/>
                <w:highlight w:val="none"/>
                <w:lang w:val="en-US" w:eastAsia="zh-CN"/>
              </w:rPr>
              <w:t>7530</w:t>
            </w:r>
          </w:p>
        </w:tc>
        <w:tc>
          <w:tcPr>
            <w:tcW w:w="1069" w:type="dxa"/>
            <w:vMerge w:val="restart"/>
            <w:vAlign w:val="center"/>
          </w:tcPr>
          <w:p>
            <w:pPr>
              <w:jc w:val="center"/>
              <w:rPr>
                <w:rFonts w:hint="eastAsia"/>
                <w:color w:val="auto"/>
                <w:highlight w:val="none"/>
                <w:lang w:val="en-US" w:eastAsia="zh-CN"/>
              </w:rPr>
            </w:pPr>
            <w:r>
              <w:rPr>
                <w:rFonts w:hint="eastAsia"/>
                <w:color w:val="auto"/>
                <w:highlight w:val="none"/>
                <w:lang w:val="en-US" w:eastAsia="zh-CN"/>
              </w:rPr>
              <w:t>6.08</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431" w:type="dxa"/>
            <w:vMerge w:val="continue"/>
            <w:vAlign w:val="center"/>
          </w:tcPr>
          <w:p>
            <w:pPr>
              <w:jc w:val="center"/>
              <w:rPr>
                <w:color w:val="auto"/>
                <w:highlight w:val="none"/>
              </w:rPr>
            </w:pPr>
          </w:p>
        </w:tc>
        <w:tc>
          <w:tcPr>
            <w:tcW w:w="800" w:type="dxa"/>
            <w:vMerge w:val="restart"/>
            <w:vAlign w:val="center"/>
          </w:tcPr>
          <w:p>
            <w:pPr>
              <w:tabs>
                <w:tab w:val="left" w:pos="7020"/>
              </w:tabs>
              <w:spacing w:line="160" w:lineRule="atLeast"/>
              <w:jc w:val="center"/>
              <w:rPr>
                <w:color w:val="auto"/>
                <w:highlight w:val="none"/>
              </w:rPr>
            </w:pPr>
            <w:r>
              <w:rPr>
                <w:rFonts w:hint="default" w:ascii="Times New Roman" w:hAnsi="Times New Roman" w:cs="Times New Roman"/>
                <w:color w:val="auto"/>
                <w:sz w:val="21"/>
                <w:szCs w:val="21"/>
                <w:highlight w:val="none"/>
              </w:rPr>
              <w:t>氯化氢</w:t>
            </w:r>
          </w:p>
        </w:tc>
        <w:tc>
          <w:tcPr>
            <w:tcW w:w="1700" w:type="dxa"/>
            <w:vAlign w:val="center"/>
          </w:tcPr>
          <w:p>
            <w:pPr>
              <w:tabs>
                <w:tab w:val="left" w:pos="7020"/>
              </w:tabs>
              <w:spacing w:line="160" w:lineRule="atLeast"/>
              <w:jc w:val="center"/>
              <w:rPr>
                <w:color w:val="auto"/>
                <w:highlight w:val="none"/>
              </w:rPr>
            </w:pPr>
            <w:r>
              <w:rPr>
                <w:color w:val="auto"/>
                <w:highlight w:val="none"/>
              </w:rPr>
              <w:t>排放浓</w:t>
            </w:r>
            <w:r>
              <w:rPr>
                <w:rFonts w:hint="eastAsia"/>
                <w:color w:val="auto"/>
                <w:highlight w:val="none"/>
              </w:rPr>
              <w:t>度</w:t>
            </w:r>
            <w:r>
              <w:rPr>
                <w:color w:val="auto"/>
                <w:highlight w:val="none"/>
              </w:rPr>
              <w:t>(mg/m</w:t>
            </w:r>
            <w:r>
              <w:rPr>
                <w:color w:val="auto"/>
                <w:highlight w:val="none"/>
                <w:vertAlign w:val="superscript"/>
              </w:rPr>
              <w:t>3</w:t>
            </w:r>
            <w:r>
              <w:rPr>
                <w:color w:val="auto"/>
                <w:highlight w:val="none"/>
              </w:rPr>
              <w:t>)</w:t>
            </w:r>
          </w:p>
        </w:tc>
        <w:tc>
          <w:tcPr>
            <w:tcW w:w="550" w:type="dxa"/>
            <w:vMerge w:val="continue"/>
            <w:vAlign w:val="center"/>
          </w:tcPr>
          <w:p>
            <w:pPr>
              <w:jc w:val="center"/>
              <w:rPr>
                <w:color w:val="auto"/>
                <w:highlight w:val="none"/>
              </w:rPr>
            </w:pPr>
          </w:p>
        </w:tc>
        <w:tc>
          <w:tcPr>
            <w:tcW w:w="883" w:type="dxa"/>
            <w:vAlign w:val="center"/>
          </w:tcPr>
          <w:p>
            <w:pPr>
              <w:jc w:val="center"/>
              <w:rPr>
                <w:rFonts w:hint="eastAsia" w:eastAsia="宋体"/>
                <w:color w:val="auto"/>
                <w:highlight w:val="none"/>
                <w:lang w:val="en-US" w:eastAsia="zh-CN"/>
              </w:rPr>
            </w:pPr>
            <w:r>
              <w:rPr>
                <w:rFonts w:hint="eastAsia"/>
                <w:color w:val="auto"/>
                <w:highlight w:val="none"/>
                <w:lang w:val="en-US" w:eastAsia="zh-CN"/>
              </w:rPr>
              <w:t>3.3</w:t>
            </w:r>
          </w:p>
        </w:tc>
        <w:tc>
          <w:tcPr>
            <w:tcW w:w="850" w:type="dxa"/>
            <w:vAlign w:val="center"/>
          </w:tcPr>
          <w:p>
            <w:pPr>
              <w:jc w:val="center"/>
              <w:rPr>
                <w:rFonts w:hint="eastAsia" w:eastAsia="宋体"/>
                <w:color w:val="auto"/>
                <w:highlight w:val="none"/>
                <w:lang w:val="en-US" w:eastAsia="zh-CN"/>
              </w:rPr>
            </w:pPr>
            <w:r>
              <w:rPr>
                <w:rFonts w:hint="eastAsia"/>
                <w:color w:val="auto"/>
                <w:highlight w:val="none"/>
                <w:lang w:val="en-US" w:eastAsia="zh-CN"/>
              </w:rPr>
              <w:t>3.3</w:t>
            </w:r>
          </w:p>
        </w:tc>
        <w:tc>
          <w:tcPr>
            <w:tcW w:w="833" w:type="dxa"/>
            <w:vAlign w:val="center"/>
          </w:tcPr>
          <w:p>
            <w:pPr>
              <w:jc w:val="center"/>
              <w:rPr>
                <w:rFonts w:hint="eastAsia" w:eastAsia="宋体"/>
                <w:color w:val="auto"/>
                <w:highlight w:val="none"/>
                <w:lang w:val="en-US" w:eastAsia="zh-CN"/>
              </w:rPr>
            </w:pPr>
            <w:r>
              <w:rPr>
                <w:rFonts w:hint="eastAsia"/>
                <w:color w:val="auto"/>
                <w:highlight w:val="none"/>
                <w:lang w:val="en-US" w:eastAsia="zh-CN"/>
              </w:rPr>
              <w:t>2.5</w:t>
            </w:r>
          </w:p>
        </w:tc>
        <w:tc>
          <w:tcPr>
            <w:tcW w:w="967" w:type="dxa"/>
            <w:vAlign w:val="center"/>
          </w:tcPr>
          <w:p>
            <w:pPr>
              <w:jc w:val="center"/>
              <w:rPr>
                <w:rFonts w:hint="eastAsia" w:eastAsia="宋体"/>
                <w:color w:val="auto"/>
                <w:highlight w:val="none"/>
                <w:lang w:val="en-US" w:eastAsia="zh-CN"/>
              </w:rPr>
            </w:pPr>
            <w:r>
              <w:rPr>
                <w:rFonts w:hint="eastAsia"/>
                <w:color w:val="auto"/>
                <w:highlight w:val="none"/>
                <w:lang w:val="en-US" w:eastAsia="zh-CN"/>
              </w:rPr>
              <w:t>0.3</w:t>
            </w:r>
          </w:p>
        </w:tc>
        <w:tc>
          <w:tcPr>
            <w:tcW w:w="933" w:type="dxa"/>
            <w:vAlign w:val="center"/>
          </w:tcPr>
          <w:p>
            <w:pPr>
              <w:jc w:val="center"/>
              <w:rPr>
                <w:rFonts w:hint="eastAsia" w:eastAsia="宋体"/>
                <w:color w:val="auto"/>
                <w:highlight w:val="none"/>
                <w:lang w:val="en-US" w:eastAsia="zh-CN"/>
              </w:rPr>
            </w:pPr>
            <w:r>
              <w:rPr>
                <w:rFonts w:hint="eastAsia"/>
                <w:color w:val="auto"/>
                <w:highlight w:val="none"/>
                <w:lang w:val="en-US" w:eastAsia="zh-CN"/>
              </w:rPr>
              <w:t>0.2</w:t>
            </w:r>
          </w:p>
        </w:tc>
        <w:tc>
          <w:tcPr>
            <w:tcW w:w="980" w:type="dxa"/>
            <w:vAlign w:val="center"/>
          </w:tcPr>
          <w:p>
            <w:pPr>
              <w:jc w:val="center"/>
              <w:rPr>
                <w:rFonts w:hint="eastAsia" w:eastAsia="宋体"/>
                <w:color w:val="auto"/>
                <w:highlight w:val="none"/>
                <w:lang w:val="en-US" w:eastAsia="zh-CN"/>
              </w:rPr>
            </w:pPr>
            <w:r>
              <w:rPr>
                <w:rFonts w:hint="eastAsia"/>
                <w:color w:val="auto"/>
                <w:highlight w:val="none"/>
                <w:lang w:val="en-US" w:eastAsia="zh-CN"/>
              </w:rPr>
              <w:t>0.3</w:t>
            </w:r>
          </w:p>
        </w:tc>
        <w:tc>
          <w:tcPr>
            <w:tcW w:w="1069" w:type="dxa"/>
            <w:vMerge w:val="continue"/>
            <w:vAlign w:val="center"/>
          </w:tcPr>
          <w:p>
            <w:pPr>
              <w:jc w:val="center"/>
              <w:rPr>
                <w:rFonts w:hint="eastAsia"/>
                <w:color w:val="auto"/>
                <w:highlight w:val="none"/>
                <w:lang w:val="en-US" w:eastAsia="zh-CN"/>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431" w:type="dxa"/>
            <w:vMerge w:val="continue"/>
            <w:vAlign w:val="center"/>
          </w:tcPr>
          <w:p>
            <w:pPr>
              <w:jc w:val="center"/>
              <w:rPr>
                <w:color w:val="auto"/>
                <w:highlight w:val="none"/>
              </w:rPr>
            </w:pPr>
          </w:p>
        </w:tc>
        <w:tc>
          <w:tcPr>
            <w:tcW w:w="800" w:type="dxa"/>
            <w:vMerge w:val="continue"/>
            <w:vAlign w:val="center"/>
          </w:tcPr>
          <w:p>
            <w:pPr>
              <w:tabs>
                <w:tab w:val="left" w:pos="7020"/>
              </w:tabs>
              <w:spacing w:line="160" w:lineRule="atLeast"/>
              <w:jc w:val="center"/>
              <w:rPr>
                <w:color w:val="auto"/>
                <w:highlight w:val="none"/>
              </w:rPr>
            </w:pPr>
          </w:p>
        </w:tc>
        <w:tc>
          <w:tcPr>
            <w:tcW w:w="1700" w:type="dxa"/>
            <w:vAlign w:val="center"/>
          </w:tcPr>
          <w:p>
            <w:pPr>
              <w:tabs>
                <w:tab w:val="left" w:pos="7020"/>
              </w:tabs>
              <w:spacing w:line="160" w:lineRule="atLeast"/>
              <w:jc w:val="center"/>
              <w:rPr>
                <w:color w:val="auto"/>
                <w:highlight w:val="none"/>
              </w:rPr>
            </w:pPr>
            <w:r>
              <w:rPr>
                <w:color w:val="auto"/>
                <w:highlight w:val="none"/>
              </w:rPr>
              <w:t>排放速率(kg/h)</w:t>
            </w:r>
          </w:p>
        </w:tc>
        <w:tc>
          <w:tcPr>
            <w:tcW w:w="550" w:type="dxa"/>
            <w:vMerge w:val="continue"/>
            <w:vAlign w:val="center"/>
          </w:tcPr>
          <w:p>
            <w:pPr>
              <w:jc w:val="center"/>
              <w:rPr>
                <w:color w:val="auto"/>
                <w:highlight w:val="none"/>
              </w:rPr>
            </w:pPr>
          </w:p>
        </w:tc>
        <w:tc>
          <w:tcPr>
            <w:tcW w:w="883" w:type="dxa"/>
            <w:vAlign w:val="center"/>
          </w:tcPr>
          <w:p>
            <w:pPr>
              <w:jc w:val="center"/>
              <w:rPr>
                <w:rFonts w:hint="eastAsia" w:eastAsia="宋体"/>
                <w:color w:val="auto"/>
                <w:highlight w:val="none"/>
                <w:lang w:val="en-US" w:eastAsia="zh-CN"/>
              </w:rPr>
            </w:pPr>
            <w:r>
              <w:rPr>
                <w:rFonts w:hint="eastAsia"/>
                <w:color w:val="auto"/>
                <w:highlight w:val="none"/>
                <w:lang w:val="en-US" w:eastAsia="zh-CN"/>
              </w:rPr>
              <w:t>0.025</w:t>
            </w:r>
          </w:p>
        </w:tc>
        <w:tc>
          <w:tcPr>
            <w:tcW w:w="850" w:type="dxa"/>
            <w:vAlign w:val="center"/>
          </w:tcPr>
          <w:p>
            <w:pPr>
              <w:jc w:val="center"/>
              <w:rPr>
                <w:rFonts w:hint="eastAsia" w:eastAsia="宋体"/>
                <w:color w:val="auto"/>
                <w:highlight w:val="none"/>
                <w:lang w:val="en-US" w:eastAsia="zh-CN"/>
              </w:rPr>
            </w:pPr>
            <w:r>
              <w:rPr>
                <w:rFonts w:hint="eastAsia"/>
                <w:color w:val="auto"/>
                <w:highlight w:val="none"/>
                <w:lang w:val="en-US" w:eastAsia="zh-CN"/>
              </w:rPr>
              <w:t>0.025</w:t>
            </w:r>
          </w:p>
        </w:tc>
        <w:tc>
          <w:tcPr>
            <w:tcW w:w="833" w:type="dxa"/>
            <w:vAlign w:val="center"/>
          </w:tcPr>
          <w:p>
            <w:pPr>
              <w:jc w:val="center"/>
              <w:rPr>
                <w:rFonts w:hint="eastAsia" w:eastAsia="宋体"/>
                <w:color w:val="auto"/>
                <w:highlight w:val="none"/>
                <w:lang w:val="en-US" w:eastAsia="zh-CN"/>
              </w:rPr>
            </w:pPr>
            <w:r>
              <w:rPr>
                <w:rFonts w:hint="eastAsia"/>
                <w:color w:val="auto"/>
                <w:highlight w:val="none"/>
                <w:lang w:val="en-US" w:eastAsia="zh-CN"/>
              </w:rPr>
              <w:t>0.021</w:t>
            </w:r>
          </w:p>
        </w:tc>
        <w:tc>
          <w:tcPr>
            <w:tcW w:w="967" w:type="dxa"/>
            <w:vAlign w:val="center"/>
          </w:tcPr>
          <w:p>
            <w:pPr>
              <w:jc w:val="center"/>
              <w:rPr>
                <w:rFonts w:hint="eastAsia" w:eastAsia="宋体"/>
                <w:color w:val="auto"/>
                <w:highlight w:val="none"/>
                <w:lang w:val="en-US" w:eastAsia="zh-CN"/>
              </w:rPr>
            </w:pPr>
            <w:r>
              <w:rPr>
                <w:rFonts w:hint="eastAsia"/>
                <w:color w:val="auto"/>
                <w:highlight w:val="none"/>
                <w:lang w:val="en-US" w:eastAsia="zh-CN"/>
              </w:rPr>
              <w:t>2.28</w:t>
            </w:r>
            <w:r>
              <w:rPr>
                <w:color w:val="auto"/>
                <w:highlight w:val="none"/>
              </w:rPr>
              <w:t>×10</w:t>
            </w:r>
            <w:r>
              <w:rPr>
                <w:color w:val="auto"/>
                <w:highlight w:val="none"/>
                <w:vertAlign w:val="superscript"/>
              </w:rPr>
              <w:t>-</w:t>
            </w:r>
            <w:r>
              <w:rPr>
                <w:rFonts w:hint="eastAsia"/>
                <w:color w:val="auto"/>
                <w:highlight w:val="none"/>
                <w:vertAlign w:val="superscript"/>
                <w:lang w:val="en-US" w:eastAsia="zh-CN"/>
              </w:rPr>
              <w:t>3</w:t>
            </w:r>
          </w:p>
        </w:tc>
        <w:tc>
          <w:tcPr>
            <w:tcW w:w="933" w:type="dxa"/>
            <w:vAlign w:val="center"/>
          </w:tcPr>
          <w:p>
            <w:pPr>
              <w:jc w:val="center"/>
              <w:rPr>
                <w:rFonts w:hint="eastAsia" w:eastAsia="宋体"/>
                <w:color w:val="auto"/>
                <w:highlight w:val="none"/>
                <w:lang w:val="en-US" w:eastAsia="zh-CN"/>
              </w:rPr>
            </w:pPr>
            <w:r>
              <w:rPr>
                <w:rFonts w:hint="eastAsia"/>
                <w:color w:val="auto"/>
                <w:highlight w:val="none"/>
                <w:lang w:val="en-US" w:eastAsia="zh-CN"/>
              </w:rPr>
              <w:t>1.64</w:t>
            </w:r>
            <w:r>
              <w:rPr>
                <w:color w:val="auto"/>
                <w:highlight w:val="none"/>
              </w:rPr>
              <w:t>×10</w:t>
            </w:r>
            <w:r>
              <w:rPr>
                <w:color w:val="auto"/>
                <w:highlight w:val="none"/>
                <w:vertAlign w:val="superscript"/>
              </w:rPr>
              <w:t>-</w:t>
            </w:r>
            <w:r>
              <w:rPr>
                <w:rFonts w:hint="eastAsia"/>
                <w:color w:val="auto"/>
                <w:highlight w:val="none"/>
                <w:vertAlign w:val="superscript"/>
                <w:lang w:val="en-US" w:eastAsia="zh-CN"/>
              </w:rPr>
              <w:t>3</w:t>
            </w:r>
          </w:p>
        </w:tc>
        <w:tc>
          <w:tcPr>
            <w:tcW w:w="980" w:type="dxa"/>
            <w:vAlign w:val="center"/>
          </w:tcPr>
          <w:p>
            <w:pPr>
              <w:jc w:val="center"/>
              <w:rPr>
                <w:rFonts w:hint="eastAsia" w:eastAsia="宋体"/>
                <w:color w:val="auto"/>
                <w:highlight w:val="none"/>
                <w:lang w:val="en-US" w:eastAsia="zh-CN"/>
              </w:rPr>
            </w:pPr>
            <w:r>
              <w:rPr>
                <w:rFonts w:hint="eastAsia"/>
                <w:color w:val="auto"/>
                <w:highlight w:val="none"/>
                <w:lang w:val="en-US" w:eastAsia="zh-CN"/>
              </w:rPr>
              <w:t>2.45</w:t>
            </w:r>
            <w:r>
              <w:rPr>
                <w:color w:val="auto"/>
                <w:highlight w:val="none"/>
              </w:rPr>
              <w:t>×10</w:t>
            </w:r>
            <w:r>
              <w:rPr>
                <w:color w:val="auto"/>
                <w:highlight w:val="none"/>
                <w:vertAlign w:val="superscript"/>
              </w:rPr>
              <w:t>-</w:t>
            </w:r>
            <w:r>
              <w:rPr>
                <w:rFonts w:hint="eastAsia"/>
                <w:color w:val="auto"/>
                <w:highlight w:val="none"/>
                <w:vertAlign w:val="superscript"/>
                <w:lang w:val="en-US" w:eastAsia="zh-CN"/>
              </w:rPr>
              <w:t>3</w:t>
            </w:r>
          </w:p>
        </w:tc>
        <w:tc>
          <w:tcPr>
            <w:tcW w:w="1069" w:type="dxa"/>
            <w:vMerge w:val="continue"/>
            <w:vAlign w:val="center"/>
          </w:tcPr>
          <w:p>
            <w:pPr>
              <w:jc w:val="center"/>
              <w:rPr>
                <w:rFonts w:hint="eastAsia"/>
                <w:color w:val="auto"/>
                <w:highlight w:val="none"/>
                <w:lang w:val="en-US" w:eastAsia="zh-CN"/>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431" w:type="dxa"/>
            <w:vMerge w:val="restart"/>
            <w:vAlign w:val="center"/>
          </w:tcPr>
          <w:p>
            <w:pPr>
              <w:jc w:val="center"/>
              <w:rPr>
                <w:rFonts w:hint="eastAsia" w:eastAsia="宋体"/>
                <w:color w:val="auto"/>
                <w:highlight w:val="none"/>
                <w:lang w:val="en-US" w:eastAsia="zh-CN"/>
              </w:rPr>
            </w:pPr>
            <w:r>
              <w:rPr>
                <w:rFonts w:hint="eastAsia"/>
                <w:color w:val="auto"/>
                <w:highlight w:val="none"/>
                <w:lang w:val="en-US" w:eastAsia="zh-CN"/>
              </w:rPr>
              <w:t>P3</w:t>
            </w:r>
          </w:p>
        </w:tc>
        <w:tc>
          <w:tcPr>
            <w:tcW w:w="2500" w:type="dxa"/>
            <w:gridSpan w:val="2"/>
            <w:vAlign w:val="center"/>
          </w:tcPr>
          <w:p>
            <w:pPr>
              <w:tabs>
                <w:tab w:val="left" w:pos="7020"/>
              </w:tabs>
              <w:spacing w:line="160" w:lineRule="atLeast"/>
              <w:jc w:val="center"/>
              <w:rPr>
                <w:color w:val="auto"/>
                <w:highlight w:val="none"/>
              </w:rPr>
            </w:pPr>
            <w:r>
              <w:rPr>
                <w:color w:val="auto"/>
                <w:highlight w:val="none"/>
              </w:rPr>
              <w:t>标干废气量(m</w:t>
            </w:r>
            <w:r>
              <w:rPr>
                <w:color w:val="auto"/>
                <w:highlight w:val="none"/>
                <w:vertAlign w:val="superscript"/>
              </w:rPr>
              <w:t>3</w:t>
            </w:r>
            <w:r>
              <w:rPr>
                <w:color w:val="auto"/>
                <w:highlight w:val="none"/>
              </w:rPr>
              <w:t>/h)</w:t>
            </w:r>
          </w:p>
        </w:tc>
        <w:tc>
          <w:tcPr>
            <w:tcW w:w="550" w:type="dxa"/>
            <w:vMerge w:val="restart"/>
            <w:vAlign w:val="center"/>
          </w:tcPr>
          <w:p>
            <w:pPr>
              <w:jc w:val="center"/>
              <w:rPr>
                <w:rFonts w:hint="eastAsia" w:eastAsia="宋体"/>
                <w:color w:val="auto"/>
                <w:highlight w:val="none"/>
                <w:lang w:val="en-US" w:eastAsia="zh-CN"/>
              </w:rPr>
            </w:pPr>
            <w:r>
              <w:rPr>
                <w:rFonts w:hint="eastAsia"/>
                <w:color w:val="auto"/>
                <w:highlight w:val="none"/>
                <w:lang w:val="en-US" w:eastAsia="zh-CN"/>
              </w:rPr>
              <w:t>9.25</w:t>
            </w:r>
          </w:p>
        </w:tc>
        <w:tc>
          <w:tcPr>
            <w:tcW w:w="883" w:type="dxa"/>
            <w:vAlign w:val="center"/>
          </w:tcPr>
          <w:p>
            <w:pPr>
              <w:jc w:val="center"/>
              <w:rPr>
                <w:rFonts w:hint="eastAsia" w:eastAsia="宋体"/>
                <w:color w:val="auto"/>
                <w:highlight w:val="none"/>
                <w:lang w:val="en-US" w:eastAsia="zh-CN"/>
              </w:rPr>
            </w:pPr>
            <w:r>
              <w:rPr>
                <w:rFonts w:hint="eastAsia"/>
                <w:color w:val="auto"/>
                <w:highlight w:val="none"/>
                <w:lang w:val="en-US" w:eastAsia="zh-CN"/>
              </w:rPr>
              <w:t>7576</w:t>
            </w:r>
          </w:p>
        </w:tc>
        <w:tc>
          <w:tcPr>
            <w:tcW w:w="850" w:type="dxa"/>
            <w:vAlign w:val="center"/>
          </w:tcPr>
          <w:p>
            <w:pPr>
              <w:jc w:val="center"/>
              <w:rPr>
                <w:rFonts w:hint="eastAsia" w:eastAsia="宋体"/>
                <w:color w:val="auto"/>
                <w:highlight w:val="none"/>
                <w:lang w:val="en-US" w:eastAsia="zh-CN"/>
              </w:rPr>
            </w:pPr>
            <w:r>
              <w:rPr>
                <w:rFonts w:hint="eastAsia"/>
                <w:color w:val="auto"/>
                <w:highlight w:val="none"/>
                <w:lang w:val="en-US" w:eastAsia="zh-CN"/>
              </w:rPr>
              <w:t>8399</w:t>
            </w:r>
          </w:p>
        </w:tc>
        <w:tc>
          <w:tcPr>
            <w:tcW w:w="833" w:type="dxa"/>
            <w:vAlign w:val="center"/>
          </w:tcPr>
          <w:p>
            <w:pPr>
              <w:jc w:val="center"/>
              <w:rPr>
                <w:rFonts w:hint="eastAsia" w:eastAsia="宋体"/>
                <w:color w:val="auto"/>
                <w:highlight w:val="none"/>
                <w:lang w:val="en-US" w:eastAsia="zh-CN"/>
              </w:rPr>
            </w:pPr>
            <w:r>
              <w:rPr>
                <w:rFonts w:hint="eastAsia"/>
                <w:color w:val="auto"/>
                <w:highlight w:val="none"/>
                <w:lang w:val="en-US" w:eastAsia="zh-CN"/>
              </w:rPr>
              <w:t>8231</w:t>
            </w:r>
          </w:p>
        </w:tc>
        <w:tc>
          <w:tcPr>
            <w:tcW w:w="967" w:type="dxa"/>
            <w:vAlign w:val="center"/>
          </w:tcPr>
          <w:p>
            <w:pPr>
              <w:jc w:val="center"/>
              <w:rPr>
                <w:rFonts w:hint="eastAsia" w:eastAsia="宋体"/>
                <w:color w:val="auto"/>
                <w:highlight w:val="none"/>
                <w:lang w:val="en-US" w:eastAsia="zh-CN"/>
              </w:rPr>
            </w:pPr>
            <w:r>
              <w:rPr>
                <w:rFonts w:hint="eastAsia"/>
                <w:color w:val="auto"/>
                <w:highlight w:val="none"/>
                <w:lang w:val="en-US" w:eastAsia="zh-CN"/>
              </w:rPr>
              <w:t>7760</w:t>
            </w:r>
          </w:p>
        </w:tc>
        <w:tc>
          <w:tcPr>
            <w:tcW w:w="933" w:type="dxa"/>
            <w:vAlign w:val="center"/>
          </w:tcPr>
          <w:p>
            <w:pPr>
              <w:jc w:val="center"/>
              <w:rPr>
                <w:rFonts w:hint="eastAsia" w:eastAsia="宋体"/>
                <w:color w:val="auto"/>
                <w:highlight w:val="none"/>
                <w:lang w:val="en-US" w:eastAsia="zh-CN"/>
              </w:rPr>
            </w:pPr>
            <w:r>
              <w:rPr>
                <w:rFonts w:hint="eastAsia"/>
                <w:color w:val="auto"/>
                <w:highlight w:val="none"/>
                <w:lang w:val="en-US" w:eastAsia="zh-CN"/>
              </w:rPr>
              <w:t>7538</w:t>
            </w:r>
          </w:p>
        </w:tc>
        <w:tc>
          <w:tcPr>
            <w:tcW w:w="980" w:type="dxa"/>
            <w:vAlign w:val="center"/>
          </w:tcPr>
          <w:p>
            <w:pPr>
              <w:jc w:val="center"/>
              <w:rPr>
                <w:rFonts w:hint="eastAsia" w:eastAsia="宋体"/>
                <w:color w:val="auto"/>
                <w:highlight w:val="none"/>
                <w:lang w:val="en-US" w:eastAsia="zh-CN"/>
              </w:rPr>
            </w:pPr>
            <w:r>
              <w:rPr>
                <w:rFonts w:hint="eastAsia"/>
                <w:color w:val="auto"/>
                <w:highlight w:val="none"/>
                <w:lang w:val="en-US" w:eastAsia="zh-CN"/>
              </w:rPr>
              <w:t>7589</w:t>
            </w:r>
          </w:p>
        </w:tc>
        <w:tc>
          <w:tcPr>
            <w:tcW w:w="1069" w:type="dxa"/>
            <w:vMerge w:val="restart"/>
            <w:vAlign w:val="center"/>
          </w:tcPr>
          <w:p>
            <w:pPr>
              <w:jc w:val="center"/>
              <w:rPr>
                <w:rFonts w:hint="eastAsia"/>
                <w:color w:val="auto"/>
                <w:highlight w:val="none"/>
                <w:lang w:val="en-US" w:eastAsia="zh-CN"/>
              </w:rPr>
            </w:pPr>
            <w:r>
              <w:rPr>
                <w:rFonts w:hint="eastAsia"/>
                <w:color w:val="auto"/>
                <w:highlight w:val="none"/>
                <w:lang w:val="en-US" w:eastAsia="zh-CN"/>
              </w:rPr>
              <w:t>2.50</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431" w:type="dxa"/>
            <w:vMerge w:val="continue"/>
            <w:vAlign w:val="center"/>
          </w:tcPr>
          <w:p>
            <w:pPr>
              <w:jc w:val="center"/>
              <w:rPr>
                <w:color w:val="auto"/>
                <w:highlight w:val="none"/>
              </w:rPr>
            </w:pPr>
          </w:p>
        </w:tc>
        <w:tc>
          <w:tcPr>
            <w:tcW w:w="800" w:type="dxa"/>
            <w:vMerge w:val="restart"/>
            <w:vAlign w:val="center"/>
          </w:tcPr>
          <w:p>
            <w:pPr>
              <w:tabs>
                <w:tab w:val="left" w:pos="7020"/>
              </w:tabs>
              <w:spacing w:line="160" w:lineRule="atLeast"/>
              <w:jc w:val="center"/>
              <w:rPr>
                <w:color w:val="auto"/>
                <w:highlight w:val="none"/>
              </w:rPr>
            </w:pPr>
            <w:r>
              <w:rPr>
                <w:rFonts w:hint="default" w:ascii="Times New Roman" w:hAnsi="Times New Roman" w:cs="Times New Roman"/>
                <w:color w:val="auto"/>
                <w:sz w:val="21"/>
                <w:szCs w:val="21"/>
                <w:highlight w:val="none"/>
              </w:rPr>
              <w:t>氯化氢</w:t>
            </w:r>
          </w:p>
        </w:tc>
        <w:tc>
          <w:tcPr>
            <w:tcW w:w="1700" w:type="dxa"/>
            <w:vAlign w:val="center"/>
          </w:tcPr>
          <w:p>
            <w:pPr>
              <w:tabs>
                <w:tab w:val="left" w:pos="7020"/>
              </w:tabs>
              <w:spacing w:line="160" w:lineRule="atLeast"/>
              <w:jc w:val="center"/>
              <w:rPr>
                <w:color w:val="auto"/>
                <w:highlight w:val="none"/>
              </w:rPr>
            </w:pPr>
            <w:r>
              <w:rPr>
                <w:color w:val="auto"/>
                <w:highlight w:val="none"/>
              </w:rPr>
              <w:t>排放浓</w:t>
            </w:r>
            <w:r>
              <w:rPr>
                <w:rFonts w:hint="eastAsia"/>
                <w:color w:val="auto"/>
                <w:highlight w:val="none"/>
              </w:rPr>
              <w:t>度</w:t>
            </w:r>
            <w:r>
              <w:rPr>
                <w:color w:val="auto"/>
                <w:highlight w:val="none"/>
              </w:rPr>
              <w:t>(mg/m</w:t>
            </w:r>
            <w:r>
              <w:rPr>
                <w:color w:val="auto"/>
                <w:highlight w:val="none"/>
                <w:vertAlign w:val="superscript"/>
              </w:rPr>
              <w:t>3</w:t>
            </w:r>
            <w:r>
              <w:rPr>
                <w:color w:val="auto"/>
                <w:highlight w:val="none"/>
              </w:rPr>
              <w:t>)</w:t>
            </w:r>
          </w:p>
        </w:tc>
        <w:tc>
          <w:tcPr>
            <w:tcW w:w="550" w:type="dxa"/>
            <w:vMerge w:val="continue"/>
            <w:vAlign w:val="center"/>
          </w:tcPr>
          <w:p>
            <w:pPr>
              <w:jc w:val="center"/>
              <w:rPr>
                <w:color w:val="auto"/>
                <w:highlight w:val="none"/>
              </w:rPr>
            </w:pPr>
          </w:p>
        </w:tc>
        <w:tc>
          <w:tcPr>
            <w:tcW w:w="883" w:type="dxa"/>
            <w:vAlign w:val="center"/>
          </w:tcPr>
          <w:p>
            <w:pPr>
              <w:jc w:val="center"/>
              <w:rPr>
                <w:rFonts w:hint="eastAsia" w:eastAsia="宋体"/>
                <w:color w:val="auto"/>
                <w:highlight w:val="none"/>
                <w:lang w:val="en-US" w:eastAsia="zh-CN"/>
              </w:rPr>
            </w:pPr>
            <w:r>
              <w:rPr>
                <w:rFonts w:hint="eastAsia"/>
                <w:color w:val="auto"/>
                <w:highlight w:val="none"/>
                <w:lang w:val="en-US" w:eastAsia="zh-CN"/>
              </w:rPr>
              <w:t>4.3</w:t>
            </w:r>
          </w:p>
        </w:tc>
        <w:tc>
          <w:tcPr>
            <w:tcW w:w="850" w:type="dxa"/>
            <w:vAlign w:val="center"/>
          </w:tcPr>
          <w:p>
            <w:pPr>
              <w:jc w:val="center"/>
              <w:rPr>
                <w:rFonts w:hint="eastAsia" w:eastAsia="宋体"/>
                <w:color w:val="auto"/>
                <w:highlight w:val="none"/>
                <w:lang w:val="en-US" w:eastAsia="zh-CN"/>
              </w:rPr>
            </w:pPr>
            <w:r>
              <w:rPr>
                <w:rFonts w:hint="eastAsia"/>
                <w:color w:val="auto"/>
                <w:highlight w:val="none"/>
                <w:lang w:val="en-US" w:eastAsia="zh-CN"/>
              </w:rPr>
              <w:t>3.6</w:t>
            </w:r>
          </w:p>
        </w:tc>
        <w:tc>
          <w:tcPr>
            <w:tcW w:w="833" w:type="dxa"/>
            <w:vAlign w:val="center"/>
          </w:tcPr>
          <w:p>
            <w:pPr>
              <w:jc w:val="center"/>
              <w:rPr>
                <w:rFonts w:hint="eastAsia" w:eastAsia="宋体"/>
                <w:color w:val="auto"/>
                <w:highlight w:val="none"/>
                <w:lang w:val="en-US" w:eastAsia="zh-CN"/>
              </w:rPr>
            </w:pPr>
            <w:r>
              <w:rPr>
                <w:rFonts w:hint="eastAsia"/>
                <w:color w:val="auto"/>
                <w:highlight w:val="none"/>
                <w:lang w:val="en-US" w:eastAsia="zh-CN"/>
              </w:rPr>
              <w:t>4.1</w:t>
            </w:r>
          </w:p>
        </w:tc>
        <w:tc>
          <w:tcPr>
            <w:tcW w:w="967" w:type="dxa"/>
            <w:vAlign w:val="center"/>
          </w:tcPr>
          <w:p>
            <w:pPr>
              <w:jc w:val="center"/>
              <w:rPr>
                <w:rFonts w:hint="eastAsia" w:eastAsia="宋体"/>
                <w:color w:val="auto"/>
                <w:highlight w:val="none"/>
                <w:lang w:val="en-US" w:eastAsia="zh-CN"/>
              </w:rPr>
            </w:pPr>
            <w:r>
              <w:rPr>
                <w:rFonts w:hint="eastAsia"/>
                <w:color w:val="auto"/>
                <w:highlight w:val="none"/>
                <w:lang w:val="en-US" w:eastAsia="zh-CN"/>
              </w:rPr>
              <w:t>0.3</w:t>
            </w:r>
          </w:p>
        </w:tc>
        <w:tc>
          <w:tcPr>
            <w:tcW w:w="933" w:type="dxa"/>
            <w:vAlign w:val="center"/>
          </w:tcPr>
          <w:p>
            <w:pPr>
              <w:jc w:val="center"/>
              <w:rPr>
                <w:rFonts w:hint="eastAsia" w:eastAsia="宋体"/>
                <w:color w:val="auto"/>
                <w:highlight w:val="none"/>
                <w:lang w:val="en-US" w:eastAsia="zh-CN"/>
              </w:rPr>
            </w:pPr>
            <w:r>
              <w:rPr>
                <w:rFonts w:hint="eastAsia"/>
                <w:color w:val="auto"/>
                <w:highlight w:val="none"/>
                <w:lang w:val="en-US" w:eastAsia="zh-CN"/>
              </w:rPr>
              <w:t>0.2</w:t>
            </w:r>
          </w:p>
        </w:tc>
        <w:tc>
          <w:tcPr>
            <w:tcW w:w="980" w:type="dxa"/>
            <w:vAlign w:val="center"/>
          </w:tcPr>
          <w:p>
            <w:pPr>
              <w:jc w:val="center"/>
              <w:rPr>
                <w:rFonts w:hint="eastAsia" w:eastAsia="宋体"/>
                <w:color w:val="auto"/>
                <w:highlight w:val="none"/>
                <w:lang w:val="en-US" w:eastAsia="zh-CN"/>
              </w:rPr>
            </w:pPr>
            <w:r>
              <w:rPr>
                <w:rFonts w:hint="eastAsia"/>
                <w:color w:val="auto"/>
                <w:highlight w:val="none"/>
                <w:lang w:val="en-US" w:eastAsia="zh-CN"/>
              </w:rPr>
              <w:t>0.2</w:t>
            </w:r>
          </w:p>
        </w:tc>
        <w:tc>
          <w:tcPr>
            <w:tcW w:w="1069" w:type="dxa"/>
            <w:vMerge w:val="continue"/>
            <w:vAlign w:val="center"/>
          </w:tcPr>
          <w:p>
            <w:pPr>
              <w:jc w:val="center"/>
              <w:rPr>
                <w:rFonts w:hint="eastAsia"/>
                <w:color w:val="auto"/>
                <w:highlight w:val="none"/>
                <w:lang w:val="en-US" w:eastAsia="zh-CN"/>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431" w:type="dxa"/>
            <w:vMerge w:val="continue"/>
            <w:vAlign w:val="center"/>
          </w:tcPr>
          <w:p>
            <w:pPr>
              <w:jc w:val="center"/>
              <w:rPr>
                <w:color w:val="auto"/>
                <w:highlight w:val="none"/>
              </w:rPr>
            </w:pPr>
          </w:p>
        </w:tc>
        <w:tc>
          <w:tcPr>
            <w:tcW w:w="800" w:type="dxa"/>
            <w:vMerge w:val="continue"/>
            <w:vAlign w:val="center"/>
          </w:tcPr>
          <w:p>
            <w:pPr>
              <w:tabs>
                <w:tab w:val="left" w:pos="7020"/>
              </w:tabs>
              <w:spacing w:line="160" w:lineRule="atLeast"/>
              <w:jc w:val="center"/>
              <w:rPr>
                <w:color w:val="auto"/>
                <w:highlight w:val="none"/>
              </w:rPr>
            </w:pPr>
          </w:p>
        </w:tc>
        <w:tc>
          <w:tcPr>
            <w:tcW w:w="1700" w:type="dxa"/>
            <w:vAlign w:val="center"/>
          </w:tcPr>
          <w:p>
            <w:pPr>
              <w:tabs>
                <w:tab w:val="left" w:pos="7020"/>
              </w:tabs>
              <w:spacing w:line="160" w:lineRule="atLeast"/>
              <w:jc w:val="center"/>
              <w:rPr>
                <w:color w:val="auto"/>
                <w:highlight w:val="none"/>
              </w:rPr>
            </w:pPr>
            <w:r>
              <w:rPr>
                <w:color w:val="auto"/>
                <w:highlight w:val="none"/>
              </w:rPr>
              <w:t>排放速率(kg/h)</w:t>
            </w:r>
          </w:p>
        </w:tc>
        <w:tc>
          <w:tcPr>
            <w:tcW w:w="550" w:type="dxa"/>
            <w:vMerge w:val="continue"/>
            <w:vAlign w:val="center"/>
          </w:tcPr>
          <w:p>
            <w:pPr>
              <w:jc w:val="center"/>
              <w:rPr>
                <w:color w:val="auto"/>
                <w:highlight w:val="none"/>
              </w:rPr>
            </w:pPr>
          </w:p>
        </w:tc>
        <w:tc>
          <w:tcPr>
            <w:tcW w:w="883" w:type="dxa"/>
            <w:vAlign w:val="center"/>
          </w:tcPr>
          <w:p>
            <w:pPr>
              <w:jc w:val="center"/>
              <w:rPr>
                <w:rFonts w:hint="eastAsia" w:eastAsia="宋体"/>
                <w:color w:val="auto"/>
                <w:highlight w:val="none"/>
                <w:lang w:val="en-US" w:eastAsia="zh-CN"/>
              </w:rPr>
            </w:pPr>
            <w:r>
              <w:rPr>
                <w:rFonts w:hint="eastAsia"/>
                <w:color w:val="auto"/>
                <w:highlight w:val="none"/>
                <w:lang w:val="en-US" w:eastAsia="zh-CN"/>
              </w:rPr>
              <w:t>0.033</w:t>
            </w:r>
          </w:p>
        </w:tc>
        <w:tc>
          <w:tcPr>
            <w:tcW w:w="850" w:type="dxa"/>
            <w:vAlign w:val="center"/>
          </w:tcPr>
          <w:p>
            <w:pPr>
              <w:jc w:val="center"/>
              <w:rPr>
                <w:rFonts w:hint="eastAsia" w:eastAsia="宋体"/>
                <w:color w:val="auto"/>
                <w:highlight w:val="none"/>
                <w:lang w:val="en-US" w:eastAsia="zh-CN"/>
              </w:rPr>
            </w:pPr>
            <w:r>
              <w:rPr>
                <w:rFonts w:hint="eastAsia"/>
                <w:color w:val="auto"/>
                <w:highlight w:val="none"/>
                <w:lang w:val="en-US" w:eastAsia="zh-CN"/>
              </w:rPr>
              <w:t>0.030</w:t>
            </w:r>
          </w:p>
        </w:tc>
        <w:tc>
          <w:tcPr>
            <w:tcW w:w="833" w:type="dxa"/>
            <w:vAlign w:val="center"/>
          </w:tcPr>
          <w:p>
            <w:pPr>
              <w:jc w:val="center"/>
              <w:rPr>
                <w:rFonts w:hint="eastAsia" w:eastAsia="宋体"/>
                <w:color w:val="auto"/>
                <w:highlight w:val="none"/>
                <w:lang w:val="en-US" w:eastAsia="zh-CN"/>
              </w:rPr>
            </w:pPr>
            <w:r>
              <w:rPr>
                <w:rFonts w:hint="eastAsia"/>
                <w:color w:val="auto"/>
                <w:highlight w:val="none"/>
                <w:lang w:val="en-US" w:eastAsia="zh-CN"/>
              </w:rPr>
              <w:t>0.034</w:t>
            </w:r>
          </w:p>
        </w:tc>
        <w:tc>
          <w:tcPr>
            <w:tcW w:w="967" w:type="dxa"/>
            <w:vAlign w:val="center"/>
          </w:tcPr>
          <w:p>
            <w:pPr>
              <w:jc w:val="center"/>
              <w:rPr>
                <w:rFonts w:hint="eastAsia" w:eastAsia="宋体"/>
                <w:color w:val="auto"/>
                <w:highlight w:val="none"/>
                <w:lang w:val="en-US" w:eastAsia="zh-CN"/>
              </w:rPr>
            </w:pPr>
            <w:r>
              <w:rPr>
                <w:rFonts w:hint="eastAsia"/>
                <w:color w:val="auto"/>
                <w:highlight w:val="none"/>
                <w:lang w:val="en-US" w:eastAsia="zh-CN"/>
              </w:rPr>
              <w:t>2.68</w:t>
            </w:r>
            <w:r>
              <w:rPr>
                <w:color w:val="auto"/>
                <w:highlight w:val="none"/>
              </w:rPr>
              <w:t>×10</w:t>
            </w:r>
            <w:r>
              <w:rPr>
                <w:color w:val="auto"/>
                <w:highlight w:val="none"/>
                <w:vertAlign w:val="superscript"/>
              </w:rPr>
              <w:t>-</w:t>
            </w:r>
            <w:r>
              <w:rPr>
                <w:rFonts w:hint="eastAsia"/>
                <w:color w:val="auto"/>
                <w:highlight w:val="none"/>
                <w:vertAlign w:val="superscript"/>
                <w:lang w:val="en-US" w:eastAsia="zh-CN"/>
              </w:rPr>
              <w:t>3</w:t>
            </w:r>
          </w:p>
        </w:tc>
        <w:tc>
          <w:tcPr>
            <w:tcW w:w="933" w:type="dxa"/>
            <w:vAlign w:val="center"/>
          </w:tcPr>
          <w:p>
            <w:pPr>
              <w:jc w:val="center"/>
              <w:rPr>
                <w:rFonts w:hint="eastAsia" w:eastAsia="宋体"/>
                <w:color w:val="auto"/>
                <w:highlight w:val="none"/>
                <w:lang w:val="en-US" w:eastAsia="zh-CN"/>
              </w:rPr>
            </w:pPr>
            <w:r>
              <w:rPr>
                <w:rFonts w:hint="eastAsia"/>
                <w:color w:val="auto"/>
                <w:highlight w:val="none"/>
                <w:lang w:val="en-US" w:eastAsia="zh-CN"/>
              </w:rPr>
              <w:t>1.76</w:t>
            </w:r>
            <w:r>
              <w:rPr>
                <w:color w:val="auto"/>
                <w:highlight w:val="none"/>
              </w:rPr>
              <w:t>×10</w:t>
            </w:r>
            <w:r>
              <w:rPr>
                <w:color w:val="auto"/>
                <w:highlight w:val="none"/>
                <w:vertAlign w:val="superscript"/>
              </w:rPr>
              <w:t>-</w:t>
            </w:r>
            <w:r>
              <w:rPr>
                <w:rFonts w:hint="eastAsia"/>
                <w:color w:val="auto"/>
                <w:highlight w:val="none"/>
                <w:vertAlign w:val="superscript"/>
                <w:lang w:val="en-US" w:eastAsia="zh-CN"/>
              </w:rPr>
              <w:t>3</w:t>
            </w:r>
          </w:p>
        </w:tc>
        <w:tc>
          <w:tcPr>
            <w:tcW w:w="980" w:type="dxa"/>
            <w:vAlign w:val="center"/>
          </w:tcPr>
          <w:p>
            <w:pPr>
              <w:jc w:val="center"/>
              <w:rPr>
                <w:rFonts w:hint="eastAsia" w:eastAsia="宋体"/>
                <w:color w:val="auto"/>
                <w:highlight w:val="none"/>
                <w:lang w:val="en-US" w:eastAsia="zh-CN"/>
              </w:rPr>
            </w:pPr>
            <w:r>
              <w:rPr>
                <w:rFonts w:hint="eastAsia"/>
                <w:color w:val="auto"/>
                <w:highlight w:val="none"/>
                <w:lang w:val="en-US" w:eastAsia="zh-CN"/>
              </w:rPr>
              <w:t>1.38</w:t>
            </w:r>
            <w:r>
              <w:rPr>
                <w:color w:val="auto"/>
                <w:highlight w:val="none"/>
              </w:rPr>
              <w:t>×10</w:t>
            </w:r>
            <w:r>
              <w:rPr>
                <w:color w:val="auto"/>
                <w:highlight w:val="none"/>
                <w:vertAlign w:val="superscript"/>
              </w:rPr>
              <w:t>-</w:t>
            </w:r>
            <w:r>
              <w:rPr>
                <w:rFonts w:hint="eastAsia"/>
                <w:color w:val="auto"/>
                <w:highlight w:val="none"/>
                <w:vertAlign w:val="superscript"/>
                <w:lang w:val="en-US" w:eastAsia="zh-CN"/>
              </w:rPr>
              <w:t>3</w:t>
            </w:r>
          </w:p>
        </w:tc>
        <w:tc>
          <w:tcPr>
            <w:tcW w:w="1069" w:type="dxa"/>
            <w:vMerge w:val="continue"/>
            <w:vAlign w:val="center"/>
          </w:tcPr>
          <w:p>
            <w:pPr>
              <w:jc w:val="center"/>
              <w:rPr>
                <w:rFonts w:hint="eastAsia"/>
                <w:color w:val="auto"/>
                <w:highlight w:val="none"/>
                <w:lang w:val="en-US" w:eastAsia="zh-CN"/>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431" w:type="dxa"/>
            <w:vMerge w:val="continue"/>
            <w:vAlign w:val="center"/>
          </w:tcPr>
          <w:p>
            <w:pPr>
              <w:jc w:val="center"/>
              <w:rPr>
                <w:color w:val="auto"/>
                <w:highlight w:val="none"/>
              </w:rPr>
            </w:pPr>
          </w:p>
        </w:tc>
        <w:tc>
          <w:tcPr>
            <w:tcW w:w="2500" w:type="dxa"/>
            <w:gridSpan w:val="2"/>
            <w:vAlign w:val="center"/>
          </w:tcPr>
          <w:p>
            <w:pPr>
              <w:tabs>
                <w:tab w:val="left" w:pos="7020"/>
              </w:tabs>
              <w:spacing w:line="160" w:lineRule="atLeast"/>
              <w:jc w:val="center"/>
              <w:rPr>
                <w:color w:val="auto"/>
                <w:highlight w:val="none"/>
              </w:rPr>
            </w:pPr>
            <w:r>
              <w:rPr>
                <w:color w:val="auto"/>
                <w:highlight w:val="none"/>
              </w:rPr>
              <w:t>标干废气量(m</w:t>
            </w:r>
            <w:r>
              <w:rPr>
                <w:color w:val="auto"/>
                <w:highlight w:val="none"/>
                <w:vertAlign w:val="superscript"/>
              </w:rPr>
              <w:t>3</w:t>
            </w:r>
            <w:r>
              <w:rPr>
                <w:color w:val="auto"/>
                <w:highlight w:val="none"/>
              </w:rPr>
              <w:t>/h)</w:t>
            </w:r>
          </w:p>
        </w:tc>
        <w:tc>
          <w:tcPr>
            <w:tcW w:w="550" w:type="dxa"/>
            <w:vMerge w:val="restart"/>
            <w:vAlign w:val="center"/>
          </w:tcPr>
          <w:p>
            <w:pPr>
              <w:jc w:val="center"/>
              <w:rPr>
                <w:rFonts w:hint="eastAsia" w:eastAsia="宋体"/>
                <w:color w:val="auto"/>
                <w:highlight w:val="none"/>
                <w:lang w:val="en-US" w:eastAsia="zh-CN"/>
              </w:rPr>
            </w:pPr>
            <w:r>
              <w:rPr>
                <w:rFonts w:hint="eastAsia"/>
                <w:color w:val="auto"/>
                <w:highlight w:val="none"/>
                <w:lang w:val="en-US" w:eastAsia="zh-CN"/>
              </w:rPr>
              <w:t>9.26</w:t>
            </w:r>
          </w:p>
        </w:tc>
        <w:tc>
          <w:tcPr>
            <w:tcW w:w="883" w:type="dxa"/>
            <w:vAlign w:val="center"/>
          </w:tcPr>
          <w:p>
            <w:pPr>
              <w:jc w:val="center"/>
              <w:rPr>
                <w:color w:val="auto"/>
                <w:highlight w:val="none"/>
              </w:rPr>
            </w:pPr>
            <w:r>
              <w:rPr>
                <w:rFonts w:hint="eastAsia"/>
                <w:color w:val="auto"/>
                <w:highlight w:val="none"/>
                <w:lang w:val="en-US" w:eastAsia="zh-CN"/>
              </w:rPr>
              <w:t>8401</w:t>
            </w:r>
          </w:p>
        </w:tc>
        <w:tc>
          <w:tcPr>
            <w:tcW w:w="850" w:type="dxa"/>
            <w:vAlign w:val="center"/>
          </w:tcPr>
          <w:p>
            <w:pPr>
              <w:jc w:val="center"/>
              <w:rPr>
                <w:color w:val="auto"/>
                <w:highlight w:val="none"/>
              </w:rPr>
            </w:pPr>
            <w:r>
              <w:rPr>
                <w:rFonts w:hint="eastAsia"/>
                <w:color w:val="auto"/>
                <w:highlight w:val="none"/>
                <w:lang w:val="en-US" w:eastAsia="zh-CN"/>
              </w:rPr>
              <w:t>8442</w:t>
            </w:r>
          </w:p>
        </w:tc>
        <w:tc>
          <w:tcPr>
            <w:tcW w:w="833" w:type="dxa"/>
            <w:vAlign w:val="center"/>
          </w:tcPr>
          <w:p>
            <w:pPr>
              <w:jc w:val="center"/>
              <w:rPr>
                <w:color w:val="auto"/>
                <w:highlight w:val="none"/>
              </w:rPr>
            </w:pPr>
            <w:r>
              <w:rPr>
                <w:rFonts w:hint="eastAsia"/>
                <w:color w:val="auto"/>
                <w:highlight w:val="none"/>
                <w:lang w:val="en-US" w:eastAsia="zh-CN"/>
              </w:rPr>
              <w:t>8696</w:t>
            </w:r>
          </w:p>
        </w:tc>
        <w:tc>
          <w:tcPr>
            <w:tcW w:w="967" w:type="dxa"/>
            <w:vAlign w:val="center"/>
          </w:tcPr>
          <w:p>
            <w:pPr>
              <w:jc w:val="center"/>
              <w:rPr>
                <w:rFonts w:hint="eastAsia" w:eastAsia="宋体"/>
                <w:color w:val="auto"/>
                <w:highlight w:val="none"/>
                <w:lang w:val="en-US" w:eastAsia="zh-CN"/>
              </w:rPr>
            </w:pPr>
            <w:r>
              <w:rPr>
                <w:rFonts w:hint="eastAsia"/>
                <w:color w:val="auto"/>
                <w:highlight w:val="none"/>
                <w:lang w:val="en-US" w:eastAsia="zh-CN"/>
              </w:rPr>
              <w:t>8383</w:t>
            </w:r>
          </w:p>
        </w:tc>
        <w:tc>
          <w:tcPr>
            <w:tcW w:w="933" w:type="dxa"/>
            <w:vAlign w:val="center"/>
          </w:tcPr>
          <w:p>
            <w:pPr>
              <w:jc w:val="center"/>
              <w:rPr>
                <w:rFonts w:hint="eastAsia" w:eastAsia="宋体"/>
                <w:color w:val="auto"/>
                <w:highlight w:val="none"/>
                <w:lang w:val="en-US" w:eastAsia="zh-CN"/>
              </w:rPr>
            </w:pPr>
            <w:r>
              <w:rPr>
                <w:rFonts w:hint="eastAsia"/>
                <w:color w:val="auto"/>
                <w:highlight w:val="none"/>
                <w:lang w:val="en-US" w:eastAsia="zh-CN"/>
              </w:rPr>
              <w:t>8299</w:t>
            </w:r>
          </w:p>
        </w:tc>
        <w:tc>
          <w:tcPr>
            <w:tcW w:w="980" w:type="dxa"/>
            <w:vAlign w:val="center"/>
          </w:tcPr>
          <w:p>
            <w:pPr>
              <w:jc w:val="center"/>
              <w:rPr>
                <w:rFonts w:hint="eastAsia" w:eastAsia="宋体"/>
                <w:color w:val="auto"/>
                <w:highlight w:val="none"/>
                <w:lang w:val="en-US" w:eastAsia="zh-CN"/>
              </w:rPr>
            </w:pPr>
            <w:r>
              <w:rPr>
                <w:rFonts w:hint="eastAsia"/>
                <w:color w:val="auto"/>
                <w:highlight w:val="none"/>
                <w:lang w:val="en-US" w:eastAsia="zh-CN"/>
              </w:rPr>
              <w:t>8441</w:t>
            </w:r>
          </w:p>
        </w:tc>
        <w:tc>
          <w:tcPr>
            <w:tcW w:w="1069" w:type="dxa"/>
            <w:vMerge w:val="restart"/>
            <w:vAlign w:val="center"/>
          </w:tcPr>
          <w:p>
            <w:pPr>
              <w:jc w:val="center"/>
              <w:rPr>
                <w:rFonts w:hint="eastAsia"/>
                <w:color w:val="auto"/>
                <w:highlight w:val="none"/>
                <w:lang w:val="en-US" w:eastAsia="zh-CN"/>
              </w:rPr>
            </w:pPr>
            <w:r>
              <w:rPr>
                <w:rFonts w:hint="eastAsia"/>
                <w:color w:val="auto"/>
                <w:highlight w:val="none"/>
                <w:lang w:val="en-US" w:eastAsia="zh-CN"/>
              </w:rPr>
              <w:t>1.81</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431" w:type="dxa"/>
            <w:vMerge w:val="continue"/>
            <w:vAlign w:val="center"/>
          </w:tcPr>
          <w:p>
            <w:pPr>
              <w:jc w:val="center"/>
              <w:rPr>
                <w:color w:val="auto"/>
                <w:highlight w:val="none"/>
              </w:rPr>
            </w:pPr>
          </w:p>
        </w:tc>
        <w:tc>
          <w:tcPr>
            <w:tcW w:w="800" w:type="dxa"/>
            <w:vMerge w:val="restart"/>
            <w:vAlign w:val="center"/>
          </w:tcPr>
          <w:p>
            <w:pPr>
              <w:tabs>
                <w:tab w:val="left" w:pos="7020"/>
              </w:tabs>
              <w:spacing w:line="160" w:lineRule="atLeast"/>
              <w:jc w:val="center"/>
              <w:rPr>
                <w:color w:val="auto"/>
                <w:highlight w:val="none"/>
              </w:rPr>
            </w:pPr>
            <w:r>
              <w:rPr>
                <w:rFonts w:hint="default" w:ascii="Times New Roman" w:hAnsi="Times New Roman" w:cs="Times New Roman"/>
                <w:color w:val="auto"/>
                <w:sz w:val="21"/>
                <w:szCs w:val="21"/>
                <w:highlight w:val="none"/>
              </w:rPr>
              <w:t>氯化氢</w:t>
            </w:r>
          </w:p>
        </w:tc>
        <w:tc>
          <w:tcPr>
            <w:tcW w:w="1700" w:type="dxa"/>
            <w:vAlign w:val="center"/>
          </w:tcPr>
          <w:p>
            <w:pPr>
              <w:tabs>
                <w:tab w:val="left" w:pos="7020"/>
              </w:tabs>
              <w:spacing w:line="160" w:lineRule="atLeast"/>
              <w:jc w:val="center"/>
              <w:rPr>
                <w:color w:val="auto"/>
                <w:highlight w:val="none"/>
              </w:rPr>
            </w:pPr>
            <w:r>
              <w:rPr>
                <w:color w:val="auto"/>
                <w:highlight w:val="none"/>
              </w:rPr>
              <w:t>排放浓</w:t>
            </w:r>
            <w:r>
              <w:rPr>
                <w:rFonts w:hint="eastAsia"/>
                <w:color w:val="auto"/>
                <w:highlight w:val="none"/>
              </w:rPr>
              <w:t>度</w:t>
            </w:r>
            <w:r>
              <w:rPr>
                <w:color w:val="auto"/>
                <w:highlight w:val="none"/>
              </w:rPr>
              <w:t>(mg/m</w:t>
            </w:r>
            <w:r>
              <w:rPr>
                <w:color w:val="auto"/>
                <w:highlight w:val="none"/>
                <w:vertAlign w:val="superscript"/>
              </w:rPr>
              <w:t>3</w:t>
            </w:r>
            <w:r>
              <w:rPr>
                <w:color w:val="auto"/>
                <w:highlight w:val="none"/>
              </w:rPr>
              <w:t>)</w:t>
            </w:r>
          </w:p>
        </w:tc>
        <w:tc>
          <w:tcPr>
            <w:tcW w:w="550" w:type="dxa"/>
            <w:vMerge w:val="continue"/>
            <w:vAlign w:val="center"/>
          </w:tcPr>
          <w:p>
            <w:pPr>
              <w:jc w:val="center"/>
              <w:rPr>
                <w:color w:val="auto"/>
                <w:highlight w:val="none"/>
              </w:rPr>
            </w:pPr>
          </w:p>
        </w:tc>
        <w:tc>
          <w:tcPr>
            <w:tcW w:w="883" w:type="dxa"/>
            <w:vAlign w:val="center"/>
          </w:tcPr>
          <w:p>
            <w:pPr>
              <w:jc w:val="center"/>
              <w:rPr>
                <w:rFonts w:hint="eastAsia" w:eastAsia="宋体"/>
                <w:color w:val="auto"/>
                <w:highlight w:val="none"/>
                <w:lang w:val="en-US" w:eastAsia="zh-CN"/>
              </w:rPr>
            </w:pPr>
            <w:r>
              <w:rPr>
                <w:rFonts w:hint="eastAsia"/>
                <w:color w:val="auto"/>
                <w:highlight w:val="none"/>
                <w:lang w:val="en-US" w:eastAsia="zh-CN"/>
              </w:rPr>
              <w:t>3.1</w:t>
            </w:r>
          </w:p>
        </w:tc>
        <w:tc>
          <w:tcPr>
            <w:tcW w:w="850" w:type="dxa"/>
            <w:vAlign w:val="center"/>
          </w:tcPr>
          <w:p>
            <w:pPr>
              <w:jc w:val="center"/>
              <w:rPr>
                <w:rFonts w:hint="eastAsia" w:eastAsia="宋体"/>
                <w:color w:val="auto"/>
                <w:highlight w:val="none"/>
                <w:lang w:val="en-US" w:eastAsia="zh-CN"/>
              </w:rPr>
            </w:pPr>
            <w:r>
              <w:rPr>
                <w:rFonts w:hint="eastAsia"/>
                <w:color w:val="auto"/>
                <w:highlight w:val="none"/>
                <w:lang w:val="en-US" w:eastAsia="zh-CN"/>
              </w:rPr>
              <w:t>3.9</w:t>
            </w:r>
          </w:p>
        </w:tc>
        <w:tc>
          <w:tcPr>
            <w:tcW w:w="833" w:type="dxa"/>
            <w:vAlign w:val="center"/>
          </w:tcPr>
          <w:p>
            <w:pPr>
              <w:jc w:val="center"/>
              <w:rPr>
                <w:rFonts w:hint="eastAsia" w:eastAsia="宋体"/>
                <w:color w:val="auto"/>
                <w:highlight w:val="none"/>
                <w:lang w:val="en-US" w:eastAsia="zh-CN"/>
              </w:rPr>
            </w:pPr>
            <w:r>
              <w:rPr>
                <w:rFonts w:hint="eastAsia"/>
                <w:color w:val="auto"/>
                <w:highlight w:val="none"/>
                <w:lang w:val="en-US" w:eastAsia="zh-CN"/>
              </w:rPr>
              <w:t>4.3</w:t>
            </w:r>
          </w:p>
        </w:tc>
        <w:tc>
          <w:tcPr>
            <w:tcW w:w="967" w:type="dxa"/>
            <w:vAlign w:val="center"/>
          </w:tcPr>
          <w:p>
            <w:pPr>
              <w:jc w:val="center"/>
              <w:rPr>
                <w:rFonts w:hint="eastAsia" w:eastAsia="宋体"/>
                <w:color w:val="auto"/>
                <w:highlight w:val="none"/>
                <w:lang w:val="en-US" w:eastAsia="zh-CN"/>
              </w:rPr>
            </w:pPr>
            <w:r>
              <w:rPr>
                <w:rFonts w:hint="eastAsia"/>
                <w:color w:val="auto"/>
                <w:highlight w:val="none"/>
                <w:lang w:val="en-US" w:eastAsia="zh-CN"/>
              </w:rPr>
              <w:t>＜0.2</w:t>
            </w:r>
          </w:p>
        </w:tc>
        <w:tc>
          <w:tcPr>
            <w:tcW w:w="933" w:type="dxa"/>
            <w:vAlign w:val="center"/>
          </w:tcPr>
          <w:p>
            <w:pPr>
              <w:jc w:val="center"/>
              <w:rPr>
                <w:rFonts w:hint="eastAsia" w:eastAsia="宋体"/>
                <w:color w:val="auto"/>
                <w:highlight w:val="none"/>
                <w:lang w:val="en-US" w:eastAsia="zh-CN"/>
              </w:rPr>
            </w:pPr>
            <w:r>
              <w:rPr>
                <w:rFonts w:hint="eastAsia"/>
                <w:color w:val="auto"/>
                <w:highlight w:val="none"/>
                <w:lang w:val="en-US" w:eastAsia="zh-CN"/>
              </w:rPr>
              <w:t>＜0.2</w:t>
            </w:r>
          </w:p>
        </w:tc>
        <w:tc>
          <w:tcPr>
            <w:tcW w:w="980" w:type="dxa"/>
            <w:vAlign w:val="center"/>
          </w:tcPr>
          <w:p>
            <w:pPr>
              <w:jc w:val="center"/>
              <w:rPr>
                <w:rFonts w:hint="eastAsia" w:eastAsia="宋体"/>
                <w:color w:val="auto"/>
                <w:highlight w:val="none"/>
                <w:lang w:val="en-US" w:eastAsia="zh-CN"/>
              </w:rPr>
            </w:pPr>
            <w:r>
              <w:rPr>
                <w:rFonts w:hint="eastAsia"/>
                <w:color w:val="auto"/>
                <w:highlight w:val="none"/>
                <w:lang w:val="en-US" w:eastAsia="zh-CN"/>
              </w:rPr>
              <w:t>0.2</w:t>
            </w:r>
          </w:p>
        </w:tc>
        <w:tc>
          <w:tcPr>
            <w:tcW w:w="1069" w:type="dxa"/>
            <w:vMerge w:val="continue"/>
            <w:vAlign w:val="center"/>
          </w:tcPr>
          <w:p>
            <w:pPr>
              <w:jc w:val="center"/>
              <w:rPr>
                <w:rFonts w:hint="eastAsia"/>
                <w:color w:val="auto"/>
                <w:highlight w:val="none"/>
                <w:lang w:val="en-US" w:eastAsia="zh-CN"/>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431" w:type="dxa"/>
            <w:vMerge w:val="continue"/>
            <w:vAlign w:val="center"/>
          </w:tcPr>
          <w:p>
            <w:pPr>
              <w:jc w:val="center"/>
              <w:rPr>
                <w:color w:val="auto"/>
                <w:highlight w:val="none"/>
              </w:rPr>
            </w:pPr>
          </w:p>
        </w:tc>
        <w:tc>
          <w:tcPr>
            <w:tcW w:w="800" w:type="dxa"/>
            <w:vMerge w:val="continue"/>
            <w:vAlign w:val="center"/>
          </w:tcPr>
          <w:p>
            <w:pPr>
              <w:tabs>
                <w:tab w:val="left" w:pos="7020"/>
              </w:tabs>
              <w:spacing w:line="160" w:lineRule="atLeast"/>
              <w:jc w:val="center"/>
              <w:rPr>
                <w:color w:val="auto"/>
                <w:highlight w:val="none"/>
              </w:rPr>
            </w:pPr>
          </w:p>
        </w:tc>
        <w:tc>
          <w:tcPr>
            <w:tcW w:w="1700" w:type="dxa"/>
            <w:vAlign w:val="center"/>
          </w:tcPr>
          <w:p>
            <w:pPr>
              <w:tabs>
                <w:tab w:val="left" w:pos="7020"/>
              </w:tabs>
              <w:spacing w:line="160" w:lineRule="atLeast"/>
              <w:jc w:val="center"/>
              <w:rPr>
                <w:color w:val="auto"/>
                <w:highlight w:val="none"/>
              </w:rPr>
            </w:pPr>
            <w:r>
              <w:rPr>
                <w:color w:val="auto"/>
                <w:highlight w:val="none"/>
              </w:rPr>
              <w:t>排放速率(kg/h)</w:t>
            </w:r>
          </w:p>
        </w:tc>
        <w:tc>
          <w:tcPr>
            <w:tcW w:w="550" w:type="dxa"/>
            <w:vMerge w:val="continue"/>
            <w:vAlign w:val="center"/>
          </w:tcPr>
          <w:p>
            <w:pPr>
              <w:jc w:val="center"/>
              <w:rPr>
                <w:color w:val="auto"/>
                <w:highlight w:val="none"/>
              </w:rPr>
            </w:pPr>
          </w:p>
        </w:tc>
        <w:tc>
          <w:tcPr>
            <w:tcW w:w="883" w:type="dxa"/>
            <w:vAlign w:val="center"/>
          </w:tcPr>
          <w:p>
            <w:pPr>
              <w:jc w:val="center"/>
              <w:rPr>
                <w:rFonts w:hint="eastAsia" w:eastAsia="宋体"/>
                <w:color w:val="auto"/>
                <w:highlight w:val="none"/>
                <w:lang w:val="en-US" w:eastAsia="zh-CN"/>
              </w:rPr>
            </w:pPr>
            <w:r>
              <w:rPr>
                <w:rFonts w:hint="eastAsia"/>
                <w:color w:val="auto"/>
                <w:highlight w:val="none"/>
                <w:lang w:val="en-US" w:eastAsia="zh-CN"/>
              </w:rPr>
              <w:t>0.026</w:t>
            </w:r>
          </w:p>
        </w:tc>
        <w:tc>
          <w:tcPr>
            <w:tcW w:w="850" w:type="dxa"/>
            <w:vAlign w:val="center"/>
          </w:tcPr>
          <w:p>
            <w:pPr>
              <w:jc w:val="center"/>
              <w:rPr>
                <w:rFonts w:hint="eastAsia" w:eastAsia="宋体"/>
                <w:color w:val="auto"/>
                <w:highlight w:val="none"/>
                <w:lang w:val="en-US" w:eastAsia="zh-CN"/>
              </w:rPr>
            </w:pPr>
            <w:r>
              <w:rPr>
                <w:rFonts w:hint="eastAsia"/>
                <w:color w:val="auto"/>
                <w:highlight w:val="none"/>
                <w:lang w:val="en-US" w:eastAsia="zh-CN"/>
              </w:rPr>
              <w:t>0.033</w:t>
            </w:r>
          </w:p>
        </w:tc>
        <w:tc>
          <w:tcPr>
            <w:tcW w:w="833" w:type="dxa"/>
            <w:vAlign w:val="center"/>
          </w:tcPr>
          <w:p>
            <w:pPr>
              <w:jc w:val="center"/>
              <w:rPr>
                <w:rFonts w:hint="eastAsia" w:eastAsia="宋体"/>
                <w:color w:val="auto"/>
                <w:highlight w:val="none"/>
                <w:lang w:val="en-US" w:eastAsia="zh-CN"/>
              </w:rPr>
            </w:pPr>
            <w:r>
              <w:rPr>
                <w:rFonts w:hint="eastAsia"/>
                <w:color w:val="auto"/>
                <w:highlight w:val="none"/>
                <w:lang w:val="en-US" w:eastAsia="zh-CN"/>
              </w:rPr>
              <w:t>0.037</w:t>
            </w:r>
          </w:p>
        </w:tc>
        <w:tc>
          <w:tcPr>
            <w:tcW w:w="967" w:type="dxa"/>
            <w:vAlign w:val="center"/>
          </w:tcPr>
          <w:p>
            <w:pPr>
              <w:jc w:val="center"/>
              <w:rPr>
                <w:rFonts w:hint="eastAsia" w:eastAsia="宋体"/>
                <w:color w:val="auto"/>
                <w:highlight w:val="none"/>
                <w:lang w:val="en-US" w:eastAsia="zh-CN"/>
              </w:rPr>
            </w:pPr>
            <w:r>
              <w:rPr>
                <w:rFonts w:hint="eastAsia"/>
                <w:color w:val="auto"/>
                <w:highlight w:val="none"/>
                <w:lang w:val="en-US" w:eastAsia="zh-CN"/>
              </w:rPr>
              <w:t>/</w:t>
            </w:r>
          </w:p>
        </w:tc>
        <w:tc>
          <w:tcPr>
            <w:tcW w:w="933" w:type="dxa"/>
            <w:vAlign w:val="center"/>
          </w:tcPr>
          <w:p>
            <w:pPr>
              <w:jc w:val="center"/>
              <w:rPr>
                <w:rFonts w:hint="eastAsia" w:eastAsia="宋体"/>
                <w:color w:val="auto"/>
                <w:highlight w:val="none"/>
                <w:lang w:val="en-US" w:eastAsia="zh-CN"/>
              </w:rPr>
            </w:pPr>
            <w:r>
              <w:rPr>
                <w:rFonts w:hint="eastAsia"/>
                <w:color w:val="auto"/>
                <w:highlight w:val="none"/>
                <w:lang w:val="en-US" w:eastAsia="zh-CN"/>
              </w:rPr>
              <w:t>/</w:t>
            </w:r>
          </w:p>
        </w:tc>
        <w:tc>
          <w:tcPr>
            <w:tcW w:w="980" w:type="dxa"/>
            <w:vAlign w:val="center"/>
          </w:tcPr>
          <w:p>
            <w:pPr>
              <w:jc w:val="center"/>
              <w:rPr>
                <w:rFonts w:hint="eastAsia" w:eastAsia="宋体"/>
                <w:color w:val="auto"/>
                <w:highlight w:val="none"/>
                <w:lang w:val="en-US" w:eastAsia="zh-CN"/>
              </w:rPr>
            </w:pPr>
            <w:r>
              <w:rPr>
                <w:rFonts w:hint="eastAsia"/>
                <w:color w:val="auto"/>
                <w:highlight w:val="none"/>
                <w:lang w:val="en-US" w:eastAsia="zh-CN"/>
              </w:rPr>
              <w:t>1.70</w:t>
            </w:r>
            <w:r>
              <w:rPr>
                <w:color w:val="auto"/>
                <w:highlight w:val="none"/>
              </w:rPr>
              <w:t>×10</w:t>
            </w:r>
            <w:r>
              <w:rPr>
                <w:color w:val="auto"/>
                <w:highlight w:val="none"/>
                <w:vertAlign w:val="superscript"/>
              </w:rPr>
              <w:t>-</w:t>
            </w:r>
            <w:r>
              <w:rPr>
                <w:rFonts w:hint="eastAsia"/>
                <w:color w:val="auto"/>
                <w:highlight w:val="none"/>
                <w:vertAlign w:val="superscript"/>
                <w:lang w:val="en-US" w:eastAsia="zh-CN"/>
              </w:rPr>
              <w:t>3</w:t>
            </w:r>
          </w:p>
        </w:tc>
        <w:tc>
          <w:tcPr>
            <w:tcW w:w="1069" w:type="dxa"/>
            <w:vMerge w:val="continue"/>
            <w:vAlign w:val="center"/>
          </w:tcPr>
          <w:p>
            <w:pPr>
              <w:jc w:val="center"/>
              <w:rPr>
                <w:rFonts w:hint="eastAsia"/>
                <w:color w:val="auto"/>
                <w:highlight w:val="none"/>
                <w:lang w:val="en-US" w:eastAsia="zh-CN"/>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431" w:type="dxa"/>
            <w:vMerge w:val="continue"/>
            <w:vAlign w:val="center"/>
          </w:tcPr>
          <w:p>
            <w:pPr>
              <w:jc w:val="center"/>
              <w:rPr>
                <w:color w:val="auto"/>
                <w:highlight w:val="none"/>
              </w:rPr>
            </w:pPr>
          </w:p>
        </w:tc>
        <w:tc>
          <w:tcPr>
            <w:tcW w:w="2500" w:type="dxa"/>
            <w:gridSpan w:val="2"/>
            <w:vAlign w:val="center"/>
          </w:tcPr>
          <w:p>
            <w:pPr>
              <w:tabs>
                <w:tab w:val="left" w:pos="7020"/>
              </w:tabs>
              <w:spacing w:line="160" w:lineRule="atLeast"/>
              <w:jc w:val="center"/>
              <w:rPr>
                <w:color w:val="auto"/>
                <w:highlight w:val="none"/>
              </w:rPr>
            </w:pPr>
            <w:r>
              <w:rPr>
                <w:color w:val="auto"/>
                <w:highlight w:val="none"/>
              </w:rPr>
              <w:t>标干废气量(m</w:t>
            </w:r>
            <w:r>
              <w:rPr>
                <w:color w:val="auto"/>
                <w:highlight w:val="none"/>
                <w:vertAlign w:val="superscript"/>
              </w:rPr>
              <w:t>3</w:t>
            </w:r>
            <w:r>
              <w:rPr>
                <w:color w:val="auto"/>
                <w:highlight w:val="none"/>
              </w:rPr>
              <w:t>/h)</w:t>
            </w:r>
          </w:p>
        </w:tc>
        <w:tc>
          <w:tcPr>
            <w:tcW w:w="550" w:type="dxa"/>
            <w:vMerge w:val="restart"/>
            <w:vAlign w:val="center"/>
          </w:tcPr>
          <w:p>
            <w:pPr>
              <w:jc w:val="center"/>
              <w:rPr>
                <w:rFonts w:hint="eastAsia" w:eastAsia="宋体"/>
                <w:color w:val="auto"/>
                <w:highlight w:val="none"/>
                <w:lang w:val="en-US" w:eastAsia="zh-CN"/>
              </w:rPr>
            </w:pPr>
            <w:r>
              <w:rPr>
                <w:rFonts w:hint="eastAsia"/>
                <w:color w:val="auto"/>
                <w:highlight w:val="none"/>
                <w:lang w:val="en-US" w:eastAsia="zh-CN"/>
              </w:rPr>
              <w:t>9.27</w:t>
            </w:r>
          </w:p>
        </w:tc>
        <w:tc>
          <w:tcPr>
            <w:tcW w:w="883" w:type="dxa"/>
            <w:vAlign w:val="center"/>
          </w:tcPr>
          <w:p>
            <w:pPr>
              <w:jc w:val="center"/>
              <w:rPr>
                <w:rFonts w:hint="eastAsia" w:eastAsia="宋体"/>
                <w:color w:val="auto"/>
                <w:highlight w:val="none"/>
                <w:lang w:val="en-US" w:eastAsia="zh-CN"/>
              </w:rPr>
            </w:pPr>
            <w:r>
              <w:rPr>
                <w:rFonts w:hint="eastAsia"/>
                <w:color w:val="auto"/>
                <w:highlight w:val="none"/>
                <w:lang w:val="en-US" w:eastAsia="zh-CN"/>
              </w:rPr>
              <w:t>8659</w:t>
            </w:r>
          </w:p>
        </w:tc>
        <w:tc>
          <w:tcPr>
            <w:tcW w:w="850" w:type="dxa"/>
            <w:vAlign w:val="center"/>
          </w:tcPr>
          <w:p>
            <w:pPr>
              <w:jc w:val="center"/>
              <w:rPr>
                <w:rFonts w:hint="eastAsia" w:eastAsia="宋体"/>
                <w:color w:val="auto"/>
                <w:highlight w:val="none"/>
                <w:lang w:val="en-US" w:eastAsia="zh-CN"/>
              </w:rPr>
            </w:pPr>
            <w:r>
              <w:rPr>
                <w:rFonts w:hint="eastAsia"/>
                <w:color w:val="auto"/>
                <w:highlight w:val="none"/>
                <w:lang w:val="en-US" w:eastAsia="zh-CN"/>
              </w:rPr>
              <w:t>7607</w:t>
            </w:r>
          </w:p>
        </w:tc>
        <w:tc>
          <w:tcPr>
            <w:tcW w:w="833" w:type="dxa"/>
            <w:vAlign w:val="center"/>
          </w:tcPr>
          <w:p>
            <w:pPr>
              <w:jc w:val="center"/>
              <w:rPr>
                <w:rFonts w:hint="eastAsia" w:eastAsia="宋体"/>
                <w:color w:val="auto"/>
                <w:highlight w:val="none"/>
                <w:lang w:val="en-US" w:eastAsia="zh-CN"/>
              </w:rPr>
            </w:pPr>
            <w:r>
              <w:rPr>
                <w:rFonts w:hint="eastAsia"/>
                <w:color w:val="auto"/>
                <w:highlight w:val="none"/>
                <w:lang w:val="en-US" w:eastAsia="zh-CN"/>
              </w:rPr>
              <w:t>8688</w:t>
            </w:r>
          </w:p>
        </w:tc>
        <w:tc>
          <w:tcPr>
            <w:tcW w:w="967" w:type="dxa"/>
            <w:vAlign w:val="center"/>
          </w:tcPr>
          <w:p>
            <w:pPr>
              <w:jc w:val="center"/>
              <w:rPr>
                <w:rFonts w:hint="eastAsia" w:eastAsia="宋体"/>
                <w:color w:val="auto"/>
                <w:highlight w:val="none"/>
                <w:lang w:val="en-US" w:eastAsia="zh-CN"/>
              </w:rPr>
            </w:pPr>
            <w:r>
              <w:rPr>
                <w:rFonts w:hint="eastAsia"/>
                <w:color w:val="auto"/>
                <w:highlight w:val="none"/>
                <w:lang w:val="en-US" w:eastAsia="zh-CN"/>
              </w:rPr>
              <w:t>8050</w:t>
            </w:r>
          </w:p>
        </w:tc>
        <w:tc>
          <w:tcPr>
            <w:tcW w:w="933" w:type="dxa"/>
            <w:vAlign w:val="center"/>
          </w:tcPr>
          <w:p>
            <w:pPr>
              <w:jc w:val="center"/>
              <w:rPr>
                <w:rFonts w:hint="eastAsia" w:eastAsia="宋体"/>
                <w:color w:val="auto"/>
                <w:highlight w:val="none"/>
                <w:lang w:val="en-US" w:eastAsia="zh-CN"/>
              </w:rPr>
            </w:pPr>
            <w:r>
              <w:rPr>
                <w:rFonts w:hint="eastAsia"/>
                <w:color w:val="auto"/>
                <w:highlight w:val="none"/>
                <w:lang w:val="en-US" w:eastAsia="zh-CN"/>
              </w:rPr>
              <w:t>8364</w:t>
            </w:r>
          </w:p>
        </w:tc>
        <w:tc>
          <w:tcPr>
            <w:tcW w:w="980" w:type="dxa"/>
            <w:vAlign w:val="center"/>
          </w:tcPr>
          <w:p>
            <w:pPr>
              <w:jc w:val="center"/>
              <w:rPr>
                <w:rFonts w:hint="eastAsia" w:eastAsia="宋体"/>
                <w:color w:val="auto"/>
                <w:highlight w:val="none"/>
                <w:lang w:val="en-US" w:eastAsia="zh-CN"/>
              </w:rPr>
            </w:pPr>
            <w:r>
              <w:rPr>
                <w:rFonts w:hint="eastAsia"/>
                <w:color w:val="auto"/>
                <w:highlight w:val="none"/>
                <w:lang w:val="en-US" w:eastAsia="zh-CN"/>
              </w:rPr>
              <w:t>7709</w:t>
            </w:r>
          </w:p>
        </w:tc>
        <w:tc>
          <w:tcPr>
            <w:tcW w:w="1069" w:type="dxa"/>
            <w:vMerge w:val="restart"/>
            <w:vAlign w:val="center"/>
          </w:tcPr>
          <w:p>
            <w:pPr>
              <w:jc w:val="center"/>
              <w:rPr>
                <w:rFonts w:hint="eastAsia"/>
                <w:color w:val="auto"/>
                <w:highlight w:val="none"/>
                <w:lang w:val="en-US" w:eastAsia="zh-CN"/>
              </w:rPr>
            </w:pPr>
            <w:r>
              <w:rPr>
                <w:rFonts w:hint="eastAsia"/>
                <w:color w:val="auto"/>
                <w:highlight w:val="none"/>
                <w:lang w:val="en-US" w:eastAsia="zh-CN"/>
              </w:rPr>
              <w:t>2.59</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431" w:type="dxa"/>
            <w:vMerge w:val="continue"/>
            <w:vAlign w:val="center"/>
          </w:tcPr>
          <w:p>
            <w:pPr>
              <w:jc w:val="center"/>
              <w:rPr>
                <w:color w:val="auto"/>
                <w:highlight w:val="none"/>
              </w:rPr>
            </w:pPr>
          </w:p>
        </w:tc>
        <w:tc>
          <w:tcPr>
            <w:tcW w:w="800" w:type="dxa"/>
            <w:vMerge w:val="restart"/>
            <w:vAlign w:val="center"/>
          </w:tcPr>
          <w:p>
            <w:pPr>
              <w:tabs>
                <w:tab w:val="left" w:pos="7020"/>
              </w:tabs>
              <w:spacing w:line="160" w:lineRule="atLeast"/>
              <w:jc w:val="center"/>
              <w:rPr>
                <w:color w:val="auto"/>
                <w:highlight w:val="none"/>
              </w:rPr>
            </w:pPr>
            <w:r>
              <w:rPr>
                <w:rFonts w:hint="eastAsia"/>
                <w:color w:val="auto"/>
                <w:highlight w:val="none"/>
                <w:lang w:eastAsia="zh-CN"/>
              </w:rPr>
              <w:t>硫酸雾</w:t>
            </w:r>
          </w:p>
        </w:tc>
        <w:tc>
          <w:tcPr>
            <w:tcW w:w="1700" w:type="dxa"/>
            <w:vAlign w:val="center"/>
          </w:tcPr>
          <w:p>
            <w:pPr>
              <w:tabs>
                <w:tab w:val="left" w:pos="7020"/>
              </w:tabs>
              <w:spacing w:line="160" w:lineRule="atLeast"/>
              <w:jc w:val="center"/>
              <w:rPr>
                <w:color w:val="auto"/>
                <w:highlight w:val="none"/>
              </w:rPr>
            </w:pPr>
            <w:r>
              <w:rPr>
                <w:color w:val="auto"/>
                <w:highlight w:val="none"/>
              </w:rPr>
              <w:t>排放浓</w:t>
            </w:r>
            <w:r>
              <w:rPr>
                <w:rFonts w:hint="eastAsia"/>
                <w:color w:val="auto"/>
                <w:highlight w:val="none"/>
              </w:rPr>
              <w:t>度</w:t>
            </w:r>
            <w:r>
              <w:rPr>
                <w:color w:val="auto"/>
                <w:highlight w:val="none"/>
              </w:rPr>
              <w:t>(mg/m</w:t>
            </w:r>
            <w:r>
              <w:rPr>
                <w:color w:val="auto"/>
                <w:highlight w:val="none"/>
                <w:vertAlign w:val="superscript"/>
              </w:rPr>
              <w:t>3</w:t>
            </w:r>
            <w:r>
              <w:rPr>
                <w:color w:val="auto"/>
                <w:highlight w:val="none"/>
              </w:rPr>
              <w:t>)</w:t>
            </w:r>
          </w:p>
        </w:tc>
        <w:tc>
          <w:tcPr>
            <w:tcW w:w="550" w:type="dxa"/>
            <w:vMerge w:val="continue"/>
            <w:vAlign w:val="center"/>
          </w:tcPr>
          <w:p>
            <w:pPr>
              <w:jc w:val="center"/>
              <w:rPr>
                <w:color w:val="auto"/>
                <w:highlight w:val="none"/>
              </w:rPr>
            </w:pPr>
          </w:p>
        </w:tc>
        <w:tc>
          <w:tcPr>
            <w:tcW w:w="883" w:type="dxa"/>
            <w:vAlign w:val="center"/>
          </w:tcPr>
          <w:p>
            <w:pPr>
              <w:jc w:val="center"/>
              <w:rPr>
                <w:rFonts w:hint="eastAsia" w:eastAsia="宋体"/>
                <w:color w:val="auto"/>
                <w:highlight w:val="none"/>
                <w:lang w:val="en-US" w:eastAsia="zh-CN"/>
              </w:rPr>
            </w:pPr>
            <w:r>
              <w:rPr>
                <w:rFonts w:hint="eastAsia"/>
                <w:color w:val="auto"/>
                <w:highlight w:val="none"/>
                <w:lang w:val="en-US" w:eastAsia="zh-CN"/>
              </w:rPr>
              <w:t>1.0</w:t>
            </w:r>
          </w:p>
        </w:tc>
        <w:tc>
          <w:tcPr>
            <w:tcW w:w="850" w:type="dxa"/>
            <w:vAlign w:val="center"/>
          </w:tcPr>
          <w:p>
            <w:pPr>
              <w:jc w:val="center"/>
              <w:rPr>
                <w:rFonts w:hint="eastAsia" w:eastAsia="宋体"/>
                <w:color w:val="auto"/>
                <w:highlight w:val="none"/>
                <w:lang w:val="en-US" w:eastAsia="zh-CN"/>
              </w:rPr>
            </w:pPr>
            <w:r>
              <w:rPr>
                <w:rFonts w:hint="eastAsia"/>
                <w:color w:val="auto"/>
                <w:highlight w:val="none"/>
                <w:lang w:val="en-US" w:eastAsia="zh-CN"/>
              </w:rPr>
              <w:t>0.9</w:t>
            </w:r>
          </w:p>
        </w:tc>
        <w:tc>
          <w:tcPr>
            <w:tcW w:w="833" w:type="dxa"/>
            <w:vAlign w:val="center"/>
          </w:tcPr>
          <w:p>
            <w:pPr>
              <w:jc w:val="center"/>
              <w:rPr>
                <w:rFonts w:hint="eastAsia" w:eastAsia="宋体"/>
                <w:color w:val="auto"/>
                <w:highlight w:val="none"/>
                <w:lang w:val="en-US" w:eastAsia="zh-CN"/>
              </w:rPr>
            </w:pPr>
            <w:r>
              <w:rPr>
                <w:rFonts w:hint="eastAsia"/>
                <w:color w:val="auto"/>
                <w:highlight w:val="none"/>
                <w:lang w:val="en-US" w:eastAsia="zh-CN"/>
              </w:rPr>
              <w:t>1.6</w:t>
            </w:r>
          </w:p>
        </w:tc>
        <w:tc>
          <w:tcPr>
            <w:tcW w:w="967" w:type="dxa"/>
            <w:vAlign w:val="center"/>
          </w:tcPr>
          <w:p>
            <w:pPr>
              <w:jc w:val="center"/>
              <w:rPr>
                <w:rFonts w:hint="eastAsia" w:eastAsia="宋体"/>
                <w:color w:val="auto"/>
                <w:highlight w:val="none"/>
                <w:lang w:val="en-US" w:eastAsia="zh-CN"/>
              </w:rPr>
            </w:pPr>
            <w:r>
              <w:rPr>
                <w:rFonts w:hint="eastAsia"/>
                <w:color w:val="auto"/>
                <w:highlight w:val="none"/>
                <w:lang w:val="en-US" w:eastAsia="zh-CN"/>
              </w:rPr>
              <w:t>0.3</w:t>
            </w:r>
          </w:p>
        </w:tc>
        <w:tc>
          <w:tcPr>
            <w:tcW w:w="933" w:type="dxa"/>
            <w:vAlign w:val="center"/>
          </w:tcPr>
          <w:p>
            <w:pPr>
              <w:jc w:val="center"/>
              <w:rPr>
                <w:rFonts w:hint="eastAsia" w:eastAsia="宋体"/>
                <w:color w:val="auto"/>
                <w:highlight w:val="none"/>
                <w:lang w:val="en-US" w:eastAsia="zh-CN"/>
              </w:rPr>
            </w:pPr>
            <w:r>
              <w:rPr>
                <w:rFonts w:hint="eastAsia"/>
                <w:color w:val="auto"/>
                <w:highlight w:val="none"/>
                <w:lang w:val="en-US" w:eastAsia="zh-CN"/>
              </w:rPr>
              <w:t>0.2</w:t>
            </w:r>
          </w:p>
        </w:tc>
        <w:tc>
          <w:tcPr>
            <w:tcW w:w="980" w:type="dxa"/>
            <w:vAlign w:val="center"/>
          </w:tcPr>
          <w:p>
            <w:pPr>
              <w:jc w:val="center"/>
              <w:rPr>
                <w:rFonts w:hint="eastAsia" w:eastAsia="宋体"/>
                <w:color w:val="auto"/>
                <w:highlight w:val="none"/>
                <w:lang w:val="en-US" w:eastAsia="zh-CN"/>
              </w:rPr>
            </w:pPr>
            <w:r>
              <w:rPr>
                <w:rFonts w:hint="eastAsia"/>
                <w:color w:val="auto"/>
                <w:highlight w:val="none"/>
                <w:lang w:val="en-US" w:eastAsia="zh-CN"/>
              </w:rPr>
              <w:t>＜0.2</w:t>
            </w:r>
          </w:p>
        </w:tc>
        <w:tc>
          <w:tcPr>
            <w:tcW w:w="1069" w:type="dxa"/>
            <w:vMerge w:val="continue"/>
            <w:vAlign w:val="center"/>
          </w:tcPr>
          <w:p>
            <w:pPr>
              <w:jc w:val="center"/>
              <w:rPr>
                <w:rFonts w:hint="eastAsia"/>
                <w:color w:val="auto"/>
                <w:highlight w:val="none"/>
                <w:lang w:val="en-US" w:eastAsia="zh-CN"/>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431" w:type="dxa"/>
            <w:vMerge w:val="continue"/>
            <w:vAlign w:val="center"/>
          </w:tcPr>
          <w:p>
            <w:pPr>
              <w:jc w:val="center"/>
              <w:rPr>
                <w:color w:val="auto"/>
                <w:highlight w:val="none"/>
              </w:rPr>
            </w:pPr>
          </w:p>
        </w:tc>
        <w:tc>
          <w:tcPr>
            <w:tcW w:w="800" w:type="dxa"/>
            <w:vMerge w:val="continue"/>
            <w:vAlign w:val="center"/>
          </w:tcPr>
          <w:p>
            <w:pPr>
              <w:tabs>
                <w:tab w:val="left" w:pos="7020"/>
              </w:tabs>
              <w:spacing w:line="160" w:lineRule="atLeast"/>
              <w:jc w:val="center"/>
              <w:rPr>
                <w:color w:val="auto"/>
                <w:highlight w:val="none"/>
              </w:rPr>
            </w:pPr>
          </w:p>
        </w:tc>
        <w:tc>
          <w:tcPr>
            <w:tcW w:w="1700" w:type="dxa"/>
            <w:vAlign w:val="center"/>
          </w:tcPr>
          <w:p>
            <w:pPr>
              <w:tabs>
                <w:tab w:val="left" w:pos="7020"/>
              </w:tabs>
              <w:spacing w:line="160" w:lineRule="atLeast"/>
              <w:jc w:val="center"/>
              <w:rPr>
                <w:color w:val="auto"/>
                <w:highlight w:val="none"/>
              </w:rPr>
            </w:pPr>
            <w:r>
              <w:rPr>
                <w:color w:val="auto"/>
                <w:highlight w:val="none"/>
              </w:rPr>
              <w:t>排放速率(kg/h)</w:t>
            </w:r>
          </w:p>
        </w:tc>
        <w:tc>
          <w:tcPr>
            <w:tcW w:w="550" w:type="dxa"/>
            <w:vMerge w:val="continue"/>
            <w:vAlign w:val="center"/>
          </w:tcPr>
          <w:p>
            <w:pPr>
              <w:jc w:val="center"/>
              <w:rPr>
                <w:color w:val="auto"/>
                <w:highlight w:val="none"/>
              </w:rPr>
            </w:pPr>
          </w:p>
        </w:tc>
        <w:tc>
          <w:tcPr>
            <w:tcW w:w="883" w:type="dxa"/>
            <w:vAlign w:val="center"/>
          </w:tcPr>
          <w:p>
            <w:pPr>
              <w:jc w:val="center"/>
              <w:rPr>
                <w:rFonts w:hint="eastAsia" w:eastAsia="宋体"/>
                <w:color w:val="auto"/>
                <w:highlight w:val="none"/>
                <w:lang w:val="en-US" w:eastAsia="zh-CN"/>
              </w:rPr>
            </w:pPr>
            <w:r>
              <w:rPr>
                <w:rFonts w:hint="eastAsia"/>
                <w:color w:val="auto"/>
                <w:highlight w:val="none"/>
                <w:lang w:val="en-US" w:eastAsia="zh-CN"/>
              </w:rPr>
              <w:t>8.58</w:t>
            </w:r>
            <w:r>
              <w:rPr>
                <w:color w:val="auto"/>
                <w:highlight w:val="none"/>
              </w:rPr>
              <w:t>×10</w:t>
            </w:r>
            <w:r>
              <w:rPr>
                <w:color w:val="auto"/>
                <w:highlight w:val="none"/>
                <w:vertAlign w:val="superscript"/>
              </w:rPr>
              <w:t>-</w:t>
            </w:r>
            <w:r>
              <w:rPr>
                <w:rFonts w:hint="eastAsia"/>
                <w:color w:val="auto"/>
                <w:highlight w:val="none"/>
                <w:vertAlign w:val="superscript"/>
                <w:lang w:val="en-US" w:eastAsia="zh-CN"/>
              </w:rPr>
              <w:t>3</w:t>
            </w:r>
          </w:p>
        </w:tc>
        <w:tc>
          <w:tcPr>
            <w:tcW w:w="850" w:type="dxa"/>
            <w:vAlign w:val="center"/>
          </w:tcPr>
          <w:p>
            <w:pPr>
              <w:jc w:val="center"/>
              <w:rPr>
                <w:rFonts w:hint="eastAsia" w:eastAsia="宋体"/>
                <w:color w:val="auto"/>
                <w:highlight w:val="none"/>
                <w:lang w:val="en-US" w:eastAsia="zh-CN"/>
              </w:rPr>
            </w:pPr>
            <w:r>
              <w:rPr>
                <w:rFonts w:hint="eastAsia"/>
                <w:color w:val="auto"/>
                <w:highlight w:val="none"/>
                <w:lang w:val="en-US" w:eastAsia="zh-CN"/>
              </w:rPr>
              <w:t>6.70</w:t>
            </w:r>
            <w:r>
              <w:rPr>
                <w:color w:val="auto"/>
                <w:highlight w:val="none"/>
              </w:rPr>
              <w:t>×10</w:t>
            </w:r>
            <w:r>
              <w:rPr>
                <w:color w:val="auto"/>
                <w:highlight w:val="none"/>
                <w:vertAlign w:val="superscript"/>
              </w:rPr>
              <w:t>-</w:t>
            </w:r>
            <w:r>
              <w:rPr>
                <w:rFonts w:hint="eastAsia"/>
                <w:color w:val="auto"/>
                <w:highlight w:val="none"/>
                <w:vertAlign w:val="superscript"/>
                <w:lang w:val="en-US" w:eastAsia="zh-CN"/>
              </w:rPr>
              <w:t>3</w:t>
            </w:r>
          </w:p>
        </w:tc>
        <w:tc>
          <w:tcPr>
            <w:tcW w:w="833" w:type="dxa"/>
            <w:vAlign w:val="center"/>
          </w:tcPr>
          <w:p>
            <w:pPr>
              <w:jc w:val="center"/>
              <w:rPr>
                <w:rFonts w:hint="eastAsia" w:eastAsia="宋体"/>
                <w:color w:val="auto"/>
                <w:highlight w:val="none"/>
                <w:lang w:val="en-US" w:eastAsia="zh-CN"/>
              </w:rPr>
            </w:pPr>
            <w:r>
              <w:rPr>
                <w:rFonts w:hint="eastAsia"/>
                <w:color w:val="auto"/>
                <w:highlight w:val="none"/>
                <w:lang w:val="en-US" w:eastAsia="zh-CN"/>
              </w:rPr>
              <w:t>0.014</w:t>
            </w:r>
          </w:p>
        </w:tc>
        <w:tc>
          <w:tcPr>
            <w:tcW w:w="967" w:type="dxa"/>
            <w:vAlign w:val="center"/>
          </w:tcPr>
          <w:p>
            <w:pPr>
              <w:jc w:val="center"/>
              <w:rPr>
                <w:rFonts w:hint="eastAsia" w:eastAsia="宋体"/>
                <w:color w:val="auto"/>
                <w:highlight w:val="none"/>
                <w:lang w:val="en-US" w:eastAsia="zh-CN"/>
              </w:rPr>
            </w:pPr>
            <w:r>
              <w:rPr>
                <w:rFonts w:hint="eastAsia"/>
                <w:color w:val="auto"/>
                <w:highlight w:val="none"/>
                <w:lang w:val="en-US" w:eastAsia="zh-CN"/>
              </w:rPr>
              <w:t>2.04</w:t>
            </w:r>
            <w:r>
              <w:rPr>
                <w:color w:val="auto"/>
                <w:highlight w:val="none"/>
              </w:rPr>
              <w:t>×10</w:t>
            </w:r>
            <w:r>
              <w:rPr>
                <w:color w:val="auto"/>
                <w:highlight w:val="none"/>
                <w:vertAlign w:val="superscript"/>
              </w:rPr>
              <w:t>-</w:t>
            </w:r>
            <w:r>
              <w:rPr>
                <w:rFonts w:hint="eastAsia"/>
                <w:color w:val="auto"/>
                <w:highlight w:val="none"/>
                <w:vertAlign w:val="superscript"/>
                <w:lang w:val="en-US" w:eastAsia="zh-CN"/>
              </w:rPr>
              <w:t>3</w:t>
            </w:r>
          </w:p>
        </w:tc>
        <w:tc>
          <w:tcPr>
            <w:tcW w:w="933" w:type="dxa"/>
            <w:vAlign w:val="center"/>
          </w:tcPr>
          <w:p>
            <w:pPr>
              <w:jc w:val="center"/>
              <w:rPr>
                <w:rFonts w:hint="eastAsia" w:eastAsia="宋体"/>
                <w:color w:val="auto"/>
                <w:highlight w:val="none"/>
                <w:lang w:val="en-US" w:eastAsia="zh-CN"/>
              </w:rPr>
            </w:pPr>
            <w:r>
              <w:rPr>
                <w:rFonts w:hint="eastAsia"/>
                <w:color w:val="auto"/>
                <w:highlight w:val="none"/>
                <w:lang w:val="en-US" w:eastAsia="zh-CN"/>
              </w:rPr>
              <w:t>1.88</w:t>
            </w:r>
            <w:r>
              <w:rPr>
                <w:color w:val="auto"/>
                <w:highlight w:val="none"/>
              </w:rPr>
              <w:t>×10</w:t>
            </w:r>
            <w:r>
              <w:rPr>
                <w:color w:val="auto"/>
                <w:highlight w:val="none"/>
                <w:vertAlign w:val="superscript"/>
              </w:rPr>
              <w:t>-</w:t>
            </w:r>
            <w:r>
              <w:rPr>
                <w:rFonts w:hint="eastAsia"/>
                <w:color w:val="auto"/>
                <w:highlight w:val="none"/>
                <w:vertAlign w:val="superscript"/>
                <w:lang w:val="en-US" w:eastAsia="zh-CN"/>
              </w:rPr>
              <w:t>3</w:t>
            </w:r>
          </w:p>
        </w:tc>
        <w:tc>
          <w:tcPr>
            <w:tcW w:w="980" w:type="dxa"/>
            <w:vAlign w:val="center"/>
          </w:tcPr>
          <w:p>
            <w:pPr>
              <w:jc w:val="center"/>
              <w:rPr>
                <w:rFonts w:hint="eastAsia" w:eastAsia="宋体"/>
                <w:color w:val="auto"/>
                <w:highlight w:val="none"/>
                <w:lang w:val="en-US" w:eastAsia="zh-CN"/>
              </w:rPr>
            </w:pPr>
            <w:r>
              <w:rPr>
                <w:rFonts w:hint="eastAsia"/>
                <w:color w:val="auto"/>
                <w:highlight w:val="none"/>
                <w:lang w:val="en-US" w:eastAsia="zh-CN"/>
              </w:rPr>
              <w:t>/</w:t>
            </w:r>
          </w:p>
        </w:tc>
        <w:tc>
          <w:tcPr>
            <w:tcW w:w="1069" w:type="dxa"/>
            <w:vMerge w:val="continue"/>
            <w:vAlign w:val="center"/>
          </w:tcPr>
          <w:p>
            <w:pPr>
              <w:jc w:val="center"/>
              <w:rPr>
                <w:rFonts w:hint="eastAsia"/>
                <w:color w:val="auto"/>
                <w:highlight w:val="none"/>
                <w:lang w:val="en-US" w:eastAsia="zh-CN"/>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431" w:type="dxa"/>
            <w:vMerge w:val="continue"/>
            <w:vAlign w:val="center"/>
          </w:tcPr>
          <w:p>
            <w:pPr>
              <w:jc w:val="center"/>
              <w:rPr>
                <w:color w:val="auto"/>
                <w:highlight w:val="none"/>
              </w:rPr>
            </w:pPr>
          </w:p>
        </w:tc>
        <w:tc>
          <w:tcPr>
            <w:tcW w:w="2500" w:type="dxa"/>
            <w:gridSpan w:val="2"/>
            <w:vAlign w:val="center"/>
          </w:tcPr>
          <w:p>
            <w:pPr>
              <w:tabs>
                <w:tab w:val="left" w:pos="7020"/>
              </w:tabs>
              <w:spacing w:line="160" w:lineRule="atLeast"/>
              <w:jc w:val="center"/>
              <w:rPr>
                <w:color w:val="auto"/>
                <w:highlight w:val="none"/>
              </w:rPr>
            </w:pPr>
            <w:r>
              <w:rPr>
                <w:color w:val="auto"/>
                <w:highlight w:val="none"/>
              </w:rPr>
              <w:t>标干废气量(m</w:t>
            </w:r>
            <w:r>
              <w:rPr>
                <w:color w:val="auto"/>
                <w:highlight w:val="none"/>
                <w:vertAlign w:val="superscript"/>
              </w:rPr>
              <w:t>3</w:t>
            </w:r>
            <w:r>
              <w:rPr>
                <w:color w:val="auto"/>
                <w:highlight w:val="none"/>
              </w:rPr>
              <w:t>/h)</w:t>
            </w:r>
          </w:p>
        </w:tc>
        <w:tc>
          <w:tcPr>
            <w:tcW w:w="550" w:type="dxa"/>
            <w:vMerge w:val="restart"/>
            <w:vAlign w:val="center"/>
          </w:tcPr>
          <w:p>
            <w:pPr>
              <w:jc w:val="center"/>
              <w:rPr>
                <w:rFonts w:hint="eastAsia" w:eastAsia="宋体"/>
                <w:color w:val="auto"/>
                <w:highlight w:val="none"/>
                <w:lang w:val="en-US" w:eastAsia="zh-CN"/>
              </w:rPr>
            </w:pPr>
            <w:r>
              <w:rPr>
                <w:rFonts w:hint="eastAsia"/>
                <w:color w:val="auto"/>
                <w:highlight w:val="none"/>
                <w:lang w:val="en-US" w:eastAsia="zh-CN"/>
              </w:rPr>
              <w:t>9.28</w:t>
            </w:r>
          </w:p>
        </w:tc>
        <w:tc>
          <w:tcPr>
            <w:tcW w:w="883" w:type="dxa"/>
            <w:vAlign w:val="center"/>
          </w:tcPr>
          <w:p>
            <w:pPr>
              <w:jc w:val="center"/>
              <w:rPr>
                <w:rFonts w:hint="eastAsia" w:eastAsia="宋体"/>
                <w:color w:val="auto"/>
                <w:highlight w:val="none"/>
                <w:lang w:val="en-US" w:eastAsia="zh-CN"/>
              </w:rPr>
            </w:pPr>
            <w:r>
              <w:rPr>
                <w:rFonts w:hint="eastAsia"/>
                <w:color w:val="auto"/>
                <w:highlight w:val="none"/>
                <w:lang w:val="en-US" w:eastAsia="zh-CN"/>
              </w:rPr>
              <w:t>7709</w:t>
            </w:r>
          </w:p>
        </w:tc>
        <w:tc>
          <w:tcPr>
            <w:tcW w:w="850" w:type="dxa"/>
            <w:vAlign w:val="center"/>
          </w:tcPr>
          <w:p>
            <w:pPr>
              <w:jc w:val="center"/>
              <w:rPr>
                <w:rFonts w:hint="eastAsia" w:eastAsia="宋体"/>
                <w:color w:val="auto"/>
                <w:highlight w:val="none"/>
                <w:lang w:val="en-US" w:eastAsia="zh-CN"/>
              </w:rPr>
            </w:pPr>
            <w:r>
              <w:rPr>
                <w:rFonts w:hint="eastAsia"/>
                <w:color w:val="auto"/>
                <w:highlight w:val="none"/>
                <w:lang w:val="en-US" w:eastAsia="zh-CN"/>
              </w:rPr>
              <w:t>8463</w:t>
            </w:r>
          </w:p>
        </w:tc>
        <w:tc>
          <w:tcPr>
            <w:tcW w:w="833" w:type="dxa"/>
            <w:vAlign w:val="center"/>
          </w:tcPr>
          <w:p>
            <w:pPr>
              <w:jc w:val="center"/>
              <w:rPr>
                <w:rFonts w:hint="eastAsia" w:eastAsia="宋体"/>
                <w:color w:val="auto"/>
                <w:highlight w:val="none"/>
                <w:lang w:val="en-US" w:eastAsia="zh-CN"/>
              </w:rPr>
            </w:pPr>
            <w:r>
              <w:rPr>
                <w:rFonts w:hint="eastAsia"/>
                <w:color w:val="auto"/>
                <w:highlight w:val="none"/>
                <w:lang w:val="en-US" w:eastAsia="zh-CN"/>
              </w:rPr>
              <w:t>8476</w:t>
            </w:r>
          </w:p>
        </w:tc>
        <w:tc>
          <w:tcPr>
            <w:tcW w:w="967" w:type="dxa"/>
            <w:vAlign w:val="center"/>
          </w:tcPr>
          <w:p>
            <w:pPr>
              <w:jc w:val="center"/>
              <w:rPr>
                <w:rFonts w:hint="eastAsia" w:eastAsia="宋体"/>
                <w:color w:val="auto"/>
                <w:highlight w:val="none"/>
                <w:lang w:val="en-US" w:eastAsia="zh-CN"/>
              </w:rPr>
            </w:pPr>
            <w:r>
              <w:rPr>
                <w:rFonts w:hint="eastAsia"/>
                <w:color w:val="auto"/>
                <w:highlight w:val="none"/>
                <w:lang w:val="en-US" w:eastAsia="zh-CN"/>
              </w:rPr>
              <w:t>7782</w:t>
            </w:r>
          </w:p>
        </w:tc>
        <w:tc>
          <w:tcPr>
            <w:tcW w:w="933" w:type="dxa"/>
            <w:vAlign w:val="center"/>
          </w:tcPr>
          <w:p>
            <w:pPr>
              <w:jc w:val="center"/>
              <w:rPr>
                <w:rFonts w:hint="eastAsia" w:eastAsia="宋体"/>
                <w:color w:val="auto"/>
                <w:highlight w:val="none"/>
                <w:lang w:val="en-US" w:eastAsia="zh-CN"/>
              </w:rPr>
            </w:pPr>
            <w:r>
              <w:rPr>
                <w:rFonts w:hint="eastAsia"/>
                <w:color w:val="auto"/>
                <w:highlight w:val="none"/>
                <w:lang w:val="en-US" w:eastAsia="zh-CN"/>
              </w:rPr>
              <w:t>8563</w:t>
            </w:r>
          </w:p>
        </w:tc>
        <w:tc>
          <w:tcPr>
            <w:tcW w:w="980" w:type="dxa"/>
            <w:vAlign w:val="center"/>
          </w:tcPr>
          <w:p>
            <w:pPr>
              <w:jc w:val="center"/>
              <w:rPr>
                <w:rFonts w:hint="eastAsia" w:eastAsia="宋体"/>
                <w:color w:val="auto"/>
                <w:highlight w:val="none"/>
                <w:lang w:val="en-US" w:eastAsia="zh-CN"/>
              </w:rPr>
            </w:pPr>
            <w:r>
              <w:rPr>
                <w:rFonts w:hint="eastAsia"/>
                <w:color w:val="auto"/>
                <w:highlight w:val="none"/>
                <w:lang w:val="en-US" w:eastAsia="zh-CN"/>
              </w:rPr>
              <w:t>8391</w:t>
            </w:r>
          </w:p>
        </w:tc>
        <w:tc>
          <w:tcPr>
            <w:tcW w:w="1069" w:type="dxa"/>
            <w:vMerge w:val="restart"/>
            <w:vAlign w:val="center"/>
          </w:tcPr>
          <w:p>
            <w:pPr>
              <w:jc w:val="center"/>
              <w:rPr>
                <w:rFonts w:hint="eastAsia"/>
                <w:color w:val="auto"/>
                <w:highlight w:val="none"/>
                <w:lang w:val="en-US" w:eastAsia="zh-CN"/>
              </w:rPr>
            </w:pPr>
            <w:r>
              <w:rPr>
                <w:rFonts w:hint="eastAsia"/>
                <w:color w:val="auto"/>
                <w:highlight w:val="none"/>
                <w:lang w:val="en-US" w:eastAsia="zh-CN"/>
              </w:rPr>
              <w:t>1.80</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431" w:type="dxa"/>
            <w:vMerge w:val="continue"/>
            <w:vAlign w:val="center"/>
          </w:tcPr>
          <w:p>
            <w:pPr>
              <w:jc w:val="center"/>
              <w:rPr>
                <w:color w:val="auto"/>
                <w:highlight w:val="none"/>
              </w:rPr>
            </w:pPr>
          </w:p>
        </w:tc>
        <w:tc>
          <w:tcPr>
            <w:tcW w:w="800" w:type="dxa"/>
            <w:vMerge w:val="restart"/>
            <w:vAlign w:val="center"/>
          </w:tcPr>
          <w:p>
            <w:pPr>
              <w:tabs>
                <w:tab w:val="left" w:pos="7020"/>
              </w:tabs>
              <w:spacing w:line="160" w:lineRule="atLeast"/>
              <w:jc w:val="center"/>
              <w:rPr>
                <w:color w:val="auto"/>
                <w:highlight w:val="none"/>
              </w:rPr>
            </w:pPr>
            <w:r>
              <w:rPr>
                <w:rFonts w:hint="eastAsia"/>
                <w:color w:val="auto"/>
                <w:highlight w:val="none"/>
                <w:lang w:eastAsia="zh-CN"/>
              </w:rPr>
              <w:t>硫酸雾</w:t>
            </w:r>
          </w:p>
        </w:tc>
        <w:tc>
          <w:tcPr>
            <w:tcW w:w="1700" w:type="dxa"/>
            <w:vAlign w:val="center"/>
          </w:tcPr>
          <w:p>
            <w:pPr>
              <w:tabs>
                <w:tab w:val="left" w:pos="7020"/>
              </w:tabs>
              <w:spacing w:line="160" w:lineRule="atLeast"/>
              <w:jc w:val="center"/>
              <w:rPr>
                <w:color w:val="auto"/>
                <w:highlight w:val="none"/>
              </w:rPr>
            </w:pPr>
            <w:r>
              <w:rPr>
                <w:color w:val="auto"/>
                <w:highlight w:val="none"/>
              </w:rPr>
              <w:t>排放浓</w:t>
            </w:r>
            <w:r>
              <w:rPr>
                <w:rFonts w:hint="eastAsia"/>
                <w:color w:val="auto"/>
                <w:highlight w:val="none"/>
              </w:rPr>
              <w:t>度</w:t>
            </w:r>
            <w:r>
              <w:rPr>
                <w:color w:val="auto"/>
                <w:highlight w:val="none"/>
              </w:rPr>
              <w:t>(mg/m</w:t>
            </w:r>
            <w:r>
              <w:rPr>
                <w:color w:val="auto"/>
                <w:highlight w:val="none"/>
                <w:vertAlign w:val="superscript"/>
              </w:rPr>
              <w:t>3</w:t>
            </w:r>
            <w:r>
              <w:rPr>
                <w:color w:val="auto"/>
                <w:highlight w:val="none"/>
              </w:rPr>
              <w:t>)</w:t>
            </w:r>
          </w:p>
        </w:tc>
        <w:tc>
          <w:tcPr>
            <w:tcW w:w="550" w:type="dxa"/>
            <w:vMerge w:val="continue"/>
            <w:vAlign w:val="center"/>
          </w:tcPr>
          <w:p>
            <w:pPr>
              <w:jc w:val="center"/>
              <w:rPr>
                <w:color w:val="auto"/>
                <w:highlight w:val="none"/>
              </w:rPr>
            </w:pPr>
          </w:p>
        </w:tc>
        <w:tc>
          <w:tcPr>
            <w:tcW w:w="883" w:type="dxa"/>
            <w:vAlign w:val="center"/>
          </w:tcPr>
          <w:p>
            <w:pPr>
              <w:jc w:val="center"/>
              <w:rPr>
                <w:rFonts w:hint="eastAsia" w:eastAsia="宋体"/>
                <w:color w:val="auto"/>
                <w:highlight w:val="none"/>
                <w:lang w:val="en-US" w:eastAsia="zh-CN"/>
              </w:rPr>
            </w:pPr>
            <w:r>
              <w:rPr>
                <w:rFonts w:hint="eastAsia"/>
                <w:color w:val="auto"/>
                <w:highlight w:val="none"/>
                <w:lang w:val="en-US" w:eastAsia="zh-CN"/>
              </w:rPr>
              <w:t>1.2</w:t>
            </w:r>
          </w:p>
        </w:tc>
        <w:tc>
          <w:tcPr>
            <w:tcW w:w="850" w:type="dxa"/>
            <w:vAlign w:val="center"/>
          </w:tcPr>
          <w:p>
            <w:pPr>
              <w:jc w:val="center"/>
              <w:rPr>
                <w:rFonts w:hint="eastAsia" w:eastAsia="宋体"/>
                <w:color w:val="auto"/>
                <w:highlight w:val="none"/>
                <w:lang w:val="en-US" w:eastAsia="zh-CN"/>
              </w:rPr>
            </w:pPr>
            <w:r>
              <w:rPr>
                <w:rFonts w:hint="eastAsia"/>
                <w:color w:val="auto"/>
                <w:highlight w:val="none"/>
                <w:lang w:val="en-US" w:eastAsia="zh-CN"/>
              </w:rPr>
              <w:t>1.6</w:t>
            </w:r>
          </w:p>
        </w:tc>
        <w:tc>
          <w:tcPr>
            <w:tcW w:w="833" w:type="dxa"/>
            <w:vAlign w:val="center"/>
          </w:tcPr>
          <w:p>
            <w:pPr>
              <w:jc w:val="center"/>
              <w:rPr>
                <w:rFonts w:hint="eastAsia" w:eastAsia="宋体"/>
                <w:color w:val="auto"/>
                <w:highlight w:val="none"/>
                <w:lang w:val="en-US" w:eastAsia="zh-CN"/>
              </w:rPr>
            </w:pPr>
            <w:r>
              <w:rPr>
                <w:rFonts w:hint="eastAsia"/>
                <w:color w:val="auto"/>
                <w:highlight w:val="none"/>
                <w:lang w:val="en-US" w:eastAsia="zh-CN"/>
              </w:rPr>
              <w:t>1.4</w:t>
            </w:r>
          </w:p>
        </w:tc>
        <w:tc>
          <w:tcPr>
            <w:tcW w:w="967" w:type="dxa"/>
            <w:vAlign w:val="center"/>
          </w:tcPr>
          <w:p>
            <w:pPr>
              <w:jc w:val="center"/>
              <w:rPr>
                <w:color w:val="auto"/>
                <w:highlight w:val="none"/>
              </w:rPr>
            </w:pPr>
            <w:r>
              <w:rPr>
                <w:rFonts w:hint="eastAsia"/>
                <w:color w:val="auto"/>
                <w:highlight w:val="none"/>
                <w:lang w:val="en-US" w:eastAsia="zh-CN"/>
              </w:rPr>
              <w:t>0.2</w:t>
            </w:r>
          </w:p>
        </w:tc>
        <w:tc>
          <w:tcPr>
            <w:tcW w:w="933" w:type="dxa"/>
            <w:vAlign w:val="center"/>
          </w:tcPr>
          <w:p>
            <w:pPr>
              <w:jc w:val="center"/>
              <w:rPr>
                <w:color w:val="auto"/>
                <w:highlight w:val="none"/>
              </w:rPr>
            </w:pPr>
            <w:r>
              <w:rPr>
                <w:rFonts w:hint="eastAsia"/>
                <w:color w:val="auto"/>
                <w:highlight w:val="none"/>
                <w:lang w:val="en-US" w:eastAsia="zh-CN"/>
              </w:rPr>
              <w:t>＜0.2</w:t>
            </w:r>
          </w:p>
        </w:tc>
        <w:tc>
          <w:tcPr>
            <w:tcW w:w="980" w:type="dxa"/>
            <w:vAlign w:val="center"/>
          </w:tcPr>
          <w:p>
            <w:pPr>
              <w:jc w:val="center"/>
              <w:rPr>
                <w:rFonts w:hint="eastAsia" w:eastAsia="宋体"/>
                <w:color w:val="auto"/>
                <w:highlight w:val="none"/>
                <w:lang w:val="en-US" w:eastAsia="zh-CN"/>
              </w:rPr>
            </w:pPr>
            <w:r>
              <w:rPr>
                <w:rFonts w:hint="eastAsia"/>
                <w:color w:val="auto"/>
                <w:highlight w:val="none"/>
                <w:lang w:val="en-US" w:eastAsia="zh-CN"/>
              </w:rPr>
              <w:t>0.2</w:t>
            </w:r>
          </w:p>
        </w:tc>
        <w:tc>
          <w:tcPr>
            <w:tcW w:w="1069" w:type="dxa"/>
            <w:vMerge w:val="continue"/>
            <w:vAlign w:val="center"/>
          </w:tcPr>
          <w:p>
            <w:pPr>
              <w:jc w:val="center"/>
              <w:rPr>
                <w:rFonts w:hint="eastAsia"/>
                <w:color w:val="auto"/>
                <w:highlight w:val="none"/>
                <w:lang w:val="en-US" w:eastAsia="zh-CN"/>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431" w:type="dxa"/>
            <w:vMerge w:val="continue"/>
            <w:vAlign w:val="center"/>
          </w:tcPr>
          <w:p>
            <w:pPr>
              <w:jc w:val="center"/>
              <w:rPr>
                <w:color w:val="auto"/>
                <w:highlight w:val="none"/>
              </w:rPr>
            </w:pPr>
          </w:p>
        </w:tc>
        <w:tc>
          <w:tcPr>
            <w:tcW w:w="800" w:type="dxa"/>
            <w:vMerge w:val="continue"/>
            <w:vAlign w:val="center"/>
          </w:tcPr>
          <w:p>
            <w:pPr>
              <w:tabs>
                <w:tab w:val="left" w:pos="7020"/>
              </w:tabs>
              <w:spacing w:line="160" w:lineRule="atLeast"/>
              <w:jc w:val="center"/>
              <w:rPr>
                <w:color w:val="auto"/>
                <w:highlight w:val="none"/>
              </w:rPr>
            </w:pPr>
          </w:p>
        </w:tc>
        <w:tc>
          <w:tcPr>
            <w:tcW w:w="1700" w:type="dxa"/>
            <w:vAlign w:val="center"/>
          </w:tcPr>
          <w:p>
            <w:pPr>
              <w:tabs>
                <w:tab w:val="left" w:pos="7020"/>
              </w:tabs>
              <w:spacing w:line="160" w:lineRule="atLeast"/>
              <w:jc w:val="center"/>
              <w:rPr>
                <w:color w:val="auto"/>
                <w:highlight w:val="none"/>
              </w:rPr>
            </w:pPr>
            <w:r>
              <w:rPr>
                <w:color w:val="auto"/>
                <w:highlight w:val="none"/>
              </w:rPr>
              <w:t>排放速率(kg/h)</w:t>
            </w:r>
          </w:p>
        </w:tc>
        <w:tc>
          <w:tcPr>
            <w:tcW w:w="550" w:type="dxa"/>
            <w:vMerge w:val="continue"/>
            <w:vAlign w:val="center"/>
          </w:tcPr>
          <w:p>
            <w:pPr>
              <w:jc w:val="center"/>
              <w:rPr>
                <w:color w:val="auto"/>
                <w:highlight w:val="none"/>
              </w:rPr>
            </w:pPr>
          </w:p>
        </w:tc>
        <w:tc>
          <w:tcPr>
            <w:tcW w:w="883" w:type="dxa"/>
            <w:vAlign w:val="center"/>
          </w:tcPr>
          <w:p>
            <w:pPr>
              <w:jc w:val="center"/>
              <w:rPr>
                <w:rFonts w:hint="eastAsia" w:eastAsia="宋体"/>
                <w:color w:val="auto"/>
                <w:highlight w:val="none"/>
                <w:lang w:val="en-US" w:eastAsia="zh-CN"/>
              </w:rPr>
            </w:pPr>
            <w:r>
              <w:rPr>
                <w:rFonts w:hint="eastAsia"/>
                <w:color w:val="auto"/>
                <w:highlight w:val="none"/>
                <w:lang w:val="en-US" w:eastAsia="zh-CN"/>
              </w:rPr>
              <w:t>9.09</w:t>
            </w:r>
            <w:r>
              <w:rPr>
                <w:color w:val="auto"/>
                <w:highlight w:val="none"/>
              </w:rPr>
              <w:t>×10</w:t>
            </w:r>
            <w:r>
              <w:rPr>
                <w:color w:val="auto"/>
                <w:highlight w:val="none"/>
                <w:vertAlign w:val="superscript"/>
              </w:rPr>
              <w:t>-</w:t>
            </w:r>
            <w:r>
              <w:rPr>
                <w:rFonts w:hint="eastAsia"/>
                <w:color w:val="auto"/>
                <w:highlight w:val="none"/>
                <w:vertAlign w:val="superscript"/>
                <w:lang w:val="en-US" w:eastAsia="zh-CN"/>
              </w:rPr>
              <w:t>3</w:t>
            </w:r>
          </w:p>
        </w:tc>
        <w:tc>
          <w:tcPr>
            <w:tcW w:w="850" w:type="dxa"/>
            <w:vAlign w:val="center"/>
          </w:tcPr>
          <w:p>
            <w:pPr>
              <w:jc w:val="center"/>
              <w:rPr>
                <w:rFonts w:hint="eastAsia" w:eastAsia="宋体"/>
                <w:color w:val="auto"/>
                <w:highlight w:val="none"/>
                <w:lang w:val="en-US" w:eastAsia="zh-CN"/>
              </w:rPr>
            </w:pPr>
            <w:r>
              <w:rPr>
                <w:rFonts w:hint="eastAsia"/>
                <w:color w:val="auto"/>
                <w:highlight w:val="none"/>
                <w:lang w:val="en-US" w:eastAsia="zh-CN"/>
              </w:rPr>
              <w:t>0.013</w:t>
            </w:r>
          </w:p>
        </w:tc>
        <w:tc>
          <w:tcPr>
            <w:tcW w:w="833" w:type="dxa"/>
            <w:vAlign w:val="center"/>
          </w:tcPr>
          <w:p>
            <w:pPr>
              <w:jc w:val="center"/>
              <w:rPr>
                <w:rFonts w:hint="eastAsia" w:eastAsia="宋体"/>
                <w:color w:val="auto"/>
                <w:highlight w:val="none"/>
                <w:lang w:val="en-US" w:eastAsia="zh-CN"/>
              </w:rPr>
            </w:pPr>
            <w:r>
              <w:rPr>
                <w:rFonts w:hint="eastAsia"/>
                <w:color w:val="auto"/>
                <w:highlight w:val="none"/>
                <w:lang w:val="en-US" w:eastAsia="zh-CN"/>
              </w:rPr>
              <w:t>0.012</w:t>
            </w:r>
          </w:p>
        </w:tc>
        <w:tc>
          <w:tcPr>
            <w:tcW w:w="967" w:type="dxa"/>
            <w:vAlign w:val="center"/>
          </w:tcPr>
          <w:p>
            <w:pPr>
              <w:jc w:val="center"/>
              <w:rPr>
                <w:rFonts w:hint="eastAsia" w:eastAsia="宋体"/>
                <w:color w:val="auto"/>
                <w:highlight w:val="none"/>
                <w:lang w:val="en-US" w:eastAsia="zh-CN"/>
              </w:rPr>
            </w:pPr>
            <w:r>
              <w:rPr>
                <w:rFonts w:hint="eastAsia"/>
                <w:color w:val="auto"/>
                <w:highlight w:val="none"/>
                <w:lang w:val="en-US" w:eastAsia="zh-CN"/>
              </w:rPr>
              <w:t>1.48</w:t>
            </w:r>
            <w:r>
              <w:rPr>
                <w:color w:val="auto"/>
                <w:highlight w:val="none"/>
              </w:rPr>
              <w:t>×10</w:t>
            </w:r>
            <w:r>
              <w:rPr>
                <w:color w:val="auto"/>
                <w:highlight w:val="none"/>
                <w:vertAlign w:val="superscript"/>
              </w:rPr>
              <w:t>-</w:t>
            </w:r>
            <w:r>
              <w:rPr>
                <w:rFonts w:hint="eastAsia"/>
                <w:color w:val="auto"/>
                <w:highlight w:val="none"/>
                <w:vertAlign w:val="superscript"/>
                <w:lang w:val="en-US" w:eastAsia="zh-CN"/>
              </w:rPr>
              <w:t>3</w:t>
            </w:r>
          </w:p>
        </w:tc>
        <w:tc>
          <w:tcPr>
            <w:tcW w:w="933" w:type="dxa"/>
            <w:vAlign w:val="center"/>
          </w:tcPr>
          <w:p>
            <w:pPr>
              <w:jc w:val="center"/>
              <w:rPr>
                <w:rFonts w:hint="eastAsia" w:eastAsia="宋体"/>
                <w:color w:val="auto"/>
                <w:highlight w:val="none"/>
                <w:lang w:val="en-US" w:eastAsia="zh-CN"/>
              </w:rPr>
            </w:pPr>
            <w:r>
              <w:rPr>
                <w:rFonts w:hint="eastAsia"/>
                <w:color w:val="auto"/>
                <w:highlight w:val="none"/>
                <w:lang w:val="en-US" w:eastAsia="zh-CN"/>
              </w:rPr>
              <w:t>/</w:t>
            </w:r>
          </w:p>
        </w:tc>
        <w:tc>
          <w:tcPr>
            <w:tcW w:w="980" w:type="dxa"/>
            <w:vAlign w:val="center"/>
          </w:tcPr>
          <w:p>
            <w:pPr>
              <w:jc w:val="center"/>
              <w:rPr>
                <w:rFonts w:hint="eastAsia" w:eastAsia="宋体"/>
                <w:color w:val="auto"/>
                <w:highlight w:val="none"/>
                <w:lang w:val="en-US" w:eastAsia="zh-CN"/>
              </w:rPr>
            </w:pPr>
            <w:r>
              <w:rPr>
                <w:rFonts w:hint="eastAsia"/>
                <w:color w:val="auto"/>
                <w:highlight w:val="none"/>
                <w:lang w:val="en-US" w:eastAsia="zh-CN"/>
              </w:rPr>
              <w:t>1.89</w:t>
            </w:r>
            <w:r>
              <w:rPr>
                <w:color w:val="auto"/>
                <w:highlight w:val="none"/>
              </w:rPr>
              <w:t>×10</w:t>
            </w:r>
            <w:r>
              <w:rPr>
                <w:color w:val="auto"/>
                <w:highlight w:val="none"/>
                <w:vertAlign w:val="superscript"/>
              </w:rPr>
              <w:t>-</w:t>
            </w:r>
            <w:r>
              <w:rPr>
                <w:rFonts w:hint="eastAsia"/>
                <w:color w:val="auto"/>
                <w:highlight w:val="none"/>
                <w:vertAlign w:val="superscript"/>
                <w:lang w:val="en-US" w:eastAsia="zh-CN"/>
              </w:rPr>
              <w:t>3</w:t>
            </w:r>
          </w:p>
        </w:tc>
        <w:tc>
          <w:tcPr>
            <w:tcW w:w="1069" w:type="dxa"/>
            <w:vMerge w:val="continue"/>
            <w:vAlign w:val="center"/>
          </w:tcPr>
          <w:p>
            <w:pPr>
              <w:jc w:val="center"/>
              <w:rPr>
                <w:rFonts w:hint="eastAsia"/>
                <w:color w:val="auto"/>
                <w:highlight w:val="none"/>
                <w:lang w:val="en-US" w:eastAsia="zh-CN"/>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431" w:type="dxa"/>
            <w:vMerge w:val="continue"/>
            <w:vAlign w:val="center"/>
          </w:tcPr>
          <w:p>
            <w:pPr>
              <w:jc w:val="center"/>
              <w:rPr>
                <w:color w:val="auto"/>
                <w:highlight w:val="none"/>
              </w:rPr>
            </w:pPr>
          </w:p>
        </w:tc>
        <w:tc>
          <w:tcPr>
            <w:tcW w:w="2500" w:type="dxa"/>
            <w:gridSpan w:val="2"/>
            <w:vAlign w:val="center"/>
          </w:tcPr>
          <w:p>
            <w:pPr>
              <w:tabs>
                <w:tab w:val="left" w:pos="7020"/>
              </w:tabs>
              <w:spacing w:line="160" w:lineRule="atLeast"/>
              <w:jc w:val="center"/>
              <w:rPr>
                <w:color w:val="auto"/>
                <w:highlight w:val="none"/>
              </w:rPr>
            </w:pPr>
            <w:r>
              <w:rPr>
                <w:color w:val="auto"/>
                <w:highlight w:val="none"/>
              </w:rPr>
              <w:t>标干废气量(m</w:t>
            </w:r>
            <w:r>
              <w:rPr>
                <w:color w:val="auto"/>
                <w:highlight w:val="none"/>
                <w:vertAlign w:val="superscript"/>
              </w:rPr>
              <w:t>3</w:t>
            </w:r>
            <w:r>
              <w:rPr>
                <w:color w:val="auto"/>
                <w:highlight w:val="none"/>
              </w:rPr>
              <w:t>/h)</w:t>
            </w:r>
          </w:p>
        </w:tc>
        <w:tc>
          <w:tcPr>
            <w:tcW w:w="550" w:type="dxa"/>
            <w:vMerge w:val="restart"/>
            <w:vAlign w:val="center"/>
          </w:tcPr>
          <w:p>
            <w:pPr>
              <w:jc w:val="center"/>
              <w:rPr>
                <w:rFonts w:hint="eastAsia" w:eastAsia="宋体"/>
                <w:color w:val="auto"/>
                <w:highlight w:val="none"/>
                <w:lang w:val="en-US" w:eastAsia="zh-CN"/>
              </w:rPr>
            </w:pPr>
            <w:r>
              <w:rPr>
                <w:rFonts w:hint="eastAsia"/>
                <w:color w:val="auto"/>
                <w:highlight w:val="none"/>
                <w:lang w:val="en-US" w:eastAsia="zh-CN"/>
              </w:rPr>
              <w:t>9.23</w:t>
            </w:r>
          </w:p>
        </w:tc>
        <w:tc>
          <w:tcPr>
            <w:tcW w:w="883" w:type="dxa"/>
            <w:vAlign w:val="center"/>
          </w:tcPr>
          <w:p>
            <w:pPr>
              <w:jc w:val="center"/>
              <w:rPr>
                <w:rFonts w:hint="eastAsia" w:eastAsia="宋体"/>
                <w:color w:val="auto"/>
                <w:highlight w:val="none"/>
                <w:lang w:val="en-US" w:eastAsia="zh-CN"/>
              </w:rPr>
            </w:pPr>
            <w:r>
              <w:rPr>
                <w:rFonts w:hint="eastAsia"/>
                <w:color w:val="auto"/>
                <w:highlight w:val="none"/>
                <w:lang w:val="en-US" w:eastAsia="zh-CN"/>
              </w:rPr>
              <w:t>8335</w:t>
            </w:r>
          </w:p>
        </w:tc>
        <w:tc>
          <w:tcPr>
            <w:tcW w:w="850" w:type="dxa"/>
            <w:vAlign w:val="center"/>
          </w:tcPr>
          <w:p>
            <w:pPr>
              <w:jc w:val="center"/>
              <w:rPr>
                <w:rFonts w:hint="eastAsia" w:eastAsia="宋体"/>
                <w:color w:val="auto"/>
                <w:highlight w:val="none"/>
                <w:lang w:val="en-US" w:eastAsia="zh-CN"/>
              </w:rPr>
            </w:pPr>
            <w:r>
              <w:rPr>
                <w:rFonts w:hint="eastAsia"/>
                <w:color w:val="auto"/>
                <w:highlight w:val="none"/>
                <w:lang w:val="en-US" w:eastAsia="zh-CN"/>
              </w:rPr>
              <w:t>7755</w:t>
            </w:r>
          </w:p>
        </w:tc>
        <w:tc>
          <w:tcPr>
            <w:tcW w:w="833" w:type="dxa"/>
            <w:vAlign w:val="center"/>
          </w:tcPr>
          <w:p>
            <w:pPr>
              <w:jc w:val="center"/>
              <w:rPr>
                <w:rFonts w:hint="eastAsia" w:eastAsia="宋体"/>
                <w:color w:val="auto"/>
                <w:highlight w:val="none"/>
                <w:lang w:val="en-US" w:eastAsia="zh-CN"/>
              </w:rPr>
            </w:pPr>
            <w:r>
              <w:rPr>
                <w:rFonts w:hint="eastAsia"/>
                <w:color w:val="auto"/>
                <w:highlight w:val="none"/>
                <w:lang w:val="en-US" w:eastAsia="zh-CN"/>
              </w:rPr>
              <w:t>7752</w:t>
            </w:r>
          </w:p>
        </w:tc>
        <w:tc>
          <w:tcPr>
            <w:tcW w:w="967" w:type="dxa"/>
            <w:vAlign w:val="center"/>
          </w:tcPr>
          <w:p>
            <w:pPr>
              <w:jc w:val="center"/>
              <w:rPr>
                <w:rFonts w:hint="eastAsia" w:eastAsia="宋体"/>
                <w:color w:val="auto"/>
                <w:highlight w:val="none"/>
                <w:lang w:val="en-US" w:eastAsia="zh-CN"/>
              </w:rPr>
            </w:pPr>
            <w:r>
              <w:rPr>
                <w:rFonts w:hint="eastAsia"/>
                <w:color w:val="auto"/>
                <w:highlight w:val="none"/>
                <w:lang w:val="en-US" w:eastAsia="zh-CN"/>
              </w:rPr>
              <w:t>7730</w:t>
            </w:r>
          </w:p>
        </w:tc>
        <w:tc>
          <w:tcPr>
            <w:tcW w:w="933" w:type="dxa"/>
            <w:vAlign w:val="center"/>
          </w:tcPr>
          <w:p>
            <w:pPr>
              <w:jc w:val="center"/>
              <w:rPr>
                <w:rFonts w:hint="eastAsia" w:eastAsia="宋体"/>
                <w:color w:val="auto"/>
                <w:highlight w:val="none"/>
                <w:lang w:val="en-US" w:eastAsia="zh-CN"/>
              </w:rPr>
            </w:pPr>
            <w:r>
              <w:rPr>
                <w:rFonts w:hint="eastAsia"/>
                <w:color w:val="auto"/>
                <w:highlight w:val="none"/>
                <w:lang w:val="en-US" w:eastAsia="zh-CN"/>
              </w:rPr>
              <w:t>8159</w:t>
            </w:r>
          </w:p>
        </w:tc>
        <w:tc>
          <w:tcPr>
            <w:tcW w:w="980" w:type="dxa"/>
            <w:vAlign w:val="center"/>
          </w:tcPr>
          <w:p>
            <w:pPr>
              <w:jc w:val="center"/>
              <w:rPr>
                <w:rFonts w:hint="eastAsia" w:eastAsia="宋体"/>
                <w:color w:val="auto"/>
                <w:highlight w:val="none"/>
                <w:lang w:val="en-US" w:eastAsia="zh-CN"/>
              </w:rPr>
            </w:pPr>
            <w:r>
              <w:rPr>
                <w:rFonts w:hint="eastAsia"/>
                <w:color w:val="auto"/>
                <w:highlight w:val="none"/>
                <w:lang w:val="en-US" w:eastAsia="zh-CN"/>
              </w:rPr>
              <w:t>7805</w:t>
            </w:r>
          </w:p>
        </w:tc>
        <w:tc>
          <w:tcPr>
            <w:tcW w:w="1069" w:type="dxa"/>
            <w:vMerge w:val="restart"/>
            <w:vAlign w:val="center"/>
          </w:tcPr>
          <w:p>
            <w:pPr>
              <w:jc w:val="center"/>
              <w:rPr>
                <w:rFonts w:hint="eastAsia"/>
                <w:color w:val="auto"/>
                <w:highlight w:val="none"/>
                <w:lang w:val="en-US" w:eastAsia="zh-CN"/>
              </w:rPr>
            </w:pPr>
            <w:r>
              <w:rPr>
                <w:rFonts w:hint="eastAsia"/>
                <w:color w:val="auto"/>
                <w:highlight w:val="none"/>
                <w:lang w:val="en-US" w:eastAsia="zh-CN"/>
              </w:rPr>
              <w:t>/</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431" w:type="dxa"/>
            <w:vMerge w:val="continue"/>
            <w:vAlign w:val="center"/>
          </w:tcPr>
          <w:p>
            <w:pPr>
              <w:jc w:val="center"/>
              <w:rPr>
                <w:color w:val="auto"/>
                <w:highlight w:val="none"/>
              </w:rPr>
            </w:pPr>
          </w:p>
        </w:tc>
        <w:tc>
          <w:tcPr>
            <w:tcW w:w="800" w:type="dxa"/>
            <w:vMerge w:val="restart"/>
            <w:vAlign w:val="center"/>
          </w:tcPr>
          <w:p>
            <w:pPr>
              <w:tabs>
                <w:tab w:val="left" w:pos="7020"/>
              </w:tabs>
              <w:spacing w:line="160" w:lineRule="atLeast"/>
              <w:jc w:val="center"/>
              <w:rPr>
                <w:color w:val="auto"/>
                <w:highlight w:val="none"/>
              </w:rPr>
            </w:pPr>
            <w:r>
              <w:rPr>
                <w:rFonts w:hint="eastAsia"/>
                <w:color w:val="auto"/>
                <w:highlight w:val="none"/>
                <w:lang w:eastAsia="zh-CN"/>
              </w:rPr>
              <w:t>铬酸雾</w:t>
            </w:r>
          </w:p>
        </w:tc>
        <w:tc>
          <w:tcPr>
            <w:tcW w:w="1700" w:type="dxa"/>
            <w:vAlign w:val="center"/>
          </w:tcPr>
          <w:p>
            <w:pPr>
              <w:tabs>
                <w:tab w:val="left" w:pos="7020"/>
              </w:tabs>
              <w:spacing w:line="160" w:lineRule="atLeast"/>
              <w:jc w:val="center"/>
              <w:rPr>
                <w:color w:val="auto"/>
                <w:highlight w:val="none"/>
              </w:rPr>
            </w:pPr>
            <w:r>
              <w:rPr>
                <w:color w:val="auto"/>
                <w:highlight w:val="none"/>
              </w:rPr>
              <w:t>排放浓</w:t>
            </w:r>
            <w:r>
              <w:rPr>
                <w:rFonts w:hint="eastAsia"/>
                <w:color w:val="auto"/>
                <w:highlight w:val="none"/>
              </w:rPr>
              <w:t>度</w:t>
            </w:r>
            <w:r>
              <w:rPr>
                <w:color w:val="auto"/>
                <w:highlight w:val="none"/>
              </w:rPr>
              <w:t>(mg/m</w:t>
            </w:r>
            <w:r>
              <w:rPr>
                <w:color w:val="auto"/>
                <w:highlight w:val="none"/>
                <w:vertAlign w:val="superscript"/>
              </w:rPr>
              <w:t>3</w:t>
            </w:r>
            <w:r>
              <w:rPr>
                <w:color w:val="auto"/>
                <w:highlight w:val="none"/>
              </w:rPr>
              <w:t>)</w:t>
            </w:r>
          </w:p>
        </w:tc>
        <w:tc>
          <w:tcPr>
            <w:tcW w:w="550" w:type="dxa"/>
            <w:vMerge w:val="continue"/>
            <w:vAlign w:val="center"/>
          </w:tcPr>
          <w:p>
            <w:pPr>
              <w:jc w:val="center"/>
              <w:rPr>
                <w:color w:val="auto"/>
                <w:highlight w:val="none"/>
              </w:rPr>
            </w:pPr>
          </w:p>
        </w:tc>
        <w:tc>
          <w:tcPr>
            <w:tcW w:w="883" w:type="dxa"/>
            <w:vAlign w:val="center"/>
          </w:tcPr>
          <w:p>
            <w:pPr>
              <w:jc w:val="center"/>
              <w:rPr>
                <w:rFonts w:hint="eastAsia" w:eastAsia="宋体"/>
                <w:color w:val="auto"/>
                <w:highlight w:val="none"/>
                <w:lang w:val="en-US" w:eastAsia="zh-CN"/>
              </w:rPr>
            </w:pPr>
            <w:r>
              <w:rPr>
                <w:rFonts w:hint="eastAsia"/>
                <w:color w:val="auto"/>
                <w:highlight w:val="none"/>
                <w:lang w:val="en-US" w:eastAsia="zh-CN"/>
              </w:rPr>
              <w:t>0.065</w:t>
            </w:r>
          </w:p>
        </w:tc>
        <w:tc>
          <w:tcPr>
            <w:tcW w:w="850" w:type="dxa"/>
            <w:vAlign w:val="center"/>
          </w:tcPr>
          <w:p>
            <w:pPr>
              <w:jc w:val="center"/>
              <w:rPr>
                <w:rFonts w:hint="eastAsia" w:eastAsia="宋体"/>
                <w:color w:val="auto"/>
                <w:highlight w:val="none"/>
                <w:lang w:val="en-US" w:eastAsia="zh-CN"/>
              </w:rPr>
            </w:pPr>
            <w:r>
              <w:rPr>
                <w:rFonts w:hint="eastAsia"/>
                <w:color w:val="auto"/>
                <w:highlight w:val="none"/>
                <w:lang w:val="en-US" w:eastAsia="zh-CN"/>
              </w:rPr>
              <w:t>0.082</w:t>
            </w:r>
          </w:p>
        </w:tc>
        <w:tc>
          <w:tcPr>
            <w:tcW w:w="833" w:type="dxa"/>
            <w:vAlign w:val="center"/>
          </w:tcPr>
          <w:p>
            <w:pPr>
              <w:jc w:val="center"/>
              <w:rPr>
                <w:rFonts w:hint="eastAsia" w:eastAsia="宋体"/>
                <w:color w:val="auto"/>
                <w:highlight w:val="none"/>
                <w:lang w:val="en-US" w:eastAsia="zh-CN"/>
              </w:rPr>
            </w:pPr>
            <w:r>
              <w:rPr>
                <w:rFonts w:hint="eastAsia"/>
                <w:color w:val="auto"/>
                <w:highlight w:val="none"/>
                <w:lang w:val="en-US" w:eastAsia="zh-CN"/>
              </w:rPr>
              <w:t>0.065</w:t>
            </w:r>
          </w:p>
        </w:tc>
        <w:tc>
          <w:tcPr>
            <w:tcW w:w="967" w:type="dxa"/>
            <w:vAlign w:val="center"/>
          </w:tcPr>
          <w:p>
            <w:pPr>
              <w:jc w:val="center"/>
              <w:rPr>
                <w:rFonts w:hint="eastAsia" w:eastAsia="宋体"/>
                <w:color w:val="auto"/>
                <w:highlight w:val="none"/>
                <w:lang w:val="en-US" w:eastAsia="zh-CN"/>
              </w:rPr>
            </w:pPr>
            <w:r>
              <w:rPr>
                <w:rFonts w:hint="eastAsia"/>
                <w:color w:val="auto"/>
                <w:highlight w:val="none"/>
                <w:lang w:val="en-US" w:eastAsia="zh-CN"/>
              </w:rPr>
              <w:t>＜0.005</w:t>
            </w:r>
          </w:p>
        </w:tc>
        <w:tc>
          <w:tcPr>
            <w:tcW w:w="933" w:type="dxa"/>
            <w:vAlign w:val="center"/>
          </w:tcPr>
          <w:p>
            <w:pPr>
              <w:jc w:val="center"/>
              <w:rPr>
                <w:color w:val="auto"/>
                <w:highlight w:val="none"/>
              </w:rPr>
            </w:pPr>
            <w:r>
              <w:rPr>
                <w:rFonts w:hint="eastAsia"/>
                <w:color w:val="auto"/>
                <w:highlight w:val="none"/>
                <w:lang w:val="en-US" w:eastAsia="zh-CN"/>
              </w:rPr>
              <w:t>＜0.005</w:t>
            </w:r>
          </w:p>
        </w:tc>
        <w:tc>
          <w:tcPr>
            <w:tcW w:w="980" w:type="dxa"/>
            <w:vAlign w:val="center"/>
          </w:tcPr>
          <w:p>
            <w:pPr>
              <w:jc w:val="center"/>
              <w:rPr>
                <w:color w:val="auto"/>
                <w:highlight w:val="none"/>
              </w:rPr>
            </w:pPr>
            <w:r>
              <w:rPr>
                <w:rFonts w:hint="eastAsia"/>
                <w:color w:val="auto"/>
                <w:highlight w:val="none"/>
                <w:lang w:val="en-US" w:eastAsia="zh-CN"/>
              </w:rPr>
              <w:t>＜0.005</w:t>
            </w:r>
          </w:p>
        </w:tc>
        <w:tc>
          <w:tcPr>
            <w:tcW w:w="1069" w:type="dxa"/>
            <w:vMerge w:val="continue"/>
            <w:vAlign w:val="center"/>
          </w:tcPr>
          <w:p>
            <w:pPr>
              <w:jc w:val="center"/>
              <w:rPr>
                <w:rFonts w:hint="eastAsia"/>
                <w:color w:val="auto"/>
                <w:highlight w:val="none"/>
                <w:lang w:val="en-US" w:eastAsia="zh-CN"/>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431" w:type="dxa"/>
            <w:vMerge w:val="continue"/>
            <w:vAlign w:val="center"/>
          </w:tcPr>
          <w:p>
            <w:pPr>
              <w:jc w:val="center"/>
              <w:rPr>
                <w:color w:val="auto"/>
                <w:highlight w:val="none"/>
              </w:rPr>
            </w:pPr>
          </w:p>
        </w:tc>
        <w:tc>
          <w:tcPr>
            <w:tcW w:w="800" w:type="dxa"/>
            <w:vMerge w:val="continue"/>
            <w:vAlign w:val="center"/>
          </w:tcPr>
          <w:p>
            <w:pPr>
              <w:tabs>
                <w:tab w:val="left" w:pos="7020"/>
              </w:tabs>
              <w:spacing w:line="160" w:lineRule="atLeast"/>
              <w:jc w:val="center"/>
              <w:rPr>
                <w:color w:val="auto"/>
                <w:highlight w:val="none"/>
              </w:rPr>
            </w:pPr>
          </w:p>
        </w:tc>
        <w:tc>
          <w:tcPr>
            <w:tcW w:w="1700" w:type="dxa"/>
            <w:vAlign w:val="center"/>
          </w:tcPr>
          <w:p>
            <w:pPr>
              <w:tabs>
                <w:tab w:val="left" w:pos="7020"/>
              </w:tabs>
              <w:spacing w:line="160" w:lineRule="atLeast"/>
              <w:jc w:val="center"/>
              <w:rPr>
                <w:color w:val="auto"/>
                <w:highlight w:val="none"/>
              </w:rPr>
            </w:pPr>
            <w:r>
              <w:rPr>
                <w:color w:val="auto"/>
                <w:highlight w:val="none"/>
              </w:rPr>
              <w:t>排放速率(kg/h)</w:t>
            </w:r>
          </w:p>
        </w:tc>
        <w:tc>
          <w:tcPr>
            <w:tcW w:w="550" w:type="dxa"/>
            <w:vMerge w:val="continue"/>
            <w:vAlign w:val="center"/>
          </w:tcPr>
          <w:p>
            <w:pPr>
              <w:jc w:val="center"/>
              <w:rPr>
                <w:color w:val="auto"/>
                <w:highlight w:val="none"/>
              </w:rPr>
            </w:pPr>
          </w:p>
        </w:tc>
        <w:tc>
          <w:tcPr>
            <w:tcW w:w="883" w:type="dxa"/>
            <w:vAlign w:val="center"/>
          </w:tcPr>
          <w:p>
            <w:pPr>
              <w:jc w:val="center"/>
              <w:rPr>
                <w:rFonts w:hint="eastAsia" w:eastAsia="宋体"/>
                <w:color w:val="auto"/>
                <w:highlight w:val="none"/>
                <w:lang w:val="en-US" w:eastAsia="zh-CN"/>
              </w:rPr>
            </w:pPr>
            <w:r>
              <w:rPr>
                <w:rFonts w:hint="eastAsia"/>
                <w:color w:val="auto"/>
                <w:highlight w:val="none"/>
                <w:lang w:val="en-US" w:eastAsia="zh-CN"/>
              </w:rPr>
              <w:t>5.45</w:t>
            </w:r>
            <w:r>
              <w:rPr>
                <w:color w:val="auto"/>
                <w:highlight w:val="none"/>
              </w:rPr>
              <w:t>×10</w:t>
            </w:r>
            <w:r>
              <w:rPr>
                <w:color w:val="auto"/>
                <w:highlight w:val="none"/>
                <w:vertAlign w:val="superscript"/>
              </w:rPr>
              <w:t>-</w:t>
            </w:r>
            <w:r>
              <w:rPr>
                <w:rFonts w:hint="eastAsia"/>
                <w:color w:val="auto"/>
                <w:highlight w:val="none"/>
                <w:vertAlign w:val="superscript"/>
                <w:lang w:val="en-US" w:eastAsia="zh-CN"/>
              </w:rPr>
              <w:t>4</w:t>
            </w:r>
          </w:p>
        </w:tc>
        <w:tc>
          <w:tcPr>
            <w:tcW w:w="850" w:type="dxa"/>
            <w:vAlign w:val="center"/>
          </w:tcPr>
          <w:p>
            <w:pPr>
              <w:jc w:val="center"/>
              <w:rPr>
                <w:rFonts w:hint="eastAsia" w:eastAsia="宋体"/>
                <w:color w:val="auto"/>
                <w:highlight w:val="none"/>
                <w:lang w:val="en-US" w:eastAsia="zh-CN"/>
              </w:rPr>
            </w:pPr>
            <w:r>
              <w:rPr>
                <w:rFonts w:hint="eastAsia"/>
                <w:color w:val="auto"/>
                <w:highlight w:val="none"/>
                <w:lang w:val="en-US" w:eastAsia="zh-CN"/>
              </w:rPr>
              <w:t>6.39</w:t>
            </w:r>
            <w:r>
              <w:rPr>
                <w:color w:val="auto"/>
                <w:highlight w:val="none"/>
              </w:rPr>
              <w:t>×10</w:t>
            </w:r>
            <w:r>
              <w:rPr>
                <w:color w:val="auto"/>
                <w:highlight w:val="none"/>
                <w:vertAlign w:val="superscript"/>
              </w:rPr>
              <w:t>-</w:t>
            </w:r>
            <w:r>
              <w:rPr>
                <w:rFonts w:hint="eastAsia"/>
                <w:color w:val="auto"/>
                <w:highlight w:val="none"/>
                <w:vertAlign w:val="superscript"/>
                <w:lang w:val="en-US" w:eastAsia="zh-CN"/>
              </w:rPr>
              <w:t>4</w:t>
            </w:r>
          </w:p>
        </w:tc>
        <w:tc>
          <w:tcPr>
            <w:tcW w:w="833" w:type="dxa"/>
            <w:vAlign w:val="center"/>
          </w:tcPr>
          <w:p>
            <w:pPr>
              <w:jc w:val="center"/>
              <w:rPr>
                <w:rFonts w:hint="eastAsia" w:eastAsia="宋体"/>
                <w:color w:val="auto"/>
                <w:highlight w:val="none"/>
                <w:lang w:val="en-US" w:eastAsia="zh-CN"/>
              </w:rPr>
            </w:pPr>
            <w:r>
              <w:rPr>
                <w:rFonts w:hint="eastAsia"/>
                <w:color w:val="auto"/>
                <w:highlight w:val="none"/>
                <w:lang w:val="en-US" w:eastAsia="zh-CN"/>
              </w:rPr>
              <w:t>5.08</w:t>
            </w:r>
            <w:r>
              <w:rPr>
                <w:color w:val="auto"/>
                <w:highlight w:val="none"/>
              </w:rPr>
              <w:t>×10</w:t>
            </w:r>
            <w:r>
              <w:rPr>
                <w:color w:val="auto"/>
                <w:highlight w:val="none"/>
                <w:vertAlign w:val="superscript"/>
              </w:rPr>
              <w:t>-</w:t>
            </w:r>
            <w:r>
              <w:rPr>
                <w:rFonts w:hint="eastAsia"/>
                <w:color w:val="auto"/>
                <w:highlight w:val="none"/>
                <w:vertAlign w:val="superscript"/>
                <w:lang w:val="en-US" w:eastAsia="zh-CN"/>
              </w:rPr>
              <w:t>4</w:t>
            </w:r>
          </w:p>
        </w:tc>
        <w:tc>
          <w:tcPr>
            <w:tcW w:w="967" w:type="dxa"/>
            <w:vAlign w:val="center"/>
          </w:tcPr>
          <w:p>
            <w:pPr>
              <w:jc w:val="center"/>
              <w:rPr>
                <w:color w:val="auto"/>
                <w:highlight w:val="none"/>
              </w:rPr>
            </w:pPr>
            <w:r>
              <w:rPr>
                <w:rFonts w:hint="eastAsia"/>
                <w:color w:val="auto"/>
                <w:highlight w:val="none"/>
                <w:lang w:val="en-US" w:eastAsia="zh-CN"/>
              </w:rPr>
              <w:t>/</w:t>
            </w:r>
          </w:p>
        </w:tc>
        <w:tc>
          <w:tcPr>
            <w:tcW w:w="933" w:type="dxa"/>
            <w:vAlign w:val="center"/>
          </w:tcPr>
          <w:p>
            <w:pPr>
              <w:jc w:val="center"/>
              <w:rPr>
                <w:color w:val="auto"/>
                <w:highlight w:val="none"/>
              </w:rPr>
            </w:pPr>
            <w:r>
              <w:rPr>
                <w:rFonts w:hint="eastAsia"/>
                <w:color w:val="auto"/>
                <w:highlight w:val="none"/>
                <w:lang w:val="en-US" w:eastAsia="zh-CN"/>
              </w:rPr>
              <w:t>/</w:t>
            </w:r>
          </w:p>
        </w:tc>
        <w:tc>
          <w:tcPr>
            <w:tcW w:w="980" w:type="dxa"/>
            <w:vAlign w:val="center"/>
          </w:tcPr>
          <w:p>
            <w:pPr>
              <w:jc w:val="center"/>
              <w:rPr>
                <w:color w:val="auto"/>
                <w:highlight w:val="none"/>
              </w:rPr>
            </w:pPr>
            <w:r>
              <w:rPr>
                <w:rFonts w:hint="eastAsia"/>
                <w:color w:val="auto"/>
                <w:highlight w:val="none"/>
                <w:lang w:val="en-US" w:eastAsia="zh-CN"/>
              </w:rPr>
              <w:t>/</w:t>
            </w:r>
          </w:p>
        </w:tc>
        <w:tc>
          <w:tcPr>
            <w:tcW w:w="1069" w:type="dxa"/>
            <w:vMerge w:val="continue"/>
            <w:vAlign w:val="center"/>
          </w:tcPr>
          <w:p>
            <w:pPr>
              <w:jc w:val="center"/>
              <w:rPr>
                <w:rFonts w:hint="eastAsia"/>
                <w:color w:val="auto"/>
                <w:highlight w:val="none"/>
                <w:lang w:val="en-US" w:eastAsia="zh-CN"/>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431" w:type="dxa"/>
            <w:vMerge w:val="continue"/>
            <w:vAlign w:val="center"/>
          </w:tcPr>
          <w:p>
            <w:pPr>
              <w:jc w:val="center"/>
              <w:rPr>
                <w:color w:val="auto"/>
                <w:highlight w:val="none"/>
              </w:rPr>
            </w:pPr>
          </w:p>
        </w:tc>
        <w:tc>
          <w:tcPr>
            <w:tcW w:w="2500" w:type="dxa"/>
            <w:gridSpan w:val="2"/>
            <w:vAlign w:val="center"/>
          </w:tcPr>
          <w:p>
            <w:pPr>
              <w:tabs>
                <w:tab w:val="left" w:pos="7020"/>
              </w:tabs>
              <w:spacing w:line="160" w:lineRule="atLeast"/>
              <w:jc w:val="center"/>
              <w:rPr>
                <w:color w:val="auto"/>
                <w:highlight w:val="none"/>
              </w:rPr>
            </w:pPr>
            <w:r>
              <w:rPr>
                <w:color w:val="auto"/>
                <w:highlight w:val="none"/>
              </w:rPr>
              <w:t>标干废气量(m</w:t>
            </w:r>
            <w:r>
              <w:rPr>
                <w:color w:val="auto"/>
                <w:highlight w:val="none"/>
                <w:vertAlign w:val="superscript"/>
              </w:rPr>
              <w:t>3</w:t>
            </w:r>
            <w:r>
              <w:rPr>
                <w:color w:val="auto"/>
                <w:highlight w:val="none"/>
              </w:rPr>
              <w:t>/h)</w:t>
            </w:r>
          </w:p>
        </w:tc>
        <w:tc>
          <w:tcPr>
            <w:tcW w:w="550" w:type="dxa"/>
            <w:vMerge w:val="restart"/>
            <w:vAlign w:val="center"/>
          </w:tcPr>
          <w:p>
            <w:pPr>
              <w:jc w:val="center"/>
              <w:rPr>
                <w:rFonts w:hint="eastAsia" w:eastAsia="宋体"/>
                <w:color w:val="auto"/>
                <w:highlight w:val="none"/>
                <w:lang w:val="en-US" w:eastAsia="zh-CN"/>
              </w:rPr>
            </w:pPr>
            <w:r>
              <w:rPr>
                <w:rFonts w:hint="eastAsia"/>
                <w:color w:val="auto"/>
                <w:highlight w:val="none"/>
                <w:lang w:val="en-US" w:eastAsia="zh-CN"/>
              </w:rPr>
              <w:t>9.24</w:t>
            </w:r>
          </w:p>
        </w:tc>
        <w:tc>
          <w:tcPr>
            <w:tcW w:w="883" w:type="dxa"/>
            <w:vAlign w:val="center"/>
          </w:tcPr>
          <w:p>
            <w:pPr>
              <w:jc w:val="center"/>
              <w:rPr>
                <w:rFonts w:hint="eastAsia" w:eastAsia="宋体"/>
                <w:color w:val="auto"/>
                <w:highlight w:val="none"/>
                <w:lang w:val="en-US" w:eastAsia="zh-CN"/>
              </w:rPr>
            </w:pPr>
            <w:r>
              <w:rPr>
                <w:rFonts w:hint="eastAsia"/>
                <w:color w:val="auto"/>
                <w:highlight w:val="none"/>
                <w:lang w:val="en-US" w:eastAsia="zh-CN"/>
              </w:rPr>
              <w:t>8714</w:t>
            </w:r>
          </w:p>
        </w:tc>
        <w:tc>
          <w:tcPr>
            <w:tcW w:w="850" w:type="dxa"/>
            <w:vAlign w:val="center"/>
          </w:tcPr>
          <w:p>
            <w:pPr>
              <w:jc w:val="center"/>
              <w:rPr>
                <w:rFonts w:hint="eastAsia" w:eastAsia="宋体"/>
                <w:color w:val="auto"/>
                <w:highlight w:val="none"/>
                <w:lang w:val="en-US" w:eastAsia="zh-CN"/>
              </w:rPr>
            </w:pPr>
            <w:r>
              <w:rPr>
                <w:rFonts w:hint="eastAsia"/>
                <w:color w:val="auto"/>
                <w:highlight w:val="none"/>
                <w:lang w:val="en-US" w:eastAsia="zh-CN"/>
              </w:rPr>
              <w:t>7865</w:t>
            </w:r>
          </w:p>
        </w:tc>
        <w:tc>
          <w:tcPr>
            <w:tcW w:w="833" w:type="dxa"/>
            <w:vAlign w:val="center"/>
          </w:tcPr>
          <w:p>
            <w:pPr>
              <w:jc w:val="center"/>
              <w:rPr>
                <w:rFonts w:hint="eastAsia" w:eastAsia="宋体"/>
                <w:color w:val="auto"/>
                <w:highlight w:val="none"/>
                <w:lang w:val="en-US" w:eastAsia="zh-CN"/>
              </w:rPr>
            </w:pPr>
            <w:r>
              <w:rPr>
                <w:rFonts w:hint="eastAsia"/>
                <w:color w:val="auto"/>
                <w:highlight w:val="none"/>
                <w:lang w:val="en-US" w:eastAsia="zh-CN"/>
              </w:rPr>
              <w:t>7541</w:t>
            </w:r>
          </w:p>
        </w:tc>
        <w:tc>
          <w:tcPr>
            <w:tcW w:w="967" w:type="dxa"/>
            <w:vAlign w:val="center"/>
          </w:tcPr>
          <w:p>
            <w:pPr>
              <w:jc w:val="center"/>
              <w:rPr>
                <w:rFonts w:hint="eastAsia" w:eastAsia="宋体"/>
                <w:color w:val="auto"/>
                <w:highlight w:val="none"/>
                <w:lang w:val="en-US" w:eastAsia="zh-CN"/>
              </w:rPr>
            </w:pPr>
            <w:r>
              <w:rPr>
                <w:rFonts w:hint="eastAsia"/>
                <w:color w:val="auto"/>
                <w:highlight w:val="none"/>
                <w:lang w:val="en-US" w:eastAsia="zh-CN"/>
              </w:rPr>
              <w:t>8628</w:t>
            </w:r>
          </w:p>
        </w:tc>
        <w:tc>
          <w:tcPr>
            <w:tcW w:w="933" w:type="dxa"/>
            <w:vAlign w:val="center"/>
          </w:tcPr>
          <w:p>
            <w:pPr>
              <w:jc w:val="center"/>
              <w:rPr>
                <w:rFonts w:hint="eastAsia" w:eastAsia="宋体"/>
                <w:color w:val="auto"/>
                <w:highlight w:val="none"/>
                <w:lang w:val="en-US" w:eastAsia="zh-CN"/>
              </w:rPr>
            </w:pPr>
            <w:r>
              <w:rPr>
                <w:rFonts w:hint="eastAsia"/>
                <w:color w:val="auto"/>
                <w:highlight w:val="none"/>
                <w:lang w:val="en-US" w:eastAsia="zh-CN"/>
              </w:rPr>
              <w:t>8342</w:t>
            </w:r>
          </w:p>
        </w:tc>
        <w:tc>
          <w:tcPr>
            <w:tcW w:w="980" w:type="dxa"/>
            <w:vAlign w:val="center"/>
          </w:tcPr>
          <w:p>
            <w:pPr>
              <w:jc w:val="center"/>
              <w:rPr>
                <w:rFonts w:hint="eastAsia" w:eastAsia="宋体"/>
                <w:color w:val="auto"/>
                <w:highlight w:val="none"/>
                <w:lang w:val="en-US" w:eastAsia="zh-CN"/>
              </w:rPr>
            </w:pPr>
            <w:r>
              <w:rPr>
                <w:rFonts w:hint="eastAsia"/>
                <w:color w:val="auto"/>
                <w:highlight w:val="none"/>
                <w:lang w:val="en-US" w:eastAsia="zh-CN"/>
              </w:rPr>
              <w:t>8548</w:t>
            </w:r>
          </w:p>
        </w:tc>
        <w:tc>
          <w:tcPr>
            <w:tcW w:w="1069" w:type="dxa"/>
            <w:vMerge w:val="restart"/>
            <w:vAlign w:val="center"/>
          </w:tcPr>
          <w:p>
            <w:pPr>
              <w:jc w:val="center"/>
              <w:rPr>
                <w:rFonts w:hint="eastAsia"/>
                <w:color w:val="auto"/>
                <w:highlight w:val="none"/>
                <w:lang w:val="en-US" w:eastAsia="zh-CN"/>
              </w:rPr>
            </w:pPr>
            <w:r>
              <w:rPr>
                <w:rFonts w:hint="eastAsia"/>
                <w:color w:val="auto"/>
                <w:highlight w:val="none"/>
                <w:lang w:val="en-US" w:eastAsia="zh-CN"/>
              </w:rPr>
              <w:t>/</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431" w:type="dxa"/>
            <w:vMerge w:val="continue"/>
            <w:vAlign w:val="center"/>
          </w:tcPr>
          <w:p>
            <w:pPr>
              <w:jc w:val="center"/>
              <w:rPr>
                <w:color w:val="auto"/>
                <w:highlight w:val="none"/>
              </w:rPr>
            </w:pPr>
          </w:p>
        </w:tc>
        <w:tc>
          <w:tcPr>
            <w:tcW w:w="800" w:type="dxa"/>
            <w:vMerge w:val="restart"/>
            <w:vAlign w:val="center"/>
          </w:tcPr>
          <w:p>
            <w:pPr>
              <w:tabs>
                <w:tab w:val="left" w:pos="7020"/>
              </w:tabs>
              <w:spacing w:line="160" w:lineRule="atLeast"/>
              <w:jc w:val="center"/>
              <w:rPr>
                <w:color w:val="auto"/>
                <w:highlight w:val="none"/>
              </w:rPr>
            </w:pPr>
            <w:r>
              <w:rPr>
                <w:rFonts w:hint="eastAsia"/>
                <w:color w:val="auto"/>
                <w:highlight w:val="none"/>
                <w:lang w:eastAsia="zh-CN"/>
              </w:rPr>
              <w:t>铬酸雾</w:t>
            </w:r>
          </w:p>
        </w:tc>
        <w:tc>
          <w:tcPr>
            <w:tcW w:w="1700" w:type="dxa"/>
            <w:vAlign w:val="center"/>
          </w:tcPr>
          <w:p>
            <w:pPr>
              <w:tabs>
                <w:tab w:val="left" w:pos="7020"/>
              </w:tabs>
              <w:spacing w:line="160" w:lineRule="atLeast"/>
              <w:jc w:val="center"/>
              <w:rPr>
                <w:color w:val="auto"/>
                <w:highlight w:val="none"/>
              </w:rPr>
            </w:pPr>
            <w:r>
              <w:rPr>
                <w:color w:val="auto"/>
                <w:highlight w:val="none"/>
              </w:rPr>
              <w:t>排放浓</w:t>
            </w:r>
            <w:r>
              <w:rPr>
                <w:rFonts w:hint="eastAsia"/>
                <w:color w:val="auto"/>
                <w:highlight w:val="none"/>
              </w:rPr>
              <w:t>度</w:t>
            </w:r>
            <w:r>
              <w:rPr>
                <w:color w:val="auto"/>
                <w:highlight w:val="none"/>
              </w:rPr>
              <w:t>(mg/m</w:t>
            </w:r>
            <w:r>
              <w:rPr>
                <w:color w:val="auto"/>
                <w:highlight w:val="none"/>
                <w:vertAlign w:val="superscript"/>
              </w:rPr>
              <w:t>3</w:t>
            </w:r>
            <w:r>
              <w:rPr>
                <w:color w:val="auto"/>
                <w:highlight w:val="none"/>
              </w:rPr>
              <w:t>)</w:t>
            </w:r>
          </w:p>
        </w:tc>
        <w:tc>
          <w:tcPr>
            <w:tcW w:w="550" w:type="dxa"/>
            <w:vMerge w:val="continue"/>
            <w:vAlign w:val="center"/>
          </w:tcPr>
          <w:p>
            <w:pPr>
              <w:jc w:val="center"/>
              <w:rPr>
                <w:color w:val="auto"/>
                <w:highlight w:val="none"/>
              </w:rPr>
            </w:pPr>
          </w:p>
        </w:tc>
        <w:tc>
          <w:tcPr>
            <w:tcW w:w="883" w:type="dxa"/>
            <w:vAlign w:val="center"/>
          </w:tcPr>
          <w:p>
            <w:pPr>
              <w:jc w:val="center"/>
              <w:rPr>
                <w:rFonts w:hint="eastAsia" w:eastAsia="宋体"/>
                <w:color w:val="auto"/>
                <w:highlight w:val="none"/>
                <w:lang w:val="en-US" w:eastAsia="zh-CN"/>
              </w:rPr>
            </w:pPr>
            <w:r>
              <w:rPr>
                <w:rFonts w:hint="eastAsia"/>
                <w:color w:val="auto"/>
                <w:highlight w:val="none"/>
                <w:lang w:val="en-US" w:eastAsia="zh-CN"/>
              </w:rPr>
              <w:t>0.060</w:t>
            </w:r>
          </w:p>
        </w:tc>
        <w:tc>
          <w:tcPr>
            <w:tcW w:w="850" w:type="dxa"/>
            <w:vAlign w:val="center"/>
          </w:tcPr>
          <w:p>
            <w:pPr>
              <w:jc w:val="center"/>
              <w:rPr>
                <w:rFonts w:hint="eastAsia" w:eastAsia="宋体"/>
                <w:color w:val="auto"/>
                <w:highlight w:val="none"/>
                <w:lang w:val="en-US" w:eastAsia="zh-CN"/>
              </w:rPr>
            </w:pPr>
            <w:r>
              <w:rPr>
                <w:rFonts w:hint="eastAsia"/>
                <w:color w:val="auto"/>
                <w:highlight w:val="none"/>
                <w:lang w:val="en-US" w:eastAsia="zh-CN"/>
              </w:rPr>
              <w:t>0.062</w:t>
            </w:r>
          </w:p>
        </w:tc>
        <w:tc>
          <w:tcPr>
            <w:tcW w:w="833" w:type="dxa"/>
            <w:vAlign w:val="center"/>
          </w:tcPr>
          <w:p>
            <w:pPr>
              <w:jc w:val="center"/>
              <w:rPr>
                <w:rFonts w:hint="eastAsia" w:eastAsia="宋体"/>
                <w:color w:val="auto"/>
                <w:highlight w:val="none"/>
                <w:lang w:val="en-US" w:eastAsia="zh-CN"/>
              </w:rPr>
            </w:pPr>
            <w:r>
              <w:rPr>
                <w:rFonts w:hint="eastAsia"/>
                <w:color w:val="auto"/>
                <w:highlight w:val="none"/>
                <w:lang w:val="en-US" w:eastAsia="zh-CN"/>
              </w:rPr>
              <w:t>0.073</w:t>
            </w:r>
          </w:p>
        </w:tc>
        <w:tc>
          <w:tcPr>
            <w:tcW w:w="967" w:type="dxa"/>
            <w:vAlign w:val="center"/>
          </w:tcPr>
          <w:p>
            <w:pPr>
              <w:jc w:val="center"/>
              <w:rPr>
                <w:color w:val="auto"/>
                <w:highlight w:val="none"/>
              </w:rPr>
            </w:pPr>
            <w:r>
              <w:rPr>
                <w:rFonts w:hint="eastAsia"/>
                <w:color w:val="auto"/>
                <w:highlight w:val="none"/>
                <w:lang w:val="en-US" w:eastAsia="zh-CN"/>
              </w:rPr>
              <w:t>＜0.005</w:t>
            </w:r>
          </w:p>
        </w:tc>
        <w:tc>
          <w:tcPr>
            <w:tcW w:w="933" w:type="dxa"/>
            <w:vAlign w:val="center"/>
          </w:tcPr>
          <w:p>
            <w:pPr>
              <w:jc w:val="center"/>
              <w:rPr>
                <w:color w:val="auto"/>
                <w:highlight w:val="none"/>
              </w:rPr>
            </w:pPr>
            <w:r>
              <w:rPr>
                <w:rFonts w:hint="eastAsia"/>
                <w:color w:val="auto"/>
                <w:highlight w:val="none"/>
                <w:lang w:val="en-US" w:eastAsia="zh-CN"/>
              </w:rPr>
              <w:t>＜0.005</w:t>
            </w:r>
          </w:p>
        </w:tc>
        <w:tc>
          <w:tcPr>
            <w:tcW w:w="980" w:type="dxa"/>
            <w:vAlign w:val="center"/>
          </w:tcPr>
          <w:p>
            <w:pPr>
              <w:jc w:val="center"/>
              <w:rPr>
                <w:color w:val="auto"/>
                <w:highlight w:val="none"/>
              </w:rPr>
            </w:pPr>
            <w:r>
              <w:rPr>
                <w:rFonts w:hint="eastAsia"/>
                <w:color w:val="auto"/>
                <w:highlight w:val="none"/>
                <w:lang w:val="en-US" w:eastAsia="zh-CN"/>
              </w:rPr>
              <w:t>＜0.005</w:t>
            </w:r>
          </w:p>
        </w:tc>
        <w:tc>
          <w:tcPr>
            <w:tcW w:w="1069" w:type="dxa"/>
            <w:vMerge w:val="continue"/>
            <w:vAlign w:val="center"/>
          </w:tcPr>
          <w:p>
            <w:pPr>
              <w:jc w:val="center"/>
              <w:rPr>
                <w:rFonts w:hint="eastAsia"/>
                <w:color w:val="auto"/>
                <w:highlight w:val="none"/>
                <w:lang w:val="en-US" w:eastAsia="zh-CN"/>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431" w:type="dxa"/>
            <w:vMerge w:val="continue"/>
            <w:vAlign w:val="center"/>
          </w:tcPr>
          <w:p>
            <w:pPr>
              <w:jc w:val="center"/>
              <w:rPr>
                <w:color w:val="auto"/>
                <w:highlight w:val="none"/>
              </w:rPr>
            </w:pPr>
          </w:p>
        </w:tc>
        <w:tc>
          <w:tcPr>
            <w:tcW w:w="800" w:type="dxa"/>
            <w:vMerge w:val="continue"/>
            <w:vAlign w:val="center"/>
          </w:tcPr>
          <w:p>
            <w:pPr>
              <w:tabs>
                <w:tab w:val="left" w:pos="7020"/>
              </w:tabs>
              <w:spacing w:line="160" w:lineRule="atLeast"/>
              <w:jc w:val="center"/>
              <w:rPr>
                <w:color w:val="auto"/>
                <w:highlight w:val="none"/>
              </w:rPr>
            </w:pPr>
          </w:p>
        </w:tc>
        <w:tc>
          <w:tcPr>
            <w:tcW w:w="1700" w:type="dxa"/>
            <w:vAlign w:val="center"/>
          </w:tcPr>
          <w:p>
            <w:pPr>
              <w:tabs>
                <w:tab w:val="left" w:pos="7020"/>
              </w:tabs>
              <w:spacing w:line="160" w:lineRule="atLeast"/>
              <w:jc w:val="center"/>
              <w:rPr>
                <w:color w:val="auto"/>
                <w:highlight w:val="none"/>
              </w:rPr>
            </w:pPr>
            <w:r>
              <w:rPr>
                <w:color w:val="auto"/>
                <w:highlight w:val="none"/>
              </w:rPr>
              <w:t>排放速率(kg/h)</w:t>
            </w:r>
          </w:p>
        </w:tc>
        <w:tc>
          <w:tcPr>
            <w:tcW w:w="550" w:type="dxa"/>
            <w:vMerge w:val="continue"/>
            <w:vAlign w:val="center"/>
          </w:tcPr>
          <w:p>
            <w:pPr>
              <w:jc w:val="center"/>
              <w:rPr>
                <w:color w:val="auto"/>
                <w:highlight w:val="none"/>
              </w:rPr>
            </w:pPr>
          </w:p>
        </w:tc>
        <w:tc>
          <w:tcPr>
            <w:tcW w:w="883" w:type="dxa"/>
            <w:vAlign w:val="center"/>
          </w:tcPr>
          <w:p>
            <w:pPr>
              <w:jc w:val="center"/>
              <w:rPr>
                <w:rFonts w:hint="eastAsia" w:eastAsia="宋体"/>
                <w:color w:val="auto"/>
                <w:highlight w:val="none"/>
                <w:lang w:val="en-US" w:eastAsia="zh-CN"/>
              </w:rPr>
            </w:pPr>
            <w:r>
              <w:rPr>
                <w:rFonts w:hint="eastAsia"/>
                <w:color w:val="auto"/>
                <w:highlight w:val="none"/>
                <w:lang w:val="en-US" w:eastAsia="zh-CN"/>
              </w:rPr>
              <w:t>5.24</w:t>
            </w:r>
            <w:r>
              <w:rPr>
                <w:color w:val="auto"/>
                <w:highlight w:val="none"/>
              </w:rPr>
              <w:t>×10</w:t>
            </w:r>
            <w:r>
              <w:rPr>
                <w:color w:val="auto"/>
                <w:highlight w:val="none"/>
                <w:vertAlign w:val="superscript"/>
              </w:rPr>
              <w:t>-</w:t>
            </w:r>
            <w:r>
              <w:rPr>
                <w:rFonts w:hint="eastAsia"/>
                <w:color w:val="auto"/>
                <w:highlight w:val="none"/>
                <w:vertAlign w:val="superscript"/>
                <w:lang w:val="en-US" w:eastAsia="zh-CN"/>
              </w:rPr>
              <w:t>4</w:t>
            </w:r>
          </w:p>
        </w:tc>
        <w:tc>
          <w:tcPr>
            <w:tcW w:w="850" w:type="dxa"/>
            <w:vAlign w:val="center"/>
          </w:tcPr>
          <w:p>
            <w:pPr>
              <w:jc w:val="center"/>
              <w:rPr>
                <w:rFonts w:hint="eastAsia" w:eastAsia="宋体"/>
                <w:color w:val="auto"/>
                <w:highlight w:val="none"/>
                <w:lang w:val="en-US" w:eastAsia="zh-CN"/>
              </w:rPr>
            </w:pPr>
            <w:r>
              <w:rPr>
                <w:rFonts w:hint="eastAsia"/>
                <w:color w:val="auto"/>
                <w:highlight w:val="none"/>
                <w:lang w:val="en-US" w:eastAsia="zh-CN"/>
              </w:rPr>
              <w:t>4.89</w:t>
            </w:r>
            <w:r>
              <w:rPr>
                <w:color w:val="auto"/>
                <w:highlight w:val="none"/>
              </w:rPr>
              <w:t>×10</w:t>
            </w:r>
            <w:r>
              <w:rPr>
                <w:color w:val="auto"/>
                <w:highlight w:val="none"/>
                <w:vertAlign w:val="superscript"/>
              </w:rPr>
              <w:t>-</w:t>
            </w:r>
            <w:r>
              <w:rPr>
                <w:rFonts w:hint="eastAsia"/>
                <w:color w:val="auto"/>
                <w:highlight w:val="none"/>
                <w:vertAlign w:val="superscript"/>
                <w:lang w:val="en-US" w:eastAsia="zh-CN"/>
              </w:rPr>
              <w:t>4</w:t>
            </w:r>
          </w:p>
        </w:tc>
        <w:tc>
          <w:tcPr>
            <w:tcW w:w="833" w:type="dxa"/>
            <w:vAlign w:val="center"/>
          </w:tcPr>
          <w:p>
            <w:pPr>
              <w:jc w:val="center"/>
              <w:rPr>
                <w:rFonts w:hint="eastAsia" w:eastAsia="宋体"/>
                <w:color w:val="auto"/>
                <w:highlight w:val="none"/>
                <w:lang w:val="en-US" w:eastAsia="zh-CN"/>
              </w:rPr>
            </w:pPr>
            <w:r>
              <w:rPr>
                <w:rFonts w:hint="eastAsia"/>
                <w:color w:val="auto"/>
                <w:highlight w:val="none"/>
                <w:lang w:val="en-US" w:eastAsia="zh-CN"/>
              </w:rPr>
              <w:t>5.49</w:t>
            </w:r>
            <w:r>
              <w:rPr>
                <w:color w:val="auto"/>
                <w:highlight w:val="none"/>
              </w:rPr>
              <w:t>×10</w:t>
            </w:r>
            <w:r>
              <w:rPr>
                <w:color w:val="auto"/>
                <w:highlight w:val="none"/>
                <w:vertAlign w:val="superscript"/>
              </w:rPr>
              <w:t>-</w:t>
            </w:r>
            <w:r>
              <w:rPr>
                <w:rFonts w:hint="eastAsia"/>
                <w:color w:val="auto"/>
                <w:highlight w:val="none"/>
                <w:vertAlign w:val="superscript"/>
                <w:lang w:val="en-US" w:eastAsia="zh-CN"/>
              </w:rPr>
              <w:t>4</w:t>
            </w:r>
          </w:p>
        </w:tc>
        <w:tc>
          <w:tcPr>
            <w:tcW w:w="967" w:type="dxa"/>
            <w:vAlign w:val="center"/>
          </w:tcPr>
          <w:p>
            <w:pPr>
              <w:jc w:val="center"/>
              <w:rPr>
                <w:color w:val="auto"/>
                <w:highlight w:val="none"/>
              </w:rPr>
            </w:pPr>
            <w:r>
              <w:rPr>
                <w:rFonts w:hint="eastAsia"/>
                <w:color w:val="auto"/>
                <w:highlight w:val="none"/>
                <w:lang w:val="en-US" w:eastAsia="zh-CN"/>
              </w:rPr>
              <w:t>/</w:t>
            </w:r>
          </w:p>
        </w:tc>
        <w:tc>
          <w:tcPr>
            <w:tcW w:w="933" w:type="dxa"/>
            <w:vAlign w:val="center"/>
          </w:tcPr>
          <w:p>
            <w:pPr>
              <w:jc w:val="center"/>
              <w:rPr>
                <w:color w:val="auto"/>
                <w:highlight w:val="none"/>
              </w:rPr>
            </w:pPr>
            <w:r>
              <w:rPr>
                <w:rFonts w:hint="eastAsia"/>
                <w:color w:val="auto"/>
                <w:highlight w:val="none"/>
                <w:lang w:val="en-US" w:eastAsia="zh-CN"/>
              </w:rPr>
              <w:t>/</w:t>
            </w:r>
          </w:p>
        </w:tc>
        <w:tc>
          <w:tcPr>
            <w:tcW w:w="980" w:type="dxa"/>
            <w:vAlign w:val="center"/>
          </w:tcPr>
          <w:p>
            <w:pPr>
              <w:jc w:val="center"/>
              <w:rPr>
                <w:color w:val="auto"/>
                <w:highlight w:val="none"/>
              </w:rPr>
            </w:pPr>
            <w:r>
              <w:rPr>
                <w:rFonts w:hint="eastAsia"/>
                <w:color w:val="auto"/>
                <w:highlight w:val="none"/>
                <w:lang w:val="en-US" w:eastAsia="zh-CN"/>
              </w:rPr>
              <w:t>/</w:t>
            </w:r>
          </w:p>
        </w:tc>
        <w:tc>
          <w:tcPr>
            <w:tcW w:w="1069" w:type="dxa"/>
            <w:vMerge w:val="continue"/>
            <w:vAlign w:val="center"/>
          </w:tcPr>
          <w:p>
            <w:pPr>
              <w:jc w:val="center"/>
              <w:rPr>
                <w:rFonts w:hint="eastAsia"/>
                <w:color w:val="auto"/>
                <w:highlight w:val="none"/>
                <w:lang w:val="en-US" w:eastAsia="zh-CN"/>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30" w:hRule="exact"/>
          <w:jc w:val="center"/>
        </w:trPr>
        <w:tc>
          <w:tcPr>
            <w:tcW w:w="431" w:type="dxa"/>
            <w:vMerge w:val="restart"/>
            <w:vAlign w:val="center"/>
          </w:tcPr>
          <w:p>
            <w:pPr>
              <w:jc w:val="center"/>
              <w:rPr>
                <w:rFonts w:hint="eastAsia" w:eastAsia="宋体"/>
                <w:color w:val="auto"/>
                <w:highlight w:val="none"/>
                <w:lang w:val="en-US" w:eastAsia="zh-CN"/>
              </w:rPr>
            </w:pPr>
            <w:r>
              <w:rPr>
                <w:rFonts w:hint="eastAsia"/>
                <w:color w:val="auto"/>
                <w:highlight w:val="none"/>
                <w:lang w:val="en-US" w:eastAsia="zh-CN"/>
              </w:rPr>
              <w:t>P4-1</w:t>
            </w:r>
          </w:p>
        </w:tc>
        <w:tc>
          <w:tcPr>
            <w:tcW w:w="2500" w:type="dxa"/>
            <w:gridSpan w:val="2"/>
            <w:vMerge w:val="restart"/>
            <w:vAlign w:val="center"/>
          </w:tcPr>
          <w:p>
            <w:pPr>
              <w:tabs>
                <w:tab w:val="left" w:pos="7020"/>
              </w:tabs>
              <w:spacing w:line="160" w:lineRule="atLeast"/>
              <w:jc w:val="center"/>
              <w:rPr>
                <w:color w:val="auto"/>
                <w:highlight w:val="none"/>
              </w:rPr>
            </w:pPr>
            <w:r>
              <w:rPr>
                <w:color w:val="auto"/>
                <w:highlight w:val="none"/>
              </w:rPr>
              <w:t>标干废气量(m</w:t>
            </w:r>
            <w:r>
              <w:rPr>
                <w:color w:val="auto"/>
                <w:highlight w:val="none"/>
                <w:vertAlign w:val="superscript"/>
              </w:rPr>
              <w:t>3</w:t>
            </w:r>
            <w:r>
              <w:rPr>
                <w:color w:val="auto"/>
                <w:highlight w:val="none"/>
              </w:rPr>
              <w:t>/h)</w:t>
            </w:r>
          </w:p>
        </w:tc>
        <w:tc>
          <w:tcPr>
            <w:tcW w:w="550" w:type="dxa"/>
            <w:vMerge w:val="restart"/>
            <w:vAlign w:val="center"/>
          </w:tcPr>
          <w:p>
            <w:pPr>
              <w:jc w:val="center"/>
              <w:rPr>
                <w:rFonts w:hint="eastAsia" w:eastAsia="宋体"/>
                <w:color w:val="auto"/>
                <w:highlight w:val="none"/>
                <w:lang w:val="en-US" w:eastAsia="zh-CN"/>
              </w:rPr>
            </w:pPr>
            <w:r>
              <w:rPr>
                <w:rFonts w:hint="eastAsia"/>
                <w:color w:val="auto"/>
                <w:highlight w:val="none"/>
                <w:lang w:val="en-US" w:eastAsia="zh-CN"/>
              </w:rPr>
              <w:t>/</w:t>
            </w:r>
          </w:p>
        </w:tc>
        <w:tc>
          <w:tcPr>
            <w:tcW w:w="2566" w:type="dxa"/>
            <w:gridSpan w:val="3"/>
            <w:vAlign w:val="center"/>
          </w:tcPr>
          <w:p>
            <w:pPr>
              <w:jc w:val="center"/>
              <w:rPr>
                <w:rFonts w:hint="eastAsia" w:eastAsia="宋体"/>
                <w:color w:val="auto"/>
                <w:highlight w:val="none"/>
                <w:lang w:val="en-US" w:eastAsia="zh-CN"/>
              </w:rPr>
            </w:pPr>
            <w:r>
              <w:rPr>
                <w:rFonts w:hint="eastAsia"/>
                <w:color w:val="auto"/>
                <w:highlight w:val="none"/>
                <w:lang w:val="en-US" w:eastAsia="zh-CN"/>
              </w:rPr>
              <w:t>9.21出口</w:t>
            </w:r>
          </w:p>
        </w:tc>
        <w:tc>
          <w:tcPr>
            <w:tcW w:w="2880" w:type="dxa"/>
            <w:gridSpan w:val="3"/>
            <w:vAlign w:val="center"/>
          </w:tcPr>
          <w:p>
            <w:pPr>
              <w:jc w:val="center"/>
              <w:rPr>
                <w:rFonts w:hint="eastAsia" w:eastAsia="宋体"/>
                <w:color w:val="auto"/>
                <w:highlight w:val="none"/>
                <w:lang w:val="en-US" w:eastAsia="zh-CN"/>
              </w:rPr>
            </w:pPr>
            <w:r>
              <w:rPr>
                <w:rFonts w:hint="eastAsia"/>
                <w:color w:val="auto"/>
                <w:highlight w:val="none"/>
                <w:lang w:val="en-US" w:eastAsia="zh-CN"/>
              </w:rPr>
              <w:t>9.22出口</w:t>
            </w:r>
          </w:p>
        </w:tc>
        <w:tc>
          <w:tcPr>
            <w:tcW w:w="1069" w:type="dxa"/>
            <w:vMerge w:val="restart"/>
            <w:vAlign w:val="center"/>
          </w:tcPr>
          <w:p>
            <w:pPr>
              <w:jc w:val="center"/>
              <w:rPr>
                <w:rFonts w:hint="eastAsia"/>
                <w:color w:val="auto"/>
                <w:highlight w:val="none"/>
                <w:lang w:val="en-US" w:eastAsia="zh-CN"/>
              </w:rPr>
            </w:pPr>
            <w:r>
              <w:rPr>
                <w:rFonts w:hint="eastAsia"/>
                <w:color w:val="auto"/>
                <w:highlight w:val="none"/>
                <w:lang w:val="en-US" w:eastAsia="zh-CN"/>
              </w:rPr>
              <w:t>/</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240" w:hRule="exact"/>
          <w:jc w:val="center"/>
        </w:trPr>
        <w:tc>
          <w:tcPr>
            <w:tcW w:w="431" w:type="dxa"/>
            <w:vMerge w:val="continue"/>
            <w:vAlign w:val="center"/>
          </w:tcPr>
          <w:p>
            <w:pPr>
              <w:jc w:val="center"/>
              <w:rPr>
                <w:rFonts w:hint="eastAsia"/>
                <w:color w:val="auto"/>
                <w:highlight w:val="none"/>
                <w:lang w:val="en-US" w:eastAsia="zh-CN"/>
              </w:rPr>
            </w:pPr>
          </w:p>
        </w:tc>
        <w:tc>
          <w:tcPr>
            <w:tcW w:w="2500" w:type="dxa"/>
            <w:gridSpan w:val="2"/>
            <w:vMerge w:val="continue"/>
            <w:vAlign w:val="center"/>
          </w:tcPr>
          <w:p>
            <w:pPr>
              <w:tabs>
                <w:tab w:val="left" w:pos="7020"/>
              </w:tabs>
              <w:spacing w:line="160" w:lineRule="atLeast"/>
              <w:jc w:val="center"/>
              <w:rPr>
                <w:color w:val="auto"/>
                <w:highlight w:val="none"/>
              </w:rPr>
            </w:pPr>
          </w:p>
        </w:tc>
        <w:tc>
          <w:tcPr>
            <w:tcW w:w="550" w:type="dxa"/>
            <w:vMerge w:val="continue"/>
            <w:vAlign w:val="center"/>
          </w:tcPr>
          <w:p>
            <w:pPr>
              <w:jc w:val="center"/>
              <w:rPr>
                <w:rFonts w:hint="eastAsia"/>
                <w:color w:val="auto"/>
                <w:highlight w:val="none"/>
                <w:lang w:val="en-US" w:eastAsia="zh-CN"/>
              </w:rPr>
            </w:pPr>
          </w:p>
        </w:tc>
        <w:tc>
          <w:tcPr>
            <w:tcW w:w="883" w:type="dxa"/>
            <w:vAlign w:val="center"/>
          </w:tcPr>
          <w:p>
            <w:pPr>
              <w:jc w:val="center"/>
              <w:rPr>
                <w:rFonts w:hint="eastAsia"/>
                <w:color w:val="auto"/>
                <w:highlight w:val="none"/>
                <w:lang w:val="en-US" w:eastAsia="zh-CN"/>
              </w:rPr>
            </w:pPr>
            <w:r>
              <w:rPr>
                <w:rFonts w:hint="eastAsia"/>
                <w:color w:val="auto"/>
                <w:highlight w:val="none"/>
                <w:lang w:val="en-US" w:eastAsia="zh-CN"/>
              </w:rPr>
              <w:t>1540</w:t>
            </w:r>
          </w:p>
        </w:tc>
        <w:tc>
          <w:tcPr>
            <w:tcW w:w="850" w:type="dxa"/>
            <w:vAlign w:val="center"/>
          </w:tcPr>
          <w:p>
            <w:pPr>
              <w:jc w:val="center"/>
              <w:rPr>
                <w:rFonts w:hint="eastAsia"/>
                <w:color w:val="auto"/>
                <w:highlight w:val="none"/>
                <w:lang w:val="en-US" w:eastAsia="zh-CN"/>
              </w:rPr>
            </w:pPr>
            <w:r>
              <w:rPr>
                <w:rFonts w:hint="eastAsia"/>
                <w:color w:val="auto"/>
                <w:highlight w:val="none"/>
                <w:lang w:val="en-US" w:eastAsia="zh-CN"/>
              </w:rPr>
              <w:t>1584</w:t>
            </w:r>
          </w:p>
        </w:tc>
        <w:tc>
          <w:tcPr>
            <w:tcW w:w="833" w:type="dxa"/>
            <w:vAlign w:val="center"/>
          </w:tcPr>
          <w:p>
            <w:pPr>
              <w:jc w:val="center"/>
              <w:rPr>
                <w:rFonts w:hint="eastAsia"/>
                <w:color w:val="auto"/>
                <w:highlight w:val="none"/>
                <w:lang w:val="en-US" w:eastAsia="zh-CN"/>
              </w:rPr>
            </w:pPr>
            <w:r>
              <w:rPr>
                <w:rFonts w:hint="eastAsia"/>
                <w:color w:val="auto"/>
                <w:highlight w:val="none"/>
                <w:lang w:val="en-US" w:eastAsia="zh-CN"/>
              </w:rPr>
              <w:t>1438</w:t>
            </w:r>
          </w:p>
        </w:tc>
        <w:tc>
          <w:tcPr>
            <w:tcW w:w="967" w:type="dxa"/>
            <w:vAlign w:val="center"/>
          </w:tcPr>
          <w:p>
            <w:pPr>
              <w:jc w:val="center"/>
              <w:rPr>
                <w:rFonts w:hint="eastAsia"/>
                <w:color w:val="auto"/>
                <w:highlight w:val="none"/>
                <w:lang w:val="en-US" w:eastAsia="zh-CN"/>
              </w:rPr>
            </w:pPr>
            <w:r>
              <w:rPr>
                <w:rFonts w:hint="eastAsia"/>
                <w:color w:val="auto"/>
                <w:highlight w:val="none"/>
                <w:lang w:val="en-US" w:eastAsia="zh-CN"/>
              </w:rPr>
              <w:t>1424</w:t>
            </w:r>
          </w:p>
        </w:tc>
        <w:tc>
          <w:tcPr>
            <w:tcW w:w="933" w:type="dxa"/>
            <w:vAlign w:val="center"/>
          </w:tcPr>
          <w:p>
            <w:pPr>
              <w:jc w:val="center"/>
              <w:rPr>
                <w:rFonts w:hint="eastAsia"/>
                <w:color w:val="auto"/>
                <w:highlight w:val="none"/>
                <w:lang w:val="en-US" w:eastAsia="zh-CN"/>
              </w:rPr>
            </w:pPr>
            <w:r>
              <w:rPr>
                <w:rFonts w:hint="eastAsia"/>
                <w:color w:val="auto"/>
                <w:highlight w:val="none"/>
                <w:lang w:val="en-US" w:eastAsia="zh-CN"/>
              </w:rPr>
              <w:t>1421</w:t>
            </w:r>
          </w:p>
        </w:tc>
        <w:tc>
          <w:tcPr>
            <w:tcW w:w="980" w:type="dxa"/>
            <w:vAlign w:val="center"/>
          </w:tcPr>
          <w:p>
            <w:pPr>
              <w:jc w:val="center"/>
              <w:rPr>
                <w:rFonts w:hint="eastAsia"/>
                <w:color w:val="auto"/>
                <w:highlight w:val="none"/>
                <w:lang w:val="en-US" w:eastAsia="zh-CN"/>
              </w:rPr>
            </w:pPr>
            <w:r>
              <w:rPr>
                <w:rFonts w:hint="eastAsia"/>
                <w:color w:val="auto"/>
                <w:highlight w:val="none"/>
                <w:lang w:val="en-US" w:eastAsia="zh-CN"/>
              </w:rPr>
              <w:t>1400</w:t>
            </w:r>
          </w:p>
        </w:tc>
        <w:tc>
          <w:tcPr>
            <w:tcW w:w="1069" w:type="dxa"/>
            <w:vMerge w:val="continue"/>
            <w:vAlign w:val="center"/>
          </w:tcPr>
          <w:p>
            <w:pPr>
              <w:jc w:val="center"/>
              <w:rPr>
                <w:rFonts w:hint="eastAsia"/>
                <w:color w:val="auto"/>
                <w:highlight w:val="none"/>
                <w:lang w:val="en-US" w:eastAsia="zh-CN"/>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431" w:type="dxa"/>
            <w:vMerge w:val="continue"/>
            <w:vAlign w:val="center"/>
          </w:tcPr>
          <w:p>
            <w:pPr>
              <w:jc w:val="center"/>
              <w:rPr>
                <w:color w:val="auto"/>
                <w:highlight w:val="none"/>
              </w:rPr>
            </w:pPr>
          </w:p>
        </w:tc>
        <w:tc>
          <w:tcPr>
            <w:tcW w:w="800" w:type="dxa"/>
            <w:vMerge w:val="restart"/>
            <w:vAlign w:val="center"/>
          </w:tcPr>
          <w:p>
            <w:pPr>
              <w:tabs>
                <w:tab w:val="left" w:pos="7020"/>
              </w:tabs>
              <w:spacing w:line="160" w:lineRule="atLeast"/>
              <w:jc w:val="center"/>
              <w:rPr>
                <w:color w:val="auto"/>
                <w:highlight w:val="none"/>
              </w:rPr>
            </w:pPr>
            <w:r>
              <w:rPr>
                <w:rFonts w:hint="eastAsia" w:ascii="Times New Roman" w:hAnsi="Times New Roman" w:cs="Times New Roman"/>
                <w:color w:val="auto"/>
                <w:sz w:val="21"/>
                <w:szCs w:val="21"/>
                <w:highlight w:val="none"/>
                <w:lang w:eastAsia="zh-CN"/>
              </w:rPr>
              <w:t>颗粒物</w:t>
            </w:r>
          </w:p>
        </w:tc>
        <w:tc>
          <w:tcPr>
            <w:tcW w:w="1700" w:type="dxa"/>
            <w:vAlign w:val="center"/>
          </w:tcPr>
          <w:p>
            <w:pPr>
              <w:tabs>
                <w:tab w:val="left" w:pos="7020"/>
              </w:tabs>
              <w:spacing w:line="160" w:lineRule="atLeast"/>
              <w:jc w:val="center"/>
              <w:rPr>
                <w:color w:val="auto"/>
                <w:highlight w:val="none"/>
              </w:rPr>
            </w:pPr>
            <w:r>
              <w:rPr>
                <w:color w:val="auto"/>
                <w:highlight w:val="none"/>
              </w:rPr>
              <w:t>排放浓</w:t>
            </w:r>
            <w:r>
              <w:rPr>
                <w:rFonts w:hint="eastAsia"/>
                <w:color w:val="auto"/>
                <w:highlight w:val="none"/>
              </w:rPr>
              <w:t>度</w:t>
            </w:r>
            <w:r>
              <w:rPr>
                <w:color w:val="auto"/>
                <w:highlight w:val="none"/>
              </w:rPr>
              <w:t>(mg/m</w:t>
            </w:r>
            <w:r>
              <w:rPr>
                <w:color w:val="auto"/>
                <w:highlight w:val="none"/>
                <w:vertAlign w:val="superscript"/>
              </w:rPr>
              <w:t>3</w:t>
            </w:r>
            <w:r>
              <w:rPr>
                <w:color w:val="auto"/>
                <w:highlight w:val="none"/>
              </w:rPr>
              <w:t>)</w:t>
            </w:r>
          </w:p>
        </w:tc>
        <w:tc>
          <w:tcPr>
            <w:tcW w:w="550" w:type="dxa"/>
            <w:vMerge w:val="continue"/>
            <w:vAlign w:val="center"/>
          </w:tcPr>
          <w:p>
            <w:pPr>
              <w:jc w:val="center"/>
              <w:rPr>
                <w:color w:val="auto"/>
                <w:highlight w:val="none"/>
              </w:rPr>
            </w:pPr>
          </w:p>
        </w:tc>
        <w:tc>
          <w:tcPr>
            <w:tcW w:w="883" w:type="dxa"/>
            <w:vAlign w:val="center"/>
          </w:tcPr>
          <w:p>
            <w:pPr>
              <w:jc w:val="center"/>
              <w:rPr>
                <w:rFonts w:hint="eastAsia" w:eastAsia="宋体"/>
                <w:color w:val="auto"/>
                <w:highlight w:val="none"/>
                <w:lang w:val="en-US" w:eastAsia="zh-CN"/>
              </w:rPr>
            </w:pPr>
            <w:r>
              <w:rPr>
                <w:rFonts w:hint="eastAsia"/>
                <w:color w:val="auto"/>
                <w:highlight w:val="none"/>
                <w:lang w:val="en-US" w:eastAsia="zh-CN"/>
              </w:rPr>
              <w:t>3.70</w:t>
            </w:r>
          </w:p>
        </w:tc>
        <w:tc>
          <w:tcPr>
            <w:tcW w:w="850" w:type="dxa"/>
            <w:vAlign w:val="center"/>
          </w:tcPr>
          <w:p>
            <w:pPr>
              <w:jc w:val="center"/>
              <w:rPr>
                <w:rFonts w:hint="eastAsia" w:eastAsia="宋体"/>
                <w:color w:val="auto"/>
                <w:highlight w:val="none"/>
                <w:lang w:val="en-US" w:eastAsia="zh-CN"/>
              </w:rPr>
            </w:pPr>
            <w:r>
              <w:rPr>
                <w:rFonts w:hint="eastAsia"/>
                <w:color w:val="auto"/>
                <w:highlight w:val="none"/>
                <w:lang w:val="en-US" w:eastAsia="zh-CN"/>
              </w:rPr>
              <w:t>4.43</w:t>
            </w:r>
          </w:p>
        </w:tc>
        <w:tc>
          <w:tcPr>
            <w:tcW w:w="833" w:type="dxa"/>
            <w:vAlign w:val="center"/>
          </w:tcPr>
          <w:p>
            <w:pPr>
              <w:jc w:val="center"/>
              <w:rPr>
                <w:rFonts w:hint="eastAsia" w:eastAsia="宋体"/>
                <w:color w:val="auto"/>
                <w:highlight w:val="none"/>
                <w:lang w:val="en-US" w:eastAsia="zh-CN"/>
              </w:rPr>
            </w:pPr>
            <w:r>
              <w:rPr>
                <w:rFonts w:hint="eastAsia"/>
                <w:color w:val="auto"/>
                <w:highlight w:val="none"/>
                <w:lang w:val="en-US" w:eastAsia="zh-CN"/>
              </w:rPr>
              <w:t>5.27</w:t>
            </w:r>
          </w:p>
        </w:tc>
        <w:tc>
          <w:tcPr>
            <w:tcW w:w="967" w:type="dxa"/>
            <w:vAlign w:val="center"/>
          </w:tcPr>
          <w:p>
            <w:pPr>
              <w:jc w:val="center"/>
              <w:rPr>
                <w:rFonts w:hint="eastAsia" w:eastAsia="宋体"/>
                <w:color w:val="auto"/>
                <w:highlight w:val="none"/>
                <w:lang w:val="en-US" w:eastAsia="zh-CN"/>
              </w:rPr>
            </w:pPr>
            <w:r>
              <w:rPr>
                <w:rFonts w:hint="eastAsia"/>
                <w:color w:val="auto"/>
                <w:highlight w:val="none"/>
                <w:lang w:val="en-US" w:eastAsia="zh-CN"/>
              </w:rPr>
              <w:t>3.19</w:t>
            </w:r>
          </w:p>
        </w:tc>
        <w:tc>
          <w:tcPr>
            <w:tcW w:w="933" w:type="dxa"/>
            <w:vAlign w:val="center"/>
          </w:tcPr>
          <w:p>
            <w:pPr>
              <w:jc w:val="center"/>
              <w:rPr>
                <w:rFonts w:hint="eastAsia" w:eastAsia="宋体"/>
                <w:color w:val="auto"/>
                <w:highlight w:val="none"/>
                <w:lang w:val="en-US" w:eastAsia="zh-CN"/>
              </w:rPr>
            </w:pPr>
            <w:r>
              <w:rPr>
                <w:rFonts w:hint="eastAsia"/>
                <w:color w:val="auto"/>
                <w:highlight w:val="none"/>
                <w:lang w:val="en-US" w:eastAsia="zh-CN"/>
              </w:rPr>
              <w:t>4.62</w:t>
            </w:r>
          </w:p>
        </w:tc>
        <w:tc>
          <w:tcPr>
            <w:tcW w:w="980" w:type="dxa"/>
            <w:vAlign w:val="center"/>
          </w:tcPr>
          <w:p>
            <w:pPr>
              <w:jc w:val="center"/>
              <w:rPr>
                <w:rFonts w:hint="eastAsia" w:eastAsia="宋体"/>
                <w:color w:val="auto"/>
                <w:highlight w:val="none"/>
                <w:lang w:val="en-US" w:eastAsia="zh-CN"/>
              </w:rPr>
            </w:pPr>
            <w:r>
              <w:rPr>
                <w:rFonts w:hint="eastAsia"/>
                <w:color w:val="auto"/>
                <w:highlight w:val="none"/>
                <w:lang w:val="en-US" w:eastAsia="zh-CN"/>
              </w:rPr>
              <w:t>5.55</w:t>
            </w:r>
          </w:p>
        </w:tc>
        <w:tc>
          <w:tcPr>
            <w:tcW w:w="1069" w:type="dxa"/>
            <w:vMerge w:val="continue"/>
            <w:vAlign w:val="center"/>
          </w:tcPr>
          <w:p>
            <w:pPr>
              <w:jc w:val="center"/>
              <w:rPr>
                <w:rFonts w:hint="eastAsia"/>
                <w:color w:val="auto"/>
                <w:highlight w:val="none"/>
                <w:lang w:val="en-US" w:eastAsia="zh-CN"/>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431" w:type="dxa"/>
            <w:vMerge w:val="continue"/>
            <w:vAlign w:val="center"/>
          </w:tcPr>
          <w:p>
            <w:pPr>
              <w:jc w:val="center"/>
              <w:rPr>
                <w:color w:val="auto"/>
                <w:highlight w:val="none"/>
              </w:rPr>
            </w:pPr>
          </w:p>
        </w:tc>
        <w:tc>
          <w:tcPr>
            <w:tcW w:w="800" w:type="dxa"/>
            <w:vMerge w:val="continue"/>
            <w:vAlign w:val="center"/>
          </w:tcPr>
          <w:p>
            <w:pPr>
              <w:tabs>
                <w:tab w:val="left" w:pos="7020"/>
              </w:tabs>
              <w:spacing w:line="160" w:lineRule="atLeast"/>
              <w:jc w:val="center"/>
              <w:rPr>
                <w:color w:val="auto"/>
                <w:highlight w:val="none"/>
              </w:rPr>
            </w:pPr>
          </w:p>
        </w:tc>
        <w:tc>
          <w:tcPr>
            <w:tcW w:w="1700" w:type="dxa"/>
            <w:vAlign w:val="center"/>
          </w:tcPr>
          <w:p>
            <w:pPr>
              <w:tabs>
                <w:tab w:val="left" w:pos="7020"/>
              </w:tabs>
              <w:spacing w:line="160" w:lineRule="atLeast"/>
              <w:jc w:val="center"/>
              <w:rPr>
                <w:color w:val="auto"/>
                <w:highlight w:val="none"/>
              </w:rPr>
            </w:pPr>
            <w:r>
              <w:rPr>
                <w:color w:val="auto"/>
                <w:highlight w:val="none"/>
              </w:rPr>
              <w:t>排放速率(kg/h)</w:t>
            </w:r>
          </w:p>
        </w:tc>
        <w:tc>
          <w:tcPr>
            <w:tcW w:w="550" w:type="dxa"/>
            <w:vMerge w:val="continue"/>
            <w:vAlign w:val="center"/>
          </w:tcPr>
          <w:p>
            <w:pPr>
              <w:jc w:val="center"/>
              <w:rPr>
                <w:color w:val="auto"/>
                <w:highlight w:val="none"/>
              </w:rPr>
            </w:pPr>
          </w:p>
        </w:tc>
        <w:tc>
          <w:tcPr>
            <w:tcW w:w="883" w:type="dxa"/>
            <w:vAlign w:val="center"/>
          </w:tcPr>
          <w:p>
            <w:pPr>
              <w:jc w:val="center"/>
              <w:rPr>
                <w:rFonts w:hint="eastAsia" w:eastAsia="宋体"/>
                <w:color w:val="auto"/>
                <w:highlight w:val="none"/>
                <w:lang w:val="en-US" w:eastAsia="zh-CN"/>
              </w:rPr>
            </w:pPr>
            <w:r>
              <w:rPr>
                <w:rFonts w:hint="eastAsia"/>
                <w:color w:val="auto"/>
                <w:highlight w:val="none"/>
                <w:lang w:val="en-US" w:eastAsia="zh-CN"/>
              </w:rPr>
              <w:t>4.49</w:t>
            </w:r>
            <w:r>
              <w:rPr>
                <w:color w:val="auto"/>
                <w:highlight w:val="none"/>
              </w:rPr>
              <w:t>×10</w:t>
            </w:r>
            <w:r>
              <w:rPr>
                <w:color w:val="auto"/>
                <w:highlight w:val="none"/>
                <w:vertAlign w:val="superscript"/>
              </w:rPr>
              <w:t>-</w:t>
            </w:r>
            <w:r>
              <w:rPr>
                <w:rFonts w:hint="eastAsia"/>
                <w:color w:val="auto"/>
                <w:highlight w:val="none"/>
                <w:vertAlign w:val="superscript"/>
                <w:lang w:val="en-US" w:eastAsia="zh-CN"/>
              </w:rPr>
              <w:t>3</w:t>
            </w:r>
          </w:p>
        </w:tc>
        <w:tc>
          <w:tcPr>
            <w:tcW w:w="850" w:type="dxa"/>
            <w:vAlign w:val="center"/>
          </w:tcPr>
          <w:p>
            <w:pPr>
              <w:jc w:val="center"/>
              <w:rPr>
                <w:rFonts w:hint="eastAsia" w:eastAsia="宋体"/>
                <w:color w:val="auto"/>
                <w:highlight w:val="none"/>
                <w:lang w:val="en-US" w:eastAsia="zh-CN"/>
              </w:rPr>
            </w:pPr>
            <w:r>
              <w:rPr>
                <w:rFonts w:hint="eastAsia"/>
                <w:color w:val="auto"/>
                <w:highlight w:val="none"/>
                <w:lang w:val="en-US" w:eastAsia="zh-CN"/>
              </w:rPr>
              <w:t>5.49</w:t>
            </w:r>
            <w:r>
              <w:rPr>
                <w:color w:val="auto"/>
                <w:highlight w:val="none"/>
              </w:rPr>
              <w:t>×10</w:t>
            </w:r>
            <w:r>
              <w:rPr>
                <w:color w:val="auto"/>
                <w:highlight w:val="none"/>
                <w:vertAlign w:val="superscript"/>
              </w:rPr>
              <w:t>-</w:t>
            </w:r>
            <w:r>
              <w:rPr>
                <w:rFonts w:hint="eastAsia"/>
                <w:color w:val="auto"/>
                <w:highlight w:val="none"/>
                <w:vertAlign w:val="superscript"/>
                <w:lang w:val="en-US" w:eastAsia="zh-CN"/>
              </w:rPr>
              <w:t>3</w:t>
            </w:r>
          </w:p>
        </w:tc>
        <w:tc>
          <w:tcPr>
            <w:tcW w:w="833" w:type="dxa"/>
            <w:vAlign w:val="center"/>
          </w:tcPr>
          <w:p>
            <w:pPr>
              <w:jc w:val="center"/>
              <w:rPr>
                <w:rFonts w:hint="eastAsia" w:eastAsia="宋体"/>
                <w:color w:val="auto"/>
                <w:highlight w:val="none"/>
                <w:lang w:val="en-US" w:eastAsia="zh-CN"/>
              </w:rPr>
            </w:pPr>
            <w:r>
              <w:rPr>
                <w:rFonts w:hint="eastAsia"/>
                <w:color w:val="auto"/>
                <w:highlight w:val="none"/>
                <w:lang w:val="en-US" w:eastAsia="zh-CN"/>
              </w:rPr>
              <w:t>5.89</w:t>
            </w:r>
            <w:r>
              <w:rPr>
                <w:color w:val="auto"/>
                <w:highlight w:val="none"/>
              </w:rPr>
              <w:t>×10</w:t>
            </w:r>
            <w:r>
              <w:rPr>
                <w:color w:val="auto"/>
                <w:highlight w:val="none"/>
                <w:vertAlign w:val="superscript"/>
              </w:rPr>
              <w:t>-</w:t>
            </w:r>
            <w:r>
              <w:rPr>
                <w:rFonts w:hint="eastAsia"/>
                <w:color w:val="auto"/>
                <w:highlight w:val="none"/>
                <w:vertAlign w:val="superscript"/>
                <w:lang w:val="en-US" w:eastAsia="zh-CN"/>
              </w:rPr>
              <w:t>3</w:t>
            </w:r>
          </w:p>
        </w:tc>
        <w:tc>
          <w:tcPr>
            <w:tcW w:w="967" w:type="dxa"/>
            <w:vAlign w:val="center"/>
          </w:tcPr>
          <w:p>
            <w:pPr>
              <w:jc w:val="center"/>
              <w:rPr>
                <w:rFonts w:hint="eastAsia" w:eastAsia="宋体"/>
                <w:color w:val="auto"/>
                <w:highlight w:val="none"/>
                <w:lang w:val="en-US" w:eastAsia="zh-CN"/>
              </w:rPr>
            </w:pPr>
            <w:r>
              <w:rPr>
                <w:rFonts w:hint="eastAsia"/>
                <w:color w:val="auto"/>
                <w:highlight w:val="none"/>
                <w:lang w:val="en-US" w:eastAsia="zh-CN"/>
              </w:rPr>
              <w:t>3.56</w:t>
            </w:r>
            <w:r>
              <w:rPr>
                <w:color w:val="auto"/>
                <w:highlight w:val="none"/>
              </w:rPr>
              <w:t>×10</w:t>
            </w:r>
            <w:r>
              <w:rPr>
                <w:color w:val="auto"/>
                <w:highlight w:val="none"/>
                <w:vertAlign w:val="superscript"/>
              </w:rPr>
              <w:t>-</w:t>
            </w:r>
            <w:r>
              <w:rPr>
                <w:rFonts w:hint="eastAsia"/>
                <w:color w:val="auto"/>
                <w:highlight w:val="none"/>
                <w:vertAlign w:val="superscript"/>
                <w:lang w:val="en-US" w:eastAsia="zh-CN"/>
              </w:rPr>
              <w:t>3</w:t>
            </w:r>
          </w:p>
        </w:tc>
        <w:tc>
          <w:tcPr>
            <w:tcW w:w="933" w:type="dxa"/>
            <w:vAlign w:val="center"/>
          </w:tcPr>
          <w:p>
            <w:pPr>
              <w:jc w:val="center"/>
              <w:rPr>
                <w:rFonts w:hint="eastAsia" w:eastAsia="宋体"/>
                <w:color w:val="auto"/>
                <w:highlight w:val="none"/>
                <w:lang w:val="en-US" w:eastAsia="zh-CN"/>
              </w:rPr>
            </w:pPr>
            <w:r>
              <w:rPr>
                <w:rFonts w:hint="eastAsia"/>
                <w:color w:val="auto"/>
                <w:highlight w:val="none"/>
                <w:lang w:val="en-US" w:eastAsia="zh-CN"/>
              </w:rPr>
              <w:t>5.17</w:t>
            </w:r>
            <w:r>
              <w:rPr>
                <w:color w:val="auto"/>
                <w:highlight w:val="none"/>
              </w:rPr>
              <w:t>×10</w:t>
            </w:r>
            <w:r>
              <w:rPr>
                <w:color w:val="auto"/>
                <w:highlight w:val="none"/>
                <w:vertAlign w:val="superscript"/>
              </w:rPr>
              <w:t>-</w:t>
            </w:r>
            <w:r>
              <w:rPr>
                <w:rFonts w:hint="eastAsia"/>
                <w:color w:val="auto"/>
                <w:highlight w:val="none"/>
                <w:vertAlign w:val="superscript"/>
                <w:lang w:val="en-US" w:eastAsia="zh-CN"/>
              </w:rPr>
              <w:t>3</w:t>
            </w:r>
          </w:p>
        </w:tc>
        <w:tc>
          <w:tcPr>
            <w:tcW w:w="980" w:type="dxa"/>
            <w:vAlign w:val="center"/>
          </w:tcPr>
          <w:p>
            <w:pPr>
              <w:jc w:val="center"/>
              <w:rPr>
                <w:rFonts w:hint="eastAsia" w:eastAsia="宋体"/>
                <w:color w:val="auto"/>
                <w:highlight w:val="none"/>
                <w:lang w:val="en-US" w:eastAsia="zh-CN"/>
              </w:rPr>
            </w:pPr>
            <w:r>
              <w:rPr>
                <w:rFonts w:hint="eastAsia"/>
                <w:color w:val="auto"/>
                <w:highlight w:val="none"/>
                <w:lang w:val="en-US" w:eastAsia="zh-CN"/>
              </w:rPr>
              <w:t>6.04</w:t>
            </w:r>
            <w:r>
              <w:rPr>
                <w:color w:val="auto"/>
                <w:highlight w:val="none"/>
              </w:rPr>
              <w:t>×10</w:t>
            </w:r>
            <w:r>
              <w:rPr>
                <w:color w:val="auto"/>
                <w:highlight w:val="none"/>
                <w:vertAlign w:val="superscript"/>
              </w:rPr>
              <w:t>-</w:t>
            </w:r>
            <w:r>
              <w:rPr>
                <w:rFonts w:hint="eastAsia"/>
                <w:color w:val="auto"/>
                <w:highlight w:val="none"/>
                <w:vertAlign w:val="superscript"/>
                <w:lang w:val="en-US" w:eastAsia="zh-CN"/>
              </w:rPr>
              <w:t>3</w:t>
            </w:r>
          </w:p>
        </w:tc>
        <w:tc>
          <w:tcPr>
            <w:tcW w:w="1069" w:type="dxa"/>
            <w:vMerge w:val="continue"/>
            <w:vAlign w:val="center"/>
          </w:tcPr>
          <w:p>
            <w:pPr>
              <w:jc w:val="center"/>
              <w:rPr>
                <w:rFonts w:hint="eastAsia"/>
                <w:color w:val="auto"/>
                <w:highlight w:val="none"/>
                <w:lang w:val="en-US" w:eastAsia="zh-CN"/>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431" w:type="dxa"/>
            <w:vMerge w:val="continue"/>
            <w:vAlign w:val="center"/>
          </w:tcPr>
          <w:p>
            <w:pPr>
              <w:jc w:val="center"/>
              <w:rPr>
                <w:color w:val="auto"/>
                <w:highlight w:val="none"/>
              </w:rPr>
            </w:pPr>
          </w:p>
        </w:tc>
        <w:tc>
          <w:tcPr>
            <w:tcW w:w="800" w:type="dxa"/>
            <w:vMerge w:val="restart"/>
            <w:vAlign w:val="center"/>
          </w:tcPr>
          <w:p>
            <w:pPr>
              <w:tabs>
                <w:tab w:val="left" w:pos="7020"/>
              </w:tabs>
              <w:spacing w:line="160" w:lineRule="atLeast"/>
              <w:jc w:val="center"/>
              <w:rPr>
                <w:color w:val="auto"/>
                <w:highlight w:val="none"/>
              </w:rPr>
            </w:pPr>
            <w:r>
              <w:rPr>
                <w:rFonts w:hint="default" w:ascii="Times New Roman" w:hAnsi="Times New Roman" w:cs="Times New Roman"/>
                <w:color w:val="auto"/>
                <w:sz w:val="21"/>
                <w:szCs w:val="21"/>
                <w:highlight w:val="none"/>
              </w:rPr>
              <w:t>NO</w:t>
            </w:r>
            <w:r>
              <w:rPr>
                <w:rFonts w:hint="default" w:ascii="Times New Roman" w:hAnsi="Times New Roman" w:cs="Times New Roman"/>
                <w:color w:val="auto"/>
                <w:sz w:val="21"/>
                <w:szCs w:val="21"/>
                <w:highlight w:val="none"/>
                <w:vertAlign w:val="subscript"/>
              </w:rPr>
              <w:t>x</w:t>
            </w:r>
          </w:p>
        </w:tc>
        <w:tc>
          <w:tcPr>
            <w:tcW w:w="1700" w:type="dxa"/>
            <w:vAlign w:val="center"/>
          </w:tcPr>
          <w:p>
            <w:pPr>
              <w:tabs>
                <w:tab w:val="left" w:pos="7020"/>
              </w:tabs>
              <w:spacing w:line="160" w:lineRule="atLeast"/>
              <w:jc w:val="center"/>
              <w:rPr>
                <w:color w:val="auto"/>
                <w:highlight w:val="none"/>
              </w:rPr>
            </w:pPr>
            <w:r>
              <w:rPr>
                <w:color w:val="auto"/>
                <w:highlight w:val="none"/>
              </w:rPr>
              <w:t>排放浓</w:t>
            </w:r>
            <w:r>
              <w:rPr>
                <w:rFonts w:hint="eastAsia"/>
                <w:color w:val="auto"/>
                <w:highlight w:val="none"/>
              </w:rPr>
              <w:t>度</w:t>
            </w:r>
            <w:r>
              <w:rPr>
                <w:color w:val="auto"/>
                <w:highlight w:val="none"/>
              </w:rPr>
              <w:t>(mg/m</w:t>
            </w:r>
            <w:r>
              <w:rPr>
                <w:color w:val="auto"/>
                <w:highlight w:val="none"/>
                <w:vertAlign w:val="superscript"/>
              </w:rPr>
              <w:t>3</w:t>
            </w:r>
            <w:r>
              <w:rPr>
                <w:color w:val="auto"/>
                <w:highlight w:val="none"/>
              </w:rPr>
              <w:t>)</w:t>
            </w:r>
          </w:p>
        </w:tc>
        <w:tc>
          <w:tcPr>
            <w:tcW w:w="550" w:type="dxa"/>
            <w:vMerge w:val="continue"/>
            <w:vAlign w:val="center"/>
          </w:tcPr>
          <w:p>
            <w:pPr>
              <w:jc w:val="center"/>
              <w:rPr>
                <w:color w:val="auto"/>
                <w:highlight w:val="none"/>
              </w:rPr>
            </w:pPr>
          </w:p>
        </w:tc>
        <w:tc>
          <w:tcPr>
            <w:tcW w:w="883" w:type="dxa"/>
            <w:vAlign w:val="center"/>
          </w:tcPr>
          <w:p>
            <w:pPr>
              <w:jc w:val="center"/>
              <w:rPr>
                <w:rFonts w:hint="eastAsia" w:eastAsia="宋体"/>
                <w:color w:val="auto"/>
                <w:highlight w:val="none"/>
                <w:lang w:val="en-US" w:eastAsia="zh-CN"/>
              </w:rPr>
            </w:pPr>
            <w:r>
              <w:rPr>
                <w:rFonts w:hint="eastAsia"/>
                <w:color w:val="auto"/>
                <w:highlight w:val="none"/>
                <w:lang w:val="en-US" w:eastAsia="zh-CN"/>
              </w:rPr>
              <w:t>72.7</w:t>
            </w:r>
          </w:p>
        </w:tc>
        <w:tc>
          <w:tcPr>
            <w:tcW w:w="850" w:type="dxa"/>
            <w:vAlign w:val="center"/>
          </w:tcPr>
          <w:p>
            <w:pPr>
              <w:jc w:val="center"/>
              <w:rPr>
                <w:rFonts w:hint="eastAsia" w:eastAsia="宋体"/>
                <w:color w:val="auto"/>
                <w:highlight w:val="none"/>
                <w:lang w:val="en-US" w:eastAsia="zh-CN"/>
              </w:rPr>
            </w:pPr>
            <w:r>
              <w:rPr>
                <w:rFonts w:hint="eastAsia"/>
                <w:color w:val="auto"/>
                <w:highlight w:val="none"/>
                <w:lang w:val="en-US" w:eastAsia="zh-CN"/>
              </w:rPr>
              <w:t>72.8</w:t>
            </w:r>
          </w:p>
        </w:tc>
        <w:tc>
          <w:tcPr>
            <w:tcW w:w="833" w:type="dxa"/>
            <w:vAlign w:val="center"/>
          </w:tcPr>
          <w:p>
            <w:pPr>
              <w:jc w:val="center"/>
              <w:rPr>
                <w:rFonts w:hint="eastAsia" w:eastAsia="宋体"/>
                <w:color w:val="auto"/>
                <w:highlight w:val="none"/>
                <w:lang w:val="en-US" w:eastAsia="zh-CN"/>
              </w:rPr>
            </w:pPr>
            <w:r>
              <w:rPr>
                <w:rFonts w:hint="eastAsia"/>
                <w:color w:val="auto"/>
                <w:highlight w:val="none"/>
                <w:lang w:val="en-US" w:eastAsia="zh-CN"/>
              </w:rPr>
              <w:t>62.3</w:t>
            </w:r>
          </w:p>
        </w:tc>
        <w:tc>
          <w:tcPr>
            <w:tcW w:w="967" w:type="dxa"/>
            <w:vAlign w:val="center"/>
          </w:tcPr>
          <w:p>
            <w:pPr>
              <w:jc w:val="center"/>
              <w:rPr>
                <w:rFonts w:hint="eastAsia" w:eastAsia="宋体"/>
                <w:color w:val="auto"/>
                <w:highlight w:val="none"/>
                <w:lang w:val="en-US" w:eastAsia="zh-CN"/>
              </w:rPr>
            </w:pPr>
            <w:r>
              <w:rPr>
                <w:rFonts w:hint="eastAsia"/>
                <w:color w:val="auto"/>
                <w:highlight w:val="none"/>
                <w:lang w:val="en-US" w:eastAsia="zh-CN"/>
              </w:rPr>
              <w:t>56.7</w:t>
            </w:r>
          </w:p>
        </w:tc>
        <w:tc>
          <w:tcPr>
            <w:tcW w:w="933" w:type="dxa"/>
            <w:vAlign w:val="center"/>
          </w:tcPr>
          <w:p>
            <w:pPr>
              <w:jc w:val="center"/>
              <w:rPr>
                <w:rFonts w:hint="eastAsia" w:eastAsia="宋体"/>
                <w:color w:val="auto"/>
                <w:highlight w:val="none"/>
                <w:lang w:val="en-US" w:eastAsia="zh-CN"/>
              </w:rPr>
            </w:pPr>
            <w:r>
              <w:rPr>
                <w:rFonts w:hint="eastAsia"/>
                <w:color w:val="auto"/>
                <w:highlight w:val="none"/>
                <w:lang w:val="en-US" w:eastAsia="zh-CN"/>
              </w:rPr>
              <w:t>69.9</w:t>
            </w:r>
          </w:p>
        </w:tc>
        <w:tc>
          <w:tcPr>
            <w:tcW w:w="980" w:type="dxa"/>
            <w:vAlign w:val="center"/>
          </w:tcPr>
          <w:p>
            <w:pPr>
              <w:jc w:val="center"/>
              <w:rPr>
                <w:rFonts w:hint="eastAsia" w:eastAsia="宋体"/>
                <w:color w:val="auto"/>
                <w:highlight w:val="none"/>
                <w:lang w:val="en-US" w:eastAsia="zh-CN"/>
              </w:rPr>
            </w:pPr>
            <w:r>
              <w:rPr>
                <w:rFonts w:hint="eastAsia"/>
                <w:color w:val="auto"/>
                <w:highlight w:val="none"/>
                <w:lang w:val="en-US" w:eastAsia="zh-CN"/>
              </w:rPr>
              <w:t>68.1</w:t>
            </w:r>
          </w:p>
        </w:tc>
        <w:tc>
          <w:tcPr>
            <w:tcW w:w="1069" w:type="dxa"/>
            <w:vMerge w:val="continue"/>
            <w:vAlign w:val="center"/>
          </w:tcPr>
          <w:p>
            <w:pPr>
              <w:jc w:val="center"/>
              <w:rPr>
                <w:rFonts w:hint="eastAsia"/>
                <w:color w:val="auto"/>
                <w:highlight w:val="none"/>
                <w:lang w:val="en-US" w:eastAsia="zh-CN"/>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431" w:type="dxa"/>
            <w:vMerge w:val="continue"/>
            <w:vAlign w:val="center"/>
          </w:tcPr>
          <w:p>
            <w:pPr>
              <w:jc w:val="center"/>
              <w:rPr>
                <w:color w:val="auto"/>
                <w:highlight w:val="none"/>
              </w:rPr>
            </w:pPr>
          </w:p>
        </w:tc>
        <w:tc>
          <w:tcPr>
            <w:tcW w:w="800" w:type="dxa"/>
            <w:vMerge w:val="continue"/>
            <w:vAlign w:val="center"/>
          </w:tcPr>
          <w:p>
            <w:pPr>
              <w:tabs>
                <w:tab w:val="left" w:pos="7020"/>
              </w:tabs>
              <w:spacing w:line="160" w:lineRule="atLeast"/>
              <w:jc w:val="center"/>
              <w:rPr>
                <w:color w:val="auto"/>
                <w:highlight w:val="none"/>
              </w:rPr>
            </w:pPr>
          </w:p>
        </w:tc>
        <w:tc>
          <w:tcPr>
            <w:tcW w:w="1700" w:type="dxa"/>
            <w:vAlign w:val="center"/>
          </w:tcPr>
          <w:p>
            <w:pPr>
              <w:tabs>
                <w:tab w:val="left" w:pos="7020"/>
              </w:tabs>
              <w:spacing w:line="160" w:lineRule="atLeast"/>
              <w:jc w:val="center"/>
              <w:rPr>
                <w:color w:val="auto"/>
                <w:highlight w:val="none"/>
              </w:rPr>
            </w:pPr>
            <w:r>
              <w:rPr>
                <w:color w:val="auto"/>
                <w:highlight w:val="none"/>
              </w:rPr>
              <w:t>排放速率(kg/h)</w:t>
            </w:r>
          </w:p>
        </w:tc>
        <w:tc>
          <w:tcPr>
            <w:tcW w:w="550" w:type="dxa"/>
            <w:vMerge w:val="continue"/>
            <w:vAlign w:val="center"/>
          </w:tcPr>
          <w:p>
            <w:pPr>
              <w:jc w:val="center"/>
              <w:rPr>
                <w:color w:val="auto"/>
                <w:highlight w:val="none"/>
              </w:rPr>
            </w:pPr>
          </w:p>
        </w:tc>
        <w:tc>
          <w:tcPr>
            <w:tcW w:w="883" w:type="dxa"/>
            <w:vAlign w:val="center"/>
          </w:tcPr>
          <w:p>
            <w:pPr>
              <w:jc w:val="center"/>
              <w:rPr>
                <w:rFonts w:hint="eastAsia" w:eastAsia="宋体"/>
                <w:color w:val="auto"/>
                <w:highlight w:val="none"/>
                <w:lang w:val="en-US" w:eastAsia="zh-CN"/>
              </w:rPr>
            </w:pPr>
            <w:r>
              <w:rPr>
                <w:rFonts w:hint="eastAsia"/>
                <w:color w:val="auto"/>
                <w:highlight w:val="none"/>
                <w:lang w:val="en-US" w:eastAsia="zh-CN"/>
              </w:rPr>
              <w:t>0.088</w:t>
            </w:r>
          </w:p>
        </w:tc>
        <w:tc>
          <w:tcPr>
            <w:tcW w:w="850" w:type="dxa"/>
            <w:vAlign w:val="center"/>
          </w:tcPr>
          <w:p>
            <w:pPr>
              <w:jc w:val="center"/>
              <w:rPr>
                <w:rFonts w:hint="eastAsia" w:eastAsia="宋体"/>
                <w:color w:val="auto"/>
                <w:highlight w:val="none"/>
                <w:lang w:val="en-US" w:eastAsia="zh-CN"/>
              </w:rPr>
            </w:pPr>
            <w:r>
              <w:rPr>
                <w:rFonts w:hint="eastAsia"/>
                <w:color w:val="auto"/>
                <w:highlight w:val="none"/>
                <w:lang w:val="en-US" w:eastAsia="zh-CN"/>
              </w:rPr>
              <w:t>0.090</w:t>
            </w:r>
          </w:p>
        </w:tc>
        <w:tc>
          <w:tcPr>
            <w:tcW w:w="833" w:type="dxa"/>
            <w:vAlign w:val="center"/>
          </w:tcPr>
          <w:p>
            <w:pPr>
              <w:jc w:val="center"/>
              <w:rPr>
                <w:rFonts w:hint="eastAsia" w:eastAsia="宋体"/>
                <w:color w:val="auto"/>
                <w:highlight w:val="none"/>
                <w:lang w:val="en-US" w:eastAsia="zh-CN"/>
              </w:rPr>
            </w:pPr>
            <w:r>
              <w:rPr>
                <w:rFonts w:hint="eastAsia"/>
                <w:color w:val="auto"/>
                <w:highlight w:val="none"/>
                <w:lang w:val="en-US" w:eastAsia="zh-CN"/>
              </w:rPr>
              <w:t>0.070</w:t>
            </w:r>
          </w:p>
        </w:tc>
        <w:tc>
          <w:tcPr>
            <w:tcW w:w="967" w:type="dxa"/>
            <w:vAlign w:val="center"/>
          </w:tcPr>
          <w:p>
            <w:pPr>
              <w:jc w:val="center"/>
              <w:rPr>
                <w:rFonts w:hint="eastAsia" w:eastAsia="宋体"/>
                <w:color w:val="auto"/>
                <w:highlight w:val="none"/>
                <w:lang w:val="en-US" w:eastAsia="zh-CN"/>
              </w:rPr>
            </w:pPr>
            <w:r>
              <w:rPr>
                <w:rFonts w:hint="eastAsia"/>
                <w:color w:val="auto"/>
                <w:highlight w:val="none"/>
                <w:lang w:val="en-US" w:eastAsia="zh-CN"/>
              </w:rPr>
              <w:t>0.063</w:t>
            </w:r>
          </w:p>
        </w:tc>
        <w:tc>
          <w:tcPr>
            <w:tcW w:w="933" w:type="dxa"/>
            <w:vAlign w:val="center"/>
          </w:tcPr>
          <w:p>
            <w:pPr>
              <w:jc w:val="center"/>
              <w:rPr>
                <w:rFonts w:hint="eastAsia" w:eastAsia="宋体"/>
                <w:color w:val="auto"/>
                <w:highlight w:val="none"/>
                <w:lang w:val="en-US" w:eastAsia="zh-CN"/>
              </w:rPr>
            </w:pPr>
            <w:r>
              <w:rPr>
                <w:rFonts w:hint="eastAsia"/>
                <w:color w:val="auto"/>
                <w:highlight w:val="none"/>
                <w:lang w:val="en-US" w:eastAsia="zh-CN"/>
              </w:rPr>
              <w:t>0.078</w:t>
            </w:r>
          </w:p>
        </w:tc>
        <w:tc>
          <w:tcPr>
            <w:tcW w:w="980" w:type="dxa"/>
            <w:vAlign w:val="center"/>
          </w:tcPr>
          <w:p>
            <w:pPr>
              <w:jc w:val="center"/>
              <w:rPr>
                <w:rFonts w:hint="eastAsia" w:eastAsia="宋体"/>
                <w:color w:val="auto"/>
                <w:highlight w:val="none"/>
                <w:lang w:val="en-US" w:eastAsia="zh-CN"/>
              </w:rPr>
            </w:pPr>
            <w:r>
              <w:rPr>
                <w:rFonts w:hint="eastAsia"/>
                <w:color w:val="auto"/>
                <w:highlight w:val="none"/>
                <w:lang w:val="en-US" w:eastAsia="zh-CN"/>
              </w:rPr>
              <w:t>0.074</w:t>
            </w:r>
          </w:p>
        </w:tc>
        <w:tc>
          <w:tcPr>
            <w:tcW w:w="1069" w:type="dxa"/>
            <w:vMerge w:val="continue"/>
            <w:vAlign w:val="center"/>
          </w:tcPr>
          <w:p>
            <w:pPr>
              <w:jc w:val="center"/>
              <w:rPr>
                <w:rFonts w:hint="eastAsia"/>
                <w:color w:val="auto"/>
                <w:highlight w:val="none"/>
                <w:lang w:val="en-US" w:eastAsia="zh-CN"/>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431" w:type="dxa"/>
            <w:vMerge w:val="continue"/>
            <w:vAlign w:val="center"/>
          </w:tcPr>
          <w:p>
            <w:pPr>
              <w:jc w:val="center"/>
              <w:rPr>
                <w:color w:val="auto"/>
                <w:highlight w:val="none"/>
              </w:rPr>
            </w:pPr>
          </w:p>
        </w:tc>
        <w:tc>
          <w:tcPr>
            <w:tcW w:w="800" w:type="dxa"/>
            <w:vMerge w:val="restart"/>
            <w:vAlign w:val="center"/>
          </w:tcPr>
          <w:p>
            <w:pPr>
              <w:tabs>
                <w:tab w:val="left" w:pos="7020"/>
              </w:tabs>
              <w:spacing w:line="160" w:lineRule="atLeast"/>
              <w:jc w:val="center"/>
              <w:rPr>
                <w:color w:val="auto"/>
                <w:highlight w:val="none"/>
              </w:rPr>
            </w:pPr>
            <w:r>
              <w:rPr>
                <w:rFonts w:hint="eastAsia" w:ascii="Times New Roman" w:hAnsi="Times New Roman" w:cs="Times New Roman"/>
                <w:color w:val="auto"/>
                <w:sz w:val="21"/>
                <w:szCs w:val="21"/>
                <w:highlight w:val="none"/>
                <w:lang w:val="en-US" w:eastAsia="zh-CN"/>
              </w:rPr>
              <w:t>SO</w:t>
            </w:r>
            <w:r>
              <w:rPr>
                <w:rFonts w:hint="eastAsia" w:ascii="Times New Roman" w:hAnsi="Times New Roman" w:cs="Times New Roman"/>
                <w:color w:val="auto"/>
                <w:sz w:val="21"/>
                <w:szCs w:val="21"/>
                <w:highlight w:val="none"/>
                <w:vertAlign w:val="subscript"/>
                <w:lang w:val="en-US" w:eastAsia="zh-CN"/>
              </w:rPr>
              <w:t>2</w:t>
            </w:r>
          </w:p>
        </w:tc>
        <w:tc>
          <w:tcPr>
            <w:tcW w:w="1700" w:type="dxa"/>
            <w:vAlign w:val="center"/>
          </w:tcPr>
          <w:p>
            <w:pPr>
              <w:tabs>
                <w:tab w:val="left" w:pos="7020"/>
              </w:tabs>
              <w:spacing w:line="160" w:lineRule="atLeast"/>
              <w:jc w:val="center"/>
              <w:rPr>
                <w:color w:val="auto"/>
                <w:highlight w:val="none"/>
              </w:rPr>
            </w:pPr>
            <w:r>
              <w:rPr>
                <w:color w:val="auto"/>
                <w:highlight w:val="none"/>
              </w:rPr>
              <w:t>排放浓</w:t>
            </w:r>
            <w:r>
              <w:rPr>
                <w:rFonts w:hint="eastAsia"/>
                <w:color w:val="auto"/>
                <w:highlight w:val="none"/>
              </w:rPr>
              <w:t>度</w:t>
            </w:r>
            <w:r>
              <w:rPr>
                <w:color w:val="auto"/>
                <w:highlight w:val="none"/>
              </w:rPr>
              <w:t>(mg/m</w:t>
            </w:r>
            <w:r>
              <w:rPr>
                <w:color w:val="auto"/>
                <w:highlight w:val="none"/>
                <w:vertAlign w:val="superscript"/>
              </w:rPr>
              <w:t>3</w:t>
            </w:r>
            <w:r>
              <w:rPr>
                <w:color w:val="auto"/>
                <w:highlight w:val="none"/>
              </w:rPr>
              <w:t>)</w:t>
            </w:r>
          </w:p>
        </w:tc>
        <w:tc>
          <w:tcPr>
            <w:tcW w:w="550" w:type="dxa"/>
            <w:vMerge w:val="continue"/>
            <w:vAlign w:val="center"/>
          </w:tcPr>
          <w:p>
            <w:pPr>
              <w:jc w:val="center"/>
              <w:rPr>
                <w:color w:val="auto"/>
                <w:highlight w:val="none"/>
              </w:rPr>
            </w:pPr>
          </w:p>
        </w:tc>
        <w:tc>
          <w:tcPr>
            <w:tcW w:w="883" w:type="dxa"/>
            <w:vAlign w:val="center"/>
          </w:tcPr>
          <w:p>
            <w:pPr>
              <w:jc w:val="center"/>
              <w:rPr>
                <w:rFonts w:hint="eastAsia" w:eastAsia="宋体"/>
                <w:color w:val="auto"/>
                <w:highlight w:val="none"/>
                <w:lang w:val="en-US" w:eastAsia="zh-CN"/>
              </w:rPr>
            </w:pPr>
            <w:r>
              <w:rPr>
                <w:rFonts w:hint="eastAsia"/>
                <w:color w:val="auto"/>
                <w:highlight w:val="none"/>
                <w:lang w:val="en-US" w:eastAsia="zh-CN"/>
              </w:rPr>
              <w:t>13</w:t>
            </w:r>
          </w:p>
        </w:tc>
        <w:tc>
          <w:tcPr>
            <w:tcW w:w="850" w:type="dxa"/>
            <w:vAlign w:val="center"/>
          </w:tcPr>
          <w:p>
            <w:pPr>
              <w:jc w:val="center"/>
              <w:rPr>
                <w:rFonts w:hint="eastAsia" w:eastAsia="宋体"/>
                <w:color w:val="auto"/>
                <w:highlight w:val="none"/>
                <w:lang w:val="en-US" w:eastAsia="zh-CN"/>
              </w:rPr>
            </w:pPr>
            <w:r>
              <w:rPr>
                <w:rFonts w:hint="eastAsia"/>
                <w:color w:val="auto"/>
                <w:highlight w:val="none"/>
                <w:lang w:val="en-US" w:eastAsia="zh-CN"/>
              </w:rPr>
              <w:t>9</w:t>
            </w:r>
          </w:p>
        </w:tc>
        <w:tc>
          <w:tcPr>
            <w:tcW w:w="833" w:type="dxa"/>
            <w:vAlign w:val="center"/>
          </w:tcPr>
          <w:p>
            <w:pPr>
              <w:jc w:val="center"/>
              <w:rPr>
                <w:rFonts w:hint="eastAsia" w:eastAsia="宋体"/>
                <w:color w:val="auto"/>
                <w:highlight w:val="none"/>
                <w:lang w:val="en-US" w:eastAsia="zh-CN"/>
              </w:rPr>
            </w:pPr>
            <w:r>
              <w:rPr>
                <w:rFonts w:hint="eastAsia"/>
                <w:color w:val="auto"/>
                <w:highlight w:val="none"/>
                <w:lang w:val="en-US" w:eastAsia="zh-CN"/>
              </w:rPr>
              <w:t>15</w:t>
            </w:r>
          </w:p>
        </w:tc>
        <w:tc>
          <w:tcPr>
            <w:tcW w:w="967" w:type="dxa"/>
            <w:vAlign w:val="center"/>
          </w:tcPr>
          <w:p>
            <w:pPr>
              <w:jc w:val="center"/>
              <w:rPr>
                <w:rFonts w:hint="eastAsia" w:eastAsia="宋体"/>
                <w:color w:val="auto"/>
                <w:highlight w:val="none"/>
                <w:lang w:val="en-US" w:eastAsia="zh-CN"/>
              </w:rPr>
            </w:pPr>
            <w:r>
              <w:rPr>
                <w:rFonts w:hint="eastAsia"/>
                <w:color w:val="auto"/>
                <w:highlight w:val="none"/>
                <w:lang w:val="en-US" w:eastAsia="zh-CN"/>
              </w:rPr>
              <w:t>8</w:t>
            </w:r>
          </w:p>
        </w:tc>
        <w:tc>
          <w:tcPr>
            <w:tcW w:w="933" w:type="dxa"/>
            <w:vAlign w:val="center"/>
          </w:tcPr>
          <w:p>
            <w:pPr>
              <w:jc w:val="center"/>
              <w:rPr>
                <w:rFonts w:hint="eastAsia" w:eastAsia="宋体"/>
                <w:color w:val="auto"/>
                <w:highlight w:val="none"/>
                <w:lang w:val="en-US" w:eastAsia="zh-CN"/>
              </w:rPr>
            </w:pPr>
            <w:r>
              <w:rPr>
                <w:rFonts w:hint="eastAsia"/>
                <w:color w:val="auto"/>
                <w:highlight w:val="none"/>
                <w:lang w:val="en-US" w:eastAsia="zh-CN"/>
              </w:rPr>
              <w:t>11</w:t>
            </w:r>
          </w:p>
        </w:tc>
        <w:tc>
          <w:tcPr>
            <w:tcW w:w="980" w:type="dxa"/>
            <w:vAlign w:val="center"/>
          </w:tcPr>
          <w:p>
            <w:pPr>
              <w:jc w:val="center"/>
              <w:rPr>
                <w:rFonts w:hint="eastAsia" w:eastAsia="宋体"/>
                <w:color w:val="auto"/>
                <w:highlight w:val="none"/>
                <w:lang w:val="en-US" w:eastAsia="zh-CN"/>
              </w:rPr>
            </w:pPr>
            <w:r>
              <w:rPr>
                <w:rFonts w:hint="eastAsia"/>
                <w:color w:val="auto"/>
                <w:highlight w:val="none"/>
                <w:lang w:val="en-US" w:eastAsia="zh-CN"/>
              </w:rPr>
              <w:t>13</w:t>
            </w:r>
          </w:p>
        </w:tc>
        <w:tc>
          <w:tcPr>
            <w:tcW w:w="1069" w:type="dxa"/>
            <w:vMerge w:val="continue"/>
            <w:vAlign w:val="center"/>
          </w:tcPr>
          <w:p>
            <w:pPr>
              <w:jc w:val="center"/>
              <w:rPr>
                <w:rFonts w:hint="eastAsia"/>
                <w:color w:val="auto"/>
                <w:highlight w:val="none"/>
                <w:lang w:val="en-US" w:eastAsia="zh-CN"/>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431" w:type="dxa"/>
            <w:vMerge w:val="continue"/>
            <w:vAlign w:val="center"/>
          </w:tcPr>
          <w:p>
            <w:pPr>
              <w:jc w:val="center"/>
              <w:rPr>
                <w:color w:val="auto"/>
                <w:highlight w:val="none"/>
              </w:rPr>
            </w:pPr>
          </w:p>
        </w:tc>
        <w:tc>
          <w:tcPr>
            <w:tcW w:w="800" w:type="dxa"/>
            <w:vMerge w:val="continue"/>
            <w:vAlign w:val="center"/>
          </w:tcPr>
          <w:p>
            <w:pPr>
              <w:tabs>
                <w:tab w:val="left" w:pos="7020"/>
              </w:tabs>
              <w:spacing w:line="160" w:lineRule="atLeast"/>
              <w:jc w:val="center"/>
              <w:rPr>
                <w:color w:val="auto"/>
                <w:highlight w:val="none"/>
              </w:rPr>
            </w:pPr>
          </w:p>
        </w:tc>
        <w:tc>
          <w:tcPr>
            <w:tcW w:w="1700" w:type="dxa"/>
            <w:vAlign w:val="center"/>
          </w:tcPr>
          <w:p>
            <w:pPr>
              <w:tabs>
                <w:tab w:val="left" w:pos="7020"/>
              </w:tabs>
              <w:spacing w:line="160" w:lineRule="atLeast"/>
              <w:jc w:val="center"/>
              <w:rPr>
                <w:color w:val="auto"/>
                <w:highlight w:val="none"/>
              </w:rPr>
            </w:pPr>
            <w:r>
              <w:rPr>
                <w:color w:val="auto"/>
                <w:highlight w:val="none"/>
              </w:rPr>
              <w:t>排放速率(kg/h)</w:t>
            </w:r>
          </w:p>
        </w:tc>
        <w:tc>
          <w:tcPr>
            <w:tcW w:w="550" w:type="dxa"/>
            <w:vMerge w:val="continue"/>
            <w:vAlign w:val="center"/>
          </w:tcPr>
          <w:p>
            <w:pPr>
              <w:jc w:val="center"/>
              <w:rPr>
                <w:color w:val="auto"/>
                <w:highlight w:val="none"/>
              </w:rPr>
            </w:pPr>
          </w:p>
        </w:tc>
        <w:tc>
          <w:tcPr>
            <w:tcW w:w="883" w:type="dxa"/>
            <w:vAlign w:val="center"/>
          </w:tcPr>
          <w:p>
            <w:pPr>
              <w:jc w:val="center"/>
              <w:rPr>
                <w:rFonts w:hint="eastAsia" w:eastAsia="宋体"/>
                <w:color w:val="auto"/>
                <w:highlight w:val="none"/>
                <w:lang w:val="en-US" w:eastAsia="zh-CN"/>
              </w:rPr>
            </w:pPr>
            <w:r>
              <w:rPr>
                <w:rFonts w:hint="eastAsia"/>
                <w:color w:val="auto"/>
                <w:highlight w:val="none"/>
                <w:lang w:val="en-US" w:eastAsia="zh-CN"/>
              </w:rPr>
              <w:t>0.015</w:t>
            </w:r>
          </w:p>
        </w:tc>
        <w:tc>
          <w:tcPr>
            <w:tcW w:w="850" w:type="dxa"/>
            <w:vAlign w:val="center"/>
          </w:tcPr>
          <w:p>
            <w:pPr>
              <w:jc w:val="center"/>
              <w:rPr>
                <w:rFonts w:hint="eastAsia" w:eastAsia="宋体"/>
                <w:color w:val="auto"/>
                <w:highlight w:val="none"/>
                <w:lang w:val="en-US" w:eastAsia="zh-CN"/>
              </w:rPr>
            </w:pPr>
            <w:r>
              <w:rPr>
                <w:rFonts w:hint="eastAsia"/>
                <w:color w:val="auto"/>
                <w:highlight w:val="none"/>
                <w:lang w:val="en-US" w:eastAsia="zh-CN"/>
              </w:rPr>
              <w:t>0.011</w:t>
            </w:r>
          </w:p>
        </w:tc>
        <w:tc>
          <w:tcPr>
            <w:tcW w:w="833" w:type="dxa"/>
            <w:vAlign w:val="center"/>
          </w:tcPr>
          <w:p>
            <w:pPr>
              <w:jc w:val="center"/>
              <w:rPr>
                <w:rFonts w:hint="eastAsia" w:eastAsia="宋体"/>
                <w:color w:val="auto"/>
                <w:highlight w:val="none"/>
                <w:lang w:val="en-US" w:eastAsia="zh-CN"/>
              </w:rPr>
            </w:pPr>
            <w:r>
              <w:rPr>
                <w:rFonts w:hint="eastAsia"/>
                <w:color w:val="auto"/>
                <w:highlight w:val="none"/>
                <w:lang w:val="en-US" w:eastAsia="zh-CN"/>
              </w:rPr>
              <w:t>0.017</w:t>
            </w:r>
          </w:p>
        </w:tc>
        <w:tc>
          <w:tcPr>
            <w:tcW w:w="967" w:type="dxa"/>
            <w:vAlign w:val="center"/>
          </w:tcPr>
          <w:p>
            <w:pPr>
              <w:jc w:val="center"/>
              <w:rPr>
                <w:rFonts w:hint="eastAsia" w:eastAsia="宋体"/>
                <w:color w:val="auto"/>
                <w:highlight w:val="none"/>
                <w:lang w:val="en-US" w:eastAsia="zh-CN"/>
              </w:rPr>
            </w:pPr>
            <w:r>
              <w:rPr>
                <w:rFonts w:hint="eastAsia"/>
                <w:color w:val="auto"/>
                <w:highlight w:val="none"/>
                <w:lang w:val="en-US" w:eastAsia="zh-CN"/>
              </w:rPr>
              <w:t>0.009</w:t>
            </w:r>
          </w:p>
        </w:tc>
        <w:tc>
          <w:tcPr>
            <w:tcW w:w="933" w:type="dxa"/>
            <w:vAlign w:val="center"/>
          </w:tcPr>
          <w:p>
            <w:pPr>
              <w:jc w:val="center"/>
              <w:rPr>
                <w:rFonts w:hint="eastAsia" w:eastAsia="宋体"/>
                <w:color w:val="auto"/>
                <w:highlight w:val="none"/>
                <w:lang w:val="en-US" w:eastAsia="zh-CN"/>
              </w:rPr>
            </w:pPr>
            <w:r>
              <w:rPr>
                <w:rFonts w:hint="eastAsia"/>
                <w:color w:val="auto"/>
                <w:highlight w:val="none"/>
                <w:lang w:val="en-US" w:eastAsia="zh-CN"/>
              </w:rPr>
              <w:t>0.013</w:t>
            </w:r>
          </w:p>
        </w:tc>
        <w:tc>
          <w:tcPr>
            <w:tcW w:w="980" w:type="dxa"/>
            <w:vAlign w:val="center"/>
          </w:tcPr>
          <w:p>
            <w:pPr>
              <w:jc w:val="center"/>
              <w:rPr>
                <w:rFonts w:hint="eastAsia" w:eastAsia="宋体"/>
                <w:color w:val="auto"/>
                <w:highlight w:val="none"/>
                <w:lang w:val="en-US" w:eastAsia="zh-CN"/>
              </w:rPr>
            </w:pPr>
            <w:r>
              <w:rPr>
                <w:rFonts w:hint="eastAsia"/>
                <w:color w:val="auto"/>
                <w:highlight w:val="none"/>
                <w:lang w:val="en-US" w:eastAsia="zh-CN"/>
              </w:rPr>
              <w:t>0.014</w:t>
            </w:r>
          </w:p>
        </w:tc>
        <w:tc>
          <w:tcPr>
            <w:tcW w:w="1069" w:type="dxa"/>
            <w:vMerge w:val="continue"/>
            <w:vAlign w:val="center"/>
          </w:tcPr>
          <w:p>
            <w:pPr>
              <w:jc w:val="center"/>
              <w:rPr>
                <w:rFonts w:hint="eastAsia"/>
                <w:color w:val="auto"/>
                <w:highlight w:val="none"/>
                <w:lang w:val="en-US" w:eastAsia="zh-CN"/>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431" w:type="dxa"/>
            <w:vMerge w:val="restart"/>
            <w:vAlign w:val="center"/>
          </w:tcPr>
          <w:p>
            <w:pPr>
              <w:jc w:val="center"/>
              <w:rPr>
                <w:rFonts w:hint="eastAsia" w:eastAsia="宋体"/>
                <w:color w:val="auto"/>
                <w:highlight w:val="none"/>
                <w:lang w:val="en-US" w:eastAsia="zh-CN"/>
              </w:rPr>
            </w:pPr>
            <w:r>
              <w:rPr>
                <w:rFonts w:hint="eastAsia"/>
                <w:color w:val="auto"/>
                <w:highlight w:val="none"/>
                <w:lang w:val="en-US" w:eastAsia="zh-CN"/>
              </w:rPr>
              <w:t>P4-2</w:t>
            </w:r>
          </w:p>
        </w:tc>
        <w:tc>
          <w:tcPr>
            <w:tcW w:w="2500" w:type="dxa"/>
            <w:gridSpan w:val="2"/>
            <w:vAlign w:val="center"/>
          </w:tcPr>
          <w:p>
            <w:pPr>
              <w:tabs>
                <w:tab w:val="left" w:pos="7020"/>
              </w:tabs>
              <w:spacing w:line="160" w:lineRule="atLeast"/>
              <w:jc w:val="center"/>
              <w:rPr>
                <w:color w:val="auto"/>
                <w:highlight w:val="none"/>
              </w:rPr>
            </w:pPr>
            <w:r>
              <w:rPr>
                <w:color w:val="auto"/>
                <w:highlight w:val="none"/>
              </w:rPr>
              <w:t>标干废气量(m</w:t>
            </w:r>
            <w:r>
              <w:rPr>
                <w:color w:val="auto"/>
                <w:highlight w:val="none"/>
                <w:vertAlign w:val="superscript"/>
              </w:rPr>
              <w:t>3</w:t>
            </w:r>
            <w:r>
              <w:rPr>
                <w:color w:val="auto"/>
                <w:highlight w:val="none"/>
              </w:rPr>
              <w:t>/h)</w:t>
            </w:r>
          </w:p>
        </w:tc>
        <w:tc>
          <w:tcPr>
            <w:tcW w:w="550" w:type="dxa"/>
            <w:vMerge w:val="restart"/>
            <w:vAlign w:val="center"/>
          </w:tcPr>
          <w:p>
            <w:pPr>
              <w:jc w:val="center"/>
              <w:rPr>
                <w:rFonts w:hint="eastAsia" w:eastAsia="宋体"/>
                <w:color w:val="auto"/>
                <w:highlight w:val="none"/>
                <w:lang w:val="en-US" w:eastAsia="zh-CN"/>
              </w:rPr>
            </w:pPr>
            <w:r>
              <w:rPr>
                <w:rFonts w:hint="eastAsia"/>
                <w:color w:val="auto"/>
                <w:highlight w:val="none"/>
                <w:lang w:val="en-US" w:eastAsia="zh-CN"/>
              </w:rPr>
              <w:t>9.9</w:t>
            </w:r>
          </w:p>
        </w:tc>
        <w:tc>
          <w:tcPr>
            <w:tcW w:w="883" w:type="dxa"/>
            <w:vAlign w:val="center"/>
          </w:tcPr>
          <w:p>
            <w:pPr>
              <w:jc w:val="center"/>
              <w:rPr>
                <w:rFonts w:hint="eastAsia" w:eastAsia="宋体"/>
                <w:color w:val="auto"/>
                <w:highlight w:val="none"/>
                <w:lang w:val="en-US" w:eastAsia="zh-CN"/>
              </w:rPr>
            </w:pPr>
            <w:r>
              <w:rPr>
                <w:rFonts w:hint="eastAsia"/>
                <w:color w:val="auto"/>
                <w:highlight w:val="none"/>
                <w:lang w:val="en-US" w:eastAsia="zh-CN"/>
              </w:rPr>
              <w:t>10322</w:t>
            </w:r>
          </w:p>
        </w:tc>
        <w:tc>
          <w:tcPr>
            <w:tcW w:w="850" w:type="dxa"/>
            <w:vAlign w:val="center"/>
          </w:tcPr>
          <w:p>
            <w:pPr>
              <w:jc w:val="center"/>
              <w:rPr>
                <w:rFonts w:hint="eastAsia" w:eastAsia="宋体"/>
                <w:color w:val="auto"/>
                <w:highlight w:val="none"/>
                <w:lang w:val="en-US" w:eastAsia="zh-CN"/>
              </w:rPr>
            </w:pPr>
            <w:r>
              <w:rPr>
                <w:rFonts w:hint="eastAsia"/>
                <w:color w:val="auto"/>
                <w:highlight w:val="none"/>
                <w:lang w:val="en-US" w:eastAsia="zh-CN"/>
              </w:rPr>
              <w:t>10155</w:t>
            </w:r>
          </w:p>
        </w:tc>
        <w:tc>
          <w:tcPr>
            <w:tcW w:w="833" w:type="dxa"/>
            <w:vAlign w:val="center"/>
          </w:tcPr>
          <w:p>
            <w:pPr>
              <w:jc w:val="center"/>
              <w:rPr>
                <w:rFonts w:hint="eastAsia" w:eastAsia="宋体"/>
                <w:color w:val="auto"/>
                <w:highlight w:val="none"/>
                <w:lang w:val="en-US" w:eastAsia="zh-CN"/>
              </w:rPr>
            </w:pPr>
            <w:r>
              <w:rPr>
                <w:rFonts w:hint="eastAsia"/>
                <w:color w:val="auto"/>
                <w:highlight w:val="none"/>
                <w:lang w:val="en-US" w:eastAsia="zh-CN"/>
              </w:rPr>
              <w:t>10486</w:t>
            </w:r>
          </w:p>
        </w:tc>
        <w:tc>
          <w:tcPr>
            <w:tcW w:w="967" w:type="dxa"/>
            <w:vAlign w:val="center"/>
          </w:tcPr>
          <w:p>
            <w:pPr>
              <w:jc w:val="center"/>
              <w:rPr>
                <w:rFonts w:hint="eastAsia" w:eastAsia="宋体"/>
                <w:color w:val="auto"/>
                <w:highlight w:val="none"/>
                <w:lang w:val="en-US" w:eastAsia="zh-CN"/>
              </w:rPr>
            </w:pPr>
            <w:r>
              <w:rPr>
                <w:rFonts w:hint="eastAsia"/>
                <w:color w:val="auto"/>
                <w:highlight w:val="none"/>
                <w:lang w:val="en-US" w:eastAsia="zh-CN"/>
              </w:rPr>
              <w:t>9808</w:t>
            </w:r>
          </w:p>
        </w:tc>
        <w:tc>
          <w:tcPr>
            <w:tcW w:w="933" w:type="dxa"/>
            <w:vAlign w:val="center"/>
          </w:tcPr>
          <w:p>
            <w:pPr>
              <w:jc w:val="center"/>
              <w:rPr>
                <w:rFonts w:hint="eastAsia" w:eastAsia="宋体"/>
                <w:color w:val="auto"/>
                <w:highlight w:val="none"/>
                <w:lang w:val="en-US" w:eastAsia="zh-CN"/>
              </w:rPr>
            </w:pPr>
            <w:r>
              <w:rPr>
                <w:rFonts w:hint="eastAsia"/>
                <w:color w:val="auto"/>
                <w:highlight w:val="none"/>
                <w:lang w:val="en-US" w:eastAsia="zh-CN"/>
              </w:rPr>
              <w:t>9775</w:t>
            </w:r>
          </w:p>
        </w:tc>
        <w:tc>
          <w:tcPr>
            <w:tcW w:w="980" w:type="dxa"/>
            <w:vAlign w:val="center"/>
          </w:tcPr>
          <w:p>
            <w:pPr>
              <w:jc w:val="center"/>
              <w:rPr>
                <w:rFonts w:hint="eastAsia" w:eastAsia="宋体"/>
                <w:color w:val="auto"/>
                <w:highlight w:val="none"/>
                <w:lang w:val="en-US" w:eastAsia="zh-CN"/>
              </w:rPr>
            </w:pPr>
            <w:r>
              <w:rPr>
                <w:rFonts w:hint="eastAsia"/>
                <w:color w:val="auto"/>
                <w:highlight w:val="none"/>
                <w:lang w:val="en-US" w:eastAsia="zh-CN"/>
              </w:rPr>
              <w:t>9886</w:t>
            </w:r>
          </w:p>
        </w:tc>
        <w:tc>
          <w:tcPr>
            <w:tcW w:w="1069" w:type="dxa"/>
            <w:vMerge w:val="restart"/>
            <w:vAlign w:val="center"/>
          </w:tcPr>
          <w:p>
            <w:pPr>
              <w:jc w:val="center"/>
              <w:rPr>
                <w:rFonts w:hint="eastAsia"/>
                <w:color w:val="auto"/>
                <w:highlight w:val="none"/>
                <w:lang w:val="en-US" w:eastAsia="zh-CN"/>
              </w:rPr>
            </w:pPr>
            <w:r>
              <w:rPr>
                <w:rFonts w:hint="eastAsia"/>
                <w:color w:val="auto"/>
                <w:highlight w:val="none"/>
                <w:lang w:val="en-US" w:eastAsia="zh-CN"/>
              </w:rPr>
              <w:t>2.51</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03" w:hRule="exact"/>
          <w:jc w:val="center"/>
        </w:trPr>
        <w:tc>
          <w:tcPr>
            <w:tcW w:w="431" w:type="dxa"/>
            <w:vMerge w:val="continue"/>
            <w:vAlign w:val="center"/>
          </w:tcPr>
          <w:p>
            <w:pPr>
              <w:jc w:val="center"/>
              <w:rPr>
                <w:color w:val="auto"/>
                <w:highlight w:val="none"/>
              </w:rPr>
            </w:pPr>
          </w:p>
        </w:tc>
        <w:tc>
          <w:tcPr>
            <w:tcW w:w="800" w:type="dxa"/>
            <w:vMerge w:val="restart"/>
            <w:vAlign w:val="center"/>
          </w:tcPr>
          <w:p>
            <w:pPr>
              <w:tabs>
                <w:tab w:val="left" w:pos="7020"/>
              </w:tabs>
              <w:spacing w:line="160" w:lineRule="atLeast"/>
              <w:jc w:val="center"/>
              <w:rPr>
                <w:color w:val="auto"/>
                <w:highlight w:val="none"/>
              </w:rPr>
            </w:pPr>
            <w:r>
              <w:rPr>
                <w:rFonts w:hint="default" w:ascii="Times New Roman" w:hAnsi="Times New Roman" w:cs="Times New Roman"/>
                <w:color w:val="auto"/>
                <w:sz w:val="21"/>
                <w:szCs w:val="21"/>
                <w:highlight w:val="none"/>
              </w:rPr>
              <w:t>氯化氢</w:t>
            </w:r>
          </w:p>
        </w:tc>
        <w:tc>
          <w:tcPr>
            <w:tcW w:w="1700" w:type="dxa"/>
            <w:vAlign w:val="center"/>
          </w:tcPr>
          <w:p>
            <w:pPr>
              <w:tabs>
                <w:tab w:val="left" w:pos="7020"/>
              </w:tabs>
              <w:spacing w:line="160" w:lineRule="atLeast"/>
              <w:jc w:val="center"/>
              <w:rPr>
                <w:color w:val="auto"/>
                <w:highlight w:val="none"/>
              </w:rPr>
            </w:pPr>
            <w:r>
              <w:rPr>
                <w:color w:val="auto"/>
                <w:highlight w:val="none"/>
              </w:rPr>
              <w:t>排放浓</w:t>
            </w:r>
            <w:r>
              <w:rPr>
                <w:rFonts w:hint="eastAsia"/>
                <w:color w:val="auto"/>
                <w:highlight w:val="none"/>
              </w:rPr>
              <w:t>度</w:t>
            </w:r>
            <w:r>
              <w:rPr>
                <w:color w:val="auto"/>
                <w:highlight w:val="none"/>
              </w:rPr>
              <w:t>(mg/m</w:t>
            </w:r>
            <w:r>
              <w:rPr>
                <w:color w:val="auto"/>
                <w:highlight w:val="none"/>
                <w:vertAlign w:val="superscript"/>
              </w:rPr>
              <w:t>3</w:t>
            </w:r>
            <w:r>
              <w:rPr>
                <w:color w:val="auto"/>
                <w:highlight w:val="none"/>
              </w:rPr>
              <w:t>)</w:t>
            </w:r>
          </w:p>
        </w:tc>
        <w:tc>
          <w:tcPr>
            <w:tcW w:w="550" w:type="dxa"/>
            <w:vMerge w:val="continue"/>
            <w:vAlign w:val="center"/>
          </w:tcPr>
          <w:p>
            <w:pPr>
              <w:jc w:val="center"/>
              <w:rPr>
                <w:color w:val="auto"/>
                <w:highlight w:val="none"/>
              </w:rPr>
            </w:pPr>
          </w:p>
        </w:tc>
        <w:tc>
          <w:tcPr>
            <w:tcW w:w="883" w:type="dxa"/>
            <w:vAlign w:val="center"/>
          </w:tcPr>
          <w:p>
            <w:pPr>
              <w:jc w:val="center"/>
              <w:rPr>
                <w:rFonts w:hint="eastAsia" w:eastAsia="宋体"/>
                <w:color w:val="auto"/>
                <w:highlight w:val="none"/>
                <w:lang w:val="en-US" w:eastAsia="zh-CN"/>
              </w:rPr>
            </w:pPr>
            <w:r>
              <w:rPr>
                <w:rFonts w:hint="eastAsia"/>
                <w:color w:val="auto"/>
                <w:highlight w:val="none"/>
                <w:lang w:val="en-US" w:eastAsia="zh-CN"/>
              </w:rPr>
              <w:t>5.36</w:t>
            </w:r>
          </w:p>
        </w:tc>
        <w:tc>
          <w:tcPr>
            <w:tcW w:w="850" w:type="dxa"/>
            <w:vAlign w:val="center"/>
          </w:tcPr>
          <w:p>
            <w:pPr>
              <w:jc w:val="center"/>
              <w:rPr>
                <w:rFonts w:hint="eastAsia" w:eastAsia="宋体"/>
                <w:color w:val="auto"/>
                <w:highlight w:val="none"/>
                <w:lang w:val="en-US" w:eastAsia="zh-CN"/>
              </w:rPr>
            </w:pPr>
            <w:r>
              <w:rPr>
                <w:rFonts w:hint="eastAsia"/>
                <w:color w:val="auto"/>
                <w:highlight w:val="none"/>
                <w:lang w:val="en-US" w:eastAsia="zh-CN"/>
              </w:rPr>
              <w:t>5.77</w:t>
            </w:r>
          </w:p>
        </w:tc>
        <w:tc>
          <w:tcPr>
            <w:tcW w:w="833" w:type="dxa"/>
            <w:vAlign w:val="center"/>
          </w:tcPr>
          <w:p>
            <w:pPr>
              <w:jc w:val="center"/>
              <w:rPr>
                <w:rFonts w:hint="eastAsia" w:eastAsia="宋体"/>
                <w:color w:val="auto"/>
                <w:highlight w:val="none"/>
                <w:lang w:val="en-US" w:eastAsia="zh-CN"/>
              </w:rPr>
            </w:pPr>
            <w:r>
              <w:rPr>
                <w:rFonts w:hint="eastAsia"/>
                <w:color w:val="auto"/>
                <w:highlight w:val="none"/>
                <w:lang w:val="en-US" w:eastAsia="zh-CN"/>
              </w:rPr>
              <w:t>5.41</w:t>
            </w:r>
          </w:p>
        </w:tc>
        <w:tc>
          <w:tcPr>
            <w:tcW w:w="967" w:type="dxa"/>
            <w:vAlign w:val="center"/>
          </w:tcPr>
          <w:p>
            <w:pPr>
              <w:jc w:val="center"/>
              <w:rPr>
                <w:rFonts w:hint="eastAsia" w:eastAsia="宋体"/>
                <w:color w:val="auto"/>
                <w:highlight w:val="none"/>
                <w:lang w:val="en-US" w:eastAsia="zh-CN"/>
              </w:rPr>
            </w:pPr>
            <w:r>
              <w:rPr>
                <w:rFonts w:hint="eastAsia"/>
                <w:color w:val="auto"/>
                <w:highlight w:val="none"/>
                <w:lang w:val="en-US" w:eastAsia="zh-CN"/>
              </w:rPr>
              <w:t>0.614</w:t>
            </w:r>
          </w:p>
        </w:tc>
        <w:tc>
          <w:tcPr>
            <w:tcW w:w="933" w:type="dxa"/>
            <w:vAlign w:val="center"/>
          </w:tcPr>
          <w:p>
            <w:pPr>
              <w:jc w:val="center"/>
              <w:rPr>
                <w:rFonts w:hint="eastAsia" w:eastAsia="宋体"/>
                <w:color w:val="auto"/>
                <w:highlight w:val="none"/>
                <w:lang w:val="en-US" w:eastAsia="zh-CN"/>
              </w:rPr>
            </w:pPr>
            <w:r>
              <w:rPr>
                <w:rFonts w:hint="eastAsia"/>
                <w:color w:val="auto"/>
                <w:highlight w:val="none"/>
                <w:lang w:val="en-US" w:eastAsia="zh-CN"/>
              </w:rPr>
              <w:t>0.697</w:t>
            </w:r>
          </w:p>
        </w:tc>
        <w:tc>
          <w:tcPr>
            <w:tcW w:w="980" w:type="dxa"/>
            <w:vAlign w:val="center"/>
          </w:tcPr>
          <w:p>
            <w:pPr>
              <w:jc w:val="center"/>
              <w:rPr>
                <w:rFonts w:hint="eastAsia" w:eastAsia="宋体"/>
                <w:color w:val="auto"/>
                <w:highlight w:val="none"/>
                <w:lang w:val="en-US" w:eastAsia="zh-CN"/>
              </w:rPr>
            </w:pPr>
            <w:r>
              <w:rPr>
                <w:rFonts w:hint="eastAsia"/>
                <w:color w:val="auto"/>
                <w:highlight w:val="none"/>
                <w:lang w:val="en-US" w:eastAsia="zh-CN"/>
              </w:rPr>
              <w:t>0.649</w:t>
            </w:r>
          </w:p>
        </w:tc>
        <w:tc>
          <w:tcPr>
            <w:tcW w:w="1069" w:type="dxa"/>
            <w:vMerge w:val="continue"/>
            <w:vAlign w:val="center"/>
          </w:tcPr>
          <w:p>
            <w:pPr>
              <w:jc w:val="center"/>
              <w:rPr>
                <w:rFonts w:hint="eastAsia"/>
                <w:color w:val="auto"/>
                <w:highlight w:val="none"/>
                <w:lang w:val="en-US" w:eastAsia="zh-CN"/>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431" w:type="dxa"/>
            <w:vMerge w:val="continue"/>
            <w:vAlign w:val="center"/>
          </w:tcPr>
          <w:p>
            <w:pPr>
              <w:jc w:val="center"/>
              <w:rPr>
                <w:color w:val="auto"/>
                <w:highlight w:val="none"/>
              </w:rPr>
            </w:pPr>
          </w:p>
        </w:tc>
        <w:tc>
          <w:tcPr>
            <w:tcW w:w="800" w:type="dxa"/>
            <w:vMerge w:val="continue"/>
            <w:vAlign w:val="center"/>
          </w:tcPr>
          <w:p>
            <w:pPr>
              <w:tabs>
                <w:tab w:val="left" w:pos="7020"/>
              </w:tabs>
              <w:spacing w:line="160" w:lineRule="atLeast"/>
              <w:jc w:val="center"/>
              <w:rPr>
                <w:color w:val="auto"/>
                <w:highlight w:val="none"/>
              </w:rPr>
            </w:pPr>
          </w:p>
        </w:tc>
        <w:tc>
          <w:tcPr>
            <w:tcW w:w="1700" w:type="dxa"/>
            <w:vAlign w:val="center"/>
          </w:tcPr>
          <w:p>
            <w:pPr>
              <w:tabs>
                <w:tab w:val="left" w:pos="7020"/>
              </w:tabs>
              <w:spacing w:line="160" w:lineRule="atLeast"/>
              <w:jc w:val="center"/>
              <w:rPr>
                <w:color w:val="auto"/>
                <w:highlight w:val="none"/>
              </w:rPr>
            </w:pPr>
            <w:r>
              <w:rPr>
                <w:color w:val="auto"/>
                <w:highlight w:val="none"/>
              </w:rPr>
              <w:t>排放速率(kg/h)</w:t>
            </w:r>
          </w:p>
        </w:tc>
        <w:tc>
          <w:tcPr>
            <w:tcW w:w="550" w:type="dxa"/>
            <w:vMerge w:val="continue"/>
            <w:vAlign w:val="center"/>
          </w:tcPr>
          <w:p>
            <w:pPr>
              <w:jc w:val="center"/>
              <w:rPr>
                <w:color w:val="auto"/>
                <w:highlight w:val="none"/>
              </w:rPr>
            </w:pPr>
          </w:p>
        </w:tc>
        <w:tc>
          <w:tcPr>
            <w:tcW w:w="883" w:type="dxa"/>
            <w:vAlign w:val="center"/>
          </w:tcPr>
          <w:p>
            <w:pPr>
              <w:jc w:val="center"/>
              <w:rPr>
                <w:rFonts w:hint="eastAsia" w:eastAsia="宋体"/>
                <w:color w:val="auto"/>
                <w:highlight w:val="none"/>
                <w:lang w:val="en-US" w:eastAsia="zh-CN"/>
              </w:rPr>
            </w:pPr>
            <w:r>
              <w:rPr>
                <w:rFonts w:hint="eastAsia"/>
                <w:color w:val="auto"/>
                <w:highlight w:val="none"/>
                <w:lang w:val="en-US" w:eastAsia="zh-CN"/>
              </w:rPr>
              <w:t>0.055</w:t>
            </w:r>
          </w:p>
        </w:tc>
        <w:tc>
          <w:tcPr>
            <w:tcW w:w="850" w:type="dxa"/>
            <w:vAlign w:val="center"/>
          </w:tcPr>
          <w:p>
            <w:pPr>
              <w:jc w:val="center"/>
              <w:rPr>
                <w:rFonts w:hint="eastAsia" w:eastAsia="宋体"/>
                <w:color w:val="auto"/>
                <w:highlight w:val="none"/>
                <w:lang w:val="en-US" w:eastAsia="zh-CN"/>
              </w:rPr>
            </w:pPr>
            <w:r>
              <w:rPr>
                <w:rFonts w:hint="eastAsia"/>
                <w:color w:val="auto"/>
                <w:highlight w:val="none"/>
                <w:lang w:val="en-US" w:eastAsia="zh-CN"/>
              </w:rPr>
              <w:t>0.059</w:t>
            </w:r>
          </w:p>
        </w:tc>
        <w:tc>
          <w:tcPr>
            <w:tcW w:w="833" w:type="dxa"/>
            <w:vAlign w:val="center"/>
          </w:tcPr>
          <w:p>
            <w:pPr>
              <w:jc w:val="center"/>
              <w:rPr>
                <w:rFonts w:hint="eastAsia" w:eastAsia="宋体"/>
                <w:color w:val="auto"/>
                <w:highlight w:val="none"/>
                <w:lang w:val="en-US" w:eastAsia="zh-CN"/>
              </w:rPr>
            </w:pPr>
            <w:r>
              <w:rPr>
                <w:rFonts w:hint="eastAsia"/>
                <w:color w:val="auto"/>
                <w:highlight w:val="none"/>
                <w:lang w:val="en-US" w:eastAsia="zh-CN"/>
              </w:rPr>
              <w:t>0.057</w:t>
            </w:r>
          </w:p>
        </w:tc>
        <w:tc>
          <w:tcPr>
            <w:tcW w:w="967" w:type="dxa"/>
            <w:vAlign w:val="center"/>
          </w:tcPr>
          <w:p>
            <w:pPr>
              <w:jc w:val="center"/>
              <w:rPr>
                <w:rFonts w:hint="eastAsia" w:eastAsia="宋体"/>
                <w:color w:val="auto"/>
                <w:highlight w:val="none"/>
                <w:lang w:val="en-US" w:eastAsia="zh-CN"/>
              </w:rPr>
            </w:pPr>
            <w:r>
              <w:rPr>
                <w:rFonts w:hint="eastAsia"/>
                <w:color w:val="auto"/>
                <w:highlight w:val="none"/>
                <w:lang w:val="en-US" w:eastAsia="zh-CN"/>
              </w:rPr>
              <w:t>6.02</w:t>
            </w:r>
            <w:r>
              <w:rPr>
                <w:color w:val="auto"/>
                <w:highlight w:val="none"/>
              </w:rPr>
              <w:t>×10</w:t>
            </w:r>
            <w:r>
              <w:rPr>
                <w:color w:val="auto"/>
                <w:highlight w:val="none"/>
                <w:vertAlign w:val="superscript"/>
              </w:rPr>
              <w:t>-</w:t>
            </w:r>
            <w:r>
              <w:rPr>
                <w:rFonts w:hint="eastAsia"/>
                <w:color w:val="auto"/>
                <w:highlight w:val="none"/>
                <w:vertAlign w:val="superscript"/>
                <w:lang w:val="en-US" w:eastAsia="zh-CN"/>
              </w:rPr>
              <w:t>3</w:t>
            </w:r>
          </w:p>
        </w:tc>
        <w:tc>
          <w:tcPr>
            <w:tcW w:w="933" w:type="dxa"/>
            <w:vAlign w:val="center"/>
          </w:tcPr>
          <w:p>
            <w:pPr>
              <w:jc w:val="center"/>
              <w:rPr>
                <w:rFonts w:hint="eastAsia" w:eastAsia="宋体"/>
                <w:color w:val="auto"/>
                <w:highlight w:val="none"/>
                <w:lang w:val="en-US" w:eastAsia="zh-CN"/>
              </w:rPr>
            </w:pPr>
            <w:r>
              <w:rPr>
                <w:rFonts w:hint="eastAsia"/>
                <w:color w:val="auto"/>
                <w:highlight w:val="none"/>
                <w:lang w:val="en-US" w:eastAsia="zh-CN"/>
              </w:rPr>
              <w:t>6.82</w:t>
            </w:r>
            <w:r>
              <w:rPr>
                <w:color w:val="auto"/>
                <w:highlight w:val="none"/>
              </w:rPr>
              <w:t>×10</w:t>
            </w:r>
            <w:r>
              <w:rPr>
                <w:color w:val="auto"/>
                <w:highlight w:val="none"/>
                <w:vertAlign w:val="superscript"/>
              </w:rPr>
              <w:t>-</w:t>
            </w:r>
            <w:r>
              <w:rPr>
                <w:rFonts w:hint="eastAsia"/>
                <w:color w:val="auto"/>
                <w:highlight w:val="none"/>
                <w:vertAlign w:val="superscript"/>
                <w:lang w:val="en-US" w:eastAsia="zh-CN"/>
              </w:rPr>
              <w:t>3</w:t>
            </w:r>
          </w:p>
        </w:tc>
        <w:tc>
          <w:tcPr>
            <w:tcW w:w="980" w:type="dxa"/>
            <w:vAlign w:val="center"/>
          </w:tcPr>
          <w:p>
            <w:pPr>
              <w:jc w:val="center"/>
              <w:rPr>
                <w:rFonts w:hint="eastAsia" w:eastAsia="宋体"/>
                <w:color w:val="auto"/>
                <w:highlight w:val="none"/>
                <w:lang w:val="en-US" w:eastAsia="zh-CN"/>
              </w:rPr>
            </w:pPr>
            <w:r>
              <w:rPr>
                <w:rFonts w:hint="eastAsia"/>
                <w:color w:val="auto"/>
                <w:highlight w:val="none"/>
                <w:lang w:val="en-US" w:eastAsia="zh-CN"/>
              </w:rPr>
              <w:t>6.42</w:t>
            </w:r>
            <w:r>
              <w:rPr>
                <w:color w:val="auto"/>
                <w:highlight w:val="none"/>
              </w:rPr>
              <w:t>×10</w:t>
            </w:r>
            <w:r>
              <w:rPr>
                <w:color w:val="auto"/>
                <w:highlight w:val="none"/>
                <w:vertAlign w:val="superscript"/>
              </w:rPr>
              <w:t>-</w:t>
            </w:r>
            <w:r>
              <w:rPr>
                <w:rFonts w:hint="eastAsia"/>
                <w:color w:val="auto"/>
                <w:highlight w:val="none"/>
                <w:vertAlign w:val="superscript"/>
                <w:lang w:val="en-US" w:eastAsia="zh-CN"/>
              </w:rPr>
              <w:t>3</w:t>
            </w:r>
          </w:p>
        </w:tc>
        <w:tc>
          <w:tcPr>
            <w:tcW w:w="1069" w:type="dxa"/>
            <w:vMerge w:val="continue"/>
            <w:vAlign w:val="center"/>
          </w:tcPr>
          <w:p>
            <w:pPr>
              <w:jc w:val="center"/>
              <w:rPr>
                <w:rFonts w:hint="eastAsia"/>
                <w:color w:val="auto"/>
                <w:highlight w:val="none"/>
                <w:lang w:val="en-US" w:eastAsia="zh-CN"/>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431" w:type="dxa"/>
            <w:vMerge w:val="continue"/>
            <w:vAlign w:val="center"/>
          </w:tcPr>
          <w:p>
            <w:pPr>
              <w:jc w:val="center"/>
              <w:rPr>
                <w:color w:val="auto"/>
                <w:highlight w:val="none"/>
              </w:rPr>
            </w:pPr>
          </w:p>
        </w:tc>
        <w:tc>
          <w:tcPr>
            <w:tcW w:w="2500" w:type="dxa"/>
            <w:gridSpan w:val="2"/>
            <w:vAlign w:val="center"/>
          </w:tcPr>
          <w:p>
            <w:pPr>
              <w:tabs>
                <w:tab w:val="left" w:pos="7020"/>
              </w:tabs>
              <w:spacing w:line="160" w:lineRule="atLeast"/>
              <w:jc w:val="center"/>
              <w:rPr>
                <w:color w:val="auto"/>
                <w:highlight w:val="none"/>
              </w:rPr>
            </w:pPr>
            <w:r>
              <w:rPr>
                <w:color w:val="auto"/>
                <w:highlight w:val="none"/>
              </w:rPr>
              <w:t>标干废气量(m</w:t>
            </w:r>
            <w:r>
              <w:rPr>
                <w:color w:val="auto"/>
                <w:highlight w:val="none"/>
                <w:vertAlign w:val="superscript"/>
              </w:rPr>
              <w:t>3</w:t>
            </w:r>
            <w:r>
              <w:rPr>
                <w:color w:val="auto"/>
                <w:highlight w:val="none"/>
              </w:rPr>
              <w:t>/h)</w:t>
            </w:r>
          </w:p>
        </w:tc>
        <w:tc>
          <w:tcPr>
            <w:tcW w:w="550" w:type="dxa"/>
            <w:vMerge w:val="restart"/>
            <w:vAlign w:val="center"/>
          </w:tcPr>
          <w:p>
            <w:pPr>
              <w:jc w:val="center"/>
              <w:rPr>
                <w:rFonts w:hint="eastAsia" w:eastAsia="宋体"/>
                <w:color w:val="auto"/>
                <w:highlight w:val="none"/>
                <w:lang w:val="en-US" w:eastAsia="zh-CN"/>
              </w:rPr>
            </w:pPr>
            <w:r>
              <w:rPr>
                <w:rFonts w:hint="eastAsia"/>
                <w:color w:val="auto"/>
                <w:highlight w:val="none"/>
                <w:lang w:val="en-US" w:eastAsia="zh-CN"/>
              </w:rPr>
              <w:t>9.10</w:t>
            </w:r>
          </w:p>
        </w:tc>
        <w:tc>
          <w:tcPr>
            <w:tcW w:w="883" w:type="dxa"/>
            <w:vAlign w:val="center"/>
          </w:tcPr>
          <w:p>
            <w:pPr>
              <w:jc w:val="center"/>
              <w:rPr>
                <w:color w:val="auto"/>
                <w:highlight w:val="none"/>
              </w:rPr>
            </w:pPr>
            <w:r>
              <w:rPr>
                <w:rFonts w:hint="eastAsia"/>
                <w:color w:val="auto"/>
                <w:highlight w:val="none"/>
                <w:lang w:val="en-US" w:eastAsia="zh-CN"/>
              </w:rPr>
              <w:t>10277</w:t>
            </w:r>
          </w:p>
        </w:tc>
        <w:tc>
          <w:tcPr>
            <w:tcW w:w="850" w:type="dxa"/>
            <w:vAlign w:val="center"/>
          </w:tcPr>
          <w:p>
            <w:pPr>
              <w:jc w:val="center"/>
              <w:rPr>
                <w:color w:val="auto"/>
                <w:highlight w:val="none"/>
              </w:rPr>
            </w:pPr>
            <w:r>
              <w:rPr>
                <w:rFonts w:hint="eastAsia"/>
                <w:color w:val="auto"/>
                <w:highlight w:val="none"/>
                <w:lang w:val="en-US" w:eastAsia="zh-CN"/>
              </w:rPr>
              <w:t>10476</w:t>
            </w:r>
          </w:p>
        </w:tc>
        <w:tc>
          <w:tcPr>
            <w:tcW w:w="833" w:type="dxa"/>
            <w:vAlign w:val="center"/>
          </w:tcPr>
          <w:p>
            <w:pPr>
              <w:jc w:val="center"/>
              <w:rPr>
                <w:color w:val="auto"/>
                <w:highlight w:val="none"/>
              </w:rPr>
            </w:pPr>
            <w:r>
              <w:rPr>
                <w:rFonts w:hint="eastAsia"/>
                <w:color w:val="auto"/>
                <w:highlight w:val="none"/>
                <w:lang w:val="en-US" w:eastAsia="zh-CN"/>
              </w:rPr>
              <w:t>10082</w:t>
            </w:r>
          </w:p>
        </w:tc>
        <w:tc>
          <w:tcPr>
            <w:tcW w:w="967" w:type="dxa"/>
            <w:vAlign w:val="center"/>
          </w:tcPr>
          <w:p>
            <w:pPr>
              <w:jc w:val="center"/>
              <w:rPr>
                <w:rFonts w:hint="eastAsia" w:eastAsia="宋体"/>
                <w:color w:val="auto"/>
                <w:highlight w:val="none"/>
                <w:lang w:val="en-US" w:eastAsia="zh-CN"/>
              </w:rPr>
            </w:pPr>
            <w:r>
              <w:rPr>
                <w:rFonts w:hint="eastAsia"/>
                <w:color w:val="auto"/>
                <w:highlight w:val="none"/>
                <w:lang w:val="en-US" w:eastAsia="zh-CN"/>
              </w:rPr>
              <w:t>9710</w:t>
            </w:r>
          </w:p>
        </w:tc>
        <w:tc>
          <w:tcPr>
            <w:tcW w:w="933" w:type="dxa"/>
            <w:vAlign w:val="center"/>
          </w:tcPr>
          <w:p>
            <w:pPr>
              <w:jc w:val="center"/>
              <w:rPr>
                <w:rFonts w:hint="eastAsia" w:eastAsia="宋体"/>
                <w:color w:val="auto"/>
                <w:highlight w:val="none"/>
                <w:lang w:val="en-US" w:eastAsia="zh-CN"/>
              </w:rPr>
            </w:pPr>
            <w:r>
              <w:rPr>
                <w:rFonts w:hint="eastAsia"/>
                <w:color w:val="auto"/>
                <w:highlight w:val="none"/>
                <w:lang w:val="en-US" w:eastAsia="zh-CN"/>
              </w:rPr>
              <w:t>9629</w:t>
            </w:r>
          </w:p>
        </w:tc>
        <w:tc>
          <w:tcPr>
            <w:tcW w:w="980" w:type="dxa"/>
            <w:vAlign w:val="center"/>
          </w:tcPr>
          <w:p>
            <w:pPr>
              <w:jc w:val="center"/>
              <w:rPr>
                <w:rFonts w:hint="eastAsia" w:eastAsia="宋体"/>
                <w:color w:val="auto"/>
                <w:highlight w:val="none"/>
                <w:lang w:val="en-US" w:eastAsia="zh-CN"/>
              </w:rPr>
            </w:pPr>
            <w:r>
              <w:rPr>
                <w:rFonts w:hint="eastAsia"/>
                <w:color w:val="auto"/>
                <w:highlight w:val="none"/>
                <w:lang w:val="en-US" w:eastAsia="zh-CN"/>
              </w:rPr>
              <w:t>9662</w:t>
            </w:r>
          </w:p>
        </w:tc>
        <w:tc>
          <w:tcPr>
            <w:tcW w:w="1069" w:type="dxa"/>
            <w:vMerge w:val="restart"/>
            <w:vAlign w:val="center"/>
          </w:tcPr>
          <w:p>
            <w:pPr>
              <w:jc w:val="center"/>
              <w:rPr>
                <w:rFonts w:hint="eastAsia"/>
                <w:color w:val="auto"/>
                <w:highlight w:val="none"/>
                <w:lang w:val="en-US" w:eastAsia="zh-CN"/>
              </w:rPr>
            </w:pPr>
            <w:r>
              <w:rPr>
                <w:rFonts w:hint="eastAsia"/>
                <w:color w:val="auto"/>
                <w:highlight w:val="none"/>
                <w:lang w:val="en-US" w:eastAsia="zh-CN"/>
              </w:rPr>
              <w:t>2.45</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431" w:type="dxa"/>
            <w:vMerge w:val="continue"/>
            <w:vAlign w:val="center"/>
          </w:tcPr>
          <w:p>
            <w:pPr>
              <w:jc w:val="center"/>
              <w:rPr>
                <w:color w:val="auto"/>
                <w:highlight w:val="none"/>
              </w:rPr>
            </w:pPr>
          </w:p>
        </w:tc>
        <w:tc>
          <w:tcPr>
            <w:tcW w:w="800" w:type="dxa"/>
            <w:vMerge w:val="restart"/>
            <w:vAlign w:val="center"/>
          </w:tcPr>
          <w:p>
            <w:pPr>
              <w:tabs>
                <w:tab w:val="left" w:pos="7020"/>
              </w:tabs>
              <w:spacing w:line="160" w:lineRule="atLeast"/>
              <w:jc w:val="center"/>
              <w:rPr>
                <w:color w:val="auto"/>
                <w:highlight w:val="none"/>
              </w:rPr>
            </w:pPr>
            <w:r>
              <w:rPr>
                <w:rFonts w:hint="default" w:ascii="Times New Roman" w:hAnsi="Times New Roman" w:cs="Times New Roman"/>
                <w:color w:val="auto"/>
                <w:sz w:val="21"/>
                <w:szCs w:val="21"/>
                <w:highlight w:val="none"/>
              </w:rPr>
              <w:t>氯化氢</w:t>
            </w:r>
          </w:p>
        </w:tc>
        <w:tc>
          <w:tcPr>
            <w:tcW w:w="1700" w:type="dxa"/>
            <w:vAlign w:val="center"/>
          </w:tcPr>
          <w:p>
            <w:pPr>
              <w:tabs>
                <w:tab w:val="left" w:pos="7020"/>
              </w:tabs>
              <w:spacing w:line="160" w:lineRule="atLeast"/>
              <w:jc w:val="center"/>
              <w:rPr>
                <w:color w:val="auto"/>
                <w:highlight w:val="none"/>
              </w:rPr>
            </w:pPr>
            <w:r>
              <w:rPr>
                <w:color w:val="auto"/>
                <w:highlight w:val="none"/>
              </w:rPr>
              <w:t>排放浓</w:t>
            </w:r>
            <w:r>
              <w:rPr>
                <w:rFonts w:hint="eastAsia"/>
                <w:color w:val="auto"/>
                <w:highlight w:val="none"/>
              </w:rPr>
              <w:t>度</w:t>
            </w:r>
            <w:r>
              <w:rPr>
                <w:color w:val="auto"/>
                <w:highlight w:val="none"/>
              </w:rPr>
              <w:t>(mg/m</w:t>
            </w:r>
            <w:r>
              <w:rPr>
                <w:color w:val="auto"/>
                <w:highlight w:val="none"/>
                <w:vertAlign w:val="superscript"/>
              </w:rPr>
              <w:t>3</w:t>
            </w:r>
            <w:r>
              <w:rPr>
                <w:color w:val="auto"/>
                <w:highlight w:val="none"/>
              </w:rPr>
              <w:t>)</w:t>
            </w:r>
          </w:p>
        </w:tc>
        <w:tc>
          <w:tcPr>
            <w:tcW w:w="550" w:type="dxa"/>
            <w:vMerge w:val="continue"/>
            <w:vAlign w:val="center"/>
          </w:tcPr>
          <w:p>
            <w:pPr>
              <w:jc w:val="center"/>
              <w:rPr>
                <w:color w:val="auto"/>
                <w:highlight w:val="none"/>
              </w:rPr>
            </w:pPr>
          </w:p>
        </w:tc>
        <w:tc>
          <w:tcPr>
            <w:tcW w:w="883" w:type="dxa"/>
            <w:vAlign w:val="center"/>
          </w:tcPr>
          <w:p>
            <w:pPr>
              <w:jc w:val="center"/>
              <w:rPr>
                <w:rFonts w:hint="eastAsia" w:eastAsia="宋体"/>
                <w:color w:val="auto"/>
                <w:highlight w:val="none"/>
                <w:lang w:val="en-US" w:eastAsia="zh-CN"/>
              </w:rPr>
            </w:pPr>
            <w:r>
              <w:rPr>
                <w:rFonts w:hint="eastAsia"/>
                <w:color w:val="auto"/>
                <w:highlight w:val="none"/>
                <w:lang w:val="en-US" w:eastAsia="zh-CN"/>
              </w:rPr>
              <w:t>5.28</w:t>
            </w:r>
          </w:p>
        </w:tc>
        <w:tc>
          <w:tcPr>
            <w:tcW w:w="850" w:type="dxa"/>
            <w:vAlign w:val="center"/>
          </w:tcPr>
          <w:p>
            <w:pPr>
              <w:jc w:val="center"/>
              <w:rPr>
                <w:rFonts w:hint="eastAsia" w:eastAsia="宋体"/>
                <w:color w:val="auto"/>
                <w:highlight w:val="none"/>
                <w:lang w:val="en-US" w:eastAsia="zh-CN"/>
              </w:rPr>
            </w:pPr>
            <w:r>
              <w:rPr>
                <w:rFonts w:hint="eastAsia"/>
                <w:color w:val="auto"/>
                <w:highlight w:val="none"/>
                <w:lang w:val="en-US" w:eastAsia="zh-CN"/>
              </w:rPr>
              <w:t>5.44</w:t>
            </w:r>
          </w:p>
        </w:tc>
        <w:tc>
          <w:tcPr>
            <w:tcW w:w="833" w:type="dxa"/>
            <w:vAlign w:val="center"/>
          </w:tcPr>
          <w:p>
            <w:pPr>
              <w:jc w:val="center"/>
              <w:rPr>
                <w:rFonts w:hint="eastAsia" w:eastAsia="宋体"/>
                <w:color w:val="auto"/>
                <w:highlight w:val="none"/>
                <w:lang w:val="en-US" w:eastAsia="zh-CN"/>
              </w:rPr>
            </w:pPr>
            <w:r>
              <w:rPr>
                <w:rFonts w:hint="eastAsia"/>
                <w:color w:val="auto"/>
                <w:highlight w:val="none"/>
                <w:lang w:val="en-US" w:eastAsia="zh-CN"/>
              </w:rPr>
              <w:t>5.12</w:t>
            </w:r>
          </w:p>
        </w:tc>
        <w:tc>
          <w:tcPr>
            <w:tcW w:w="967" w:type="dxa"/>
            <w:vAlign w:val="center"/>
          </w:tcPr>
          <w:p>
            <w:pPr>
              <w:jc w:val="center"/>
              <w:rPr>
                <w:rFonts w:hint="eastAsia" w:eastAsia="宋体"/>
                <w:color w:val="auto"/>
                <w:highlight w:val="none"/>
                <w:lang w:val="en-US" w:eastAsia="zh-CN"/>
              </w:rPr>
            </w:pPr>
            <w:r>
              <w:rPr>
                <w:rFonts w:hint="eastAsia"/>
                <w:color w:val="auto"/>
                <w:highlight w:val="none"/>
                <w:lang w:val="en-US" w:eastAsia="zh-CN"/>
              </w:rPr>
              <w:t>0.684</w:t>
            </w:r>
          </w:p>
        </w:tc>
        <w:tc>
          <w:tcPr>
            <w:tcW w:w="933" w:type="dxa"/>
            <w:vAlign w:val="center"/>
          </w:tcPr>
          <w:p>
            <w:pPr>
              <w:jc w:val="center"/>
              <w:rPr>
                <w:rFonts w:hint="eastAsia" w:eastAsia="宋体"/>
                <w:color w:val="auto"/>
                <w:highlight w:val="none"/>
                <w:lang w:val="en-US" w:eastAsia="zh-CN"/>
              </w:rPr>
            </w:pPr>
            <w:r>
              <w:rPr>
                <w:rFonts w:hint="eastAsia"/>
                <w:color w:val="auto"/>
                <w:highlight w:val="none"/>
                <w:lang w:val="en-US" w:eastAsia="zh-CN"/>
              </w:rPr>
              <w:t>0.686</w:t>
            </w:r>
          </w:p>
        </w:tc>
        <w:tc>
          <w:tcPr>
            <w:tcW w:w="980" w:type="dxa"/>
            <w:vAlign w:val="center"/>
          </w:tcPr>
          <w:p>
            <w:pPr>
              <w:jc w:val="center"/>
              <w:rPr>
                <w:rFonts w:hint="eastAsia" w:eastAsia="宋体"/>
                <w:color w:val="auto"/>
                <w:highlight w:val="none"/>
                <w:lang w:val="en-US" w:eastAsia="zh-CN"/>
              </w:rPr>
            </w:pPr>
            <w:r>
              <w:rPr>
                <w:rFonts w:hint="eastAsia"/>
                <w:color w:val="auto"/>
                <w:highlight w:val="none"/>
                <w:lang w:val="en-US" w:eastAsia="zh-CN"/>
              </w:rPr>
              <w:t>0.645</w:t>
            </w:r>
          </w:p>
        </w:tc>
        <w:tc>
          <w:tcPr>
            <w:tcW w:w="1069" w:type="dxa"/>
            <w:vMerge w:val="continue"/>
            <w:vAlign w:val="center"/>
          </w:tcPr>
          <w:p>
            <w:pPr>
              <w:jc w:val="center"/>
              <w:rPr>
                <w:rFonts w:hint="eastAsia"/>
                <w:color w:val="auto"/>
                <w:highlight w:val="none"/>
                <w:lang w:val="en-US" w:eastAsia="zh-CN"/>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431" w:type="dxa"/>
            <w:vMerge w:val="continue"/>
            <w:vAlign w:val="center"/>
          </w:tcPr>
          <w:p>
            <w:pPr>
              <w:jc w:val="center"/>
              <w:rPr>
                <w:color w:val="auto"/>
                <w:highlight w:val="none"/>
              </w:rPr>
            </w:pPr>
          </w:p>
        </w:tc>
        <w:tc>
          <w:tcPr>
            <w:tcW w:w="800" w:type="dxa"/>
            <w:vMerge w:val="continue"/>
            <w:vAlign w:val="center"/>
          </w:tcPr>
          <w:p>
            <w:pPr>
              <w:tabs>
                <w:tab w:val="left" w:pos="7020"/>
              </w:tabs>
              <w:spacing w:line="160" w:lineRule="atLeast"/>
              <w:jc w:val="center"/>
              <w:rPr>
                <w:color w:val="auto"/>
                <w:highlight w:val="none"/>
              </w:rPr>
            </w:pPr>
          </w:p>
        </w:tc>
        <w:tc>
          <w:tcPr>
            <w:tcW w:w="1700" w:type="dxa"/>
            <w:vAlign w:val="center"/>
          </w:tcPr>
          <w:p>
            <w:pPr>
              <w:tabs>
                <w:tab w:val="left" w:pos="7020"/>
              </w:tabs>
              <w:spacing w:line="160" w:lineRule="atLeast"/>
              <w:jc w:val="center"/>
              <w:rPr>
                <w:color w:val="auto"/>
                <w:highlight w:val="none"/>
              </w:rPr>
            </w:pPr>
            <w:r>
              <w:rPr>
                <w:color w:val="auto"/>
                <w:highlight w:val="none"/>
              </w:rPr>
              <w:t>排放速率(kg/h)</w:t>
            </w:r>
          </w:p>
        </w:tc>
        <w:tc>
          <w:tcPr>
            <w:tcW w:w="550" w:type="dxa"/>
            <w:vMerge w:val="continue"/>
            <w:vAlign w:val="center"/>
          </w:tcPr>
          <w:p>
            <w:pPr>
              <w:jc w:val="center"/>
              <w:rPr>
                <w:color w:val="auto"/>
                <w:highlight w:val="none"/>
              </w:rPr>
            </w:pPr>
          </w:p>
        </w:tc>
        <w:tc>
          <w:tcPr>
            <w:tcW w:w="883" w:type="dxa"/>
            <w:vAlign w:val="center"/>
          </w:tcPr>
          <w:p>
            <w:pPr>
              <w:jc w:val="center"/>
              <w:rPr>
                <w:rFonts w:hint="eastAsia" w:eastAsia="宋体"/>
                <w:color w:val="auto"/>
                <w:highlight w:val="none"/>
                <w:lang w:val="en-US" w:eastAsia="zh-CN"/>
              </w:rPr>
            </w:pPr>
            <w:r>
              <w:rPr>
                <w:rFonts w:hint="eastAsia"/>
                <w:color w:val="auto"/>
                <w:highlight w:val="none"/>
                <w:lang w:val="en-US" w:eastAsia="zh-CN"/>
              </w:rPr>
              <w:t>0.054</w:t>
            </w:r>
          </w:p>
        </w:tc>
        <w:tc>
          <w:tcPr>
            <w:tcW w:w="850" w:type="dxa"/>
            <w:vAlign w:val="center"/>
          </w:tcPr>
          <w:p>
            <w:pPr>
              <w:jc w:val="center"/>
              <w:rPr>
                <w:rFonts w:hint="eastAsia" w:eastAsia="宋体"/>
                <w:color w:val="auto"/>
                <w:highlight w:val="none"/>
                <w:lang w:val="en-US" w:eastAsia="zh-CN"/>
              </w:rPr>
            </w:pPr>
            <w:r>
              <w:rPr>
                <w:rFonts w:hint="eastAsia"/>
                <w:color w:val="auto"/>
                <w:highlight w:val="none"/>
                <w:lang w:val="en-US" w:eastAsia="zh-CN"/>
              </w:rPr>
              <w:t>0.057</w:t>
            </w:r>
          </w:p>
        </w:tc>
        <w:tc>
          <w:tcPr>
            <w:tcW w:w="833" w:type="dxa"/>
            <w:vAlign w:val="center"/>
          </w:tcPr>
          <w:p>
            <w:pPr>
              <w:jc w:val="center"/>
              <w:rPr>
                <w:rFonts w:hint="eastAsia" w:eastAsia="宋体"/>
                <w:color w:val="auto"/>
                <w:highlight w:val="none"/>
                <w:lang w:val="en-US" w:eastAsia="zh-CN"/>
              </w:rPr>
            </w:pPr>
            <w:r>
              <w:rPr>
                <w:rFonts w:hint="eastAsia"/>
                <w:color w:val="auto"/>
                <w:highlight w:val="none"/>
                <w:lang w:val="en-US" w:eastAsia="zh-CN"/>
              </w:rPr>
              <w:t>0.052</w:t>
            </w:r>
          </w:p>
        </w:tc>
        <w:tc>
          <w:tcPr>
            <w:tcW w:w="967" w:type="dxa"/>
            <w:vAlign w:val="center"/>
          </w:tcPr>
          <w:p>
            <w:pPr>
              <w:jc w:val="center"/>
              <w:rPr>
                <w:rFonts w:hint="eastAsia" w:eastAsia="宋体"/>
                <w:color w:val="auto"/>
                <w:highlight w:val="none"/>
                <w:lang w:val="en-US" w:eastAsia="zh-CN"/>
              </w:rPr>
            </w:pPr>
            <w:r>
              <w:rPr>
                <w:rFonts w:hint="eastAsia"/>
                <w:color w:val="auto"/>
                <w:highlight w:val="none"/>
                <w:lang w:val="en-US" w:eastAsia="zh-CN"/>
              </w:rPr>
              <w:t>6.64</w:t>
            </w:r>
            <w:r>
              <w:rPr>
                <w:color w:val="auto"/>
                <w:highlight w:val="none"/>
              </w:rPr>
              <w:t>×10</w:t>
            </w:r>
            <w:r>
              <w:rPr>
                <w:color w:val="auto"/>
                <w:highlight w:val="none"/>
                <w:vertAlign w:val="superscript"/>
              </w:rPr>
              <w:t>-</w:t>
            </w:r>
            <w:r>
              <w:rPr>
                <w:rFonts w:hint="eastAsia"/>
                <w:color w:val="auto"/>
                <w:highlight w:val="none"/>
                <w:vertAlign w:val="superscript"/>
                <w:lang w:val="en-US" w:eastAsia="zh-CN"/>
              </w:rPr>
              <w:t>3</w:t>
            </w:r>
          </w:p>
        </w:tc>
        <w:tc>
          <w:tcPr>
            <w:tcW w:w="933" w:type="dxa"/>
            <w:vAlign w:val="center"/>
          </w:tcPr>
          <w:p>
            <w:pPr>
              <w:jc w:val="center"/>
              <w:rPr>
                <w:rFonts w:hint="eastAsia" w:eastAsia="宋体"/>
                <w:color w:val="auto"/>
                <w:highlight w:val="none"/>
                <w:lang w:val="en-US" w:eastAsia="zh-CN"/>
              </w:rPr>
            </w:pPr>
            <w:r>
              <w:rPr>
                <w:rFonts w:hint="eastAsia"/>
                <w:color w:val="auto"/>
                <w:highlight w:val="none"/>
                <w:lang w:val="en-US" w:eastAsia="zh-CN"/>
              </w:rPr>
              <w:t>6.61</w:t>
            </w:r>
            <w:r>
              <w:rPr>
                <w:color w:val="auto"/>
                <w:highlight w:val="none"/>
              </w:rPr>
              <w:t>×10</w:t>
            </w:r>
            <w:r>
              <w:rPr>
                <w:color w:val="auto"/>
                <w:highlight w:val="none"/>
                <w:vertAlign w:val="superscript"/>
              </w:rPr>
              <w:t>-</w:t>
            </w:r>
            <w:r>
              <w:rPr>
                <w:rFonts w:hint="eastAsia"/>
                <w:color w:val="auto"/>
                <w:highlight w:val="none"/>
                <w:vertAlign w:val="superscript"/>
                <w:lang w:val="en-US" w:eastAsia="zh-CN"/>
              </w:rPr>
              <w:t>3</w:t>
            </w:r>
          </w:p>
        </w:tc>
        <w:tc>
          <w:tcPr>
            <w:tcW w:w="980" w:type="dxa"/>
            <w:vAlign w:val="center"/>
          </w:tcPr>
          <w:p>
            <w:pPr>
              <w:jc w:val="center"/>
              <w:rPr>
                <w:rFonts w:hint="eastAsia" w:eastAsia="宋体"/>
                <w:color w:val="auto"/>
                <w:highlight w:val="none"/>
                <w:lang w:val="en-US" w:eastAsia="zh-CN"/>
              </w:rPr>
            </w:pPr>
            <w:r>
              <w:rPr>
                <w:rFonts w:hint="eastAsia"/>
                <w:color w:val="auto"/>
                <w:highlight w:val="none"/>
                <w:lang w:val="en-US" w:eastAsia="zh-CN"/>
              </w:rPr>
              <w:t>6.23</w:t>
            </w:r>
            <w:r>
              <w:rPr>
                <w:color w:val="auto"/>
                <w:highlight w:val="none"/>
              </w:rPr>
              <w:t>×10</w:t>
            </w:r>
            <w:r>
              <w:rPr>
                <w:color w:val="auto"/>
                <w:highlight w:val="none"/>
                <w:vertAlign w:val="superscript"/>
              </w:rPr>
              <w:t>-</w:t>
            </w:r>
            <w:r>
              <w:rPr>
                <w:rFonts w:hint="eastAsia"/>
                <w:color w:val="auto"/>
                <w:highlight w:val="none"/>
                <w:vertAlign w:val="superscript"/>
                <w:lang w:val="en-US" w:eastAsia="zh-CN"/>
              </w:rPr>
              <w:t>3</w:t>
            </w:r>
          </w:p>
        </w:tc>
        <w:tc>
          <w:tcPr>
            <w:tcW w:w="1069" w:type="dxa"/>
            <w:vMerge w:val="continue"/>
            <w:vAlign w:val="center"/>
          </w:tcPr>
          <w:p>
            <w:pPr>
              <w:jc w:val="center"/>
              <w:rPr>
                <w:rFonts w:hint="eastAsia"/>
                <w:color w:val="auto"/>
                <w:highlight w:val="none"/>
                <w:lang w:val="en-US" w:eastAsia="zh-CN"/>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431" w:type="dxa"/>
            <w:vMerge w:val="continue"/>
            <w:vAlign w:val="center"/>
          </w:tcPr>
          <w:p>
            <w:pPr>
              <w:jc w:val="center"/>
              <w:rPr>
                <w:color w:val="auto"/>
                <w:highlight w:val="none"/>
              </w:rPr>
            </w:pPr>
          </w:p>
        </w:tc>
        <w:tc>
          <w:tcPr>
            <w:tcW w:w="2500" w:type="dxa"/>
            <w:gridSpan w:val="2"/>
            <w:vAlign w:val="center"/>
          </w:tcPr>
          <w:p>
            <w:pPr>
              <w:tabs>
                <w:tab w:val="left" w:pos="7020"/>
              </w:tabs>
              <w:spacing w:line="160" w:lineRule="atLeast"/>
              <w:jc w:val="center"/>
              <w:rPr>
                <w:color w:val="auto"/>
                <w:highlight w:val="none"/>
              </w:rPr>
            </w:pPr>
            <w:r>
              <w:rPr>
                <w:color w:val="auto"/>
                <w:highlight w:val="none"/>
              </w:rPr>
              <w:t>标干废气量(m</w:t>
            </w:r>
            <w:r>
              <w:rPr>
                <w:color w:val="auto"/>
                <w:highlight w:val="none"/>
                <w:vertAlign w:val="superscript"/>
              </w:rPr>
              <w:t>3</w:t>
            </w:r>
            <w:r>
              <w:rPr>
                <w:color w:val="auto"/>
                <w:highlight w:val="none"/>
              </w:rPr>
              <w:t>/h)</w:t>
            </w:r>
          </w:p>
        </w:tc>
        <w:tc>
          <w:tcPr>
            <w:tcW w:w="550" w:type="dxa"/>
            <w:vMerge w:val="restart"/>
            <w:vAlign w:val="center"/>
          </w:tcPr>
          <w:p>
            <w:pPr>
              <w:jc w:val="center"/>
              <w:rPr>
                <w:rFonts w:hint="eastAsia" w:eastAsia="宋体"/>
                <w:color w:val="auto"/>
                <w:highlight w:val="none"/>
                <w:lang w:val="en-US" w:eastAsia="zh-CN"/>
              </w:rPr>
            </w:pPr>
            <w:r>
              <w:rPr>
                <w:rFonts w:hint="eastAsia"/>
                <w:color w:val="auto"/>
                <w:highlight w:val="none"/>
                <w:lang w:val="en-US" w:eastAsia="zh-CN"/>
              </w:rPr>
              <w:t>9.11</w:t>
            </w:r>
          </w:p>
        </w:tc>
        <w:tc>
          <w:tcPr>
            <w:tcW w:w="883" w:type="dxa"/>
            <w:vAlign w:val="center"/>
          </w:tcPr>
          <w:p>
            <w:pPr>
              <w:jc w:val="center"/>
              <w:rPr>
                <w:rFonts w:hint="eastAsia" w:eastAsia="宋体"/>
                <w:color w:val="auto"/>
                <w:highlight w:val="none"/>
                <w:lang w:val="en-US" w:eastAsia="zh-CN"/>
              </w:rPr>
            </w:pPr>
            <w:r>
              <w:rPr>
                <w:rFonts w:hint="eastAsia"/>
                <w:color w:val="auto"/>
                <w:highlight w:val="none"/>
                <w:lang w:val="en-US" w:eastAsia="zh-CN"/>
              </w:rPr>
              <w:t>10276</w:t>
            </w:r>
          </w:p>
        </w:tc>
        <w:tc>
          <w:tcPr>
            <w:tcW w:w="850" w:type="dxa"/>
            <w:vAlign w:val="center"/>
          </w:tcPr>
          <w:p>
            <w:pPr>
              <w:jc w:val="center"/>
              <w:rPr>
                <w:rFonts w:hint="eastAsia" w:eastAsia="宋体"/>
                <w:color w:val="auto"/>
                <w:highlight w:val="none"/>
                <w:lang w:val="en-US" w:eastAsia="zh-CN"/>
              </w:rPr>
            </w:pPr>
            <w:r>
              <w:rPr>
                <w:rFonts w:hint="eastAsia"/>
                <w:color w:val="auto"/>
                <w:highlight w:val="none"/>
                <w:lang w:val="en-US" w:eastAsia="zh-CN"/>
              </w:rPr>
              <w:t>10201</w:t>
            </w:r>
          </w:p>
        </w:tc>
        <w:tc>
          <w:tcPr>
            <w:tcW w:w="833" w:type="dxa"/>
            <w:vAlign w:val="center"/>
          </w:tcPr>
          <w:p>
            <w:pPr>
              <w:jc w:val="center"/>
              <w:rPr>
                <w:rFonts w:hint="eastAsia" w:eastAsia="宋体"/>
                <w:color w:val="auto"/>
                <w:highlight w:val="none"/>
                <w:lang w:val="en-US" w:eastAsia="zh-CN"/>
              </w:rPr>
            </w:pPr>
            <w:r>
              <w:rPr>
                <w:rFonts w:hint="eastAsia"/>
                <w:color w:val="auto"/>
                <w:highlight w:val="none"/>
                <w:lang w:val="en-US" w:eastAsia="zh-CN"/>
              </w:rPr>
              <w:t>10396</w:t>
            </w:r>
          </w:p>
        </w:tc>
        <w:tc>
          <w:tcPr>
            <w:tcW w:w="967" w:type="dxa"/>
            <w:vAlign w:val="center"/>
          </w:tcPr>
          <w:p>
            <w:pPr>
              <w:jc w:val="center"/>
              <w:rPr>
                <w:color w:val="auto"/>
                <w:highlight w:val="none"/>
              </w:rPr>
            </w:pPr>
            <w:r>
              <w:rPr>
                <w:rFonts w:hint="eastAsia"/>
                <w:color w:val="auto"/>
                <w:highlight w:val="none"/>
                <w:lang w:val="en-US" w:eastAsia="zh-CN"/>
              </w:rPr>
              <w:t>9792</w:t>
            </w:r>
          </w:p>
        </w:tc>
        <w:tc>
          <w:tcPr>
            <w:tcW w:w="933" w:type="dxa"/>
            <w:vAlign w:val="center"/>
          </w:tcPr>
          <w:p>
            <w:pPr>
              <w:jc w:val="center"/>
              <w:rPr>
                <w:color w:val="auto"/>
                <w:highlight w:val="none"/>
              </w:rPr>
            </w:pPr>
            <w:r>
              <w:rPr>
                <w:rFonts w:hint="eastAsia"/>
                <w:color w:val="auto"/>
                <w:highlight w:val="none"/>
                <w:lang w:val="en-US" w:eastAsia="zh-CN"/>
              </w:rPr>
              <w:t>9644</w:t>
            </w:r>
          </w:p>
        </w:tc>
        <w:tc>
          <w:tcPr>
            <w:tcW w:w="980" w:type="dxa"/>
            <w:vAlign w:val="center"/>
          </w:tcPr>
          <w:p>
            <w:pPr>
              <w:jc w:val="center"/>
              <w:rPr>
                <w:color w:val="auto"/>
                <w:highlight w:val="none"/>
              </w:rPr>
            </w:pPr>
            <w:r>
              <w:rPr>
                <w:rFonts w:hint="eastAsia"/>
                <w:color w:val="auto"/>
                <w:highlight w:val="none"/>
                <w:lang w:val="en-US" w:eastAsia="zh-CN"/>
              </w:rPr>
              <w:t>9833</w:t>
            </w:r>
          </w:p>
        </w:tc>
        <w:tc>
          <w:tcPr>
            <w:tcW w:w="1069" w:type="dxa"/>
            <w:vMerge w:val="restart"/>
            <w:vAlign w:val="center"/>
          </w:tcPr>
          <w:p>
            <w:pPr>
              <w:jc w:val="center"/>
              <w:rPr>
                <w:rFonts w:hint="eastAsia"/>
                <w:color w:val="auto"/>
                <w:highlight w:val="none"/>
                <w:lang w:val="en-US" w:eastAsia="zh-CN"/>
              </w:rPr>
            </w:pPr>
            <w:r>
              <w:rPr>
                <w:rFonts w:hint="eastAsia"/>
                <w:color w:val="auto"/>
                <w:highlight w:val="none"/>
                <w:lang w:val="en-US" w:eastAsia="zh-CN"/>
              </w:rPr>
              <w:t>/</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36" w:hRule="exact"/>
          <w:jc w:val="center"/>
        </w:trPr>
        <w:tc>
          <w:tcPr>
            <w:tcW w:w="431" w:type="dxa"/>
            <w:vMerge w:val="continue"/>
            <w:vAlign w:val="center"/>
          </w:tcPr>
          <w:p>
            <w:pPr>
              <w:jc w:val="center"/>
              <w:rPr>
                <w:color w:val="auto"/>
                <w:highlight w:val="none"/>
              </w:rPr>
            </w:pPr>
          </w:p>
        </w:tc>
        <w:tc>
          <w:tcPr>
            <w:tcW w:w="800" w:type="dxa"/>
            <w:vMerge w:val="restart"/>
            <w:vAlign w:val="center"/>
          </w:tcPr>
          <w:p>
            <w:pPr>
              <w:tabs>
                <w:tab w:val="left" w:pos="7020"/>
              </w:tabs>
              <w:spacing w:line="160" w:lineRule="atLeast"/>
              <w:jc w:val="center"/>
              <w:rPr>
                <w:color w:val="auto"/>
                <w:highlight w:val="none"/>
              </w:rPr>
            </w:pPr>
            <w:r>
              <w:rPr>
                <w:rFonts w:hint="eastAsia"/>
                <w:color w:val="auto"/>
                <w:highlight w:val="none"/>
                <w:lang w:eastAsia="zh-CN"/>
              </w:rPr>
              <w:t>硫酸雾</w:t>
            </w:r>
          </w:p>
        </w:tc>
        <w:tc>
          <w:tcPr>
            <w:tcW w:w="1700" w:type="dxa"/>
            <w:vAlign w:val="center"/>
          </w:tcPr>
          <w:p>
            <w:pPr>
              <w:tabs>
                <w:tab w:val="left" w:pos="7020"/>
              </w:tabs>
              <w:spacing w:line="160" w:lineRule="atLeast"/>
              <w:jc w:val="center"/>
              <w:rPr>
                <w:color w:val="auto"/>
                <w:highlight w:val="none"/>
              </w:rPr>
            </w:pPr>
            <w:r>
              <w:rPr>
                <w:color w:val="auto"/>
                <w:highlight w:val="none"/>
              </w:rPr>
              <w:t>排放浓</w:t>
            </w:r>
            <w:r>
              <w:rPr>
                <w:rFonts w:hint="eastAsia"/>
                <w:color w:val="auto"/>
                <w:highlight w:val="none"/>
              </w:rPr>
              <w:t>度</w:t>
            </w:r>
            <w:r>
              <w:rPr>
                <w:color w:val="auto"/>
                <w:highlight w:val="none"/>
              </w:rPr>
              <w:t>(mg/m</w:t>
            </w:r>
            <w:r>
              <w:rPr>
                <w:color w:val="auto"/>
                <w:highlight w:val="none"/>
                <w:vertAlign w:val="superscript"/>
              </w:rPr>
              <w:t>3</w:t>
            </w:r>
            <w:r>
              <w:rPr>
                <w:color w:val="auto"/>
                <w:highlight w:val="none"/>
              </w:rPr>
              <w:t>)</w:t>
            </w:r>
          </w:p>
        </w:tc>
        <w:tc>
          <w:tcPr>
            <w:tcW w:w="550" w:type="dxa"/>
            <w:vMerge w:val="continue"/>
            <w:vAlign w:val="center"/>
          </w:tcPr>
          <w:p>
            <w:pPr>
              <w:jc w:val="center"/>
              <w:rPr>
                <w:color w:val="auto"/>
                <w:highlight w:val="none"/>
              </w:rPr>
            </w:pPr>
          </w:p>
        </w:tc>
        <w:tc>
          <w:tcPr>
            <w:tcW w:w="883" w:type="dxa"/>
            <w:vAlign w:val="center"/>
          </w:tcPr>
          <w:p>
            <w:pPr>
              <w:jc w:val="center"/>
              <w:rPr>
                <w:rFonts w:hint="eastAsia" w:eastAsia="宋体"/>
                <w:color w:val="auto"/>
                <w:highlight w:val="none"/>
                <w:lang w:val="en-US" w:eastAsia="zh-CN"/>
              </w:rPr>
            </w:pPr>
            <w:r>
              <w:rPr>
                <w:rFonts w:hint="eastAsia"/>
                <w:color w:val="auto"/>
                <w:highlight w:val="none"/>
                <w:lang w:val="en-US" w:eastAsia="zh-CN"/>
              </w:rPr>
              <w:t>1.45</w:t>
            </w:r>
          </w:p>
        </w:tc>
        <w:tc>
          <w:tcPr>
            <w:tcW w:w="850" w:type="dxa"/>
            <w:vAlign w:val="center"/>
          </w:tcPr>
          <w:p>
            <w:pPr>
              <w:jc w:val="center"/>
              <w:rPr>
                <w:rFonts w:hint="eastAsia" w:eastAsia="宋体"/>
                <w:color w:val="auto"/>
                <w:highlight w:val="none"/>
                <w:lang w:val="en-US" w:eastAsia="zh-CN"/>
              </w:rPr>
            </w:pPr>
            <w:r>
              <w:rPr>
                <w:rFonts w:hint="eastAsia"/>
                <w:color w:val="auto"/>
                <w:highlight w:val="none"/>
                <w:lang w:val="en-US" w:eastAsia="zh-CN"/>
              </w:rPr>
              <w:t>1.70</w:t>
            </w:r>
          </w:p>
        </w:tc>
        <w:tc>
          <w:tcPr>
            <w:tcW w:w="833" w:type="dxa"/>
            <w:vAlign w:val="center"/>
          </w:tcPr>
          <w:p>
            <w:pPr>
              <w:jc w:val="center"/>
              <w:rPr>
                <w:rFonts w:hint="eastAsia" w:eastAsia="宋体"/>
                <w:color w:val="auto"/>
                <w:highlight w:val="none"/>
                <w:lang w:val="en-US" w:eastAsia="zh-CN"/>
              </w:rPr>
            </w:pPr>
            <w:r>
              <w:rPr>
                <w:rFonts w:hint="eastAsia"/>
                <w:color w:val="auto"/>
                <w:highlight w:val="none"/>
                <w:lang w:val="en-US" w:eastAsia="zh-CN"/>
              </w:rPr>
              <w:t>1.54</w:t>
            </w:r>
          </w:p>
        </w:tc>
        <w:tc>
          <w:tcPr>
            <w:tcW w:w="967" w:type="dxa"/>
            <w:vAlign w:val="center"/>
          </w:tcPr>
          <w:p>
            <w:pPr>
              <w:jc w:val="center"/>
              <w:rPr>
                <w:rFonts w:hint="eastAsia" w:eastAsia="宋体"/>
                <w:color w:val="auto"/>
                <w:highlight w:val="none"/>
                <w:lang w:val="en-US" w:eastAsia="zh-CN"/>
              </w:rPr>
            </w:pPr>
            <w:r>
              <w:rPr>
                <w:rFonts w:hint="eastAsia"/>
                <w:color w:val="auto"/>
                <w:sz w:val="21"/>
                <w:szCs w:val="21"/>
                <w:highlight w:val="none"/>
                <w:lang w:val="en-US" w:eastAsia="zh-CN"/>
              </w:rPr>
              <w:t>＜0.2</w:t>
            </w:r>
          </w:p>
        </w:tc>
        <w:tc>
          <w:tcPr>
            <w:tcW w:w="933" w:type="dxa"/>
            <w:vAlign w:val="center"/>
          </w:tcPr>
          <w:p>
            <w:pPr>
              <w:jc w:val="center"/>
              <w:rPr>
                <w:rFonts w:hint="eastAsia" w:eastAsia="宋体"/>
                <w:color w:val="auto"/>
                <w:highlight w:val="none"/>
                <w:lang w:val="en-US" w:eastAsia="zh-CN"/>
              </w:rPr>
            </w:pPr>
            <w:r>
              <w:rPr>
                <w:rFonts w:hint="eastAsia"/>
                <w:color w:val="auto"/>
                <w:sz w:val="21"/>
                <w:szCs w:val="21"/>
                <w:highlight w:val="none"/>
                <w:lang w:val="en-US" w:eastAsia="zh-CN"/>
              </w:rPr>
              <w:t>＜0.2</w:t>
            </w:r>
          </w:p>
        </w:tc>
        <w:tc>
          <w:tcPr>
            <w:tcW w:w="980" w:type="dxa"/>
            <w:vAlign w:val="center"/>
          </w:tcPr>
          <w:p>
            <w:pPr>
              <w:jc w:val="center"/>
              <w:rPr>
                <w:rFonts w:hint="eastAsia" w:eastAsia="宋体"/>
                <w:color w:val="auto"/>
                <w:highlight w:val="none"/>
                <w:lang w:val="en-US" w:eastAsia="zh-CN"/>
              </w:rPr>
            </w:pPr>
            <w:r>
              <w:rPr>
                <w:rFonts w:hint="eastAsia"/>
                <w:color w:val="auto"/>
                <w:sz w:val="21"/>
                <w:szCs w:val="21"/>
                <w:highlight w:val="none"/>
                <w:lang w:val="en-US" w:eastAsia="zh-CN"/>
              </w:rPr>
              <w:t>＜0.2</w:t>
            </w:r>
          </w:p>
        </w:tc>
        <w:tc>
          <w:tcPr>
            <w:tcW w:w="1069" w:type="dxa"/>
            <w:vMerge w:val="continue"/>
            <w:vAlign w:val="center"/>
          </w:tcPr>
          <w:p>
            <w:pPr>
              <w:jc w:val="center"/>
              <w:rPr>
                <w:rFonts w:hint="eastAsia"/>
                <w:color w:val="auto"/>
                <w:highlight w:val="none"/>
                <w:lang w:val="en-US" w:eastAsia="zh-CN"/>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431" w:type="dxa"/>
            <w:vMerge w:val="continue"/>
            <w:vAlign w:val="center"/>
          </w:tcPr>
          <w:p>
            <w:pPr>
              <w:jc w:val="center"/>
              <w:rPr>
                <w:color w:val="auto"/>
                <w:highlight w:val="none"/>
              </w:rPr>
            </w:pPr>
          </w:p>
        </w:tc>
        <w:tc>
          <w:tcPr>
            <w:tcW w:w="800" w:type="dxa"/>
            <w:vMerge w:val="continue"/>
            <w:vAlign w:val="center"/>
          </w:tcPr>
          <w:p>
            <w:pPr>
              <w:tabs>
                <w:tab w:val="left" w:pos="7020"/>
              </w:tabs>
              <w:spacing w:line="160" w:lineRule="atLeast"/>
              <w:jc w:val="center"/>
              <w:rPr>
                <w:color w:val="auto"/>
                <w:highlight w:val="none"/>
              </w:rPr>
            </w:pPr>
          </w:p>
        </w:tc>
        <w:tc>
          <w:tcPr>
            <w:tcW w:w="1700" w:type="dxa"/>
            <w:vAlign w:val="center"/>
          </w:tcPr>
          <w:p>
            <w:pPr>
              <w:tabs>
                <w:tab w:val="left" w:pos="7020"/>
              </w:tabs>
              <w:spacing w:line="160" w:lineRule="atLeast"/>
              <w:jc w:val="center"/>
              <w:rPr>
                <w:color w:val="auto"/>
                <w:highlight w:val="none"/>
              </w:rPr>
            </w:pPr>
            <w:r>
              <w:rPr>
                <w:color w:val="auto"/>
                <w:highlight w:val="none"/>
              </w:rPr>
              <w:t>排放速率(kg/h)</w:t>
            </w:r>
          </w:p>
        </w:tc>
        <w:tc>
          <w:tcPr>
            <w:tcW w:w="550" w:type="dxa"/>
            <w:vMerge w:val="continue"/>
            <w:vAlign w:val="center"/>
          </w:tcPr>
          <w:p>
            <w:pPr>
              <w:jc w:val="center"/>
              <w:rPr>
                <w:color w:val="auto"/>
                <w:highlight w:val="none"/>
              </w:rPr>
            </w:pPr>
          </w:p>
        </w:tc>
        <w:tc>
          <w:tcPr>
            <w:tcW w:w="883" w:type="dxa"/>
            <w:vAlign w:val="center"/>
          </w:tcPr>
          <w:p>
            <w:pPr>
              <w:jc w:val="center"/>
              <w:rPr>
                <w:rFonts w:hint="eastAsia" w:eastAsia="宋体"/>
                <w:color w:val="auto"/>
                <w:highlight w:val="none"/>
                <w:lang w:val="en-US" w:eastAsia="zh-CN"/>
              </w:rPr>
            </w:pPr>
            <w:r>
              <w:rPr>
                <w:rFonts w:hint="eastAsia"/>
                <w:color w:val="auto"/>
                <w:highlight w:val="none"/>
                <w:lang w:val="en-US" w:eastAsia="zh-CN"/>
              </w:rPr>
              <w:t>0.015</w:t>
            </w:r>
          </w:p>
        </w:tc>
        <w:tc>
          <w:tcPr>
            <w:tcW w:w="850" w:type="dxa"/>
            <w:vAlign w:val="center"/>
          </w:tcPr>
          <w:p>
            <w:pPr>
              <w:jc w:val="center"/>
              <w:rPr>
                <w:rFonts w:hint="eastAsia" w:eastAsia="宋体"/>
                <w:color w:val="auto"/>
                <w:highlight w:val="none"/>
                <w:lang w:val="en-US" w:eastAsia="zh-CN"/>
              </w:rPr>
            </w:pPr>
            <w:r>
              <w:rPr>
                <w:rFonts w:hint="eastAsia"/>
                <w:color w:val="auto"/>
                <w:highlight w:val="none"/>
                <w:lang w:val="en-US" w:eastAsia="zh-CN"/>
              </w:rPr>
              <w:t>0.017</w:t>
            </w:r>
          </w:p>
        </w:tc>
        <w:tc>
          <w:tcPr>
            <w:tcW w:w="833" w:type="dxa"/>
            <w:vAlign w:val="center"/>
          </w:tcPr>
          <w:p>
            <w:pPr>
              <w:jc w:val="center"/>
              <w:rPr>
                <w:rFonts w:hint="eastAsia" w:eastAsia="宋体"/>
                <w:color w:val="auto"/>
                <w:highlight w:val="none"/>
                <w:lang w:val="en-US" w:eastAsia="zh-CN"/>
              </w:rPr>
            </w:pPr>
            <w:r>
              <w:rPr>
                <w:rFonts w:hint="eastAsia"/>
                <w:color w:val="auto"/>
                <w:highlight w:val="none"/>
                <w:lang w:val="en-US" w:eastAsia="zh-CN"/>
              </w:rPr>
              <w:t>0.016</w:t>
            </w:r>
          </w:p>
        </w:tc>
        <w:tc>
          <w:tcPr>
            <w:tcW w:w="967" w:type="dxa"/>
            <w:vAlign w:val="center"/>
          </w:tcPr>
          <w:p>
            <w:pPr>
              <w:jc w:val="center"/>
              <w:rPr>
                <w:color w:val="auto"/>
                <w:highlight w:val="none"/>
              </w:rPr>
            </w:pPr>
            <w:r>
              <w:rPr>
                <w:rFonts w:hint="eastAsia"/>
                <w:color w:val="auto"/>
                <w:sz w:val="21"/>
                <w:szCs w:val="21"/>
                <w:highlight w:val="none"/>
                <w:lang w:val="en-US" w:eastAsia="zh-CN"/>
              </w:rPr>
              <w:t>/</w:t>
            </w:r>
          </w:p>
        </w:tc>
        <w:tc>
          <w:tcPr>
            <w:tcW w:w="933" w:type="dxa"/>
            <w:vAlign w:val="center"/>
          </w:tcPr>
          <w:p>
            <w:pPr>
              <w:jc w:val="center"/>
              <w:rPr>
                <w:rFonts w:hint="eastAsia" w:eastAsia="宋体"/>
                <w:color w:val="auto"/>
                <w:highlight w:val="none"/>
                <w:lang w:val="en-US" w:eastAsia="zh-CN"/>
              </w:rPr>
            </w:pPr>
            <w:r>
              <w:rPr>
                <w:rFonts w:hint="eastAsia"/>
                <w:color w:val="auto"/>
                <w:sz w:val="21"/>
                <w:szCs w:val="21"/>
                <w:highlight w:val="none"/>
                <w:lang w:val="en-US" w:eastAsia="zh-CN"/>
              </w:rPr>
              <w:t>/</w:t>
            </w:r>
          </w:p>
        </w:tc>
        <w:tc>
          <w:tcPr>
            <w:tcW w:w="980" w:type="dxa"/>
            <w:vAlign w:val="center"/>
          </w:tcPr>
          <w:p>
            <w:pPr>
              <w:jc w:val="center"/>
              <w:rPr>
                <w:rFonts w:hint="eastAsia" w:eastAsia="宋体"/>
                <w:color w:val="auto"/>
                <w:highlight w:val="none"/>
                <w:lang w:val="en-US" w:eastAsia="zh-CN"/>
              </w:rPr>
            </w:pPr>
            <w:r>
              <w:rPr>
                <w:rFonts w:hint="eastAsia"/>
                <w:color w:val="auto"/>
                <w:sz w:val="21"/>
                <w:szCs w:val="21"/>
                <w:highlight w:val="none"/>
                <w:lang w:val="en-US" w:eastAsia="zh-CN"/>
              </w:rPr>
              <w:t>/</w:t>
            </w:r>
          </w:p>
        </w:tc>
        <w:tc>
          <w:tcPr>
            <w:tcW w:w="1069" w:type="dxa"/>
            <w:vMerge w:val="continue"/>
            <w:vAlign w:val="center"/>
          </w:tcPr>
          <w:p>
            <w:pPr>
              <w:jc w:val="center"/>
              <w:rPr>
                <w:rFonts w:hint="eastAsia"/>
                <w:color w:val="auto"/>
                <w:highlight w:val="none"/>
                <w:lang w:val="en-US" w:eastAsia="zh-CN"/>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431" w:type="dxa"/>
            <w:vMerge w:val="continue"/>
            <w:vAlign w:val="center"/>
          </w:tcPr>
          <w:p>
            <w:pPr>
              <w:jc w:val="center"/>
              <w:rPr>
                <w:color w:val="auto"/>
                <w:highlight w:val="none"/>
              </w:rPr>
            </w:pPr>
          </w:p>
        </w:tc>
        <w:tc>
          <w:tcPr>
            <w:tcW w:w="2500" w:type="dxa"/>
            <w:gridSpan w:val="2"/>
            <w:vAlign w:val="center"/>
          </w:tcPr>
          <w:p>
            <w:pPr>
              <w:tabs>
                <w:tab w:val="left" w:pos="7020"/>
              </w:tabs>
              <w:spacing w:line="160" w:lineRule="atLeast"/>
              <w:jc w:val="center"/>
              <w:rPr>
                <w:color w:val="auto"/>
                <w:highlight w:val="none"/>
              </w:rPr>
            </w:pPr>
            <w:r>
              <w:rPr>
                <w:color w:val="auto"/>
                <w:highlight w:val="none"/>
              </w:rPr>
              <w:t>标干废气量(m</w:t>
            </w:r>
            <w:r>
              <w:rPr>
                <w:color w:val="auto"/>
                <w:highlight w:val="none"/>
                <w:vertAlign w:val="superscript"/>
              </w:rPr>
              <w:t>3</w:t>
            </w:r>
            <w:r>
              <w:rPr>
                <w:color w:val="auto"/>
                <w:highlight w:val="none"/>
              </w:rPr>
              <w:t>/h)</w:t>
            </w:r>
          </w:p>
        </w:tc>
        <w:tc>
          <w:tcPr>
            <w:tcW w:w="550" w:type="dxa"/>
            <w:vMerge w:val="restart"/>
            <w:vAlign w:val="center"/>
          </w:tcPr>
          <w:p>
            <w:pPr>
              <w:jc w:val="center"/>
              <w:rPr>
                <w:rFonts w:hint="eastAsia" w:eastAsia="宋体"/>
                <w:color w:val="auto"/>
                <w:highlight w:val="none"/>
                <w:lang w:val="en-US" w:eastAsia="zh-CN"/>
              </w:rPr>
            </w:pPr>
            <w:r>
              <w:rPr>
                <w:rFonts w:hint="eastAsia"/>
                <w:color w:val="auto"/>
                <w:highlight w:val="none"/>
                <w:lang w:val="en-US" w:eastAsia="zh-CN"/>
              </w:rPr>
              <w:t>9.12</w:t>
            </w:r>
          </w:p>
        </w:tc>
        <w:tc>
          <w:tcPr>
            <w:tcW w:w="883" w:type="dxa"/>
            <w:vAlign w:val="center"/>
          </w:tcPr>
          <w:p>
            <w:pPr>
              <w:jc w:val="center"/>
              <w:rPr>
                <w:rFonts w:hint="eastAsia" w:eastAsia="宋体"/>
                <w:color w:val="auto"/>
                <w:highlight w:val="none"/>
                <w:lang w:val="en-US" w:eastAsia="zh-CN"/>
              </w:rPr>
            </w:pPr>
            <w:r>
              <w:rPr>
                <w:rFonts w:hint="eastAsia"/>
                <w:color w:val="auto"/>
                <w:highlight w:val="none"/>
                <w:lang w:val="en-US" w:eastAsia="zh-CN"/>
              </w:rPr>
              <w:t>10323</w:t>
            </w:r>
          </w:p>
        </w:tc>
        <w:tc>
          <w:tcPr>
            <w:tcW w:w="850" w:type="dxa"/>
            <w:vAlign w:val="center"/>
          </w:tcPr>
          <w:p>
            <w:pPr>
              <w:jc w:val="center"/>
              <w:rPr>
                <w:rFonts w:hint="eastAsia" w:eastAsia="宋体"/>
                <w:color w:val="auto"/>
                <w:highlight w:val="none"/>
                <w:lang w:val="en-US" w:eastAsia="zh-CN"/>
              </w:rPr>
            </w:pPr>
            <w:r>
              <w:rPr>
                <w:rFonts w:hint="eastAsia"/>
                <w:color w:val="auto"/>
                <w:highlight w:val="none"/>
                <w:lang w:val="en-US" w:eastAsia="zh-CN"/>
              </w:rPr>
              <w:t>10382</w:t>
            </w:r>
          </w:p>
        </w:tc>
        <w:tc>
          <w:tcPr>
            <w:tcW w:w="833" w:type="dxa"/>
            <w:vAlign w:val="center"/>
          </w:tcPr>
          <w:p>
            <w:pPr>
              <w:jc w:val="center"/>
              <w:rPr>
                <w:rFonts w:hint="eastAsia" w:eastAsia="宋体"/>
                <w:color w:val="auto"/>
                <w:highlight w:val="none"/>
                <w:lang w:val="en-US" w:eastAsia="zh-CN"/>
              </w:rPr>
            </w:pPr>
            <w:r>
              <w:rPr>
                <w:rFonts w:hint="eastAsia"/>
                <w:color w:val="auto"/>
                <w:highlight w:val="none"/>
                <w:lang w:val="en-US" w:eastAsia="zh-CN"/>
              </w:rPr>
              <w:t>10414</w:t>
            </w:r>
          </w:p>
        </w:tc>
        <w:tc>
          <w:tcPr>
            <w:tcW w:w="967" w:type="dxa"/>
            <w:vAlign w:val="center"/>
          </w:tcPr>
          <w:p>
            <w:pPr>
              <w:jc w:val="center"/>
              <w:rPr>
                <w:color w:val="auto"/>
                <w:highlight w:val="none"/>
              </w:rPr>
            </w:pPr>
            <w:r>
              <w:rPr>
                <w:rFonts w:hint="eastAsia"/>
                <w:color w:val="auto"/>
                <w:highlight w:val="none"/>
                <w:lang w:val="en-US" w:eastAsia="zh-CN"/>
              </w:rPr>
              <w:t>9878</w:t>
            </w:r>
          </w:p>
        </w:tc>
        <w:tc>
          <w:tcPr>
            <w:tcW w:w="933" w:type="dxa"/>
            <w:vAlign w:val="center"/>
          </w:tcPr>
          <w:p>
            <w:pPr>
              <w:jc w:val="center"/>
              <w:rPr>
                <w:color w:val="auto"/>
                <w:highlight w:val="none"/>
              </w:rPr>
            </w:pPr>
            <w:r>
              <w:rPr>
                <w:rFonts w:hint="eastAsia"/>
                <w:color w:val="auto"/>
                <w:highlight w:val="none"/>
                <w:lang w:val="en-US" w:eastAsia="zh-CN"/>
              </w:rPr>
              <w:t>9827</w:t>
            </w:r>
          </w:p>
        </w:tc>
        <w:tc>
          <w:tcPr>
            <w:tcW w:w="980" w:type="dxa"/>
            <w:vAlign w:val="center"/>
          </w:tcPr>
          <w:p>
            <w:pPr>
              <w:jc w:val="center"/>
              <w:rPr>
                <w:color w:val="auto"/>
                <w:highlight w:val="none"/>
              </w:rPr>
            </w:pPr>
            <w:r>
              <w:rPr>
                <w:rFonts w:hint="eastAsia"/>
                <w:color w:val="auto"/>
                <w:highlight w:val="none"/>
                <w:lang w:val="en-US" w:eastAsia="zh-CN"/>
              </w:rPr>
              <w:t>9966</w:t>
            </w:r>
          </w:p>
        </w:tc>
        <w:tc>
          <w:tcPr>
            <w:tcW w:w="1069" w:type="dxa"/>
            <w:vMerge w:val="restart"/>
            <w:vAlign w:val="center"/>
          </w:tcPr>
          <w:p>
            <w:pPr>
              <w:jc w:val="center"/>
              <w:rPr>
                <w:rFonts w:hint="eastAsia"/>
                <w:color w:val="auto"/>
                <w:highlight w:val="none"/>
                <w:lang w:val="en-US" w:eastAsia="zh-CN"/>
              </w:rPr>
            </w:pPr>
            <w:r>
              <w:rPr>
                <w:rFonts w:hint="eastAsia"/>
                <w:color w:val="auto"/>
                <w:highlight w:val="none"/>
                <w:lang w:val="en-US" w:eastAsia="zh-CN"/>
              </w:rPr>
              <w:t>/</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431" w:type="dxa"/>
            <w:vMerge w:val="continue"/>
            <w:vAlign w:val="center"/>
          </w:tcPr>
          <w:p>
            <w:pPr>
              <w:jc w:val="center"/>
              <w:rPr>
                <w:color w:val="auto"/>
                <w:highlight w:val="none"/>
              </w:rPr>
            </w:pPr>
          </w:p>
        </w:tc>
        <w:tc>
          <w:tcPr>
            <w:tcW w:w="800" w:type="dxa"/>
            <w:vMerge w:val="restart"/>
            <w:vAlign w:val="center"/>
          </w:tcPr>
          <w:p>
            <w:pPr>
              <w:tabs>
                <w:tab w:val="left" w:pos="7020"/>
              </w:tabs>
              <w:spacing w:line="160" w:lineRule="atLeast"/>
              <w:jc w:val="center"/>
              <w:rPr>
                <w:color w:val="auto"/>
                <w:highlight w:val="none"/>
              </w:rPr>
            </w:pPr>
            <w:r>
              <w:rPr>
                <w:rFonts w:hint="eastAsia"/>
                <w:color w:val="auto"/>
                <w:highlight w:val="none"/>
                <w:lang w:eastAsia="zh-CN"/>
              </w:rPr>
              <w:t>硫酸雾</w:t>
            </w:r>
          </w:p>
        </w:tc>
        <w:tc>
          <w:tcPr>
            <w:tcW w:w="1700" w:type="dxa"/>
            <w:vAlign w:val="center"/>
          </w:tcPr>
          <w:p>
            <w:pPr>
              <w:tabs>
                <w:tab w:val="left" w:pos="7020"/>
              </w:tabs>
              <w:spacing w:line="160" w:lineRule="atLeast"/>
              <w:jc w:val="center"/>
              <w:rPr>
                <w:color w:val="auto"/>
                <w:highlight w:val="none"/>
              </w:rPr>
            </w:pPr>
            <w:r>
              <w:rPr>
                <w:color w:val="auto"/>
                <w:highlight w:val="none"/>
              </w:rPr>
              <w:t>排放浓</w:t>
            </w:r>
            <w:r>
              <w:rPr>
                <w:rFonts w:hint="eastAsia"/>
                <w:color w:val="auto"/>
                <w:highlight w:val="none"/>
              </w:rPr>
              <w:t>度</w:t>
            </w:r>
            <w:r>
              <w:rPr>
                <w:color w:val="auto"/>
                <w:highlight w:val="none"/>
              </w:rPr>
              <w:t>(mg/m</w:t>
            </w:r>
            <w:r>
              <w:rPr>
                <w:color w:val="auto"/>
                <w:highlight w:val="none"/>
                <w:vertAlign w:val="superscript"/>
              </w:rPr>
              <w:t>3</w:t>
            </w:r>
            <w:r>
              <w:rPr>
                <w:color w:val="auto"/>
                <w:highlight w:val="none"/>
              </w:rPr>
              <w:t>)</w:t>
            </w:r>
          </w:p>
        </w:tc>
        <w:tc>
          <w:tcPr>
            <w:tcW w:w="550" w:type="dxa"/>
            <w:vMerge w:val="continue"/>
            <w:vAlign w:val="center"/>
          </w:tcPr>
          <w:p>
            <w:pPr>
              <w:jc w:val="center"/>
              <w:rPr>
                <w:color w:val="auto"/>
                <w:highlight w:val="none"/>
              </w:rPr>
            </w:pPr>
          </w:p>
        </w:tc>
        <w:tc>
          <w:tcPr>
            <w:tcW w:w="883" w:type="dxa"/>
            <w:vAlign w:val="center"/>
          </w:tcPr>
          <w:p>
            <w:pPr>
              <w:jc w:val="center"/>
              <w:rPr>
                <w:rFonts w:hint="eastAsia" w:eastAsia="宋体"/>
                <w:color w:val="auto"/>
                <w:highlight w:val="none"/>
                <w:lang w:val="en-US" w:eastAsia="zh-CN"/>
              </w:rPr>
            </w:pPr>
            <w:r>
              <w:rPr>
                <w:rFonts w:hint="eastAsia"/>
                <w:color w:val="auto"/>
                <w:highlight w:val="none"/>
                <w:lang w:val="en-US" w:eastAsia="zh-CN"/>
              </w:rPr>
              <w:t>1.56</w:t>
            </w:r>
          </w:p>
        </w:tc>
        <w:tc>
          <w:tcPr>
            <w:tcW w:w="850" w:type="dxa"/>
            <w:vAlign w:val="center"/>
          </w:tcPr>
          <w:p>
            <w:pPr>
              <w:jc w:val="center"/>
              <w:rPr>
                <w:rFonts w:hint="eastAsia" w:eastAsia="宋体"/>
                <w:color w:val="auto"/>
                <w:highlight w:val="none"/>
                <w:lang w:val="en-US" w:eastAsia="zh-CN"/>
              </w:rPr>
            </w:pPr>
            <w:r>
              <w:rPr>
                <w:rFonts w:hint="eastAsia"/>
                <w:color w:val="auto"/>
                <w:highlight w:val="none"/>
                <w:lang w:val="en-US" w:eastAsia="zh-CN"/>
              </w:rPr>
              <w:t>1.54</w:t>
            </w:r>
          </w:p>
        </w:tc>
        <w:tc>
          <w:tcPr>
            <w:tcW w:w="833" w:type="dxa"/>
            <w:vAlign w:val="center"/>
          </w:tcPr>
          <w:p>
            <w:pPr>
              <w:jc w:val="center"/>
              <w:rPr>
                <w:rFonts w:hint="eastAsia" w:eastAsia="宋体"/>
                <w:color w:val="auto"/>
                <w:highlight w:val="none"/>
                <w:lang w:val="en-US" w:eastAsia="zh-CN"/>
              </w:rPr>
            </w:pPr>
            <w:r>
              <w:rPr>
                <w:rFonts w:hint="eastAsia"/>
                <w:color w:val="auto"/>
                <w:highlight w:val="none"/>
                <w:lang w:val="en-US" w:eastAsia="zh-CN"/>
              </w:rPr>
              <w:t>1.41</w:t>
            </w:r>
          </w:p>
        </w:tc>
        <w:tc>
          <w:tcPr>
            <w:tcW w:w="967" w:type="dxa"/>
            <w:vAlign w:val="center"/>
          </w:tcPr>
          <w:p>
            <w:pPr>
              <w:jc w:val="center"/>
              <w:rPr>
                <w:rFonts w:hint="eastAsia" w:eastAsia="宋体"/>
                <w:color w:val="auto"/>
                <w:highlight w:val="none"/>
                <w:lang w:val="en-US" w:eastAsia="zh-CN"/>
              </w:rPr>
            </w:pPr>
            <w:r>
              <w:rPr>
                <w:rFonts w:hint="eastAsia"/>
                <w:color w:val="auto"/>
                <w:sz w:val="21"/>
                <w:szCs w:val="21"/>
                <w:highlight w:val="none"/>
                <w:lang w:val="en-US" w:eastAsia="zh-CN"/>
              </w:rPr>
              <w:t>＜0.2</w:t>
            </w:r>
          </w:p>
        </w:tc>
        <w:tc>
          <w:tcPr>
            <w:tcW w:w="933" w:type="dxa"/>
            <w:vAlign w:val="center"/>
          </w:tcPr>
          <w:p>
            <w:pPr>
              <w:jc w:val="center"/>
              <w:rPr>
                <w:rFonts w:hint="eastAsia" w:eastAsia="宋体"/>
                <w:color w:val="auto"/>
                <w:highlight w:val="none"/>
                <w:lang w:val="en-US" w:eastAsia="zh-CN"/>
              </w:rPr>
            </w:pPr>
            <w:r>
              <w:rPr>
                <w:rFonts w:hint="eastAsia"/>
                <w:color w:val="auto"/>
                <w:sz w:val="21"/>
                <w:szCs w:val="21"/>
                <w:highlight w:val="none"/>
                <w:lang w:val="en-US" w:eastAsia="zh-CN"/>
              </w:rPr>
              <w:t>＜0.2</w:t>
            </w:r>
          </w:p>
        </w:tc>
        <w:tc>
          <w:tcPr>
            <w:tcW w:w="980" w:type="dxa"/>
            <w:vAlign w:val="center"/>
          </w:tcPr>
          <w:p>
            <w:pPr>
              <w:jc w:val="center"/>
              <w:rPr>
                <w:rFonts w:hint="eastAsia" w:eastAsia="宋体"/>
                <w:color w:val="auto"/>
                <w:highlight w:val="none"/>
                <w:lang w:val="en-US" w:eastAsia="zh-CN"/>
              </w:rPr>
            </w:pPr>
            <w:r>
              <w:rPr>
                <w:rFonts w:hint="eastAsia"/>
                <w:color w:val="auto"/>
                <w:sz w:val="21"/>
                <w:szCs w:val="21"/>
                <w:highlight w:val="none"/>
                <w:lang w:val="en-US" w:eastAsia="zh-CN"/>
              </w:rPr>
              <w:t>＜0.2</w:t>
            </w:r>
          </w:p>
        </w:tc>
        <w:tc>
          <w:tcPr>
            <w:tcW w:w="1069" w:type="dxa"/>
            <w:vMerge w:val="continue"/>
            <w:vAlign w:val="center"/>
          </w:tcPr>
          <w:p>
            <w:pPr>
              <w:jc w:val="center"/>
              <w:rPr>
                <w:rFonts w:hint="eastAsia"/>
                <w:color w:val="auto"/>
                <w:highlight w:val="none"/>
                <w:lang w:val="en-US" w:eastAsia="zh-CN"/>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431" w:type="dxa"/>
            <w:vMerge w:val="continue"/>
            <w:vAlign w:val="center"/>
          </w:tcPr>
          <w:p>
            <w:pPr>
              <w:jc w:val="center"/>
              <w:rPr>
                <w:color w:val="auto"/>
                <w:highlight w:val="none"/>
              </w:rPr>
            </w:pPr>
          </w:p>
        </w:tc>
        <w:tc>
          <w:tcPr>
            <w:tcW w:w="800" w:type="dxa"/>
            <w:vMerge w:val="continue"/>
            <w:vAlign w:val="center"/>
          </w:tcPr>
          <w:p>
            <w:pPr>
              <w:tabs>
                <w:tab w:val="left" w:pos="7020"/>
              </w:tabs>
              <w:spacing w:line="160" w:lineRule="atLeast"/>
              <w:jc w:val="center"/>
              <w:rPr>
                <w:color w:val="auto"/>
                <w:highlight w:val="none"/>
              </w:rPr>
            </w:pPr>
          </w:p>
        </w:tc>
        <w:tc>
          <w:tcPr>
            <w:tcW w:w="1700" w:type="dxa"/>
            <w:vAlign w:val="center"/>
          </w:tcPr>
          <w:p>
            <w:pPr>
              <w:tabs>
                <w:tab w:val="left" w:pos="7020"/>
              </w:tabs>
              <w:spacing w:line="160" w:lineRule="atLeast"/>
              <w:jc w:val="center"/>
              <w:rPr>
                <w:color w:val="auto"/>
                <w:highlight w:val="none"/>
              </w:rPr>
            </w:pPr>
            <w:r>
              <w:rPr>
                <w:color w:val="auto"/>
                <w:highlight w:val="none"/>
              </w:rPr>
              <w:t>排放速率(kg/h)</w:t>
            </w:r>
          </w:p>
        </w:tc>
        <w:tc>
          <w:tcPr>
            <w:tcW w:w="550" w:type="dxa"/>
            <w:vMerge w:val="continue"/>
            <w:vAlign w:val="center"/>
          </w:tcPr>
          <w:p>
            <w:pPr>
              <w:jc w:val="center"/>
              <w:rPr>
                <w:color w:val="auto"/>
                <w:highlight w:val="none"/>
              </w:rPr>
            </w:pPr>
          </w:p>
        </w:tc>
        <w:tc>
          <w:tcPr>
            <w:tcW w:w="883" w:type="dxa"/>
            <w:vAlign w:val="center"/>
          </w:tcPr>
          <w:p>
            <w:pPr>
              <w:jc w:val="center"/>
              <w:rPr>
                <w:rFonts w:hint="eastAsia" w:eastAsia="宋体"/>
                <w:color w:val="auto"/>
                <w:highlight w:val="none"/>
                <w:lang w:val="en-US" w:eastAsia="zh-CN"/>
              </w:rPr>
            </w:pPr>
            <w:r>
              <w:rPr>
                <w:rFonts w:hint="eastAsia"/>
                <w:color w:val="auto"/>
                <w:highlight w:val="none"/>
                <w:lang w:val="en-US" w:eastAsia="zh-CN"/>
              </w:rPr>
              <w:t>0.016</w:t>
            </w:r>
          </w:p>
        </w:tc>
        <w:tc>
          <w:tcPr>
            <w:tcW w:w="850" w:type="dxa"/>
            <w:vAlign w:val="center"/>
          </w:tcPr>
          <w:p>
            <w:pPr>
              <w:jc w:val="center"/>
              <w:rPr>
                <w:rFonts w:hint="eastAsia" w:eastAsia="宋体"/>
                <w:color w:val="auto"/>
                <w:highlight w:val="none"/>
                <w:lang w:val="en-US" w:eastAsia="zh-CN"/>
              </w:rPr>
            </w:pPr>
            <w:r>
              <w:rPr>
                <w:rFonts w:hint="eastAsia"/>
                <w:color w:val="auto"/>
                <w:highlight w:val="none"/>
                <w:lang w:val="en-US" w:eastAsia="zh-CN"/>
              </w:rPr>
              <w:t>0.016</w:t>
            </w:r>
          </w:p>
        </w:tc>
        <w:tc>
          <w:tcPr>
            <w:tcW w:w="833" w:type="dxa"/>
            <w:vAlign w:val="center"/>
          </w:tcPr>
          <w:p>
            <w:pPr>
              <w:jc w:val="center"/>
              <w:rPr>
                <w:rFonts w:hint="eastAsia" w:eastAsia="宋体"/>
                <w:color w:val="auto"/>
                <w:highlight w:val="none"/>
                <w:lang w:val="en-US" w:eastAsia="zh-CN"/>
              </w:rPr>
            </w:pPr>
            <w:r>
              <w:rPr>
                <w:rFonts w:hint="eastAsia"/>
                <w:color w:val="auto"/>
                <w:highlight w:val="none"/>
                <w:lang w:val="en-US" w:eastAsia="zh-CN"/>
              </w:rPr>
              <w:t>0.015</w:t>
            </w:r>
          </w:p>
        </w:tc>
        <w:tc>
          <w:tcPr>
            <w:tcW w:w="967" w:type="dxa"/>
            <w:vAlign w:val="center"/>
          </w:tcPr>
          <w:p>
            <w:pPr>
              <w:jc w:val="center"/>
              <w:rPr>
                <w:rFonts w:hint="eastAsia" w:eastAsia="宋体"/>
                <w:color w:val="auto"/>
                <w:highlight w:val="none"/>
                <w:lang w:val="en-US" w:eastAsia="zh-CN"/>
              </w:rPr>
            </w:pPr>
            <w:r>
              <w:rPr>
                <w:rFonts w:hint="eastAsia"/>
                <w:color w:val="auto"/>
                <w:sz w:val="21"/>
                <w:szCs w:val="21"/>
                <w:highlight w:val="none"/>
                <w:lang w:val="en-US" w:eastAsia="zh-CN"/>
              </w:rPr>
              <w:t>/</w:t>
            </w:r>
          </w:p>
        </w:tc>
        <w:tc>
          <w:tcPr>
            <w:tcW w:w="933" w:type="dxa"/>
            <w:vAlign w:val="center"/>
          </w:tcPr>
          <w:p>
            <w:pPr>
              <w:jc w:val="center"/>
              <w:rPr>
                <w:rFonts w:hint="eastAsia" w:eastAsia="宋体"/>
                <w:color w:val="auto"/>
                <w:highlight w:val="none"/>
                <w:lang w:val="en-US" w:eastAsia="zh-CN"/>
              </w:rPr>
            </w:pPr>
            <w:r>
              <w:rPr>
                <w:rFonts w:hint="eastAsia"/>
                <w:color w:val="auto"/>
                <w:sz w:val="21"/>
                <w:szCs w:val="21"/>
                <w:highlight w:val="none"/>
                <w:lang w:val="en-US" w:eastAsia="zh-CN"/>
              </w:rPr>
              <w:t>/</w:t>
            </w:r>
          </w:p>
        </w:tc>
        <w:tc>
          <w:tcPr>
            <w:tcW w:w="980" w:type="dxa"/>
            <w:vAlign w:val="center"/>
          </w:tcPr>
          <w:p>
            <w:pPr>
              <w:jc w:val="center"/>
              <w:rPr>
                <w:rFonts w:hint="eastAsia" w:eastAsia="宋体"/>
                <w:color w:val="auto"/>
                <w:highlight w:val="none"/>
                <w:lang w:val="en-US" w:eastAsia="zh-CN"/>
              </w:rPr>
            </w:pPr>
            <w:r>
              <w:rPr>
                <w:rFonts w:hint="eastAsia"/>
                <w:color w:val="auto"/>
                <w:sz w:val="21"/>
                <w:szCs w:val="21"/>
                <w:highlight w:val="none"/>
                <w:lang w:val="en-US" w:eastAsia="zh-CN"/>
              </w:rPr>
              <w:t>/</w:t>
            </w:r>
          </w:p>
        </w:tc>
        <w:tc>
          <w:tcPr>
            <w:tcW w:w="1069" w:type="dxa"/>
            <w:vMerge w:val="continue"/>
            <w:vAlign w:val="center"/>
          </w:tcPr>
          <w:p>
            <w:pPr>
              <w:jc w:val="center"/>
              <w:rPr>
                <w:rFonts w:hint="eastAsia"/>
                <w:color w:val="auto"/>
                <w:highlight w:val="none"/>
                <w:lang w:val="en-US" w:eastAsia="zh-CN"/>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431" w:type="dxa"/>
            <w:vMerge w:val="restart"/>
            <w:vAlign w:val="center"/>
          </w:tcPr>
          <w:p>
            <w:pPr>
              <w:jc w:val="center"/>
              <w:rPr>
                <w:rFonts w:hint="eastAsia" w:eastAsia="宋体"/>
                <w:color w:val="auto"/>
                <w:highlight w:val="none"/>
                <w:lang w:val="en-US" w:eastAsia="zh-CN"/>
              </w:rPr>
            </w:pPr>
            <w:r>
              <w:rPr>
                <w:rFonts w:hint="eastAsia"/>
                <w:color w:val="auto"/>
                <w:highlight w:val="none"/>
                <w:lang w:val="en-US" w:eastAsia="zh-CN"/>
              </w:rPr>
              <w:t>P5</w:t>
            </w:r>
          </w:p>
        </w:tc>
        <w:tc>
          <w:tcPr>
            <w:tcW w:w="2500" w:type="dxa"/>
            <w:gridSpan w:val="2"/>
            <w:vAlign w:val="center"/>
          </w:tcPr>
          <w:p>
            <w:pPr>
              <w:tabs>
                <w:tab w:val="left" w:pos="7020"/>
              </w:tabs>
              <w:spacing w:line="160" w:lineRule="atLeast"/>
              <w:jc w:val="center"/>
              <w:rPr>
                <w:color w:val="auto"/>
                <w:highlight w:val="none"/>
              </w:rPr>
            </w:pPr>
            <w:r>
              <w:rPr>
                <w:color w:val="auto"/>
                <w:highlight w:val="none"/>
              </w:rPr>
              <w:t>标干废气量(m</w:t>
            </w:r>
            <w:r>
              <w:rPr>
                <w:color w:val="auto"/>
                <w:highlight w:val="none"/>
                <w:vertAlign w:val="superscript"/>
              </w:rPr>
              <w:t>3</w:t>
            </w:r>
            <w:r>
              <w:rPr>
                <w:color w:val="auto"/>
                <w:highlight w:val="none"/>
              </w:rPr>
              <w:t>/h)</w:t>
            </w:r>
          </w:p>
        </w:tc>
        <w:tc>
          <w:tcPr>
            <w:tcW w:w="550" w:type="dxa"/>
            <w:vMerge w:val="restart"/>
            <w:vAlign w:val="center"/>
          </w:tcPr>
          <w:p>
            <w:pPr>
              <w:jc w:val="center"/>
              <w:rPr>
                <w:rFonts w:hint="eastAsia" w:eastAsia="宋体"/>
                <w:color w:val="auto"/>
                <w:highlight w:val="none"/>
                <w:lang w:val="en-US" w:eastAsia="zh-CN"/>
              </w:rPr>
            </w:pPr>
            <w:r>
              <w:rPr>
                <w:rFonts w:hint="eastAsia"/>
                <w:color w:val="auto"/>
                <w:highlight w:val="none"/>
                <w:lang w:val="en-US" w:eastAsia="zh-CN"/>
              </w:rPr>
              <w:t>9.11</w:t>
            </w:r>
          </w:p>
        </w:tc>
        <w:tc>
          <w:tcPr>
            <w:tcW w:w="883" w:type="dxa"/>
            <w:vAlign w:val="center"/>
          </w:tcPr>
          <w:p>
            <w:pPr>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9759</w:t>
            </w:r>
          </w:p>
        </w:tc>
        <w:tc>
          <w:tcPr>
            <w:tcW w:w="850" w:type="dxa"/>
            <w:vAlign w:val="center"/>
          </w:tcPr>
          <w:p>
            <w:pPr>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9727</w:t>
            </w:r>
          </w:p>
        </w:tc>
        <w:tc>
          <w:tcPr>
            <w:tcW w:w="833" w:type="dxa"/>
            <w:vAlign w:val="center"/>
          </w:tcPr>
          <w:p>
            <w:pPr>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9597</w:t>
            </w:r>
          </w:p>
        </w:tc>
        <w:tc>
          <w:tcPr>
            <w:tcW w:w="967" w:type="dxa"/>
            <w:vAlign w:val="center"/>
          </w:tcPr>
          <w:p>
            <w:pPr>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9110</w:t>
            </w:r>
          </w:p>
        </w:tc>
        <w:tc>
          <w:tcPr>
            <w:tcW w:w="933" w:type="dxa"/>
            <w:vAlign w:val="center"/>
          </w:tcPr>
          <w:p>
            <w:pPr>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8967</w:t>
            </w:r>
          </w:p>
        </w:tc>
        <w:tc>
          <w:tcPr>
            <w:tcW w:w="980" w:type="dxa"/>
            <w:vAlign w:val="center"/>
          </w:tcPr>
          <w:p>
            <w:pPr>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9042</w:t>
            </w:r>
          </w:p>
        </w:tc>
        <w:tc>
          <w:tcPr>
            <w:tcW w:w="1069" w:type="dxa"/>
            <w:vMerge w:val="restart"/>
            <w:vAlign w:val="center"/>
          </w:tcPr>
          <w:p>
            <w:pPr>
              <w:jc w:val="center"/>
              <w:rPr>
                <w:rFonts w:hint="eastAsia"/>
                <w:color w:val="auto"/>
                <w:highlight w:val="none"/>
                <w:lang w:val="en-US" w:eastAsia="zh-CN"/>
              </w:rPr>
            </w:pPr>
            <w:r>
              <w:rPr>
                <w:rFonts w:hint="eastAsia"/>
                <w:color w:val="auto"/>
                <w:highlight w:val="none"/>
                <w:lang w:val="en-US" w:eastAsia="zh-CN"/>
              </w:rPr>
              <w:t>/</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431" w:type="dxa"/>
            <w:vMerge w:val="continue"/>
            <w:vAlign w:val="center"/>
          </w:tcPr>
          <w:p>
            <w:pPr>
              <w:jc w:val="center"/>
              <w:rPr>
                <w:color w:val="auto"/>
                <w:highlight w:val="none"/>
              </w:rPr>
            </w:pPr>
          </w:p>
        </w:tc>
        <w:tc>
          <w:tcPr>
            <w:tcW w:w="800" w:type="dxa"/>
            <w:vMerge w:val="restart"/>
            <w:vAlign w:val="center"/>
          </w:tcPr>
          <w:p>
            <w:pPr>
              <w:tabs>
                <w:tab w:val="left" w:pos="7020"/>
              </w:tabs>
              <w:spacing w:line="160" w:lineRule="atLeast"/>
              <w:jc w:val="center"/>
              <w:rPr>
                <w:color w:val="auto"/>
                <w:highlight w:val="none"/>
              </w:rPr>
            </w:pPr>
            <w:r>
              <w:rPr>
                <w:rFonts w:hint="default" w:ascii="Times New Roman" w:hAnsi="Times New Roman" w:cs="Times New Roman"/>
                <w:color w:val="auto"/>
                <w:sz w:val="21"/>
                <w:szCs w:val="21"/>
                <w:highlight w:val="none"/>
              </w:rPr>
              <w:t>氯化氢</w:t>
            </w:r>
          </w:p>
        </w:tc>
        <w:tc>
          <w:tcPr>
            <w:tcW w:w="1700" w:type="dxa"/>
            <w:vAlign w:val="center"/>
          </w:tcPr>
          <w:p>
            <w:pPr>
              <w:tabs>
                <w:tab w:val="left" w:pos="7020"/>
              </w:tabs>
              <w:spacing w:line="160" w:lineRule="atLeast"/>
              <w:jc w:val="center"/>
              <w:rPr>
                <w:color w:val="auto"/>
                <w:highlight w:val="none"/>
              </w:rPr>
            </w:pPr>
            <w:r>
              <w:rPr>
                <w:color w:val="auto"/>
                <w:highlight w:val="none"/>
              </w:rPr>
              <w:t>排放浓</w:t>
            </w:r>
            <w:r>
              <w:rPr>
                <w:rFonts w:hint="eastAsia"/>
                <w:color w:val="auto"/>
                <w:highlight w:val="none"/>
              </w:rPr>
              <w:t>度</w:t>
            </w:r>
            <w:r>
              <w:rPr>
                <w:color w:val="auto"/>
                <w:highlight w:val="none"/>
              </w:rPr>
              <w:t>(mg/m</w:t>
            </w:r>
            <w:r>
              <w:rPr>
                <w:color w:val="auto"/>
                <w:highlight w:val="none"/>
                <w:vertAlign w:val="superscript"/>
              </w:rPr>
              <w:t>3</w:t>
            </w:r>
            <w:r>
              <w:rPr>
                <w:color w:val="auto"/>
                <w:highlight w:val="none"/>
              </w:rPr>
              <w:t>)</w:t>
            </w:r>
          </w:p>
        </w:tc>
        <w:tc>
          <w:tcPr>
            <w:tcW w:w="550" w:type="dxa"/>
            <w:vMerge w:val="continue"/>
            <w:vAlign w:val="center"/>
          </w:tcPr>
          <w:p>
            <w:pPr>
              <w:jc w:val="center"/>
              <w:rPr>
                <w:color w:val="auto"/>
                <w:highlight w:val="none"/>
              </w:rPr>
            </w:pPr>
          </w:p>
        </w:tc>
        <w:tc>
          <w:tcPr>
            <w:tcW w:w="883" w:type="dxa"/>
            <w:vAlign w:val="center"/>
          </w:tcPr>
          <w:p>
            <w:pPr>
              <w:keepNext w:val="0"/>
              <w:keepLines w:val="0"/>
              <w:widowControl/>
              <w:suppressLineNumbers w:val="0"/>
              <w:jc w:val="center"/>
              <w:textAlignment w:val="bottom"/>
              <w:rPr>
                <w:rFonts w:hint="eastAsia" w:eastAsia="宋体"/>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0.988</w:t>
            </w:r>
          </w:p>
        </w:tc>
        <w:tc>
          <w:tcPr>
            <w:tcW w:w="850" w:type="dxa"/>
            <w:vAlign w:val="center"/>
          </w:tcPr>
          <w:p>
            <w:pPr>
              <w:keepNext w:val="0"/>
              <w:keepLines w:val="0"/>
              <w:widowControl/>
              <w:suppressLineNumbers w:val="0"/>
              <w:jc w:val="center"/>
              <w:textAlignment w:val="bottom"/>
              <w:rPr>
                <w:rFonts w:hint="eastAsia" w:eastAsia="宋体"/>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1.09</w:t>
            </w:r>
          </w:p>
        </w:tc>
        <w:tc>
          <w:tcPr>
            <w:tcW w:w="833" w:type="dxa"/>
            <w:vAlign w:val="center"/>
          </w:tcPr>
          <w:p>
            <w:pPr>
              <w:keepNext w:val="0"/>
              <w:keepLines w:val="0"/>
              <w:widowControl/>
              <w:suppressLineNumbers w:val="0"/>
              <w:jc w:val="center"/>
              <w:textAlignment w:val="bottom"/>
              <w:rPr>
                <w:rFonts w:hint="eastAsia" w:eastAsia="宋体"/>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0.986</w:t>
            </w:r>
          </w:p>
        </w:tc>
        <w:tc>
          <w:tcPr>
            <w:tcW w:w="967" w:type="dxa"/>
            <w:vAlign w:val="center"/>
          </w:tcPr>
          <w:p>
            <w:pPr>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＜0.2</w:t>
            </w:r>
          </w:p>
        </w:tc>
        <w:tc>
          <w:tcPr>
            <w:tcW w:w="933" w:type="dxa"/>
            <w:vAlign w:val="center"/>
          </w:tcPr>
          <w:p>
            <w:pPr>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＜0.2</w:t>
            </w:r>
          </w:p>
        </w:tc>
        <w:tc>
          <w:tcPr>
            <w:tcW w:w="980" w:type="dxa"/>
            <w:vAlign w:val="center"/>
          </w:tcPr>
          <w:p>
            <w:pPr>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＜0.2</w:t>
            </w:r>
          </w:p>
        </w:tc>
        <w:tc>
          <w:tcPr>
            <w:tcW w:w="1069" w:type="dxa"/>
            <w:vMerge w:val="continue"/>
            <w:vAlign w:val="center"/>
          </w:tcPr>
          <w:p>
            <w:pPr>
              <w:jc w:val="center"/>
              <w:rPr>
                <w:rFonts w:hint="eastAsia"/>
                <w:color w:val="auto"/>
                <w:highlight w:val="none"/>
                <w:lang w:val="en-US" w:eastAsia="zh-CN"/>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431" w:type="dxa"/>
            <w:vMerge w:val="continue"/>
            <w:vAlign w:val="center"/>
          </w:tcPr>
          <w:p>
            <w:pPr>
              <w:jc w:val="center"/>
              <w:rPr>
                <w:color w:val="auto"/>
                <w:highlight w:val="none"/>
              </w:rPr>
            </w:pPr>
          </w:p>
        </w:tc>
        <w:tc>
          <w:tcPr>
            <w:tcW w:w="800" w:type="dxa"/>
            <w:vMerge w:val="continue"/>
            <w:vAlign w:val="center"/>
          </w:tcPr>
          <w:p>
            <w:pPr>
              <w:tabs>
                <w:tab w:val="left" w:pos="7020"/>
              </w:tabs>
              <w:spacing w:line="160" w:lineRule="atLeast"/>
              <w:jc w:val="center"/>
              <w:rPr>
                <w:color w:val="auto"/>
                <w:highlight w:val="none"/>
              </w:rPr>
            </w:pPr>
          </w:p>
        </w:tc>
        <w:tc>
          <w:tcPr>
            <w:tcW w:w="1700" w:type="dxa"/>
            <w:vAlign w:val="center"/>
          </w:tcPr>
          <w:p>
            <w:pPr>
              <w:tabs>
                <w:tab w:val="left" w:pos="7020"/>
              </w:tabs>
              <w:spacing w:line="160" w:lineRule="atLeast"/>
              <w:jc w:val="center"/>
              <w:rPr>
                <w:color w:val="auto"/>
                <w:highlight w:val="none"/>
              </w:rPr>
            </w:pPr>
            <w:r>
              <w:rPr>
                <w:color w:val="auto"/>
                <w:highlight w:val="none"/>
              </w:rPr>
              <w:t>排放速率(kg/h)</w:t>
            </w:r>
          </w:p>
        </w:tc>
        <w:tc>
          <w:tcPr>
            <w:tcW w:w="550" w:type="dxa"/>
            <w:vMerge w:val="continue"/>
            <w:vAlign w:val="center"/>
          </w:tcPr>
          <w:p>
            <w:pPr>
              <w:jc w:val="center"/>
              <w:rPr>
                <w:color w:val="auto"/>
                <w:highlight w:val="none"/>
              </w:rPr>
            </w:pPr>
          </w:p>
        </w:tc>
        <w:tc>
          <w:tcPr>
            <w:tcW w:w="883" w:type="dxa"/>
            <w:vAlign w:val="center"/>
          </w:tcPr>
          <w:p>
            <w:pPr>
              <w:keepNext w:val="0"/>
              <w:keepLines w:val="0"/>
              <w:widowControl/>
              <w:suppressLineNumbers w:val="0"/>
              <w:jc w:val="center"/>
              <w:textAlignment w:val="bottom"/>
              <w:rPr>
                <w:rFonts w:hint="eastAsia" w:eastAsia="宋体"/>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9.64×10</w:t>
            </w:r>
            <w:r>
              <w:rPr>
                <w:rFonts w:hint="default" w:ascii="Times New Roman" w:hAnsi="Times New Roman" w:eastAsia="宋体" w:cs="Times New Roman"/>
                <w:i w:val="0"/>
                <w:color w:val="auto"/>
                <w:kern w:val="0"/>
                <w:sz w:val="21"/>
                <w:szCs w:val="21"/>
                <w:highlight w:val="none"/>
                <w:u w:val="none"/>
                <w:vertAlign w:val="superscript"/>
                <w:lang w:val="en-US" w:eastAsia="zh-CN" w:bidi="ar"/>
              </w:rPr>
              <w:t>-3</w:t>
            </w:r>
          </w:p>
        </w:tc>
        <w:tc>
          <w:tcPr>
            <w:tcW w:w="850" w:type="dxa"/>
            <w:vAlign w:val="center"/>
          </w:tcPr>
          <w:p>
            <w:pPr>
              <w:keepNext w:val="0"/>
              <w:keepLines w:val="0"/>
              <w:widowControl/>
              <w:suppressLineNumbers w:val="0"/>
              <w:jc w:val="center"/>
              <w:textAlignment w:val="bottom"/>
              <w:rPr>
                <w:rFonts w:hint="eastAsia" w:eastAsia="宋体"/>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1.06×10</w:t>
            </w:r>
            <w:r>
              <w:rPr>
                <w:rFonts w:hint="default" w:ascii="Times New Roman" w:hAnsi="Times New Roman" w:eastAsia="宋体" w:cs="Times New Roman"/>
                <w:i w:val="0"/>
                <w:color w:val="auto"/>
                <w:kern w:val="0"/>
                <w:sz w:val="21"/>
                <w:szCs w:val="21"/>
                <w:highlight w:val="none"/>
                <w:u w:val="none"/>
                <w:vertAlign w:val="superscript"/>
                <w:lang w:val="en-US" w:eastAsia="zh-CN" w:bidi="ar"/>
              </w:rPr>
              <w:t>-3</w:t>
            </w:r>
          </w:p>
        </w:tc>
        <w:tc>
          <w:tcPr>
            <w:tcW w:w="833" w:type="dxa"/>
            <w:vAlign w:val="center"/>
          </w:tcPr>
          <w:p>
            <w:pPr>
              <w:keepNext w:val="0"/>
              <w:keepLines w:val="0"/>
              <w:widowControl/>
              <w:suppressLineNumbers w:val="0"/>
              <w:jc w:val="center"/>
              <w:textAlignment w:val="bottom"/>
              <w:rPr>
                <w:rFonts w:hint="eastAsia" w:eastAsia="宋体"/>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9.47×10</w:t>
            </w:r>
            <w:r>
              <w:rPr>
                <w:rFonts w:hint="default" w:ascii="Times New Roman" w:hAnsi="Times New Roman" w:eastAsia="宋体" w:cs="Times New Roman"/>
                <w:i w:val="0"/>
                <w:color w:val="auto"/>
                <w:kern w:val="0"/>
                <w:sz w:val="21"/>
                <w:szCs w:val="21"/>
                <w:highlight w:val="none"/>
                <w:u w:val="none"/>
                <w:vertAlign w:val="superscript"/>
                <w:lang w:val="en-US" w:eastAsia="zh-CN" w:bidi="ar"/>
              </w:rPr>
              <w:t>-3</w:t>
            </w:r>
          </w:p>
        </w:tc>
        <w:tc>
          <w:tcPr>
            <w:tcW w:w="967" w:type="dxa"/>
            <w:vAlign w:val="center"/>
          </w:tcPr>
          <w:p>
            <w:pPr>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c>
          <w:tcPr>
            <w:tcW w:w="933" w:type="dxa"/>
            <w:vAlign w:val="center"/>
          </w:tcPr>
          <w:p>
            <w:pPr>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c>
          <w:tcPr>
            <w:tcW w:w="980" w:type="dxa"/>
            <w:vAlign w:val="center"/>
          </w:tcPr>
          <w:p>
            <w:pPr>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c>
          <w:tcPr>
            <w:tcW w:w="1069" w:type="dxa"/>
            <w:vMerge w:val="continue"/>
            <w:vAlign w:val="center"/>
          </w:tcPr>
          <w:p>
            <w:pPr>
              <w:jc w:val="center"/>
              <w:rPr>
                <w:rFonts w:hint="eastAsia"/>
                <w:color w:val="auto"/>
                <w:highlight w:val="none"/>
                <w:lang w:val="en-US" w:eastAsia="zh-CN"/>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431" w:type="dxa"/>
            <w:vMerge w:val="continue"/>
            <w:vAlign w:val="center"/>
          </w:tcPr>
          <w:p>
            <w:pPr>
              <w:jc w:val="center"/>
              <w:rPr>
                <w:color w:val="auto"/>
                <w:highlight w:val="none"/>
              </w:rPr>
            </w:pPr>
          </w:p>
        </w:tc>
        <w:tc>
          <w:tcPr>
            <w:tcW w:w="2500" w:type="dxa"/>
            <w:gridSpan w:val="2"/>
            <w:vAlign w:val="center"/>
          </w:tcPr>
          <w:p>
            <w:pPr>
              <w:tabs>
                <w:tab w:val="left" w:pos="7020"/>
              </w:tabs>
              <w:spacing w:line="160" w:lineRule="atLeast"/>
              <w:jc w:val="center"/>
              <w:rPr>
                <w:color w:val="auto"/>
                <w:highlight w:val="none"/>
              </w:rPr>
            </w:pPr>
            <w:r>
              <w:rPr>
                <w:color w:val="auto"/>
                <w:highlight w:val="none"/>
              </w:rPr>
              <w:t>标干废气量(m</w:t>
            </w:r>
            <w:r>
              <w:rPr>
                <w:color w:val="auto"/>
                <w:highlight w:val="none"/>
                <w:vertAlign w:val="superscript"/>
              </w:rPr>
              <w:t>3</w:t>
            </w:r>
            <w:r>
              <w:rPr>
                <w:color w:val="auto"/>
                <w:highlight w:val="none"/>
              </w:rPr>
              <w:t>/h)</w:t>
            </w:r>
          </w:p>
        </w:tc>
        <w:tc>
          <w:tcPr>
            <w:tcW w:w="550" w:type="dxa"/>
            <w:vMerge w:val="restart"/>
            <w:vAlign w:val="center"/>
          </w:tcPr>
          <w:p>
            <w:pPr>
              <w:jc w:val="center"/>
              <w:rPr>
                <w:rFonts w:hint="eastAsia" w:eastAsia="宋体"/>
                <w:color w:val="auto"/>
                <w:highlight w:val="none"/>
                <w:lang w:val="en-US" w:eastAsia="zh-CN"/>
              </w:rPr>
            </w:pPr>
            <w:r>
              <w:rPr>
                <w:rFonts w:hint="eastAsia"/>
                <w:color w:val="auto"/>
                <w:highlight w:val="none"/>
                <w:lang w:val="en-US" w:eastAsia="zh-CN"/>
              </w:rPr>
              <w:t>9.12</w:t>
            </w:r>
          </w:p>
        </w:tc>
        <w:tc>
          <w:tcPr>
            <w:tcW w:w="883" w:type="dxa"/>
            <w:vAlign w:val="center"/>
          </w:tcPr>
          <w:p>
            <w:pPr>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9662</w:t>
            </w:r>
          </w:p>
        </w:tc>
        <w:tc>
          <w:tcPr>
            <w:tcW w:w="850" w:type="dxa"/>
            <w:vAlign w:val="center"/>
          </w:tcPr>
          <w:p>
            <w:pPr>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9531</w:t>
            </w:r>
          </w:p>
        </w:tc>
        <w:tc>
          <w:tcPr>
            <w:tcW w:w="833" w:type="dxa"/>
            <w:vAlign w:val="center"/>
          </w:tcPr>
          <w:p>
            <w:pPr>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9613</w:t>
            </w:r>
          </w:p>
        </w:tc>
        <w:tc>
          <w:tcPr>
            <w:tcW w:w="967" w:type="dxa"/>
            <w:vAlign w:val="center"/>
          </w:tcPr>
          <w:p>
            <w:pPr>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9005</w:t>
            </w:r>
          </w:p>
        </w:tc>
        <w:tc>
          <w:tcPr>
            <w:tcW w:w="933" w:type="dxa"/>
            <w:vAlign w:val="center"/>
          </w:tcPr>
          <w:p>
            <w:pPr>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9073</w:t>
            </w:r>
          </w:p>
        </w:tc>
        <w:tc>
          <w:tcPr>
            <w:tcW w:w="980" w:type="dxa"/>
            <w:vAlign w:val="center"/>
          </w:tcPr>
          <w:p>
            <w:pPr>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8953</w:t>
            </w:r>
          </w:p>
        </w:tc>
        <w:tc>
          <w:tcPr>
            <w:tcW w:w="1069" w:type="dxa"/>
            <w:vMerge w:val="restart"/>
            <w:vAlign w:val="center"/>
          </w:tcPr>
          <w:p>
            <w:pPr>
              <w:jc w:val="center"/>
              <w:rPr>
                <w:rFonts w:hint="eastAsia"/>
                <w:color w:val="auto"/>
                <w:highlight w:val="none"/>
                <w:lang w:val="en-US" w:eastAsia="zh-CN"/>
              </w:rPr>
            </w:pPr>
            <w:r>
              <w:rPr>
                <w:rFonts w:hint="eastAsia"/>
                <w:color w:val="auto"/>
                <w:highlight w:val="none"/>
                <w:lang w:val="en-US" w:eastAsia="zh-CN"/>
              </w:rPr>
              <w:t>/</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431" w:type="dxa"/>
            <w:vMerge w:val="continue"/>
            <w:vAlign w:val="center"/>
          </w:tcPr>
          <w:p>
            <w:pPr>
              <w:jc w:val="center"/>
              <w:rPr>
                <w:color w:val="auto"/>
                <w:highlight w:val="none"/>
              </w:rPr>
            </w:pPr>
          </w:p>
        </w:tc>
        <w:tc>
          <w:tcPr>
            <w:tcW w:w="800" w:type="dxa"/>
            <w:vMerge w:val="restart"/>
            <w:vAlign w:val="center"/>
          </w:tcPr>
          <w:p>
            <w:pPr>
              <w:tabs>
                <w:tab w:val="left" w:pos="7020"/>
              </w:tabs>
              <w:spacing w:line="160" w:lineRule="atLeast"/>
              <w:jc w:val="center"/>
              <w:rPr>
                <w:color w:val="auto"/>
                <w:highlight w:val="none"/>
              </w:rPr>
            </w:pPr>
            <w:r>
              <w:rPr>
                <w:rFonts w:hint="default" w:ascii="Times New Roman" w:hAnsi="Times New Roman" w:cs="Times New Roman"/>
                <w:color w:val="auto"/>
                <w:sz w:val="21"/>
                <w:szCs w:val="21"/>
                <w:highlight w:val="none"/>
              </w:rPr>
              <w:t>氯化氢</w:t>
            </w:r>
          </w:p>
        </w:tc>
        <w:tc>
          <w:tcPr>
            <w:tcW w:w="1700" w:type="dxa"/>
            <w:vAlign w:val="center"/>
          </w:tcPr>
          <w:p>
            <w:pPr>
              <w:tabs>
                <w:tab w:val="left" w:pos="7020"/>
              </w:tabs>
              <w:spacing w:line="160" w:lineRule="atLeast"/>
              <w:jc w:val="center"/>
              <w:rPr>
                <w:color w:val="auto"/>
                <w:highlight w:val="none"/>
              </w:rPr>
            </w:pPr>
            <w:r>
              <w:rPr>
                <w:color w:val="auto"/>
                <w:highlight w:val="none"/>
              </w:rPr>
              <w:t>排放浓</w:t>
            </w:r>
            <w:r>
              <w:rPr>
                <w:rFonts w:hint="eastAsia"/>
                <w:color w:val="auto"/>
                <w:highlight w:val="none"/>
              </w:rPr>
              <w:t>度</w:t>
            </w:r>
            <w:r>
              <w:rPr>
                <w:color w:val="auto"/>
                <w:highlight w:val="none"/>
              </w:rPr>
              <w:t>(mg/m</w:t>
            </w:r>
            <w:r>
              <w:rPr>
                <w:color w:val="auto"/>
                <w:highlight w:val="none"/>
                <w:vertAlign w:val="superscript"/>
              </w:rPr>
              <w:t>3</w:t>
            </w:r>
            <w:r>
              <w:rPr>
                <w:color w:val="auto"/>
                <w:highlight w:val="none"/>
              </w:rPr>
              <w:t>)</w:t>
            </w:r>
          </w:p>
        </w:tc>
        <w:tc>
          <w:tcPr>
            <w:tcW w:w="550" w:type="dxa"/>
            <w:vMerge w:val="continue"/>
            <w:vAlign w:val="center"/>
          </w:tcPr>
          <w:p>
            <w:pPr>
              <w:jc w:val="center"/>
              <w:rPr>
                <w:color w:val="auto"/>
                <w:highlight w:val="none"/>
              </w:rPr>
            </w:pPr>
          </w:p>
        </w:tc>
        <w:tc>
          <w:tcPr>
            <w:tcW w:w="883" w:type="dxa"/>
            <w:vAlign w:val="center"/>
          </w:tcPr>
          <w:p>
            <w:pPr>
              <w:keepNext w:val="0"/>
              <w:keepLines w:val="0"/>
              <w:widowControl/>
              <w:suppressLineNumbers w:val="0"/>
              <w:jc w:val="center"/>
              <w:textAlignment w:val="bottom"/>
              <w:rPr>
                <w:rFonts w:hint="eastAsia" w:eastAsia="宋体"/>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0.891</w:t>
            </w:r>
          </w:p>
        </w:tc>
        <w:tc>
          <w:tcPr>
            <w:tcW w:w="850" w:type="dxa"/>
            <w:vAlign w:val="center"/>
          </w:tcPr>
          <w:p>
            <w:pPr>
              <w:keepNext w:val="0"/>
              <w:keepLines w:val="0"/>
              <w:widowControl/>
              <w:suppressLineNumbers w:val="0"/>
              <w:jc w:val="center"/>
              <w:textAlignment w:val="bottom"/>
              <w:rPr>
                <w:rFonts w:hint="eastAsia" w:eastAsia="宋体"/>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0.917</w:t>
            </w:r>
          </w:p>
        </w:tc>
        <w:tc>
          <w:tcPr>
            <w:tcW w:w="833" w:type="dxa"/>
            <w:vAlign w:val="center"/>
          </w:tcPr>
          <w:p>
            <w:pPr>
              <w:keepNext w:val="0"/>
              <w:keepLines w:val="0"/>
              <w:widowControl/>
              <w:suppressLineNumbers w:val="0"/>
              <w:jc w:val="center"/>
              <w:textAlignment w:val="bottom"/>
              <w:rPr>
                <w:rFonts w:hint="eastAsia" w:eastAsia="宋体"/>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0.798</w:t>
            </w:r>
          </w:p>
        </w:tc>
        <w:tc>
          <w:tcPr>
            <w:tcW w:w="967" w:type="dxa"/>
            <w:vAlign w:val="center"/>
          </w:tcPr>
          <w:p>
            <w:pPr>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＜0.2</w:t>
            </w:r>
          </w:p>
        </w:tc>
        <w:tc>
          <w:tcPr>
            <w:tcW w:w="933" w:type="dxa"/>
            <w:vAlign w:val="center"/>
          </w:tcPr>
          <w:p>
            <w:pPr>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＜0.2</w:t>
            </w:r>
          </w:p>
        </w:tc>
        <w:tc>
          <w:tcPr>
            <w:tcW w:w="980" w:type="dxa"/>
            <w:vAlign w:val="center"/>
          </w:tcPr>
          <w:p>
            <w:pPr>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＜0.2</w:t>
            </w:r>
          </w:p>
        </w:tc>
        <w:tc>
          <w:tcPr>
            <w:tcW w:w="1069" w:type="dxa"/>
            <w:vMerge w:val="continue"/>
            <w:vAlign w:val="center"/>
          </w:tcPr>
          <w:p>
            <w:pPr>
              <w:jc w:val="center"/>
              <w:rPr>
                <w:rFonts w:hint="eastAsia"/>
                <w:color w:val="auto"/>
                <w:highlight w:val="none"/>
                <w:lang w:val="en-US" w:eastAsia="zh-CN"/>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431" w:type="dxa"/>
            <w:vMerge w:val="continue"/>
            <w:vAlign w:val="center"/>
          </w:tcPr>
          <w:p>
            <w:pPr>
              <w:jc w:val="center"/>
              <w:rPr>
                <w:color w:val="auto"/>
                <w:highlight w:val="none"/>
              </w:rPr>
            </w:pPr>
          </w:p>
        </w:tc>
        <w:tc>
          <w:tcPr>
            <w:tcW w:w="800" w:type="dxa"/>
            <w:vMerge w:val="continue"/>
            <w:vAlign w:val="center"/>
          </w:tcPr>
          <w:p>
            <w:pPr>
              <w:tabs>
                <w:tab w:val="left" w:pos="7020"/>
              </w:tabs>
              <w:spacing w:line="160" w:lineRule="atLeast"/>
              <w:jc w:val="center"/>
              <w:rPr>
                <w:color w:val="auto"/>
                <w:highlight w:val="none"/>
              </w:rPr>
            </w:pPr>
          </w:p>
        </w:tc>
        <w:tc>
          <w:tcPr>
            <w:tcW w:w="1700" w:type="dxa"/>
            <w:vAlign w:val="center"/>
          </w:tcPr>
          <w:p>
            <w:pPr>
              <w:tabs>
                <w:tab w:val="left" w:pos="7020"/>
              </w:tabs>
              <w:spacing w:line="160" w:lineRule="atLeast"/>
              <w:jc w:val="center"/>
              <w:rPr>
                <w:color w:val="auto"/>
                <w:highlight w:val="none"/>
              </w:rPr>
            </w:pPr>
            <w:r>
              <w:rPr>
                <w:color w:val="auto"/>
                <w:highlight w:val="none"/>
              </w:rPr>
              <w:t>排放速率(kg/h)</w:t>
            </w:r>
          </w:p>
        </w:tc>
        <w:tc>
          <w:tcPr>
            <w:tcW w:w="550" w:type="dxa"/>
            <w:vMerge w:val="continue"/>
            <w:vAlign w:val="center"/>
          </w:tcPr>
          <w:p>
            <w:pPr>
              <w:jc w:val="center"/>
              <w:rPr>
                <w:color w:val="auto"/>
                <w:highlight w:val="none"/>
              </w:rPr>
            </w:pPr>
          </w:p>
        </w:tc>
        <w:tc>
          <w:tcPr>
            <w:tcW w:w="883" w:type="dxa"/>
            <w:vAlign w:val="center"/>
          </w:tcPr>
          <w:p>
            <w:pPr>
              <w:keepNext w:val="0"/>
              <w:keepLines w:val="0"/>
              <w:widowControl/>
              <w:suppressLineNumbers w:val="0"/>
              <w:jc w:val="center"/>
              <w:textAlignment w:val="bottom"/>
              <w:rPr>
                <w:rFonts w:hint="eastAsia" w:eastAsia="宋体"/>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8.61×10</w:t>
            </w:r>
            <w:r>
              <w:rPr>
                <w:rFonts w:hint="default" w:ascii="Times New Roman" w:hAnsi="Times New Roman" w:eastAsia="宋体" w:cs="Times New Roman"/>
                <w:i w:val="0"/>
                <w:color w:val="auto"/>
                <w:kern w:val="0"/>
                <w:sz w:val="21"/>
                <w:szCs w:val="21"/>
                <w:highlight w:val="none"/>
                <w:u w:val="none"/>
                <w:vertAlign w:val="superscript"/>
                <w:lang w:val="en-US" w:eastAsia="zh-CN" w:bidi="ar"/>
              </w:rPr>
              <w:t>-3</w:t>
            </w:r>
          </w:p>
        </w:tc>
        <w:tc>
          <w:tcPr>
            <w:tcW w:w="850" w:type="dxa"/>
            <w:vAlign w:val="center"/>
          </w:tcPr>
          <w:p>
            <w:pPr>
              <w:keepNext w:val="0"/>
              <w:keepLines w:val="0"/>
              <w:widowControl/>
              <w:suppressLineNumbers w:val="0"/>
              <w:jc w:val="center"/>
              <w:textAlignment w:val="bottom"/>
              <w:rPr>
                <w:rFonts w:hint="eastAsia" w:eastAsia="宋体"/>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8.74×10</w:t>
            </w:r>
            <w:r>
              <w:rPr>
                <w:rFonts w:hint="default" w:ascii="Times New Roman" w:hAnsi="Times New Roman" w:eastAsia="宋体" w:cs="Times New Roman"/>
                <w:i w:val="0"/>
                <w:color w:val="auto"/>
                <w:kern w:val="0"/>
                <w:sz w:val="21"/>
                <w:szCs w:val="21"/>
                <w:highlight w:val="none"/>
                <w:u w:val="none"/>
                <w:vertAlign w:val="superscript"/>
                <w:lang w:val="en-US" w:eastAsia="zh-CN" w:bidi="ar"/>
              </w:rPr>
              <w:t>-3</w:t>
            </w:r>
          </w:p>
        </w:tc>
        <w:tc>
          <w:tcPr>
            <w:tcW w:w="833" w:type="dxa"/>
            <w:vAlign w:val="center"/>
          </w:tcPr>
          <w:p>
            <w:pPr>
              <w:keepNext w:val="0"/>
              <w:keepLines w:val="0"/>
              <w:widowControl/>
              <w:suppressLineNumbers w:val="0"/>
              <w:jc w:val="center"/>
              <w:textAlignment w:val="bottom"/>
              <w:rPr>
                <w:rFonts w:hint="eastAsia" w:eastAsia="宋体"/>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7.68×10</w:t>
            </w:r>
            <w:r>
              <w:rPr>
                <w:rFonts w:hint="default" w:ascii="Times New Roman" w:hAnsi="Times New Roman" w:eastAsia="宋体" w:cs="Times New Roman"/>
                <w:i w:val="0"/>
                <w:color w:val="auto"/>
                <w:kern w:val="0"/>
                <w:sz w:val="21"/>
                <w:szCs w:val="21"/>
                <w:highlight w:val="none"/>
                <w:u w:val="none"/>
                <w:vertAlign w:val="superscript"/>
                <w:lang w:val="en-US" w:eastAsia="zh-CN" w:bidi="ar"/>
              </w:rPr>
              <w:t>-3</w:t>
            </w:r>
          </w:p>
        </w:tc>
        <w:tc>
          <w:tcPr>
            <w:tcW w:w="967" w:type="dxa"/>
            <w:vAlign w:val="center"/>
          </w:tcPr>
          <w:p>
            <w:pPr>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c>
          <w:tcPr>
            <w:tcW w:w="933" w:type="dxa"/>
            <w:vAlign w:val="center"/>
          </w:tcPr>
          <w:p>
            <w:pPr>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c>
          <w:tcPr>
            <w:tcW w:w="980" w:type="dxa"/>
            <w:vAlign w:val="center"/>
          </w:tcPr>
          <w:p>
            <w:pPr>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c>
          <w:tcPr>
            <w:tcW w:w="1069" w:type="dxa"/>
            <w:vMerge w:val="continue"/>
            <w:vAlign w:val="center"/>
          </w:tcPr>
          <w:p>
            <w:pPr>
              <w:jc w:val="center"/>
              <w:rPr>
                <w:rFonts w:hint="eastAsia"/>
                <w:color w:val="auto"/>
                <w:highlight w:val="none"/>
                <w:lang w:val="en-US" w:eastAsia="zh-CN"/>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431" w:type="dxa"/>
            <w:vMerge w:val="continue"/>
            <w:vAlign w:val="center"/>
          </w:tcPr>
          <w:p>
            <w:pPr>
              <w:jc w:val="center"/>
              <w:rPr>
                <w:color w:val="auto"/>
                <w:highlight w:val="none"/>
              </w:rPr>
            </w:pPr>
          </w:p>
        </w:tc>
        <w:tc>
          <w:tcPr>
            <w:tcW w:w="2500" w:type="dxa"/>
            <w:gridSpan w:val="2"/>
            <w:vAlign w:val="center"/>
          </w:tcPr>
          <w:p>
            <w:pPr>
              <w:tabs>
                <w:tab w:val="left" w:pos="7020"/>
              </w:tabs>
              <w:spacing w:line="160" w:lineRule="atLeast"/>
              <w:jc w:val="center"/>
              <w:rPr>
                <w:color w:val="auto"/>
                <w:highlight w:val="none"/>
              </w:rPr>
            </w:pPr>
            <w:r>
              <w:rPr>
                <w:color w:val="auto"/>
                <w:highlight w:val="none"/>
              </w:rPr>
              <w:t>标干废气量(m</w:t>
            </w:r>
            <w:r>
              <w:rPr>
                <w:color w:val="auto"/>
                <w:highlight w:val="none"/>
                <w:vertAlign w:val="superscript"/>
              </w:rPr>
              <w:t>3</w:t>
            </w:r>
            <w:r>
              <w:rPr>
                <w:color w:val="auto"/>
                <w:highlight w:val="none"/>
              </w:rPr>
              <w:t>/h)</w:t>
            </w:r>
          </w:p>
        </w:tc>
        <w:tc>
          <w:tcPr>
            <w:tcW w:w="550" w:type="dxa"/>
            <w:vMerge w:val="restart"/>
            <w:vAlign w:val="center"/>
          </w:tcPr>
          <w:p>
            <w:pPr>
              <w:jc w:val="center"/>
              <w:rPr>
                <w:rFonts w:hint="eastAsia" w:eastAsia="宋体"/>
                <w:color w:val="auto"/>
                <w:highlight w:val="none"/>
                <w:lang w:val="en-US" w:eastAsia="zh-CN"/>
              </w:rPr>
            </w:pPr>
            <w:r>
              <w:rPr>
                <w:rFonts w:hint="eastAsia"/>
                <w:color w:val="auto"/>
                <w:highlight w:val="none"/>
                <w:lang w:val="en-US" w:eastAsia="zh-CN"/>
              </w:rPr>
              <w:t>9.20</w:t>
            </w:r>
          </w:p>
        </w:tc>
        <w:tc>
          <w:tcPr>
            <w:tcW w:w="883" w:type="dxa"/>
            <w:vAlign w:val="center"/>
          </w:tcPr>
          <w:p>
            <w:pPr>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9613</w:t>
            </w:r>
          </w:p>
        </w:tc>
        <w:tc>
          <w:tcPr>
            <w:tcW w:w="850" w:type="dxa"/>
            <w:vAlign w:val="center"/>
          </w:tcPr>
          <w:p>
            <w:pPr>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9678</w:t>
            </w:r>
          </w:p>
        </w:tc>
        <w:tc>
          <w:tcPr>
            <w:tcW w:w="833" w:type="dxa"/>
            <w:vAlign w:val="center"/>
          </w:tcPr>
          <w:p>
            <w:pPr>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9694</w:t>
            </w:r>
          </w:p>
        </w:tc>
        <w:tc>
          <w:tcPr>
            <w:tcW w:w="967" w:type="dxa"/>
            <w:vAlign w:val="center"/>
          </w:tcPr>
          <w:p>
            <w:pPr>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8953</w:t>
            </w:r>
          </w:p>
        </w:tc>
        <w:tc>
          <w:tcPr>
            <w:tcW w:w="933" w:type="dxa"/>
            <w:vAlign w:val="center"/>
          </w:tcPr>
          <w:p>
            <w:pPr>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9072</w:t>
            </w:r>
          </w:p>
        </w:tc>
        <w:tc>
          <w:tcPr>
            <w:tcW w:w="980" w:type="dxa"/>
            <w:vAlign w:val="center"/>
          </w:tcPr>
          <w:p>
            <w:pPr>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9146</w:t>
            </w:r>
          </w:p>
        </w:tc>
        <w:tc>
          <w:tcPr>
            <w:tcW w:w="1069" w:type="dxa"/>
            <w:vMerge w:val="restart"/>
            <w:vAlign w:val="center"/>
          </w:tcPr>
          <w:p>
            <w:pPr>
              <w:jc w:val="center"/>
              <w:rPr>
                <w:rFonts w:hint="eastAsia"/>
                <w:color w:val="auto"/>
                <w:highlight w:val="none"/>
                <w:lang w:val="en-US" w:eastAsia="zh-CN"/>
              </w:rPr>
            </w:pPr>
            <w:r>
              <w:rPr>
                <w:rFonts w:hint="eastAsia"/>
                <w:color w:val="auto"/>
                <w:highlight w:val="none"/>
                <w:lang w:val="en-US" w:eastAsia="zh-CN"/>
              </w:rPr>
              <w:t>0.269</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431" w:type="dxa"/>
            <w:vMerge w:val="continue"/>
            <w:vAlign w:val="center"/>
          </w:tcPr>
          <w:p>
            <w:pPr>
              <w:jc w:val="center"/>
              <w:rPr>
                <w:color w:val="auto"/>
                <w:highlight w:val="none"/>
              </w:rPr>
            </w:pPr>
          </w:p>
        </w:tc>
        <w:tc>
          <w:tcPr>
            <w:tcW w:w="800" w:type="dxa"/>
            <w:vMerge w:val="restart"/>
            <w:vAlign w:val="center"/>
          </w:tcPr>
          <w:p>
            <w:pPr>
              <w:tabs>
                <w:tab w:val="left" w:pos="7020"/>
              </w:tabs>
              <w:spacing w:line="160" w:lineRule="atLeast"/>
              <w:jc w:val="center"/>
              <w:rPr>
                <w:rFonts w:hint="eastAsia" w:eastAsia="宋体"/>
                <w:color w:val="auto"/>
                <w:highlight w:val="none"/>
                <w:lang w:val="en-US" w:eastAsia="zh-CN"/>
              </w:rPr>
            </w:pPr>
            <w:r>
              <w:rPr>
                <w:rFonts w:hint="eastAsia"/>
                <w:color w:val="auto"/>
                <w:highlight w:val="none"/>
                <w:lang w:val="en-US" w:eastAsia="zh-CN"/>
              </w:rPr>
              <w:t>氨</w:t>
            </w:r>
          </w:p>
        </w:tc>
        <w:tc>
          <w:tcPr>
            <w:tcW w:w="1700" w:type="dxa"/>
            <w:vAlign w:val="center"/>
          </w:tcPr>
          <w:p>
            <w:pPr>
              <w:tabs>
                <w:tab w:val="left" w:pos="7020"/>
              </w:tabs>
              <w:spacing w:line="160" w:lineRule="atLeast"/>
              <w:jc w:val="center"/>
              <w:rPr>
                <w:color w:val="auto"/>
                <w:highlight w:val="none"/>
              </w:rPr>
            </w:pPr>
            <w:r>
              <w:rPr>
                <w:color w:val="auto"/>
                <w:highlight w:val="none"/>
              </w:rPr>
              <w:t>排放浓</w:t>
            </w:r>
            <w:r>
              <w:rPr>
                <w:rFonts w:hint="eastAsia"/>
                <w:color w:val="auto"/>
                <w:highlight w:val="none"/>
              </w:rPr>
              <w:t>度</w:t>
            </w:r>
            <w:r>
              <w:rPr>
                <w:color w:val="auto"/>
                <w:highlight w:val="none"/>
              </w:rPr>
              <w:t>(mg/m</w:t>
            </w:r>
            <w:r>
              <w:rPr>
                <w:color w:val="auto"/>
                <w:highlight w:val="none"/>
                <w:vertAlign w:val="superscript"/>
              </w:rPr>
              <w:t>3</w:t>
            </w:r>
            <w:r>
              <w:rPr>
                <w:color w:val="auto"/>
                <w:highlight w:val="none"/>
              </w:rPr>
              <w:t>)</w:t>
            </w:r>
          </w:p>
        </w:tc>
        <w:tc>
          <w:tcPr>
            <w:tcW w:w="550" w:type="dxa"/>
            <w:vMerge w:val="continue"/>
            <w:vAlign w:val="center"/>
          </w:tcPr>
          <w:p>
            <w:pPr>
              <w:jc w:val="center"/>
              <w:rPr>
                <w:color w:val="auto"/>
                <w:highlight w:val="none"/>
              </w:rPr>
            </w:pPr>
          </w:p>
        </w:tc>
        <w:tc>
          <w:tcPr>
            <w:tcW w:w="883" w:type="dxa"/>
            <w:vAlign w:val="center"/>
          </w:tcPr>
          <w:p>
            <w:pPr>
              <w:keepNext w:val="0"/>
              <w:keepLines w:val="0"/>
              <w:widowControl/>
              <w:suppressLineNumbers w:val="0"/>
              <w:jc w:val="center"/>
              <w:textAlignment w:val="bottom"/>
              <w:rPr>
                <w:rFonts w:hint="eastAsia" w:eastAsia="宋体"/>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1.13</w:t>
            </w:r>
          </w:p>
        </w:tc>
        <w:tc>
          <w:tcPr>
            <w:tcW w:w="850" w:type="dxa"/>
            <w:vAlign w:val="center"/>
          </w:tcPr>
          <w:p>
            <w:pPr>
              <w:keepNext w:val="0"/>
              <w:keepLines w:val="0"/>
              <w:widowControl/>
              <w:suppressLineNumbers w:val="0"/>
              <w:jc w:val="center"/>
              <w:textAlignment w:val="bottom"/>
              <w:rPr>
                <w:rFonts w:hint="eastAsia" w:eastAsia="宋体"/>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1.86</w:t>
            </w:r>
          </w:p>
        </w:tc>
        <w:tc>
          <w:tcPr>
            <w:tcW w:w="833" w:type="dxa"/>
            <w:vAlign w:val="center"/>
          </w:tcPr>
          <w:p>
            <w:pPr>
              <w:keepNext w:val="0"/>
              <w:keepLines w:val="0"/>
              <w:widowControl/>
              <w:suppressLineNumbers w:val="0"/>
              <w:jc w:val="center"/>
              <w:textAlignment w:val="bottom"/>
              <w:rPr>
                <w:rFonts w:hint="eastAsia" w:eastAsia="宋体"/>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1.91</w:t>
            </w:r>
          </w:p>
        </w:tc>
        <w:tc>
          <w:tcPr>
            <w:tcW w:w="967" w:type="dxa"/>
            <w:vAlign w:val="center"/>
          </w:tcPr>
          <w:p>
            <w:pPr>
              <w:keepNext w:val="0"/>
              <w:keepLines w:val="0"/>
              <w:widowControl/>
              <w:suppressLineNumbers w:val="0"/>
              <w:jc w:val="center"/>
              <w:textAlignment w:val="bottom"/>
              <w:rPr>
                <w:rFonts w:hint="eastAsia" w:eastAsia="宋体"/>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0.269</w:t>
            </w:r>
          </w:p>
        </w:tc>
        <w:tc>
          <w:tcPr>
            <w:tcW w:w="933" w:type="dxa"/>
            <w:vAlign w:val="center"/>
          </w:tcPr>
          <w:p>
            <w:pPr>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＜0.25</w:t>
            </w:r>
          </w:p>
        </w:tc>
        <w:tc>
          <w:tcPr>
            <w:tcW w:w="980" w:type="dxa"/>
            <w:vAlign w:val="center"/>
          </w:tcPr>
          <w:p>
            <w:pPr>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＜0.25</w:t>
            </w:r>
          </w:p>
        </w:tc>
        <w:tc>
          <w:tcPr>
            <w:tcW w:w="1069" w:type="dxa"/>
            <w:vMerge w:val="continue"/>
            <w:vAlign w:val="center"/>
          </w:tcPr>
          <w:p>
            <w:pPr>
              <w:jc w:val="center"/>
              <w:rPr>
                <w:rFonts w:hint="eastAsia"/>
                <w:color w:val="auto"/>
                <w:highlight w:val="none"/>
                <w:lang w:val="en-US" w:eastAsia="zh-CN"/>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431" w:type="dxa"/>
            <w:vMerge w:val="continue"/>
            <w:vAlign w:val="center"/>
          </w:tcPr>
          <w:p>
            <w:pPr>
              <w:jc w:val="center"/>
              <w:rPr>
                <w:color w:val="auto"/>
                <w:highlight w:val="none"/>
              </w:rPr>
            </w:pPr>
          </w:p>
        </w:tc>
        <w:tc>
          <w:tcPr>
            <w:tcW w:w="800" w:type="dxa"/>
            <w:vMerge w:val="continue"/>
            <w:vAlign w:val="center"/>
          </w:tcPr>
          <w:p>
            <w:pPr>
              <w:tabs>
                <w:tab w:val="left" w:pos="7020"/>
              </w:tabs>
              <w:spacing w:line="160" w:lineRule="atLeast"/>
              <w:jc w:val="center"/>
              <w:rPr>
                <w:color w:val="auto"/>
                <w:highlight w:val="none"/>
              </w:rPr>
            </w:pPr>
          </w:p>
        </w:tc>
        <w:tc>
          <w:tcPr>
            <w:tcW w:w="1700" w:type="dxa"/>
            <w:vAlign w:val="center"/>
          </w:tcPr>
          <w:p>
            <w:pPr>
              <w:tabs>
                <w:tab w:val="left" w:pos="7020"/>
              </w:tabs>
              <w:spacing w:line="160" w:lineRule="atLeast"/>
              <w:jc w:val="center"/>
              <w:rPr>
                <w:color w:val="auto"/>
                <w:highlight w:val="none"/>
              </w:rPr>
            </w:pPr>
            <w:r>
              <w:rPr>
                <w:color w:val="auto"/>
                <w:highlight w:val="none"/>
              </w:rPr>
              <w:t>排放速率(kg/h)</w:t>
            </w:r>
          </w:p>
        </w:tc>
        <w:tc>
          <w:tcPr>
            <w:tcW w:w="550" w:type="dxa"/>
            <w:vMerge w:val="continue"/>
            <w:vAlign w:val="center"/>
          </w:tcPr>
          <w:p>
            <w:pPr>
              <w:jc w:val="center"/>
              <w:rPr>
                <w:color w:val="auto"/>
                <w:highlight w:val="none"/>
              </w:rPr>
            </w:pPr>
          </w:p>
        </w:tc>
        <w:tc>
          <w:tcPr>
            <w:tcW w:w="883" w:type="dxa"/>
            <w:vAlign w:val="center"/>
          </w:tcPr>
          <w:p>
            <w:pPr>
              <w:keepNext w:val="0"/>
              <w:keepLines w:val="0"/>
              <w:widowControl/>
              <w:suppressLineNumbers w:val="0"/>
              <w:jc w:val="center"/>
              <w:textAlignment w:val="bottom"/>
              <w:rPr>
                <w:rFonts w:hint="eastAsia" w:eastAsia="宋体"/>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1.08×10</w:t>
            </w:r>
            <w:r>
              <w:rPr>
                <w:rFonts w:hint="default" w:ascii="Times New Roman" w:hAnsi="Times New Roman" w:eastAsia="宋体" w:cs="Times New Roman"/>
                <w:i w:val="0"/>
                <w:color w:val="auto"/>
                <w:kern w:val="0"/>
                <w:sz w:val="21"/>
                <w:szCs w:val="21"/>
                <w:highlight w:val="none"/>
                <w:u w:val="none"/>
                <w:vertAlign w:val="superscript"/>
                <w:lang w:val="en-US" w:eastAsia="zh-CN" w:bidi="ar"/>
              </w:rPr>
              <w:t>-2</w:t>
            </w:r>
          </w:p>
        </w:tc>
        <w:tc>
          <w:tcPr>
            <w:tcW w:w="850" w:type="dxa"/>
            <w:vAlign w:val="center"/>
          </w:tcPr>
          <w:p>
            <w:pPr>
              <w:keepNext w:val="0"/>
              <w:keepLines w:val="0"/>
              <w:widowControl/>
              <w:suppressLineNumbers w:val="0"/>
              <w:jc w:val="center"/>
              <w:textAlignment w:val="bottom"/>
              <w:rPr>
                <w:rFonts w:hint="eastAsia" w:eastAsia="宋体"/>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1.80×10</w:t>
            </w:r>
            <w:r>
              <w:rPr>
                <w:rFonts w:hint="default" w:ascii="Times New Roman" w:hAnsi="Times New Roman" w:eastAsia="宋体" w:cs="Times New Roman"/>
                <w:i w:val="0"/>
                <w:color w:val="auto"/>
                <w:kern w:val="0"/>
                <w:sz w:val="21"/>
                <w:szCs w:val="21"/>
                <w:highlight w:val="none"/>
                <w:u w:val="none"/>
                <w:vertAlign w:val="superscript"/>
                <w:lang w:val="en-US" w:eastAsia="zh-CN" w:bidi="ar"/>
              </w:rPr>
              <w:t>-2</w:t>
            </w:r>
          </w:p>
        </w:tc>
        <w:tc>
          <w:tcPr>
            <w:tcW w:w="833" w:type="dxa"/>
            <w:vAlign w:val="center"/>
          </w:tcPr>
          <w:p>
            <w:pPr>
              <w:keepNext w:val="0"/>
              <w:keepLines w:val="0"/>
              <w:widowControl/>
              <w:suppressLineNumbers w:val="0"/>
              <w:jc w:val="center"/>
              <w:textAlignment w:val="bottom"/>
              <w:rPr>
                <w:rFonts w:hint="eastAsia" w:eastAsia="宋体"/>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1.86×10</w:t>
            </w:r>
            <w:r>
              <w:rPr>
                <w:rFonts w:hint="default" w:ascii="Times New Roman" w:hAnsi="Times New Roman" w:eastAsia="宋体" w:cs="Times New Roman"/>
                <w:i w:val="0"/>
                <w:color w:val="auto"/>
                <w:kern w:val="0"/>
                <w:sz w:val="21"/>
                <w:szCs w:val="21"/>
                <w:highlight w:val="none"/>
                <w:u w:val="none"/>
                <w:vertAlign w:val="superscript"/>
                <w:lang w:val="en-US" w:eastAsia="zh-CN" w:bidi="ar"/>
              </w:rPr>
              <w:t>-2</w:t>
            </w:r>
          </w:p>
        </w:tc>
        <w:tc>
          <w:tcPr>
            <w:tcW w:w="967" w:type="dxa"/>
            <w:vAlign w:val="center"/>
          </w:tcPr>
          <w:p>
            <w:pPr>
              <w:keepNext w:val="0"/>
              <w:keepLines w:val="0"/>
              <w:widowControl/>
              <w:suppressLineNumbers w:val="0"/>
              <w:jc w:val="center"/>
              <w:textAlignment w:val="bottom"/>
              <w:rPr>
                <w:rFonts w:hint="eastAsia" w:eastAsia="宋体"/>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2.41×10</w:t>
            </w:r>
            <w:r>
              <w:rPr>
                <w:rFonts w:hint="default" w:ascii="Times New Roman" w:hAnsi="Times New Roman" w:eastAsia="宋体" w:cs="Times New Roman"/>
                <w:i w:val="0"/>
                <w:color w:val="auto"/>
                <w:kern w:val="0"/>
                <w:sz w:val="21"/>
                <w:szCs w:val="21"/>
                <w:highlight w:val="none"/>
                <w:u w:val="none"/>
                <w:vertAlign w:val="superscript"/>
                <w:lang w:val="en-US" w:eastAsia="zh-CN" w:bidi="ar"/>
              </w:rPr>
              <w:t>-3</w:t>
            </w:r>
          </w:p>
        </w:tc>
        <w:tc>
          <w:tcPr>
            <w:tcW w:w="933" w:type="dxa"/>
            <w:vAlign w:val="center"/>
          </w:tcPr>
          <w:p>
            <w:pPr>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c>
          <w:tcPr>
            <w:tcW w:w="980" w:type="dxa"/>
            <w:vAlign w:val="center"/>
          </w:tcPr>
          <w:p>
            <w:pPr>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c>
          <w:tcPr>
            <w:tcW w:w="1069" w:type="dxa"/>
            <w:vMerge w:val="continue"/>
            <w:vAlign w:val="center"/>
          </w:tcPr>
          <w:p>
            <w:pPr>
              <w:jc w:val="center"/>
              <w:rPr>
                <w:rFonts w:hint="eastAsia"/>
                <w:color w:val="auto"/>
                <w:highlight w:val="none"/>
                <w:lang w:val="en-US" w:eastAsia="zh-CN"/>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431" w:type="dxa"/>
            <w:vMerge w:val="continue"/>
            <w:vAlign w:val="center"/>
          </w:tcPr>
          <w:p>
            <w:pPr>
              <w:jc w:val="center"/>
              <w:rPr>
                <w:color w:val="auto"/>
                <w:highlight w:val="none"/>
              </w:rPr>
            </w:pPr>
          </w:p>
        </w:tc>
        <w:tc>
          <w:tcPr>
            <w:tcW w:w="2500" w:type="dxa"/>
            <w:gridSpan w:val="2"/>
            <w:vAlign w:val="center"/>
          </w:tcPr>
          <w:p>
            <w:pPr>
              <w:tabs>
                <w:tab w:val="left" w:pos="7020"/>
              </w:tabs>
              <w:spacing w:line="160" w:lineRule="atLeast"/>
              <w:jc w:val="center"/>
              <w:rPr>
                <w:color w:val="auto"/>
                <w:highlight w:val="none"/>
              </w:rPr>
            </w:pPr>
            <w:r>
              <w:rPr>
                <w:color w:val="auto"/>
                <w:highlight w:val="none"/>
              </w:rPr>
              <w:t>标干废气量(m</w:t>
            </w:r>
            <w:r>
              <w:rPr>
                <w:color w:val="auto"/>
                <w:highlight w:val="none"/>
                <w:vertAlign w:val="superscript"/>
              </w:rPr>
              <w:t>3</w:t>
            </w:r>
            <w:r>
              <w:rPr>
                <w:color w:val="auto"/>
                <w:highlight w:val="none"/>
              </w:rPr>
              <w:t>/h)</w:t>
            </w:r>
          </w:p>
        </w:tc>
        <w:tc>
          <w:tcPr>
            <w:tcW w:w="550" w:type="dxa"/>
            <w:vMerge w:val="restart"/>
            <w:vAlign w:val="center"/>
          </w:tcPr>
          <w:p>
            <w:pPr>
              <w:jc w:val="center"/>
              <w:rPr>
                <w:rFonts w:hint="eastAsia" w:eastAsia="宋体"/>
                <w:color w:val="auto"/>
                <w:highlight w:val="none"/>
                <w:lang w:val="en-US" w:eastAsia="zh-CN"/>
              </w:rPr>
            </w:pPr>
            <w:r>
              <w:rPr>
                <w:rFonts w:hint="eastAsia"/>
                <w:color w:val="auto"/>
                <w:highlight w:val="none"/>
                <w:lang w:val="en-US" w:eastAsia="zh-CN"/>
              </w:rPr>
              <w:t>9.21</w:t>
            </w:r>
          </w:p>
        </w:tc>
        <w:tc>
          <w:tcPr>
            <w:tcW w:w="883" w:type="dxa"/>
            <w:vAlign w:val="center"/>
          </w:tcPr>
          <w:p>
            <w:pPr>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9515</w:t>
            </w:r>
          </w:p>
        </w:tc>
        <w:tc>
          <w:tcPr>
            <w:tcW w:w="850" w:type="dxa"/>
            <w:vAlign w:val="center"/>
          </w:tcPr>
          <w:p>
            <w:pPr>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9580</w:t>
            </w:r>
          </w:p>
        </w:tc>
        <w:tc>
          <w:tcPr>
            <w:tcW w:w="833" w:type="dxa"/>
            <w:vAlign w:val="center"/>
          </w:tcPr>
          <w:p>
            <w:pPr>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9465</w:t>
            </w:r>
          </w:p>
        </w:tc>
        <w:tc>
          <w:tcPr>
            <w:tcW w:w="967" w:type="dxa"/>
            <w:vAlign w:val="center"/>
          </w:tcPr>
          <w:p>
            <w:pPr>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9109</w:t>
            </w:r>
          </w:p>
        </w:tc>
        <w:tc>
          <w:tcPr>
            <w:tcW w:w="933" w:type="dxa"/>
            <w:vAlign w:val="center"/>
          </w:tcPr>
          <w:p>
            <w:pPr>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9073</w:t>
            </w:r>
          </w:p>
        </w:tc>
        <w:tc>
          <w:tcPr>
            <w:tcW w:w="980" w:type="dxa"/>
            <w:vAlign w:val="center"/>
          </w:tcPr>
          <w:p>
            <w:pPr>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8900</w:t>
            </w:r>
          </w:p>
        </w:tc>
        <w:tc>
          <w:tcPr>
            <w:tcW w:w="1069" w:type="dxa"/>
            <w:vMerge w:val="restart"/>
            <w:vAlign w:val="center"/>
          </w:tcPr>
          <w:p>
            <w:pPr>
              <w:jc w:val="center"/>
              <w:rPr>
                <w:rFonts w:hint="eastAsia"/>
                <w:color w:val="auto"/>
                <w:highlight w:val="none"/>
                <w:lang w:val="en-US" w:eastAsia="zh-CN"/>
              </w:rPr>
            </w:pPr>
            <w:r>
              <w:rPr>
                <w:rFonts w:hint="eastAsia"/>
                <w:color w:val="auto"/>
                <w:highlight w:val="none"/>
                <w:lang w:val="en-US" w:eastAsia="zh-CN"/>
              </w:rPr>
              <w:t>0.298</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431" w:type="dxa"/>
            <w:vMerge w:val="continue"/>
            <w:vAlign w:val="center"/>
          </w:tcPr>
          <w:p>
            <w:pPr>
              <w:jc w:val="center"/>
              <w:rPr>
                <w:color w:val="auto"/>
                <w:highlight w:val="none"/>
              </w:rPr>
            </w:pPr>
          </w:p>
        </w:tc>
        <w:tc>
          <w:tcPr>
            <w:tcW w:w="800" w:type="dxa"/>
            <w:vMerge w:val="restart"/>
            <w:vAlign w:val="center"/>
          </w:tcPr>
          <w:p>
            <w:pPr>
              <w:tabs>
                <w:tab w:val="left" w:pos="7020"/>
              </w:tabs>
              <w:spacing w:line="160" w:lineRule="atLeast"/>
              <w:jc w:val="center"/>
              <w:rPr>
                <w:color w:val="auto"/>
                <w:highlight w:val="none"/>
              </w:rPr>
            </w:pPr>
            <w:r>
              <w:rPr>
                <w:rFonts w:hint="eastAsia"/>
                <w:color w:val="auto"/>
                <w:highlight w:val="none"/>
                <w:lang w:val="en-US" w:eastAsia="zh-CN"/>
              </w:rPr>
              <w:t>氨</w:t>
            </w:r>
          </w:p>
        </w:tc>
        <w:tc>
          <w:tcPr>
            <w:tcW w:w="1700" w:type="dxa"/>
            <w:vAlign w:val="center"/>
          </w:tcPr>
          <w:p>
            <w:pPr>
              <w:tabs>
                <w:tab w:val="left" w:pos="7020"/>
              </w:tabs>
              <w:spacing w:line="160" w:lineRule="atLeast"/>
              <w:jc w:val="center"/>
              <w:rPr>
                <w:color w:val="auto"/>
                <w:highlight w:val="none"/>
              </w:rPr>
            </w:pPr>
            <w:r>
              <w:rPr>
                <w:color w:val="auto"/>
                <w:highlight w:val="none"/>
              </w:rPr>
              <w:t>排放浓</w:t>
            </w:r>
            <w:r>
              <w:rPr>
                <w:rFonts w:hint="eastAsia"/>
                <w:color w:val="auto"/>
                <w:highlight w:val="none"/>
              </w:rPr>
              <w:t>度</w:t>
            </w:r>
            <w:r>
              <w:rPr>
                <w:color w:val="auto"/>
                <w:highlight w:val="none"/>
              </w:rPr>
              <w:t>(mg/m</w:t>
            </w:r>
            <w:r>
              <w:rPr>
                <w:color w:val="auto"/>
                <w:highlight w:val="none"/>
                <w:vertAlign w:val="superscript"/>
              </w:rPr>
              <w:t>3</w:t>
            </w:r>
            <w:r>
              <w:rPr>
                <w:color w:val="auto"/>
                <w:highlight w:val="none"/>
              </w:rPr>
              <w:t>)</w:t>
            </w:r>
          </w:p>
        </w:tc>
        <w:tc>
          <w:tcPr>
            <w:tcW w:w="550" w:type="dxa"/>
            <w:vMerge w:val="continue"/>
            <w:vAlign w:val="center"/>
          </w:tcPr>
          <w:p>
            <w:pPr>
              <w:jc w:val="center"/>
              <w:rPr>
                <w:color w:val="auto"/>
                <w:highlight w:val="none"/>
              </w:rPr>
            </w:pPr>
          </w:p>
        </w:tc>
        <w:tc>
          <w:tcPr>
            <w:tcW w:w="883" w:type="dxa"/>
            <w:vAlign w:val="center"/>
          </w:tcPr>
          <w:p>
            <w:pPr>
              <w:keepNext w:val="0"/>
              <w:keepLines w:val="0"/>
              <w:widowControl/>
              <w:suppressLineNumbers w:val="0"/>
              <w:jc w:val="center"/>
              <w:textAlignment w:val="bottom"/>
              <w:rPr>
                <w:rFonts w:hint="eastAsia" w:eastAsia="宋体"/>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1.89</w:t>
            </w:r>
          </w:p>
        </w:tc>
        <w:tc>
          <w:tcPr>
            <w:tcW w:w="850" w:type="dxa"/>
            <w:vAlign w:val="center"/>
          </w:tcPr>
          <w:p>
            <w:pPr>
              <w:keepNext w:val="0"/>
              <w:keepLines w:val="0"/>
              <w:widowControl/>
              <w:suppressLineNumbers w:val="0"/>
              <w:jc w:val="center"/>
              <w:textAlignment w:val="bottom"/>
              <w:rPr>
                <w:rFonts w:hint="eastAsia" w:eastAsia="宋体"/>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1.07</w:t>
            </w:r>
          </w:p>
        </w:tc>
        <w:tc>
          <w:tcPr>
            <w:tcW w:w="833" w:type="dxa"/>
            <w:vAlign w:val="center"/>
          </w:tcPr>
          <w:p>
            <w:pPr>
              <w:keepNext w:val="0"/>
              <w:keepLines w:val="0"/>
              <w:widowControl/>
              <w:suppressLineNumbers w:val="0"/>
              <w:jc w:val="center"/>
              <w:textAlignment w:val="bottom"/>
              <w:rPr>
                <w:rFonts w:hint="eastAsia" w:eastAsia="宋体"/>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1.17</w:t>
            </w:r>
          </w:p>
        </w:tc>
        <w:tc>
          <w:tcPr>
            <w:tcW w:w="967" w:type="dxa"/>
            <w:vAlign w:val="center"/>
          </w:tcPr>
          <w:p>
            <w:pPr>
              <w:keepNext w:val="0"/>
              <w:keepLines w:val="0"/>
              <w:widowControl/>
              <w:suppressLineNumbers w:val="0"/>
              <w:jc w:val="center"/>
              <w:textAlignment w:val="bottom"/>
              <w:rPr>
                <w:rFonts w:hint="eastAsia" w:eastAsia="宋体"/>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0.298</w:t>
            </w:r>
          </w:p>
        </w:tc>
        <w:tc>
          <w:tcPr>
            <w:tcW w:w="933" w:type="dxa"/>
            <w:vAlign w:val="center"/>
          </w:tcPr>
          <w:p>
            <w:pPr>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＜0.25</w:t>
            </w:r>
          </w:p>
        </w:tc>
        <w:tc>
          <w:tcPr>
            <w:tcW w:w="980" w:type="dxa"/>
            <w:vAlign w:val="center"/>
          </w:tcPr>
          <w:p>
            <w:pPr>
              <w:keepNext w:val="0"/>
              <w:keepLines w:val="0"/>
              <w:widowControl/>
              <w:suppressLineNumbers w:val="0"/>
              <w:jc w:val="center"/>
              <w:textAlignment w:val="bottom"/>
              <w:rPr>
                <w:rFonts w:hint="eastAsia" w:eastAsia="宋体"/>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0.254</w:t>
            </w:r>
          </w:p>
        </w:tc>
        <w:tc>
          <w:tcPr>
            <w:tcW w:w="1069" w:type="dxa"/>
            <w:vMerge w:val="continue"/>
            <w:vAlign w:val="center"/>
          </w:tcPr>
          <w:p>
            <w:pPr>
              <w:jc w:val="center"/>
              <w:rPr>
                <w:rFonts w:hint="eastAsia"/>
                <w:color w:val="auto"/>
                <w:highlight w:val="none"/>
                <w:lang w:val="en-US" w:eastAsia="zh-CN"/>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431" w:type="dxa"/>
            <w:vMerge w:val="continue"/>
            <w:vAlign w:val="center"/>
          </w:tcPr>
          <w:p>
            <w:pPr>
              <w:jc w:val="center"/>
              <w:rPr>
                <w:color w:val="auto"/>
                <w:highlight w:val="none"/>
              </w:rPr>
            </w:pPr>
          </w:p>
        </w:tc>
        <w:tc>
          <w:tcPr>
            <w:tcW w:w="800" w:type="dxa"/>
            <w:vMerge w:val="continue"/>
            <w:vAlign w:val="center"/>
          </w:tcPr>
          <w:p>
            <w:pPr>
              <w:tabs>
                <w:tab w:val="left" w:pos="7020"/>
              </w:tabs>
              <w:spacing w:line="160" w:lineRule="atLeast"/>
              <w:jc w:val="center"/>
              <w:rPr>
                <w:color w:val="auto"/>
                <w:highlight w:val="none"/>
              </w:rPr>
            </w:pPr>
          </w:p>
        </w:tc>
        <w:tc>
          <w:tcPr>
            <w:tcW w:w="1700" w:type="dxa"/>
            <w:vAlign w:val="center"/>
          </w:tcPr>
          <w:p>
            <w:pPr>
              <w:tabs>
                <w:tab w:val="left" w:pos="7020"/>
              </w:tabs>
              <w:spacing w:line="160" w:lineRule="atLeast"/>
              <w:jc w:val="center"/>
              <w:rPr>
                <w:color w:val="auto"/>
                <w:highlight w:val="none"/>
              </w:rPr>
            </w:pPr>
            <w:r>
              <w:rPr>
                <w:color w:val="auto"/>
                <w:highlight w:val="none"/>
              </w:rPr>
              <w:t>排放速率(kg/h)</w:t>
            </w:r>
          </w:p>
        </w:tc>
        <w:tc>
          <w:tcPr>
            <w:tcW w:w="550" w:type="dxa"/>
            <w:vMerge w:val="continue"/>
            <w:vAlign w:val="center"/>
          </w:tcPr>
          <w:p>
            <w:pPr>
              <w:jc w:val="center"/>
              <w:rPr>
                <w:color w:val="auto"/>
                <w:highlight w:val="none"/>
              </w:rPr>
            </w:pPr>
          </w:p>
        </w:tc>
        <w:tc>
          <w:tcPr>
            <w:tcW w:w="883" w:type="dxa"/>
            <w:vAlign w:val="center"/>
          </w:tcPr>
          <w:p>
            <w:pPr>
              <w:keepNext w:val="0"/>
              <w:keepLines w:val="0"/>
              <w:widowControl/>
              <w:suppressLineNumbers w:val="0"/>
              <w:jc w:val="center"/>
              <w:textAlignment w:val="bottom"/>
              <w:rPr>
                <w:rFonts w:hint="eastAsia" w:eastAsia="宋体"/>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1.80×10</w:t>
            </w:r>
            <w:r>
              <w:rPr>
                <w:rFonts w:hint="default" w:ascii="Times New Roman" w:hAnsi="Times New Roman" w:eastAsia="宋体" w:cs="Times New Roman"/>
                <w:i w:val="0"/>
                <w:color w:val="auto"/>
                <w:kern w:val="0"/>
                <w:sz w:val="21"/>
                <w:szCs w:val="21"/>
                <w:highlight w:val="none"/>
                <w:u w:val="none"/>
                <w:vertAlign w:val="superscript"/>
                <w:lang w:val="en-US" w:eastAsia="zh-CN" w:bidi="ar"/>
              </w:rPr>
              <w:t>-2</w:t>
            </w:r>
          </w:p>
        </w:tc>
        <w:tc>
          <w:tcPr>
            <w:tcW w:w="850" w:type="dxa"/>
            <w:vAlign w:val="center"/>
          </w:tcPr>
          <w:p>
            <w:pPr>
              <w:keepNext w:val="0"/>
              <w:keepLines w:val="0"/>
              <w:widowControl/>
              <w:suppressLineNumbers w:val="0"/>
              <w:jc w:val="center"/>
              <w:textAlignment w:val="bottom"/>
              <w:rPr>
                <w:rFonts w:hint="eastAsia" w:eastAsia="宋体"/>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1.02×10</w:t>
            </w:r>
            <w:r>
              <w:rPr>
                <w:rFonts w:hint="default" w:ascii="Times New Roman" w:hAnsi="Times New Roman" w:eastAsia="宋体" w:cs="Times New Roman"/>
                <w:i w:val="0"/>
                <w:color w:val="auto"/>
                <w:kern w:val="0"/>
                <w:sz w:val="21"/>
                <w:szCs w:val="21"/>
                <w:highlight w:val="none"/>
                <w:u w:val="none"/>
                <w:vertAlign w:val="superscript"/>
                <w:lang w:val="en-US" w:eastAsia="zh-CN" w:bidi="ar"/>
              </w:rPr>
              <w:t>-2</w:t>
            </w:r>
          </w:p>
        </w:tc>
        <w:tc>
          <w:tcPr>
            <w:tcW w:w="833" w:type="dxa"/>
            <w:vAlign w:val="center"/>
          </w:tcPr>
          <w:p>
            <w:pPr>
              <w:keepNext w:val="0"/>
              <w:keepLines w:val="0"/>
              <w:widowControl/>
              <w:suppressLineNumbers w:val="0"/>
              <w:jc w:val="center"/>
              <w:textAlignment w:val="bottom"/>
              <w:rPr>
                <w:rFonts w:hint="eastAsia" w:eastAsia="宋体"/>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1.11×10</w:t>
            </w:r>
            <w:r>
              <w:rPr>
                <w:rFonts w:hint="default" w:ascii="Times New Roman" w:hAnsi="Times New Roman" w:eastAsia="宋体" w:cs="Times New Roman"/>
                <w:i w:val="0"/>
                <w:color w:val="auto"/>
                <w:kern w:val="0"/>
                <w:sz w:val="21"/>
                <w:szCs w:val="21"/>
                <w:highlight w:val="none"/>
                <w:u w:val="none"/>
                <w:vertAlign w:val="superscript"/>
                <w:lang w:val="en-US" w:eastAsia="zh-CN" w:bidi="ar"/>
              </w:rPr>
              <w:t>-2</w:t>
            </w:r>
          </w:p>
        </w:tc>
        <w:tc>
          <w:tcPr>
            <w:tcW w:w="967" w:type="dxa"/>
            <w:vAlign w:val="center"/>
          </w:tcPr>
          <w:p>
            <w:pPr>
              <w:keepNext w:val="0"/>
              <w:keepLines w:val="0"/>
              <w:widowControl/>
              <w:suppressLineNumbers w:val="0"/>
              <w:jc w:val="center"/>
              <w:textAlignment w:val="bottom"/>
              <w:rPr>
                <w:rFonts w:hint="eastAsia" w:eastAsia="宋体"/>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2.71×10</w:t>
            </w:r>
            <w:r>
              <w:rPr>
                <w:rFonts w:hint="default" w:ascii="Times New Roman" w:hAnsi="Times New Roman" w:eastAsia="宋体" w:cs="Times New Roman"/>
                <w:i w:val="0"/>
                <w:color w:val="auto"/>
                <w:kern w:val="0"/>
                <w:sz w:val="21"/>
                <w:szCs w:val="21"/>
                <w:highlight w:val="none"/>
                <w:u w:val="none"/>
                <w:vertAlign w:val="superscript"/>
                <w:lang w:val="en-US" w:eastAsia="zh-CN" w:bidi="ar"/>
              </w:rPr>
              <w:t>-3</w:t>
            </w:r>
          </w:p>
        </w:tc>
        <w:tc>
          <w:tcPr>
            <w:tcW w:w="933" w:type="dxa"/>
            <w:vAlign w:val="center"/>
          </w:tcPr>
          <w:p>
            <w:pPr>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c>
          <w:tcPr>
            <w:tcW w:w="980" w:type="dxa"/>
            <w:vAlign w:val="center"/>
          </w:tcPr>
          <w:p>
            <w:pPr>
              <w:keepNext w:val="0"/>
              <w:keepLines w:val="0"/>
              <w:widowControl/>
              <w:suppressLineNumbers w:val="0"/>
              <w:jc w:val="center"/>
              <w:textAlignment w:val="bottom"/>
              <w:rPr>
                <w:rFonts w:hint="eastAsia" w:eastAsia="宋体"/>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2.26×10</w:t>
            </w:r>
            <w:r>
              <w:rPr>
                <w:rFonts w:hint="default" w:ascii="Times New Roman" w:hAnsi="Times New Roman" w:eastAsia="宋体" w:cs="Times New Roman"/>
                <w:i w:val="0"/>
                <w:color w:val="auto"/>
                <w:kern w:val="0"/>
                <w:sz w:val="21"/>
                <w:szCs w:val="21"/>
                <w:highlight w:val="none"/>
                <w:u w:val="none"/>
                <w:vertAlign w:val="superscript"/>
                <w:lang w:val="en-US" w:eastAsia="zh-CN" w:bidi="ar"/>
              </w:rPr>
              <w:t>-3</w:t>
            </w:r>
          </w:p>
        </w:tc>
        <w:tc>
          <w:tcPr>
            <w:tcW w:w="1069" w:type="dxa"/>
            <w:vMerge w:val="continue"/>
            <w:vAlign w:val="center"/>
          </w:tcPr>
          <w:p>
            <w:pPr>
              <w:jc w:val="center"/>
              <w:rPr>
                <w:rFonts w:hint="eastAsia"/>
                <w:color w:val="auto"/>
                <w:highlight w:val="none"/>
                <w:lang w:val="en-US" w:eastAsia="zh-CN"/>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431" w:type="dxa"/>
            <w:vMerge w:val="continue"/>
            <w:vAlign w:val="center"/>
          </w:tcPr>
          <w:p>
            <w:pPr>
              <w:jc w:val="center"/>
              <w:rPr>
                <w:color w:val="auto"/>
                <w:highlight w:val="none"/>
              </w:rPr>
            </w:pPr>
          </w:p>
        </w:tc>
        <w:tc>
          <w:tcPr>
            <w:tcW w:w="2500" w:type="dxa"/>
            <w:gridSpan w:val="2"/>
            <w:vAlign w:val="center"/>
          </w:tcPr>
          <w:p>
            <w:pPr>
              <w:tabs>
                <w:tab w:val="left" w:pos="7020"/>
              </w:tabs>
              <w:spacing w:line="160" w:lineRule="atLeast"/>
              <w:jc w:val="center"/>
              <w:rPr>
                <w:color w:val="auto"/>
                <w:highlight w:val="none"/>
              </w:rPr>
            </w:pPr>
            <w:r>
              <w:rPr>
                <w:color w:val="auto"/>
                <w:highlight w:val="none"/>
              </w:rPr>
              <w:t>标干废气量(m</w:t>
            </w:r>
            <w:r>
              <w:rPr>
                <w:color w:val="auto"/>
                <w:highlight w:val="none"/>
                <w:vertAlign w:val="superscript"/>
              </w:rPr>
              <w:t>3</w:t>
            </w:r>
            <w:r>
              <w:rPr>
                <w:color w:val="auto"/>
                <w:highlight w:val="none"/>
              </w:rPr>
              <w:t>/h)</w:t>
            </w:r>
          </w:p>
        </w:tc>
        <w:tc>
          <w:tcPr>
            <w:tcW w:w="550" w:type="dxa"/>
            <w:vMerge w:val="restart"/>
            <w:vAlign w:val="center"/>
          </w:tcPr>
          <w:p>
            <w:pPr>
              <w:jc w:val="center"/>
              <w:rPr>
                <w:rFonts w:hint="eastAsia" w:eastAsia="宋体"/>
                <w:color w:val="auto"/>
                <w:highlight w:val="none"/>
                <w:lang w:val="en-US" w:eastAsia="zh-CN"/>
              </w:rPr>
            </w:pPr>
            <w:r>
              <w:rPr>
                <w:rFonts w:hint="eastAsia"/>
                <w:color w:val="auto"/>
                <w:highlight w:val="none"/>
                <w:lang w:val="en-US" w:eastAsia="zh-CN"/>
              </w:rPr>
              <w:t>10.9</w:t>
            </w:r>
          </w:p>
        </w:tc>
        <w:tc>
          <w:tcPr>
            <w:tcW w:w="883" w:type="dxa"/>
            <w:vAlign w:val="bottom"/>
          </w:tcPr>
          <w:p>
            <w:pPr>
              <w:keepNext w:val="0"/>
              <w:keepLines w:val="0"/>
              <w:widowControl/>
              <w:suppressLineNumbers w:val="0"/>
              <w:jc w:val="center"/>
              <w:textAlignment w:val="bottom"/>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9537</w:t>
            </w:r>
          </w:p>
        </w:tc>
        <w:tc>
          <w:tcPr>
            <w:tcW w:w="850" w:type="dxa"/>
            <w:vAlign w:val="bottom"/>
          </w:tcPr>
          <w:p>
            <w:pPr>
              <w:keepNext w:val="0"/>
              <w:keepLines w:val="0"/>
              <w:widowControl/>
              <w:suppressLineNumbers w:val="0"/>
              <w:jc w:val="center"/>
              <w:textAlignment w:val="bottom"/>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9603</w:t>
            </w:r>
          </w:p>
        </w:tc>
        <w:tc>
          <w:tcPr>
            <w:tcW w:w="833" w:type="dxa"/>
            <w:vAlign w:val="bottom"/>
          </w:tcPr>
          <w:p>
            <w:pPr>
              <w:keepNext w:val="0"/>
              <w:keepLines w:val="0"/>
              <w:widowControl/>
              <w:suppressLineNumbers w:val="0"/>
              <w:jc w:val="center"/>
              <w:textAlignment w:val="bottom"/>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9802</w:t>
            </w:r>
          </w:p>
        </w:tc>
        <w:tc>
          <w:tcPr>
            <w:tcW w:w="967" w:type="dxa"/>
            <w:vAlign w:val="center"/>
          </w:tcPr>
          <w:p>
            <w:pPr>
              <w:keepNext w:val="0"/>
              <w:keepLines w:val="0"/>
              <w:widowControl/>
              <w:suppressLineNumbers w:val="0"/>
              <w:jc w:val="center"/>
              <w:textAlignment w:val="bottom"/>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9179</w:t>
            </w:r>
          </w:p>
        </w:tc>
        <w:tc>
          <w:tcPr>
            <w:tcW w:w="933" w:type="dxa"/>
            <w:vAlign w:val="center"/>
          </w:tcPr>
          <w:p>
            <w:pPr>
              <w:keepNext w:val="0"/>
              <w:keepLines w:val="0"/>
              <w:widowControl/>
              <w:suppressLineNumbers w:val="0"/>
              <w:jc w:val="center"/>
              <w:textAlignment w:val="bottom"/>
              <w:rPr>
                <w:rFonts w:hint="eastAsia"/>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9142</w:t>
            </w:r>
          </w:p>
        </w:tc>
        <w:tc>
          <w:tcPr>
            <w:tcW w:w="980" w:type="dxa"/>
            <w:vAlign w:val="center"/>
          </w:tcPr>
          <w:p>
            <w:pPr>
              <w:keepNext w:val="0"/>
              <w:keepLines w:val="0"/>
              <w:widowControl/>
              <w:suppressLineNumbers w:val="0"/>
              <w:jc w:val="center"/>
              <w:textAlignment w:val="bottom"/>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9553</w:t>
            </w:r>
          </w:p>
        </w:tc>
        <w:tc>
          <w:tcPr>
            <w:tcW w:w="1069" w:type="dxa"/>
            <w:vMerge w:val="restart"/>
            <w:vAlign w:val="center"/>
          </w:tcPr>
          <w:p>
            <w:pPr>
              <w:jc w:val="center"/>
              <w:rPr>
                <w:rFonts w:hint="eastAsia"/>
                <w:color w:val="auto"/>
                <w:highlight w:val="none"/>
                <w:lang w:val="en-US" w:eastAsia="zh-CN"/>
              </w:rPr>
            </w:pPr>
            <w:r>
              <w:rPr>
                <w:rFonts w:hint="eastAsia"/>
                <w:color w:val="auto"/>
                <w:highlight w:val="none"/>
                <w:lang w:val="en-US" w:eastAsia="zh-CN"/>
              </w:rPr>
              <w:t>/</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431" w:type="dxa"/>
            <w:vMerge w:val="continue"/>
            <w:vAlign w:val="center"/>
          </w:tcPr>
          <w:p>
            <w:pPr>
              <w:jc w:val="center"/>
              <w:rPr>
                <w:color w:val="auto"/>
                <w:highlight w:val="none"/>
              </w:rPr>
            </w:pPr>
          </w:p>
        </w:tc>
        <w:tc>
          <w:tcPr>
            <w:tcW w:w="800" w:type="dxa"/>
            <w:vMerge w:val="restart"/>
            <w:vAlign w:val="center"/>
          </w:tcPr>
          <w:p>
            <w:pPr>
              <w:tabs>
                <w:tab w:val="left" w:pos="7020"/>
              </w:tabs>
              <w:spacing w:line="160" w:lineRule="atLeast"/>
              <w:jc w:val="center"/>
              <w:rPr>
                <w:rFonts w:hint="eastAsia" w:eastAsia="宋体"/>
                <w:color w:val="auto"/>
                <w:highlight w:val="none"/>
                <w:lang w:val="en-US" w:eastAsia="zh-CN"/>
              </w:rPr>
            </w:pPr>
            <w:r>
              <w:rPr>
                <w:rFonts w:hint="eastAsia"/>
                <w:color w:val="auto"/>
                <w:highlight w:val="none"/>
                <w:lang w:val="en-US" w:eastAsia="zh-CN"/>
              </w:rPr>
              <w:t>铬酸雾</w:t>
            </w:r>
          </w:p>
        </w:tc>
        <w:tc>
          <w:tcPr>
            <w:tcW w:w="1700" w:type="dxa"/>
            <w:vAlign w:val="center"/>
          </w:tcPr>
          <w:p>
            <w:pPr>
              <w:tabs>
                <w:tab w:val="left" w:pos="7020"/>
              </w:tabs>
              <w:spacing w:line="160" w:lineRule="atLeast"/>
              <w:jc w:val="center"/>
              <w:rPr>
                <w:color w:val="auto"/>
                <w:highlight w:val="none"/>
              </w:rPr>
            </w:pPr>
            <w:r>
              <w:rPr>
                <w:color w:val="auto"/>
                <w:highlight w:val="none"/>
              </w:rPr>
              <w:t>排放浓</w:t>
            </w:r>
            <w:r>
              <w:rPr>
                <w:rFonts w:hint="eastAsia"/>
                <w:color w:val="auto"/>
                <w:highlight w:val="none"/>
              </w:rPr>
              <w:t>度</w:t>
            </w:r>
            <w:r>
              <w:rPr>
                <w:color w:val="auto"/>
                <w:highlight w:val="none"/>
              </w:rPr>
              <w:t>(mg/m</w:t>
            </w:r>
            <w:r>
              <w:rPr>
                <w:color w:val="auto"/>
                <w:highlight w:val="none"/>
                <w:vertAlign w:val="superscript"/>
              </w:rPr>
              <w:t>3</w:t>
            </w:r>
            <w:r>
              <w:rPr>
                <w:color w:val="auto"/>
                <w:highlight w:val="none"/>
              </w:rPr>
              <w:t>)</w:t>
            </w:r>
          </w:p>
        </w:tc>
        <w:tc>
          <w:tcPr>
            <w:tcW w:w="550" w:type="dxa"/>
            <w:vMerge w:val="continue"/>
            <w:vAlign w:val="center"/>
          </w:tcPr>
          <w:p>
            <w:pPr>
              <w:jc w:val="center"/>
              <w:rPr>
                <w:color w:val="auto"/>
                <w:highlight w:val="none"/>
              </w:rPr>
            </w:pPr>
          </w:p>
        </w:tc>
        <w:tc>
          <w:tcPr>
            <w:tcW w:w="883" w:type="dxa"/>
            <w:vAlign w:val="bottom"/>
          </w:tcPr>
          <w:p>
            <w:pPr>
              <w:keepNext w:val="0"/>
              <w:keepLines w:val="0"/>
              <w:widowControl/>
              <w:suppressLineNumbers w:val="0"/>
              <w:jc w:val="center"/>
              <w:textAlignment w:val="bottom"/>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0.157</w:t>
            </w:r>
          </w:p>
        </w:tc>
        <w:tc>
          <w:tcPr>
            <w:tcW w:w="850" w:type="dxa"/>
            <w:vAlign w:val="bottom"/>
          </w:tcPr>
          <w:p>
            <w:pPr>
              <w:keepNext w:val="0"/>
              <w:keepLines w:val="0"/>
              <w:widowControl/>
              <w:suppressLineNumbers w:val="0"/>
              <w:jc w:val="center"/>
              <w:textAlignment w:val="bottom"/>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0.17</w:t>
            </w:r>
          </w:p>
        </w:tc>
        <w:tc>
          <w:tcPr>
            <w:tcW w:w="833" w:type="dxa"/>
            <w:vAlign w:val="bottom"/>
          </w:tcPr>
          <w:p>
            <w:pPr>
              <w:keepNext w:val="0"/>
              <w:keepLines w:val="0"/>
              <w:widowControl/>
              <w:suppressLineNumbers w:val="0"/>
              <w:jc w:val="center"/>
              <w:textAlignment w:val="bottom"/>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0.16</w:t>
            </w:r>
          </w:p>
        </w:tc>
        <w:tc>
          <w:tcPr>
            <w:tcW w:w="967" w:type="dxa"/>
            <w:vAlign w:val="center"/>
          </w:tcPr>
          <w:p>
            <w:pPr>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olor w:val="auto"/>
                <w:highlight w:val="none"/>
                <w:lang w:val="en-US" w:eastAsia="zh-CN"/>
              </w:rPr>
              <w:t>＜0.005</w:t>
            </w:r>
          </w:p>
        </w:tc>
        <w:tc>
          <w:tcPr>
            <w:tcW w:w="933" w:type="dxa"/>
            <w:vAlign w:val="center"/>
          </w:tcPr>
          <w:p>
            <w:pPr>
              <w:jc w:val="center"/>
              <w:rPr>
                <w:rFonts w:hint="eastAsia"/>
                <w:color w:val="auto"/>
                <w:sz w:val="21"/>
                <w:szCs w:val="21"/>
                <w:highlight w:val="none"/>
                <w:lang w:val="en-US" w:eastAsia="zh-CN"/>
              </w:rPr>
            </w:pPr>
            <w:r>
              <w:rPr>
                <w:rFonts w:hint="eastAsia"/>
                <w:color w:val="auto"/>
                <w:highlight w:val="none"/>
                <w:lang w:val="en-US" w:eastAsia="zh-CN"/>
              </w:rPr>
              <w:t>＜0.005</w:t>
            </w:r>
          </w:p>
        </w:tc>
        <w:tc>
          <w:tcPr>
            <w:tcW w:w="980" w:type="dxa"/>
            <w:vAlign w:val="center"/>
          </w:tcPr>
          <w:p>
            <w:pPr>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olor w:val="auto"/>
                <w:highlight w:val="none"/>
                <w:lang w:val="en-US" w:eastAsia="zh-CN"/>
              </w:rPr>
              <w:t>＜0.005</w:t>
            </w:r>
          </w:p>
        </w:tc>
        <w:tc>
          <w:tcPr>
            <w:tcW w:w="1069" w:type="dxa"/>
            <w:vMerge w:val="continue"/>
            <w:vAlign w:val="center"/>
          </w:tcPr>
          <w:p>
            <w:pPr>
              <w:jc w:val="center"/>
              <w:rPr>
                <w:rFonts w:hint="eastAsia"/>
                <w:color w:val="auto"/>
                <w:highlight w:val="none"/>
                <w:lang w:val="en-US" w:eastAsia="zh-CN"/>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431" w:type="dxa"/>
            <w:vMerge w:val="continue"/>
            <w:vAlign w:val="center"/>
          </w:tcPr>
          <w:p>
            <w:pPr>
              <w:jc w:val="center"/>
              <w:rPr>
                <w:color w:val="auto"/>
                <w:highlight w:val="none"/>
              </w:rPr>
            </w:pPr>
          </w:p>
        </w:tc>
        <w:tc>
          <w:tcPr>
            <w:tcW w:w="800" w:type="dxa"/>
            <w:vMerge w:val="continue"/>
            <w:vAlign w:val="center"/>
          </w:tcPr>
          <w:p>
            <w:pPr>
              <w:tabs>
                <w:tab w:val="left" w:pos="7020"/>
              </w:tabs>
              <w:spacing w:line="160" w:lineRule="atLeast"/>
              <w:jc w:val="center"/>
              <w:rPr>
                <w:color w:val="auto"/>
                <w:highlight w:val="none"/>
              </w:rPr>
            </w:pPr>
          </w:p>
        </w:tc>
        <w:tc>
          <w:tcPr>
            <w:tcW w:w="1700" w:type="dxa"/>
            <w:vAlign w:val="center"/>
          </w:tcPr>
          <w:p>
            <w:pPr>
              <w:tabs>
                <w:tab w:val="left" w:pos="7020"/>
              </w:tabs>
              <w:spacing w:line="160" w:lineRule="atLeast"/>
              <w:jc w:val="center"/>
              <w:rPr>
                <w:color w:val="auto"/>
                <w:highlight w:val="none"/>
              </w:rPr>
            </w:pPr>
            <w:r>
              <w:rPr>
                <w:color w:val="auto"/>
                <w:highlight w:val="none"/>
              </w:rPr>
              <w:t>排放速率(kg/h)</w:t>
            </w:r>
          </w:p>
        </w:tc>
        <w:tc>
          <w:tcPr>
            <w:tcW w:w="550" w:type="dxa"/>
            <w:vMerge w:val="continue"/>
            <w:vAlign w:val="center"/>
          </w:tcPr>
          <w:p>
            <w:pPr>
              <w:jc w:val="center"/>
              <w:rPr>
                <w:color w:val="auto"/>
                <w:highlight w:val="none"/>
              </w:rPr>
            </w:pPr>
          </w:p>
        </w:tc>
        <w:tc>
          <w:tcPr>
            <w:tcW w:w="883" w:type="dxa"/>
            <w:vAlign w:val="bottom"/>
          </w:tcPr>
          <w:p>
            <w:pPr>
              <w:keepNext w:val="0"/>
              <w:keepLines w:val="0"/>
              <w:widowControl/>
              <w:suppressLineNumbers w:val="0"/>
              <w:jc w:val="center"/>
              <w:textAlignment w:val="bottom"/>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1.50×10</w:t>
            </w:r>
            <w:r>
              <w:rPr>
                <w:rFonts w:hint="default" w:ascii="Times New Roman" w:hAnsi="Times New Roman" w:eastAsia="宋体" w:cs="Times New Roman"/>
                <w:i w:val="0"/>
                <w:color w:val="auto"/>
                <w:kern w:val="0"/>
                <w:sz w:val="21"/>
                <w:szCs w:val="21"/>
                <w:highlight w:val="none"/>
                <w:u w:val="none"/>
                <w:vertAlign w:val="superscript"/>
                <w:lang w:val="en-US" w:eastAsia="zh-CN" w:bidi="ar"/>
              </w:rPr>
              <w:t>-3</w:t>
            </w:r>
          </w:p>
        </w:tc>
        <w:tc>
          <w:tcPr>
            <w:tcW w:w="850" w:type="dxa"/>
            <w:vAlign w:val="bottom"/>
          </w:tcPr>
          <w:p>
            <w:pPr>
              <w:keepNext w:val="0"/>
              <w:keepLines w:val="0"/>
              <w:widowControl/>
              <w:suppressLineNumbers w:val="0"/>
              <w:jc w:val="center"/>
              <w:textAlignment w:val="bottom"/>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1.63×10</w:t>
            </w:r>
            <w:r>
              <w:rPr>
                <w:rFonts w:hint="default" w:ascii="Times New Roman" w:hAnsi="Times New Roman" w:eastAsia="宋体" w:cs="Times New Roman"/>
                <w:i w:val="0"/>
                <w:color w:val="auto"/>
                <w:kern w:val="0"/>
                <w:sz w:val="21"/>
                <w:szCs w:val="21"/>
                <w:highlight w:val="none"/>
                <w:u w:val="none"/>
                <w:vertAlign w:val="superscript"/>
                <w:lang w:val="en-US" w:eastAsia="zh-CN" w:bidi="ar"/>
              </w:rPr>
              <w:t>-3</w:t>
            </w:r>
          </w:p>
        </w:tc>
        <w:tc>
          <w:tcPr>
            <w:tcW w:w="833" w:type="dxa"/>
            <w:vAlign w:val="bottom"/>
          </w:tcPr>
          <w:p>
            <w:pPr>
              <w:keepNext w:val="0"/>
              <w:keepLines w:val="0"/>
              <w:widowControl/>
              <w:suppressLineNumbers w:val="0"/>
              <w:jc w:val="center"/>
              <w:textAlignment w:val="bottom"/>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1.57×10</w:t>
            </w:r>
            <w:r>
              <w:rPr>
                <w:rFonts w:hint="default" w:ascii="Times New Roman" w:hAnsi="Times New Roman" w:eastAsia="宋体" w:cs="Times New Roman"/>
                <w:i w:val="0"/>
                <w:color w:val="auto"/>
                <w:kern w:val="0"/>
                <w:sz w:val="21"/>
                <w:szCs w:val="21"/>
                <w:highlight w:val="none"/>
                <w:u w:val="none"/>
                <w:vertAlign w:val="superscript"/>
                <w:lang w:val="en-US" w:eastAsia="zh-CN" w:bidi="ar"/>
              </w:rPr>
              <w:t>-3</w:t>
            </w:r>
          </w:p>
        </w:tc>
        <w:tc>
          <w:tcPr>
            <w:tcW w:w="967" w:type="dxa"/>
            <w:vAlign w:val="center"/>
          </w:tcPr>
          <w:p>
            <w:pPr>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olor w:val="auto"/>
                <w:highlight w:val="none"/>
                <w:lang w:val="en-US" w:eastAsia="zh-CN"/>
              </w:rPr>
              <w:t>/</w:t>
            </w:r>
          </w:p>
        </w:tc>
        <w:tc>
          <w:tcPr>
            <w:tcW w:w="933" w:type="dxa"/>
            <w:vAlign w:val="center"/>
          </w:tcPr>
          <w:p>
            <w:pPr>
              <w:jc w:val="center"/>
              <w:rPr>
                <w:rFonts w:hint="eastAsia"/>
                <w:color w:val="auto"/>
                <w:sz w:val="21"/>
                <w:szCs w:val="21"/>
                <w:highlight w:val="none"/>
                <w:lang w:val="en-US" w:eastAsia="zh-CN"/>
              </w:rPr>
            </w:pPr>
            <w:r>
              <w:rPr>
                <w:rFonts w:hint="eastAsia"/>
                <w:color w:val="auto"/>
                <w:highlight w:val="none"/>
                <w:lang w:val="en-US" w:eastAsia="zh-CN"/>
              </w:rPr>
              <w:t>/</w:t>
            </w:r>
          </w:p>
        </w:tc>
        <w:tc>
          <w:tcPr>
            <w:tcW w:w="980" w:type="dxa"/>
            <w:vAlign w:val="center"/>
          </w:tcPr>
          <w:p>
            <w:pPr>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olor w:val="auto"/>
                <w:highlight w:val="none"/>
                <w:lang w:val="en-US" w:eastAsia="zh-CN"/>
              </w:rPr>
              <w:t>/</w:t>
            </w:r>
          </w:p>
        </w:tc>
        <w:tc>
          <w:tcPr>
            <w:tcW w:w="1069" w:type="dxa"/>
            <w:vMerge w:val="continue"/>
            <w:vAlign w:val="center"/>
          </w:tcPr>
          <w:p>
            <w:pPr>
              <w:jc w:val="center"/>
              <w:rPr>
                <w:rFonts w:hint="eastAsia"/>
                <w:color w:val="auto"/>
                <w:highlight w:val="none"/>
                <w:lang w:val="en-US" w:eastAsia="zh-CN"/>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431" w:type="dxa"/>
            <w:vMerge w:val="continue"/>
            <w:vAlign w:val="center"/>
          </w:tcPr>
          <w:p>
            <w:pPr>
              <w:jc w:val="center"/>
              <w:rPr>
                <w:color w:val="auto"/>
                <w:highlight w:val="none"/>
              </w:rPr>
            </w:pPr>
          </w:p>
        </w:tc>
        <w:tc>
          <w:tcPr>
            <w:tcW w:w="2500" w:type="dxa"/>
            <w:gridSpan w:val="2"/>
            <w:vAlign w:val="center"/>
          </w:tcPr>
          <w:p>
            <w:pPr>
              <w:tabs>
                <w:tab w:val="left" w:pos="7020"/>
              </w:tabs>
              <w:spacing w:line="160" w:lineRule="atLeast"/>
              <w:jc w:val="center"/>
              <w:rPr>
                <w:color w:val="auto"/>
                <w:highlight w:val="none"/>
              </w:rPr>
            </w:pPr>
            <w:r>
              <w:rPr>
                <w:color w:val="auto"/>
                <w:highlight w:val="none"/>
              </w:rPr>
              <w:t>标干废气量(m</w:t>
            </w:r>
            <w:r>
              <w:rPr>
                <w:color w:val="auto"/>
                <w:highlight w:val="none"/>
                <w:vertAlign w:val="superscript"/>
              </w:rPr>
              <w:t>3</w:t>
            </w:r>
            <w:r>
              <w:rPr>
                <w:color w:val="auto"/>
                <w:highlight w:val="none"/>
              </w:rPr>
              <w:t>/h)</w:t>
            </w:r>
          </w:p>
        </w:tc>
        <w:tc>
          <w:tcPr>
            <w:tcW w:w="550" w:type="dxa"/>
            <w:vMerge w:val="restart"/>
            <w:vAlign w:val="center"/>
          </w:tcPr>
          <w:p>
            <w:pPr>
              <w:jc w:val="center"/>
              <w:rPr>
                <w:rFonts w:hint="eastAsia" w:eastAsia="宋体"/>
                <w:color w:val="auto"/>
                <w:highlight w:val="none"/>
                <w:lang w:val="en-US" w:eastAsia="zh-CN"/>
              </w:rPr>
            </w:pPr>
            <w:r>
              <w:rPr>
                <w:rFonts w:hint="eastAsia"/>
                <w:color w:val="auto"/>
                <w:highlight w:val="none"/>
                <w:lang w:val="en-US" w:eastAsia="zh-CN"/>
              </w:rPr>
              <w:t>10.10</w:t>
            </w:r>
          </w:p>
        </w:tc>
        <w:tc>
          <w:tcPr>
            <w:tcW w:w="883" w:type="dxa"/>
            <w:vAlign w:val="bottom"/>
          </w:tcPr>
          <w:p>
            <w:pPr>
              <w:keepNext w:val="0"/>
              <w:keepLines w:val="0"/>
              <w:widowControl/>
              <w:suppressLineNumbers w:val="0"/>
              <w:jc w:val="center"/>
              <w:textAlignment w:val="bottom"/>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9834</w:t>
            </w:r>
          </w:p>
        </w:tc>
        <w:tc>
          <w:tcPr>
            <w:tcW w:w="850" w:type="dxa"/>
            <w:vAlign w:val="bottom"/>
          </w:tcPr>
          <w:p>
            <w:pPr>
              <w:keepNext w:val="0"/>
              <w:keepLines w:val="0"/>
              <w:widowControl/>
              <w:suppressLineNumbers w:val="0"/>
              <w:jc w:val="center"/>
              <w:textAlignment w:val="bottom"/>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9818</w:t>
            </w:r>
          </w:p>
        </w:tc>
        <w:tc>
          <w:tcPr>
            <w:tcW w:w="833" w:type="dxa"/>
            <w:vAlign w:val="bottom"/>
          </w:tcPr>
          <w:p>
            <w:pPr>
              <w:keepNext w:val="0"/>
              <w:keepLines w:val="0"/>
              <w:widowControl/>
              <w:suppressLineNumbers w:val="0"/>
              <w:jc w:val="center"/>
              <w:textAlignment w:val="bottom"/>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9833</w:t>
            </w:r>
          </w:p>
        </w:tc>
        <w:tc>
          <w:tcPr>
            <w:tcW w:w="967" w:type="dxa"/>
            <w:vAlign w:val="center"/>
          </w:tcPr>
          <w:p>
            <w:pPr>
              <w:keepNext w:val="0"/>
              <w:keepLines w:val="0"/>
              <w:widowControl/>
              <w:suppressLineNumbers w:val="0"/>
              <w:jc w:val="center"/>
              <w:textAlignment w:val="bottom"/>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9587</w:t>
            </w:r>
          </w:p>
        </w:tc>
        <w:tc>
          <w:tcPr>
            <w:tcW w:w="933" w:type="dxa"/>
            <w:vAlign w:val="center"/>
          </w:tcPr>
          <w:p>
            <w:pPr>
              <w:keepNext w:val="0"/>
              <w:keepLines w:val="0"/>
              <w:widowControl/>
              <w:suppressLineNumbers w:val="0"/>
              <w:jc w:val="center"/>
              <w:textAlignment w:val="bottom"/>
              <w:rPr>
                <w:rFonts w:hint="eastAsia"/>
                <w:color w:val="auto"/>
                <w:sz w:val="21"/>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9210</w:t>
            </w:r>
          </w:p>
        </w:tc>
        <w:tc>
          <w:tcPr>
            <w:tcW w:w="980" w:type="dxa"/>
            <w:vAlign w:val="center"/>
          </w:tcPr>
          <w:p>
            <w:pPr>
              <w:keepNext w:val="0"/>
              <w:keepLines w:val="0"/>
              <w:widowControl/>
              <w:suppressLineNumbers w:val="0"/>
              <w:jc w:val="center"/>
              <w:textAlignment w:val="bottom"/>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9231</w:t>
            </w:r>
          </w:p>
        </w:tc>
        <w:tc>
          <w:tcPr>
            <w:tcW w:w="1069" w:type="dxa"/>
            <w:vMerge w:val="restart"/>
            <w:vAlign w:val="center"/>
          </w:tcPr>
          <w:p>
            <w:pPr>
              <w:jc w:val="center"/>
              <w:rPr>
                <w:rFonts w:hint="eastAsia"/>
                <w:color w:val="auto"/>
                <w:highlight w:val="none"/>
                <w:lang w:val="en-US" w:eastAsia="zh-CN"/>
              </w:rPr>
            </w:pPr>
            <w:r>
              <w:rPr>
                <w:rFonts w:hint="eastAsia"/>
                <w:color w:val="auto"/>
                <w:highlight w:val="none"/>
                <w:lang w:val="en-US" w:eastAsia="zh-CN"/>
              </w:rPr>
              <w:t>/</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431" w:type="dxa"/>
            <w:vMerge w:val="continue"/>
            <w:vAlign w:val="center"/>
          </w:tcPr>
          <w:p>
            <w:pPr>
              <w:jc w:val="center"/>
              <w:rPr>
                <w:color w:val="auto"/>
                <w:highlight w:val="none"/>
              </w:rPr>
            </w:pPr>
          </w:p>
        </w:tc>
        <w:tc>
          <w:tcPr>
            <w:tcW w:w="800" w:type="dxa"/>
            <w:vMerge w:val="restart"/>
            <w:vAlign w:val="center"/>
          </w:tcPr>
          <w:p>
            <w:pPr>
              <w:tabs>
                <w:tab w:val="left" w:pos="7020"/>
              </w:tabs>
              <w:spacing w:line="160" w:lineRule="atLeast"/>
              <w:jc w:val="center"/>
              <w:rPr>
                <w:rFonts w:hint="eastAsia" w:eastAsia="宋体"/>
                <w:color w:val="auto"/>
                <w:highlight w:val="none"/>
                <w:lang w:val="en-US" w:eastAsia="zh-CN"/>
              </w:rPr>
            </w:pPr>
            <w:r>
              <w:rPr>
                <w:rFonts w:hint="eastAsia"/>
                <w:color w:val="auto"/>
                <w:highlight w:val="none"/>
                <w:lang w:val="en-US" w:eastAsia="zh-CN"/>
              </w:rPr>
              <w:t>铬酸雾</w:t>
            </w:r>
          </w:p>
        </w:tc>
        <w:tc>
          <w:tcPr>
            <w:tcW w:w="1700" w:type="dxa"/>
            <w:vAlign w:val="center"/>
          </w:tcPr>
          <w:p>
            <w:pPr>
              <w:tabs>
                <w:tab w:val="left" w:pos="7020"/>
              </w:tabs>
              <w:spacing w:line="160" w:lineRule="atLeast"/>
              <w:jc w:val="center"/>
              <w:rPr>
                <w:color w:val="auto"/>
                <w:highlight w:val="none"/>
              </w:rPr>
            </w:pPr>
            <w:r>
              <w:rPr>
                <w:color w:val="auto"/>
                <w:highlight w:val="none"/>
              </w:rPr>
              <w:t>排放浓</w:t>
            </w:r>
            <w:r>
              <w:rPr>
                <w:rFonts w:hint="eastAsia"/>
                <w:color w:val="auto"/>
                <w:highlight w:val="none"/>
              </w:rPr>
              <w:t>度</w:t>
            </w:r>
            <w:r>
              <w:rPr>
                <w:color w:val="auto"/>
                <w:highlight w:val="none"/>
              </w:rPr>
              <w:t>(mg/m</w:t>
            </w:r>
            <w:r>
              <w:rPr>
                <w:color w:val="auto"/>
                <w:highlight w:val="none"/>
                <w:vertAlign w:val="superscript"/>
              </w:rPr>
              <w:t>3</w:t>
            </w:r>
            <w:r>
              <w:rPr>
                <w:color w:val="auto"/>
                <w:highlight w:val="none"/>
              </w:rPr>
              <w:t>)</w:t>
            </w:r>
          </w:p>
        </w:tc>
        <w:tc>
          <w:tcPr>
            <w:tcW w:w="550" w:type="dxa"/>
            <w:vMerge w:val="continue"/>
            <w:vAlign w:val="center"/>
          </w:tcPr>
          <w:p>
            <w:pPr>
              <w:jc w:val="center"/>
              <w:rPr>
                <w:color w:val="auto"/>
                <w:highlight w:val="none"/>
              </w:rPr>
            </w:pPr>
          </w:p>
        </w:tc>
        <w:tc>
          <w:tcPr>
            <w:tcW w:w="883" w:type="dxa"/>
            <w:vAlign w:val="bottom"/>
          </w:tcPr>
          <w:p>
            <w:pPr>
              <w:keepNext w:val="0"/>
              <w:keepLines w:val="0"/>
              <w:widowControl/>
              <w:suppressLineNumbers w:val="0"/>
              <w:jc w:val="center"/>
              <w:textAlignment w:val="bottom"/>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0.148</w:t>
            </w:r>
          </w:p>
        </w:tc>
        <w:tc>
          <w:tcPr>
            <w:tcW w:w="850" w:type="dxa"/>
            <w:vAlign w:val="bottom"/>
          </w:tcPr>
          <w:p>
            <w:pPr>
              <w:keepNext w:val="0"/>
              <w:keepLines w:val="0"/>
              <w:widowControl/>
              <w:suppressLineNumbers w:val="0"/>
              <w:jc w:val="center"/>
              <w:textAlignment w:val="bottom"/>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0.154</w:t>
            </w:r>
          </w:p>
        </w:tc>
        <w:tc>
          <w:tcPr>
            <w:tcW w:w="833" w:type="dxa"/>
            <w:vAlign w:val="bottom"/>
          </w:tcPr>
          <w:p>
            <w:pPr>
              <w:keepNext w:val="0"/>
              <w:keepLines w:val="0"/>
              <w:widowControl/>
              <w:suppressLineNumbers w:val="0"/>
              <w:jc w:val="center"/>
              <w:textAlignment w:val="bottom"/>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0.15</w:t>
            </w:r>
          </w:p>
        </w:tc>
        <w:tc>
          <w:tcPr>
            <w:tcW w:w="967" w:type="dxa"/>
            <w:vAlign w:val="center"/>
          </w:tcPr>
          <w:p>
            <w:pPr>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olor w:val="auto"/>
                <w:highlight w:val="none"/>
                <w:lang w:val="en-US" w:eastAsia="zh-CN"/>
              </w:rPr>
              <w:t>＜0.005</w:t>
            </w:r>
          </w:p>
        </w:tc>
        <w:tc>
          <w:tcPr>
            <w:tcW w:w="933" w:type="dxa"/>
            <w:vAlign w:val="center"/>
          </w:tcPr>
          <w:p>
            <w:pPr>
              <w:jc w:val="center"/>
              <w:rPr>
                <w:rFonts w:hint="eastAsia"/>
                <w:color w:val="auto"/>
                <w:sz w:val="21"/>
                <w:szCs w:val="21"/>
                <w:highlight w:val="none"/>
                <w:lang w:val="en-US" w:eastAsia="zh-CN"/>
              </w:rPr>
            </w:pPr>
            <w:r>
              <w:rPr>
                <w:rFonts w:hint="eastAsia"/>
                <w:color w:val="auto"/>
                <w:highlight w:val="none"/>
                <w:lang w:val="en-US" w:eastAsia="zh-CN"/>
              </w:rPr>
              <w:t>＜0.005</w:t>
            </w:r>
          </w:p>
        </w:tc>
        <w:tc>
          <w:tcPr>
            <w:tcW w:w="980" w:type="dxa"/>
            <w:vAlign w:val="center"/>
          </w:tcPr>
          <w:p>
            <w:pPr>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olor w:val="auto"/>
                <w:highlight w:val="none"/>
                <w:lang w:val="en-US" w:eastAsia="zh-CN"/>
              </w:rPr>
              <w:t>＜0.005</w:t>
            </w:r>
          </w:p>
        </w:tc>
        <w:tc>
          <w:tcPr>
            <w:tcW w:w="1069" w:type="dxa"/>
            <w:vMerge w:val="continue"/>
            <w:vAlign w:val="center"/>
          </w:tcPr>
          <w:p>
            <w:pPr>
              <w:jc w:val="center"/>
              <w:rPr>
                <w:rFonts w:hint="eastAsia"/>
                <w:color w:val="auto"/>
                <w:highlight w:val="none"/>
                <w:lang w:val="en-US" w:eastAsia="zh-CN"/>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431" w:type="dxa"/>
            <w:vMerge w:val="continue"/>
            <w:vAlign w:val="center"/>
          </w:tcPr>
          <w:p>
            <w:pPr>
              <w:jc w:val="center"/>
              <w:rPr>
                <w:color w:val="auto"/>
                <w:highlight w:val="none"/>
              </w:rPr>
            </w:pPr>
          </w:p>
        </w:tc>
        <w:tc>
          <w:tcPr>
            <w:tcW w:w="800" w:type="dxa"/>
            <w:vMerge w:val="continue"/>
            <w:vAlign w:val="center"/>
          </w:tcPr>
          <w:p>
            <w:pPr>
              <w:tabs>
                <w:tab w:val="left" w:pos="7020"/>
              </w:tabs>
              <w:spacing w:line="160" w:lineRule="atLeast"/>
              <w:jc w:val="center"/>
              <w:rPr>
                <w:color w:val="auto"/>
                <w:highlight w:val="none"/>
              </w:rPr>
            </w:pPr>
          </w:p>
        </w:tc>
        <w:tc>
          <w:tcPr>
            <w:tcW w:w="1700" w:type="dxa"/>
            <w:vAlign w:val="center"/>
          </w:tcPr>
          <w:p>
            <w:pPr>
              <w:tabs>
                <w:tab w:val="left" w:pos="7020"/>
              </w:tabs>
              <w:spacing w:line="160" w:lineRule="atLeast"/>
              <w:jc w:val="center"/>
              <w:rPr>
                <w:color w:val="auto"/>
                <w:highlight w:val="none"/>
              </w:rPr>
            </w:pPr>
            <w:r>
              <w:rPr>
                <w:color w:val="auto"/>
                <w:highlight w:val="none"/>
              </w:rPr>
              <w:t>排放速率(kg/h)</w:t>
            </w:r>
          </w:p>
        </w:tc>
        <w:tc>
          <w:tcPr>
            <w:tcW w:w="550" w:type="dxa"/>
            <w:vMerge w:val="continue"/>
            <w:vAlign w:val="center"/>
          </w:tcPr>
          <w:p>
            <w:pPr>
              <w:jc w:val="center"/>
              <w:rPr>
                <w:color w:val="auto"/>
                <w:highlight w:val="none"/>
              </w:rPr>
            </w:pPr>
          </w:p>
        </w:tc>
        <w:tc>
          <w:tcPr>
            <w:tcW w:w="883" w:type="dxa"/>
            <w:vAlign w:val="bottom"/>
          </w:tcPr>
          <w:p>
            <w:pPr>
              <w:keepNext w:val="0"/>
              <w:keepLines w:val="0"/>
              <w:widowControl/>
              <w:suppressLineNumbers w:val="0"/>
              <w:jc w:val="center"/>
              <w:textAlignment w:val="bottom"/>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1.45×10</w:t>
            </w:r>
            <w:r>
              <w:rPr>
                <w:rFonts w:hint="default" w:ascii="Times New Roman" w:hAnsi="Times New Roman" w:eastAsia="宋体" w:cs="Times New Roman"/>
                <w:i w:val="0"/>
                <w:color w:val="auto"/>
                <w:kern w:val="0"/>
                <w:sz w:val="21"/>
                <w:szCs w:val="21"/>
                <w:highlight w:val="none"/>
                <w:u w:val="none"/>
                <w:vertAlign w:val="superscript"/>
                <w:lang w:val="en-US" w:eastAsia="zh-CN" w:bidi="ar"/>
              </w:rPr>
              <w:t>-3</w:t>
            </w:r>
          </w:p>
        </w:tc>
        <w:tc>
          <w:tcPr>
            <w:tcW w:w="850" w:type="dxa"/>
            <w:vAlign w:val="bottom"/>
          </w:tcPr>
          <w:p>
            <w:pPr>
              <w:keepNext w:val="0"/>
              <w:keepLines w:val="0"/>
              <w:widowControl/>
              <w:suppressLineNumbers w:val="0"/>
              <w:jc w:val="center"/>
              <w:textAlignment w:val="bottom"/>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1.51×10</w:t>
            </w:r>
            <w:r>
              <w:rPr>
                <w:rFonts w:hint="default" w:ascii="Times New Roman" w:hAnsi="Times New Roman" w:eastAsia="宋体" w:cs="Times New Roman"/>
                <w:i w:val="0"/>
                <w:color w:val="auto"/>
                <w:kern w:val="0"/>
                <w:sz w:val="21"/>
                <w:szCs w:val="21"/>
                <w:highlight w:val="none"/>
                <w:u w:val="none"/>
                <w:vertAlign w:val="superscript"/>
                <w:lang w:val="en-US" w:eastAsia="zh-CN" w:bidi="ar"/>
              </w:rPr>
              <w:t>-3</w:t>
            </w:r>
          </w:p>
        </w:tc>
        <w:tc>
          <w:tcPr>
            <w:tcW w:w="833" w:type="dxa"/>
            <w:vAlign w:val="bottom"/>
          </w:tcPr>
          <w:p>
            <w:pPr>
              <w:keepNext w:val="0"/>
              <w:keepLines w:val="0"/>
              <w:widowControl/>
              <w:suppressLineNumbers w:val="0"/>
              <w:jc w:val="center"/>
              <w:textAlignment w:val="bottom"/>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1.47×10</w:t>
            </w:r>
            <w:r>
              <w:rPr>
                <w:rFonts w:hint="default" w:ascii="Times New Roman" w:hAnsi="Times New Roman" w:eastAsia="宋体" w:cs="Times New Roman"/>
                <w:i w:val="0"/>
                <w:color w:val="auto"/>
                <w:kern w:val="0"/>
                <w:sz w:val="21"/>
                <w:szCs w:val="21"/>
                <w:highlight w:val="none"/>
                <w:u w:val="none"/>
                <w:vertAlign w:val="superscript"/>
                <w:lang w:val="en-US" w:eastAsia="zh-CN" w:bidi="ar"/>
              </w:rPr>
              <w:t>-3</w:t>
            </w:r>
          </w:p>
        </w:tc>
        <w:tc>
          <w:tcPr>
            <w:tcW w:w="967" w:type="dxa"/>
            <w:vAlign w:val="center"/>
          </w:tcPr>
          <w:p>
            <w:pPr>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olor w:val="auto"/>
                <w:highlight w:val="none"/>
                <w:lang w:val="en-US" w:eastAsia="zh-CN"/>
              </w:rPr>
              <w:t>/</w:t>
            </w:r>
          </w:p>
        </w:tc>
        <w:tc>
          <w:tcPr>
            <w:tcW w:w="933" w:type="dxa"/>
            <w:vAlign w:val="center"/>
          </w:tcPr>
          <w:p>
            <w:pPr>
              <w:jc w:val="center"/>
              <w:rPr>
                <w:rFonts w:hint="eastAsia"/>
                <w:color w:val="auto"/>
                <w:sz w:val="21"/>
                <w:szCs w:val="21"/>
                <w:highlight w:val="none"/>
                <w:lang w:val="en-US" w:eastAsia="zh-CN"/>
              </w:rPr>
            </w:pPr>
            <w:r>
              <w:rPr>
                <w:rFonts w:hint="eastAsia"/>
                <w:color w:val="auto"/>
                <w:highlight w:val="none"/>
                <w:lang w:val="en-US" w:eastAsia="zh-CN"/>
              </w:rPr>
              <w:t>/</w:t>
            </w:r>
          </w:p>
        </w:tc>
        <w:tc>
          <w:tcPr>
            <w:tcW w:w="980" w:type="dxa"/>
            <w:vAlign w:val="center"/>
          </w:tcPr>
          <w:p>
            <w:pPr>
              <w:jc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color w:val="auto"/>
                <w:highlight w:val="none"/>
                <w:lang w:val="en-US" w:eastAsia="zh-CN"/>
              </w:rPr>
              <w:t>/</w:t>
            </w:r>
          </w:p>
        </w:tc>
        <w:tc>
          <w:tcPr>
            <w:tcW w:w="1069" w:type="dxa"/>
            <w:vMerge w:val="continue"/>
            <w:vAlign w:val="center"/>
          </w:tcPr>
          <w:p>
            <w:pPr>
              <w:jc w:val="center"/>
              <w:rPr>
                <w:rFonts w:hint="eastAsia"/>
                <w:color w:val="auto"/>
                <w:highlight w:val="none"/>
                <w:lang w:val="en-US" w:eastAsia="zh-CN"/>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431" w:type="dxa"/>
            <w:vMerge w:val="restart"/>
            <w:vAlign w:val="center"/>
          </w:tcPr>
          <w:p>
            <w:pPr>
              <w:jc w:val="center"/>
              <w:rPr>
                <w:rFonts w:hint="eastAsia" w:eastAsia="宋体"/>
                <w:color w:val="auto"/>
                <w:highlight w:val="none"/>
                <w:lang w:val="en-US" w:eastAsia="zh-CN"/>
              </w:rPr>
            </w:pPr>
            <w:r>
              <w:rPr>
                <w:rFonts w:hint="eastAsia"/>
                <w:color w:val="auto"/>
                <w:highlight w:val="none"/>
                <w:lang w:val="en-US" w:eastAsia="zh-CN"/>
              </w:rPr>
              <w:t>P6</w:t>
            </w:r>
          </w:p>
        </w:tc>
        <w:tc>
          <w:tcPr>
            <w:tcW w:w="2500" w:type="dxa"/>
            <w:gridSpan w:val="2"/>
            <w:vAlign w:val="center"/>
          </w:tcPr>
          <w:p>
            <w:pPr>
              <w:tabs>
                <w:tab w:val="left" w:pos="7020"/>
              </w:tabs>
              <w:spacing w:line="160" w:lineRule="atLeast"/>
              <w:jc w:val="center"/>
              <w:rPr>
                <w:color w:val="auto"/>
                <w:highlight w:val="none"/>
              </w:rPr>
            </w:pPr>
            <w:r>
              <w:rPr>
                <w:color w:val="auto"/>
                <w:highlight w:val="none"/>
              </w:rPr>
              <w:t>标干废气量(m</w:t>
            </w:r>
            <w:r>
              <w:rPr>
                <w:color w:val="auto"/>
                <w:highlight w:val="none"/>
                <w:vertAlign w:val="superscript"/>
              </w:rPr>
              <w:t>3</w:t>
            </w:r>
            <w:r>
              <w:rPr>
                <w:color w:val="auto"/>
                <w:highlight w:val="none"/>
              </w:rPr>
              <w:t>/h)</w:t>
            </w:r>
          </w:p>
        </w:tc>
        <w:tc>
          <w:tcPr>
            <w:tcW w:w="550" w:type="dxa"/>
            <w:vMerge w:val="restart"/>
            <w:vAlign w:val="center"/>
          </w:tcPr>
          <w:p>
            <w:pPr>
              <w:jc w:val="center"/>
              <w:rPr>
                <w:rFonts w:hint="eastAsia" w:eastAsia="宋体"/>
                <w:color w:val="auto"/>
                <w:highlight w:val="none"/>
                <w:lang w:val="en-US" w:eastAsia="zh-CN"/>
              </w:rPr>
            </w:pPr>
            <w:r>
              <w:rPr>
                <w:rFonts w:hint="eastAsia"/>
                <w:color w:val="auto"/>
                <w:highlight w:val="none"/>
                <w:lang w:val="en-US" w:eastAsia="zh-CN"/>
              </w:rPr>
              <w:t>9.20</w:t>
            </w:r>
          </w:p>
        </w:tc>
        <w:tc>
          <w:tcPr>
            <w:tcW w:w="883" w:type="dxa"/>
            <w:vAlign w:val="center"/>
          </w:tcPr>
          <w:p>
            <w:pPr>
              <w:jc w:val="center"/>
              <w:rPr>
                <w:rFonts w:hint="eastAsia" w:eastAsia="宋体"/>
                <w:color w:val="auto"/>
                <w:highlight w:val="none"/>
                <w:lang w:val="en-US" w:eastAsia="zh-CN"/>
              </w:rPr>
            </w:pPr>
            <w:r>
              <w:rPr>
                <w:rFonts w:hint="eastAsia"/>
                <w:color w:val="auto"/>
                <w:highlight w:val="none"/>
                <w:lang w:val="en-US" w:eastAsia="zh-CN"/>
              </w:rPr>
              <w:t>9759</w:t>
            </w:r>
          </w:p>
        </w:tc>
        <w:tc>
          <w:tcPr>
            <w:tcW w:w="850" w:type="dxa"/>
            <w:vAlign w:val="center"/>
          </w:tcPr>
          <w:p>
            <w:pPr>
              <w:jc w:val="center"/>
              <w:rPr>
                <w:rFonts w:hint="eastAsia" w:eastAsia="宋体"/>
                <w:color w:val="auto"/>
                <w:highlight w:val="none"/>
                <w:lang w:val="en-US" w:eastAsia="zh-CN"/>
              </w:rPr>
            </w:pPr>
            <w:r>
              <w:rPr>
                <w:rFonts w:hint="eastAsia"/>
                <w:color w:val="auto"/>
                <w:highlight w:val="none"/>
                <w:lang w:val="en-US" w:eastAsia="zh-CN"/>
              </w:rPr>
              <w:t>9727</w:t>
            </w:r>
          </w:p>
        </w:tc>
        <w:tc>
          <w:tcPr>
            <w:tcW w:w="833" w:type="dxa"/>
            <w:vAlign w:val="center"/>
          </w:tcPr>
          <w:p>
            <w:pPr>
              <w:jc w:val="center"/>
              <w:rPr>
                <w:rFonts w:hint="eastAsia" w:eastAsia="宋体"/>
                <w:color w:val="auto"/>
                <w:highlight w:val="none"/>
                <w:lang w:val="en-US" w:eastAsia="zh-CN"/>
              </w:rPr>
            </w:pPr>
            <w:r>
              <w:rPr>
                <w:rFonts w:hint="eastAsia"/>
                <w:color w:val="auto"/>
                <w:highlight w:val="none"/>
                <w:lang w:val="en-US" w:eastAsia="zh-CN"/>
              </w:rPr>
              <w:t>9597</w:t>
            </w:r>
          </w:p>
        </w:tc>
        <w:tc>
          <w:tcPr>
            <w:tcW w:w="967" w:type="dxa"/>
            <w:vAlign w:val="center"/>
          </w:tcPr>
          <w:p>
            <w:pPr>
              <w:jc w:val="center"/>
              <w:rPr>
                <w:rFonts w:hint="eastAsia" w:eastAsia="宋体"/>
                <w:color w:val="auto"/>
                <w:highlight w:val="none"/>
                <w:lang w:val="en-US" w:eastAsia="zh-CN"/>
              </w:rPr>
            </w:pPr>
            <w:r>
              <w:rPr>
                <w:rFonts w:hint="eastAsia"/>
                <w:color w:val="auto"/>
                <w:highlight w:val="none"/>
                <w:lang w:val="en-US" w:eastAsia="zh-CN"/>
              </w:rPr>
              <w:t>9110</w:t>
            </w:r>
          </w:p>
        </w:tc>
        <w:tc>
          <w:tcPr>
            <w:tcW w:w="933" w:type="dxa"/>
            <w:vAlign w:val="center"/>
          </w:tcPr>
          <w:p>
            <w:pPr>
              <w:jc w:val="center"/>
              <w:rPr>
                <w:rFonts w:hint="eastAsia" w:eastAsia="宋体"/>
                <w:color w:val="auto"/>
                <w:highlight w:val="none"/>
                <w:lang w:val="en-US" w:eastAsia="zh-CN"/>
              </w:rPr>
            </w:pPr>
            <w:r>
              <w:rPr>
                <w:rFonts w:hint="eastAsia"/>
                <w:color w:val="auto"/>
                <w:highlight w:val="none"/>
                <w:lang w:val="en-US" w:eastAsia="zh-CN"/>
              </w:rPr>
              <w:t>8967</w:t>
            </w:r>
          </w:p>
        </w:tc>
        <w:tc>
          <w:tcPr>
            <w:tcW w:w="980" w:type="dxa"/>
            <w:vAlign w:val="center"/>
          </w:tcPr>
          <w:p>
            <w:pPr>
              <w:jc w:val="center"/>
              <w:rPr>
                <w:rFonts w:hint="eastAsia" w:eastAsia="宋体"/>
                <w:color w:val="auto"/>
                <w:highlight w:val="none"/>
                <w:lang w:val="en-US" w:eastAsia="zh-CN"/>
              </w:rPr>
            </w:pPr>
            <w:r>
              <w:rPr>
                <w:rFonts w:hint="eastAsia"/>
                <w:color w:val="auto"/>
                <w:highlight w:val="none"/>
                <w:lang w:val="en-US" w:eastAsia="zh-CN"/>
              </w:rPr>
              <w:t>9042</w:t>
            </w:r>
          </w:p>
        </w:tc>
        <w:tc>
          <w:tcPr>
            <w:tcW w:w="1069" w:type="dxa"/>
            <w:vMerge w:val="restart"/>
            <w:vAlign w:val="center"/>
          </w:tcPr>
          <w:p>
            <w:pPr>
              <w:jc w:val="center"/>
              <w:rPr>
                <w:rFonts w:hint="eastAsia"/>
                <w:color w:val="auto"/>
                <w:highlight w:val="none"/>
                <w:lang w:val="en-US" w:eastAsia="zh-CN"/>
              </w:rPr>
            </w:pPr>
            <w:r>
              <w:rPr>
                <w:rFonts w:hint="eastAsia"/>
                <w:color w:val="auto"/>
                <w:highlight w:val="none"/>
                <w:lang w:val="en-US" w:eastAsia="zh-CN"/>
              </w:rPr>
              <w:t>5.73</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431" w:type="dxa"/>
            <w:vMerge w:val="continue"/>
            <w:vAlign w:val="center"/>
          </w:tcPr>
          <w:p>
            <w:pPr>
              <w:jc w:val="center"/>
              <w:rPr>
                <w:color w:val="auto"/>
                <w:highlight w:val="none"/>
              </w:rPr>
            </w:pPr>
          </w:p>
        </w:tc>
        <w:tc>
          <w:tcPr>
            <w:tcW w:w="800" w:type="dxa"/>
            <w:vMerge w:val="restart"/>
            <w:vAlign w:val="center"/>
          </w:tcPr>
          <w:p>
            <w:pPr>
              <w:tabs>
                <w:tab w:val="left" w:pos="7020"/>
              </w:tabs>
              <w:spacing w:line="160" w:lineRule="atLeast"/>
              <w:jc w:val="center"/>
              <w:rPr>
                <w:color w:val="auto"/>
                <w:highlight w:val="none"/>
              </w:rPr>
            </w:pPr>
            <w:r>
              <w:rPr>
                <w:rFonts w:hint="default" w:ascii="Times New Roman" w:hAnsi="Times New Roman" w:cs="Times New Roman"/>
                <w:color w:val="auto"/>
                <w:sz w:val="21"/>
                <w:szCs w:val="21"/>
                <w:highlight w:val="none"/>
              </w:rPr>
              <w:t>氯化氢</w:t>
            </w:r>
          </w:p>
        </w:tc>
        <w:tc>
          <w:tcPr>
            <w:tcW w:w="1700" w:type="dxa"/>
            <w:vAlign w:val="center"/>
          </w:tcPr>
          <w:p>
            <w:pPr>
              <w:tabs>
                <w:tab w:val="left" w:pos="7020"/>
              </w:tabs>
              <w:spacing w:line="160" w:lineRule="atLeast"/>
              <w:jc w:val="center"/>
              <w:rPr>
                <w:color w:val="auto"/>
                <w:highlight w:val="none"/>
              </w:rPr>
            </w:pPr>
            <w:r>
              <w:rPr>
                <w:color w:val="auto"/>
                <w:highlight w:val="none"/>
              </w:rPr>
              <w:t>排放浓</w:t>
            </w:r>
            <w:r>
              <w:rPr>
                <w:rFonts w:hint="eastAsia"/>
                <w:color w:val="auto"/>
                <w:highlight w:val="none"/>
              </w:rPr>
              <w:t>度</w:t>
            </w:r>
            <w:r>
              <w:rPr>
                <w:color w:val="auto"/>
                <w:highlight w:val="none"/>
              </w:rPr>
              <w:t>(mg/m</w:t>
            </w:r>
            <w:r>
              <w:rPr>
                <w:color w:val="auto"/>
                <w:highlight w:val="none"/>
                <w:vertAlign w:val="superscript"/>
              </w:rPr>
              <w:t>3</w:t>
            </w:r>
            <w:r>
              <w:rPr>
                <w:color w:val="auto"/>
                <w:highlight w:val="none"/>
              </w:rPr>
              <w:t>)</w:t>
            </w:r>
          </w:p>
        </w:tc>
        <w:tc>
          <w:tcPr>
            <w:tcW w:w="550" w:type="dxa"/>
            <w:vMerge w:val="continue"/>
            <w:vAlign w:val="center"/>
          </w:tcPr>
          <w:p>
            <w:pPr>
              <w:jc w:val="center"/>
              <w:rPr>
                <w:color w:val="auto"/>
                <w:highlight w:val="none"/>
              </w:rPr>
            </w:pPr>
          </w:p>
        </w:tc>
        <w:tc>
          <w:tcPr>
            <w:tcW w:w="883" w:type="dxa"/>
            <w:vAlign w:val="center"/>
          </w:tcPr>
          <w:p>
            <w:pPr>
              <w:jc w:val="center"/>
              <w:rPr>
                <w:rFonts w:hint="eastAsia" w:eastAsia="宋体"/>
                <w:color w:val="auto"/>
                <w:highlight w:val="none"/>
                <w:lang w:val="en-US" w:eastAsia="zh-CN"/>
              </w:rPr>
            </w:pPr>
            <w:r>
              <w:rPr>
                <w:rFonts w:hint="eastAsia"/>
                <w:color w:val="auto"/>
                <w:highlight w:val="none"/>
                <w:lang w:val="en-US" w:eastAsia="zh-CN"/>
              </w:rPr>
              <w:t>5.64</w:t>
            </w:r>
          </w:p>
        </w:tc>
        <w:tc>
          <w:tcPr>
            <w:tcW w:w="850" w:type="dxa"/>
            <w:vAlign w:val="center"/>
          </w:tcPr>
          <w:p>
            <w:pPr>
              <w:jc w:val="center"/>
              <w:rPr>
                <w:rFonts w:hint="eastAsia" w:eastAsia="宋体"/>
                <w:color w:val="auto"/>
                <w:highlight w:val="none"/>
                <w:lang w:val="en-US" w:eastAsia="zh-CN"/>
              </w:rPr>
            </w:pPr>
            <w:r>
              <w:rPr>
                <w:rFonts w:hint="eastAsia"/>
                <w:color w:val="auto"/>
                <w:highlight w:val="none"/>
                <w:lang w:val="en-US" w:eastAsia="zh-CN"/>
              </w:rPr>
              <w:t>5.78</w:t>
            </w:r>
          </w:p>
        </w:tc>
        <w:tc>
          <w:tcPr>
            <w:tcW w:w="833" w:type="dxa"/>
            <w:vAlign w:val="center"/>
          </w:tcPr>
          <w:p>
            <w:pPr>
              <w:jc w:val="center"/>
              <w:rPr>
                <w:rFonts w:hint="eastAsia" w:eastAsia="宋体"/>
                <w:color w:val="auto"/>
                <w:highlight w:val="none"/>
                <w:lang w:val="en-US" w:eastAsia="zh-CN"/>
              </w:rPr>
            </w:pPr>
            <w:r>
              <w:rPr>
                <w:rFonts w:hint="eastAsia"/>
                <w:color w:val="auto"/>
                <w:highlight w:val="none"/>
                <w:lang w:val="en-US" w:eastAsia="zh-CN"/>
              </w:rPr>
              <w:t>5.69</w:t>
            </w:r>
          </w:p>
        </w:tc>
        <w:tc>
          <w:tcPr>
            <w:tcW w:w="967" w:type="dxa"/>
            <w:vAlign w:val="center"/>
          </w:tcPr>
          <w:p>
            <w:pPr>
              <w:jc w:val="center"/>
              <w:rPr>
                <w:rFonts w:hint="eastAsia" w:eastAsia="宋体"/>
                <w:color w:val="auto"/>
                <w:highlight w:val="none"/>
                <w:lang w:val="en-US" w:eastAsia="zh-CN"/>
              </w:rPr>
            </w:pPr>
            <w:r>
              <w:rPr>
                <w:rFonts w:hint="eastAsia"/>
                <w:color w:val="auto"/>
                <w:highlight w:val="none"/>
                <w:lang w:val="en-US" w:eastAsia="zh-CN"/>
              </w:rPr>
              <w:t>0.731</w:t>
            </w:r>
          </w:p>
        </w:tc>
        <w:tc>
          <w:tcPr>
            <w:tcW w:w="933" w:type="dxa"/>
            <w:vAlign w:val="center"/>
          </w:tcPr>
          <w:p>
            <w:pPr>
              <w:jc w:val="center"/>
              <w:rPr>
                <w:rFonts w:hint="eastAsia" w:eastAsia="宋体"/>
                <w:color w:val="auto"/>
                <w:highlight w:val="none"/>
                <w:lang w:val="en-US" w:eastAsia="zh-CN"/>
              </w:rPr>
            </w:pPr>
            <w:r>
              <w:rPr>
                <w:rFonts w:hint="eastAsia"/>
                <w:color w:val="auto"/>
                <w:highlight w:val="none"/>
                <w:lang w:val="en-US" w:eastAsia="zh-CN"/>
              </w:rPr>
              <w:t>0.715</w:t>
            </w:r>
          </w:p>
        </w:tc>
        <w:tc>
          <w:tcPr>
            <w:tcW w:w="980" w:type="dxa"/>
            <w:vAlign w:val="center"/>
          </w:tcPr>
          <w:p>
            <w:pPr>
              <w:jc w:val="center"/>
              <w:rPr>
                <w:rFonts w:hint="eastAsia" w:eastAsia="宋体"/>
                <w:color w:val="auto"/>
                <w:highlight w:val="none"/>
                <w:lang w:val="en-US" w:eastAsia="zh-CN"/>
              </w:rPr>
            </w:pPr>
            <w:r>
              <w:rPr>
                <w:rFonts w:hint="eastAsia"/>
                <w:color w:val="auto"/>
                <w:highlight w:val="none"/>
                <w:lang w:val="en-US" w:eastAsia="zh-CN"/>
              </w:rPr>
              <w:t>0.725</w:t>
            </w:r>
          </w:p>
        </w:tc>
        <w:tc>
          <w:tcPr>
            <w:tcW w:w="1069" w:type="dxa"/>
            <w:vMerge w:val="continue"/>
            <w:vAlign w:val="center"/>
          </w:tcPr>
          <w:p>
            <w:pPr>
              <w:jc w:val="center"/>
              <w:rPr>
                <w:rFonts w:hint="eastAsia"/>
                <w:color w:val="auto"/>
                <w:highlight w:val="none"/>
                <w:lang w:val="en-US" w:eastAsia="zh-CN"/>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431" w:type="dxa"/>
            <w:vMerge w:val="continue"/>
            <w:vAlign w:val="center"/>
          </w:tcPr>
          <w:p>
            <w:pPr>
              <w:jc w:val="center"/>
              <w:rPr>
                <w:color w:val="auto"/>
                <w:highlight w:val="none"/>
              </w:rPr>
            </w:pPr>
          </w:p>
        </w:tc>
        <w:tc>
          <w:tcPr>
            <w:tcW w:w="800" w:type="dxa"/>
            <w:vMerge w:val="continue"/>
            <w:vAlign w:val="center"/>
          </w:tcPr>
          <w:p>
            <w:pPr>
              <w:tabs>
                <w:tab w:val="left" w:pos="7020"/>
              </w:tabs>
              <w:spacing w:line="160" w:lineRule="atLeast"/>
              <w:jc w:val="center"/>
              <w:rPr>
                <w:color w:val="auto"/>
                <w:highlight w:val="none"/>
              </w:rPr>
            </w:pPr>
          </w:p>
        </w:tc>
        <w:tc>
          <w:tcPr>
            <w:tcW w:w="1700" w:type="dxa"/>
            <w:vAlign w:val="center"/>
          </w:tcPr>
          <w:p>
            <w:pPr>
              <w:tabs>
                <w:tab w:val="left" w:pos="7020"/>
              </w:tabs>
              <w:spacing w:line="160" w:lineRule="atLeast"/>
              <w:jc w:val="center"/>
              <w:rPr>
                <w:color w:val="auto"/>
                <w:highlight w:val="none"/>
              </w:rPr>
            </w:pPr>
            <w:r>
              <w:rPr>
                <w:color w:val="auto"/>
                <w:highlight w:val="none"/>
              </w:rPr>
              <w:t>排放速率(kg/h)</w:t>
            </w:r>
          </w:p>
        </w:tc>
        <w:tc>
          <w:tcPr>
            <w:tcW w:w="550" w:type="dxa"/>
            <w:vMerge w:val="continue"/>
            <w:vAlign w:val="center"/>
          </w:tcPr>
          <w:p>
            <w:pPr>
              <w:jc w:val="center"/>
              <w:rPr>
                <w:color w:val="auto"/>
                <w:highlight w:val="none"/>
              </w:rPr>
            </w:pPr>
          </w:p>
        </w:tc>
        <w:tc>
          <w:tcPr>
            <w:tcW w:w="883" w:type="dxa"/>
            <w:vAlign w:val="center"/>
          </w:tcPr>
          <w:p>
            <w:pPr>
              <w:jc w:val="center"/>
              <w:rPr>
                <w:rFonts w:hint="eastAsia" w:eastAsia="宋体"/>
                <w:color w:val="auto"/>
                <w:highlight w:val="none"/>
                <w:lang w:val="en-US" w:eastAsia="zh-CN"/>
              </w:rPr>
            </w:pPr>
            <w:r>
              <w:rPr>
                <w:rFonts w:hint="eastAsia"/>
                <w:color w:val="auto"/>
                <w:highlight w:val="none"/>
                <w:lang w:val="en-US" w:eastAsia="zh-CN"/>
              </w:rPr>
              <w:t>0.055</w:t>
            </w:r>
          </w:p>
        </w:tc>
        <w:tc>
          <w:tcPr>
            <w:tcW w:w="850" w:type="dxa"/>
            <w:vAlign w:val="center"/>
          </w:tcPr>
          <w:p>
            <w:pPr>
              <w:jc w:val="center"/>
              <w:rPr>
                <w:rFonts w:hint="eastAsia" w:eastAsia="宋体"/>
                <w:color w:val="auto"/>
                <w:highlight w:val="none"/>
                <w:lang w:val="en-US" w:eastAsia="zh-CN"/>
              </w:rPr>
            </w:pPr>
            <w:r>
              <w:rPr>
                <w:rFonts w:hint="eastAsia"/>
                <w:color w:val="auto"/>
                <w:highlight w:val="none"/>
                <w:lang w:val="en-US" w:eastAsia="zh-CN"/>
              </w:rPr>
              <w:t>0.056</w:t>
            </w:r>
          </w:p>
        </w:tc>
        <w:tc>
          <w:tcPr>
            <w:tcW w:w="833" w:type="dxa"/>
            <w:vAlign w:val="center"/>
          </w:tcPr>
          <w:p>
            <w:pPr>
              <w:jc w:val="center"/>
              <w:rPr>
                <w:rFonts w:hint="eastAsia" w:eastAsia="宋体"/>
                <w:color w:val="auto"/>
                <w:highlight w:val="none"/>
                <w:lang w:val="en-US" w:eastAsia="zh-CN"/>
              </w:rPr>
            </w:pPr>
            <w:r>
              <w:rPr>
                <w:rFonts w:hint="eastAsia"/>
                <w:color w:val="auto"/>
                <w:highlight w:val="none"/>
                <w:lang w:val="en-US" w:eastAsia="zh-CN"/>
              </w:rPr>
              <w:t>0.055</w:t>
            </w:r>
          </w:p>
        </w:tc>
        <w:tc>
          <w:tcPr>
            <w:tcW w:w="967" w:type="dxa"/>
            <w:vAlign w:val="center"/>
          </w:tcPr>
          <w:p>
            <w:pPr>
              <w:jc w:val="center"/>
              <w:rPr>
                <w:rFonts w:hint="eastAsia" w:eastAsia="宋体"/>
                <w:color w:val="auto"/>
                <w:highlight w:val="none"/>
                <w:lang w:val="en-US" w:eastAsia="zh-CN"/>
              </w:rPr>
            </w:pPr>
            <w:r>
              <w:rPr>
                <w:rFonts w:hint="eastAsia"/>
                <w:color w:val="auto"/>
                <w:highlight w:val="none"/>
                <w:lang w:val="en-US" w:eastAsia="zh-CN"/>
              </w:rPr>
              <w:t>6.66</w:t>
            </w:r>
            <w:r>
              <w:rPr>
                <w:color w:val="auto"/>
                <w:highlight w:val="none"/>
              </w:rPr>
              <w:t>×10</w:t>
            </w:r>
            <w:r>
              <w:rPr>
                <w:color w:val="auto"/>
                <w:highlight w:val="none"/>
                <w:vertAlign w:val="superscript"/>
              </w:rPr>
              <w:t>-</w:t>
            </w:r>
            <w:r>
              <w:rPr>
                <w:rFonts w:hint="eastAsia"/>
                <w:color w:val="auto"/>
                <w:highlight w:val="none"/>
                <w:vertAlign w:val="superscript"/>
                <w:lang w:val="en-US" w:eastAsia="zh-CN"/>
              </w:rPr>
              <w:t>3</w:t>
            </w:r>
          </w:p>
        </w:tc>
        <w:tc>
          <w:tcPr>
            <w:tcW w:w="933" w:type="dxa"/>
            <w:vAlign w:val="center"/>
          </w:tcPr>
          <w:p>
            <w:pPr>
              <w:jc w:val="center"/>
              <w:rPr>
                <w:rFonts w:hint="eastAsia" w:eastAsia="宋体"/>
                <w:color w:val="auto"/>
                <w:highlight w:val="none"/>
                <w:lang w:val="en-US" w:eastAsia="zh-CN"/>
              </w:rPr>
            </w:pPr>
            <w:r>
              <w:rPr>
                <w:rFonts w:hint="eastAsia"/>
                <w:color w:val="auto"/>
                <w:highlight w:val="none"/>
                <w:lang w:val="en-US" w:eastAsia="zh-CN"/>
              </w:rPr>
              <w:t>6.41</w:t>
            </w:r>
            <w:r>
              <w:rPr>
                <w:color w:val="auto"/>
                <w:highlight w:val="none"/>
              </w:rPr>
              <w:t>×10</w:t>
            </w:r>
            <w:r>
              <w:rPr>
                <w:color w:val="auto"/>
                <w:highlight w:val="none"/>
                <w:vertAlign w:val="superscript"/>
              </w:rPr>
              <w:t>-</w:t>
            </w:r>
            <w:r>
              <w:rPr>
                <w:rFonts w:hint="eastAsia"/>
                <w:color w:val="auto"/>
                <w:highlight w:val="none"/>
                <w:vertAlign w:val="superscript"/>
                <w:lang w:val="en-US" w:eastAsia="zh-CN"/>
              </w:rPr>
              <w:t>3</w:t>
            </w:r>
          </w:p>
        </w:tc>
        <w:tc>
          <w:tcPr>
            <w:tcW w:w="980" w:type="dxa"/>
            <w:vAlign w:val="center"/>
          </w:tcPr>
          <w:p>
            <w:pPr>
              <w:jc w:val="center"/>
              <w:rPr>
                <w:rFonts w:hint="eastAsia" w:eastAsia="宋体"/>
                <w:color w:val="auto"/>
                <w:highlight w:val="none"/>
                <w:lang w:val="en-US" w:eastAsia="zh-CN"/>
              </w:rPr>
            </w:pPr>
            <w:r>
              <w:rPr>
                <w:rFonts w:hint="eastAsia"/>
                <w:color w:val="auto"/>
                <w:highlight w:val="none"/>
                <w:lang w:val="en-US" w:eastAsia="zh-CN"/>
              </w:rPr>
              <w:t>6.55</w:t>
            </w:r>
            <w:r>
              <w:rPr>
                <w:color w:val="auto"/>
                <w:highlight w:val="none"/>
              </w:rPr>
              <w:t>×10</w:t>
            </w:r>
            <w:r>
              <w:rPr>
                <w:color w:val="auto"/>
                <w:highlight w:val="none"/>
                <w:vertAlign w:val="superscript"/>
              </w:rPr>
              <w:t>-</w:t>
            </w:r>
            <w:r>
              <w:rPr>
                <w:rFonts w:hint="eastAsia"/>
                <w:color w:val="auto"/>
                <w:highlight w:val="none"/>
                <w:vertAlign w:val="superscript"/>
                <w:lang w:val="en-US" w:eastAsia="zh-CN"/>
              </w:rPr>
              <w:t>3</w:t>
            </w:r>
          </w:p>
        </w:tc>
        <w:tc>
          <w:tcPr>
            <w:tcW w:w="1069" w:type="dxa"/>
            <w:vMerge w:val="continue"/>
            <w:vAlign w:val="center"/>
          </w:tcPr>
          <w:p>
            <w:pPr>
              <w:jc w:val="center"/>
              <w:rPr>
                <w:rFonts w:hint="eastAsia"/>
                <w:color w:val="auto"/>
                <w:highlight w:val="none"/>
                <w:lang w:val="en-US" w:eastAsia="zh-CN"/>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431" w:type="dxa"/>
            <w:vMerge w:val="continue"/>
            <w:vAlign w:val="center"/>
          </w:tcPr>
          <w:p>
            <w:pPr>
              <w:jc w:val="center"/>
              <w:rPr>
                <w:color w:val="auto"/>
                <w:highlight w:val="none"/>
              </w:rPr>
            </w:pPr>
          </w:p>
        </w:tc>
        <w:tc>
          <w:tcPr>
            <w:tcW w:w="2500" w:type="dxa"/>
            <w:gridSpan w:val="2"/>
            <w:vAlign w:val="center"/>
          </w:tcPr>
          <w:p>
            <w:pPr>
              <w:tabs>
                <w:tab w:val="left" w:pos="7020"/>
              </w:tabs>
              <w:spacing w:line="160" w:lineRule="atLeast"/>
              <w:jc w:val="center"/>
              <w:rPr>
                <w:color w:val="auto"/>
                <w:highlight w:val="none"/>
              </w:rPr>
            </w:pPr>
            <w:r>
              <w:rPr>
                <w:color w:val="auto"/>
                <w:highlight w:val="none"/>
              </w:rPr>
              <w:t>标干废气量(m</w:t>
            </w:r>
            <w:r>
              <w:rPr>
                <w:color w:val="auto"/>
                <w:highlight w:val="none"/>
                <w:vertAlign w:val="superscript"/>
              </w:rPr>
              <w:t>3</w:t>
            </w:r>
            <w:r>
              <w:rPr>
                <w:color w:val="auto"/>
                <w:highlight w:val="none"/>
              </w:rPr>
              <w:t>/h)</w:t>
            </w:r>
          </w:p>
        </w:tc>
        <w:tc>
          <w:tcPr>
            <w:tcW w:w="550" w:type="dxa"/>
            <w:vMerge w:val="restart"/>
            <w:vAlign w:val="center"/>
          </w:tcPr>
          <w:p>
            <w:pPr>
              <w:jc w:val="center"/>
              <w:rPr>
                <w:rFonts w:hint="eastAsia" w:eastAsia="宋体"/>
                <w:color w:val="auto"/>
                <w:highlight w:val="none"/>
                <w:lang w:val="en-US" w:eastAsia="zh-CN"/>
              </w:rPr>
            </w:pPr>
            <w:r>
              <w:rPr>
                <w:rFonts w:hint="eastAsia"/>
                <w:color w:val="auto"/>
                <w:highlight w:val="none"/>
                <w:lang w:val="en-US" w:eastAsia="zh-CN"/>
              </w:rPr>
              <w:t>9.21</w:t>
            </w:r>
          </w:p>
        </w:tc>
        <w:tc>
          <w:tcPr>
            <w:tcW w:w="883" w:type="dxa"/>
            <w:vAlign w:val="center"/>
          </w:tcPr>
          <w:p>
            <w:pPr>
              <w:jc w:val="center"/>
              <w:rPr>
                <w:rFonts w:hint="eastAsia" w:eastAsia="宋体"/>
                <w:color w:val="auto"/>
                <w:highlight w:val="none"/>
                <w:lang w:val="en-US" w:eastAsia="zh-CN"/>
              </w:rPr>
            </w:pPr>
            <w:r>
              <w:rPr>
                <w:rFonts w:hint="eastAsia"/>
                <w:color w:val="auto"/>
                <w:highlight w:val="none"/>
                <w:lang w:val="en-US" w:eastAsia="zh-CN"/>
              </w:rPr>
              <w:t>9662</w:t>
            </w:r>
          </w:p>
        </w:tc>
        <w:tc>
          <w:tcPr>
            <w:tcW w:w="850" w:type="dxa"/>
            <w:vAlign w:val="center"/>
          </w:tcPr>
          <w:p>
            <w:pPr>
              <w:jc w:val="center"/>
              <w:rPr>
                <w:rFonts w:hint="eastAsia" w:eastAsia="宋体"/>
                <w:color w:val="auto"/>
                <w:highlight w:val="none"/>
                <w:lang w:val="en-US" w:eastAsia="zh-CN"/>
              </w:rPr>
            </w:pPr>
            <w:r>
              <w:rPr>
                <w:rFonts w:hint="eastAsia"/>
                <w:color w:val="auto"/>
                <w:highlight w:val="none"/>
                <w:lang w:val="en-US" w:eastAsia="zh-CN"/>
              </w:rPr>
              <w:t>9531</w:t>
            </w:r>
          </w:p>
        </w:tc>
        <w:tc>
          <w:tcPr>
            <w:tcW w:w="833" w:type="dxa"/>
            <w:vAlign w:val="center"/>
          </w:tcPr>
          <w:p>
            <w:pPr>
              <w:jc w:val="center"/>
              <w:rPr>
                <w:rFonts w:hint="eastAsia" w:eastAsia="宋体"/>
                <w:color w:val="auto"/>
                <w:highlight w:val="none"/>
                <w:lang w:val="en-US" w:eastAsia="zh-CN"/>
              </w:rPr>
            </w:pPr>
            <w:r>
              <w:rPr>
                <w:rFonts w:hint="eastAsia"/>
                <w:color w:val="auto"/>
                <w:highlight w:val="none"/>
                <w:lang w:val="en-US" w:eastAsia="zh-CN"/>
              </w:rPr>
              <w:t>9613</w:t>
            </w:r>
          </w:p>
        </w:tc>
        <w:tc>
          <w:tcPr>
            <w:tcW w:w="967" w:type="dxa"/>
            <w:vAlign w:val="center"/>
          </w:tcPr>
          <w:p>
            <w:pPr>
              <w:jc w:val="center"/>
              <w:rPr>
                <w:rFonts w:hint="eastAsia" w:eastAsia="宋体"/>
                <w:color w:val="auto"/>
                <w:highlight w:val="none"/>
                <w:lang w:val="en-US" w:eastAsia="zh-CN"/>
              </w:rPr>
            </w:pPr>
            <w:r>
              <w:rPr>
                <w:rFonts w:hint="eastAsia"/>
                <w:color w:val="auto"/>
                <w:highlight w:val="none"/>
                <w:lang w:val="en-US" w:eastAsia="zh-CN"/>
              </w:rPr>
              <w:t>9005</w:t>
            </w:r>
          </w:p>
        </w:tc>
        <w:tc>
          <w:tcPr>
            <w:tcW w:w="933" w:type="dxa"/>
            <w:vAlign w:val="center"/>
          </w:tcPr>
          <w:p>
            <w:pPr>
              <w:jc w:val="center"/>
              <w:rPr>
                <w:rFonts w:hint="eastAsia" w:eastAsia="宋体"/>
                <w:color w:val="auto"/>
                <w:highlight w:val="none"/>
                <w:lang w:val="en-US" w:eastAsia="zh-CN"/>
              </w:rPr>
            </w:pPr>
            <w:r>
              <w:rPr>
                <w:rFonts w:hint="eastAsia"/>
                <w:color w:val="auto"/>
                <w:highlight w:val="none"/>
                <w:lang w:val="en-US" w:eastAsia="zh-CN"/>
              </w:rPr>
              <w:t>9073</w:t>
            </w:r>
          </w:p>
        </w:tc>
        <w:tc>
          <w:tcPr>
            <w:tcW w:w="980" w:type="dxa"/>
            <w:vAlign w:val="center"/>
          </w:tcPr>
          <w:p>
            <w:pPr>
              <w:jc w:val="center"/>
              <w:rPr>
                <w:rFonts w:hint="eastAsia" w:eastAsia="宋体"/>
                <w:color w:val="auto"/>
                <w:highlight w:val="none"/>
                <w:lang w:val="en-US" w:eastAsia="zh-CN"/>
              </w:rPr>
            </w:pPr>
            <w:r>
              <w:rPr>
                <w:rFonts w:hint="eastAsia"/>
                <w:color w:val="auto"/>
                <w:highlight w:val="none"/>
                <w:lang w:val="en-US" w:eastAsia="zh-CN"/>
              </w:rPr>
              <w:t>8953</w:t>
            </w:r>
          </w:p>
        </w:tc>
        <w:tc>
          <w:tcPr>
            <w:tcW w:w="1069" w:type="dxa"/>
            <w:vMerge w:val="restart"/>
            <w:vAlign w:val="center"/>
          </w:tcPr>
          <w:p>
            <w:pPr>
              <w:jc w:val="center"/>
              <w:rPr>
                <w:rFonts w:hint="eastAsia"/>
                <w:color w:val="auto"/>
                <w:highlight w:val="none"/>
                <w:lang w:val="en-US" w:eastAsia="zh-CN"/>
              </w:rPr>
            </w:pPr>
            <w:r>
              <w:rPr>
                <w:rFonts w:hint="eastAsia"/>
                <w:color w:val="auto"/>
                <w:highlight w:val="none"/>
                <w:lang w:val="en-US" w:eastAsia="zh-CN"/>
              </w:rPr>
              <w:t>5.45</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431" w:type="dxa"/>
            <w:vMerge w:val="continue"/>
            <w:vAlign w:val="center"/>
          </w:tcPr>
          <w:p>
            <w:pPr>
              <w:jc w:val="center"/>
              <w:rPr>
                <w:color w:val="auto"/>
                <w:highlight w:val="none"/>
              </w:rPr>
            </w:pPr>
          </w:p>
        </w:tc>
        <w:tc>
          <w:tcPr>
            <w:tcW w:w="800" w:type="dxa"/>
            <w:vMerge w:val="restart"/>
            <w:vAlign w:val="center"/>
          </w:tcPr>
          <w:p>
            <w:pPr>
              <w:tabs>
                <w:tab w:val="left" w:pos="7020"/>
              </w:tabs>
              <w:spacing w:line="160" w:lineRule="atLeast"/>
              <w:jc w:val="center"/>
              <w:rPr>
                <w:color w:val="auto"/>
                <w:highlight w:val="none"/>
              </w:rPr>
            </w:pPr>
            <w:r>
              <w:rPr>
                <w:rFonts w:hint="default" w:ascii="Times New Roman" w:hAnsi="Times New Roman" w:cs="Times New Roman"/>
                <w:color w:val="auto"/>
                <w:sz w:val="21"/>
                <w:szCs w:val="21"/>
                <w:highlight w:val="none"/>
              </w:rPr>
              <w:t>氯化氢</w:t>
            </w:r>
          </w:p>
        </w:tc>
        <w:tc>
          <w:tcPr>
            <w:tcW w:w="1700" w:type="dxa"/>
            <w:vAlign w:val="center"/>
          </w:tcPr>
          <w:p>
            <w:pPr>
              <w:tabs>
                <w:tab w:val="left" w:pos="7020"/>
              </w:tabs>
              <w:spacing w:line="160" w:lineRule="atLeast"/>
              <w:jc w:val="center"/>
              <w:rPr>
                <w:color w:val="auto"/>
                <w:highlight w:val="none"/>
              </w:rPr>
            </w:pPr>
            <w:r>
              <w:rPr>
                <w:color w:val="auto"/>
                <w:highlight w:val="none"/>
              </w:rPr>
              <w:t>排放浓</w:t>
            </w:r>
            <w:r>
              <w:rPr>
                <w:rFonts w:hint="eastAsia"/>
                <w:color w:val="auto"/>
                <w:highlight w:val="none"/>
              </w:rPr>
              <w:t>度</w:t>
            </w:r>
            <w:r>
              <w:rPr>
                <w:color w:val="auto"/>
                <w:highlight w:val="none"/>
              </w:rPr>
              <w:t>(mg/m</w:t>
            </w:r>
            <w:r>
              <w:rPr>
                <w:color w:val="auto"/>
                <w:highlight w:val="none"/>
                <w:vertAlign w:val="superscript"/>
              </w:rPr>
              <w:t>3</w:t>
            </w:r>
            <w:r>
              <w:rPr>
                <w:color w:val="auto"/>
                <w:highlight w:val="none"/>
              </w:rPr>
              <w:t>)</w:t>
            </w:r>
          </w:p>
        </w:tc>
        <w:tc>
          <w:tcPr>
            <w:tcW w:w="550" w:type="dxa"/>
            <w:vMerge w:val="continue"/>
            <w:vAlign w:val="center"/>
          </w:tcPr>
          <w:p>
            <w:pPr>
              <w:jc w:val="center"/>
              <w:rPr>
                <w:color w:val="auto"/>
                <w:highlight w:val="none"/>
              </w:rPr>
            </w:pPr>
          </w:p>
        </w:tc>
        <w:tc>
          <w:tcPr>
            <w:tcW w:w="883" w:type="dxa"/>
            <w:vAlign w:val="center"/>
          </w:tcPr>
          <w:p>
            <w:pPr>
              <w:jc w:val="center"/>
              <w:rPr>
                <w:rFonts w:hint="eastAsia" w:eastAsia="宋体"/>
                <w:color w:val="auto"/>
                <w:highlight w:val="none"/>
                <w:lang w:val="en-US" w:eastAsia="zh-CN"/>
              </w:rPr>
            </w:pPr>
            <w:r>
              <w:rPr>
                <w:rFonts w:hint="eastAsia"/>
                <w:color w:val="auto"/>
                <w:highlight w:val="none"/>
                <w:lang w:val="en-US" w:eastAsia="zh-CN"/>
              </w:rPr>
              <w:t>5.68</w:t>
            </w:r>
          </w:p>
        </w:tc>
        <w:tc>
          <w:tcPr>
            <w:tcW w:w="850" w:type="dxa"/>
            <w:vAlign w:val="center"/>
          </w:tcPr>
          <w:p>
            <w:pPr>
              <w:jc w:val="center"/>
              <w:rPr>
                <w:rFonts w:hint="eastAsia" w:eastAsia="宋体"/>
                <w:color w:val="auto"/>
                <w:highlight w:val="none"/>
                <w:lang w:val="en-US" w:eastAsia="zh-CN"/>
              </w:rPr>
            </w:pPr>
            <w:r>
              <w:rPr>
                <w:rFonts w:hint="eastAsia"/>
                <w:color w:val="auto"/>
                <w:highlight w:val="none"/>
                <w:lang w:val="en-US" w:eastAsia="zh-CN"/>
              </w:rPr>
              <w:t>5.73</w:t>
            </w:r>
          </w:p>
        </w:tc>
        <w:tc>
          <w:tcPr>
            <w:tcW w:w="833" w:type="dxa"/>
            <w:vAlign w:val="center"/>
          </w:tcPr>
          <w:p>
            <w:pPr>
              <w:jc w:val="center"/>
              <w:rPr>
                <w:rFonts w:hint="eastAsia" w:eastAsia="宋体"/>
                <w:color w:val="auto"/>
                <w:highlight w:val="none"/>
                <w:lang w:val="en-US" w:eastAsia="zh-CN"/>
              </w:rPr>
            </w:pPr>
            <w:r>
              <w:rPr>
                <w:rFonts w:hint="eastAsia"/>
                <w:color w:val="auto"/>
                <w:highlight w:val="none"/>
                <w:lang w:val="en-US" w:eastAsia="zh-CN"/>
              </w:rPr>
              <w:t>5.14</w:t>
            </w:r>
          </w:p>
        </w:tc>
        <w:tc>
          <w:tcPr>
            <w:tcW w:w="967" w:type="dxa"/>
            <w:vAlign w:val="center"/>
          </w:tcPr>
          <w:p>
            <w:pPr>
              <w:jc w:val="center"/>
              <w:rPr>
                <w:rFonts w:hint="eastAsia" w:eastAsia="宋体"/>
                <w:color w:val="auto"/>
                <w:highlight w:val="none"/>
                <w:lang w:val="en-US" w:eastAsia="zh-CN"/>
              </w:rPr>
            </w:pPr>
            <w:r>
              <w:rPr>
                <w:rFonts w:hint="eastAsia"/>
                <w:color w:val="auto"/>
                <w:highlight w:val="none"/>
                <w:lang w:val="en-US" w:eastAsia="zh-CN"/>
              </w:rPr>
              <w:t>0.704</w:t>
            </w:r>
          </w:p>
        </w:tc>
        <w:tc>
          <w:tcPr>
            <w:tcW w:w="933" w:type="dxa"/>
            <w:vAlign w:val="center"/>
          </w:tcPr>
          <w:p>
            <w:pPr>
              <w:jc w:val="center"/>
              <w:rPr>
                <w:rFonts w:hint="eastAsia" w:eastAsia="宋体"/>
                <w:color w:val="auto"/>
                <w:highlight w:val="none"/>
                <w:lang w:val="en-US" w:eastAsia="zh-CN"/>
              </w:rPr>
            </w:pPr>
            <w:r>
              <w:rPr>
                <w:rFonts w:hint="eastAsia"/>
                <w:color w:val="auto"/>
                <w:highlight w:val="none"/>
                <w:lang w:val="en-US" w:eastAsia="zh-CN"/>
              </w:rPr>
              <w:t>0.653</w:t>
            </w:r>
          </w:p>
        </w:tc>
        <w:tc>
          <w:tcPr>
            <w:tcW w:w="980" w:type="dxa"/>
            <w:vAlign w:val="center"/>
          </w:tcPr>
          <w:p>
            <w:pPr>
              <w:jc w:val="center"/>
              <w:rPr>
                <w:rFonts w:hint="eastAsia" w:eastAsia="宋体"/>
                <w:color w:val="auto"/>
                <w:highlight w:val="none"/>
                <w:lang w:val="en-US" w:eastAsia="zh-CN"/>
              </w:rPr>
            </w:pPr>
            <w:r>
              <w:rPr>
                <w:rFonts w:hint="eastAsia"/>
                <w:color w:val="auto"/>
                <w:highlight w:val="none"/>
                <w:lang w:val="en-US" w:eastAsia="zh-CN"/>
              </w:rPr>
              <w:t>0.656</w:t>
            </w:r>
          </w:p>
        </w:tc>
        <w:tc>
          <w:tcPr>
            <w:tcW w:w="1069" w:type="dxa"/>
            <w:vMerge w:val="continue"/>
            <w:vAlign w:val="center"/>
          </w:tcPr>
          <w:p>
            <w:pPr>
              <w:jc w:val="center"/>
              <w:rPr>
                <w:rFonts w:hint="eastAsia"/>
                <w:color w:val="auto"/>
                <w:highlight w:val="none"/>
                <w:lang w:val="en-US" w:eastAsia="zh-CN"/>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exact"/>
          <w:jc w:val="center"/>
        </w:trPr>
        <w:tc>
          <w:tcPr>
            <w:tcW w:w="431" w:type="dxa"/>
            <w:vMerge w:val="continue"/>
            <w:vAlign w:val="center"/>
          </w:tcPr>
          <w:p>
            <w:pPr>
              <w:jc w:val="center"/>
              <w:rPr>
                <w:color w:val="auto"/>
                <w:highlight w:val="none"/>
              </w:rPr>
            </w:pPr>
          </w:p>
        </w:tc>
        <w:tc>
          <w:tcPr>
            <w:tcW w:w="800" w:type="dxa"/>
            <w:vMerge w:val="continue"/>
            <w:vAlign w:val="center"/>
          </w:tcPr>
          <w:p>
            <w:pPr>
              <w:tabs>
                <w:tab w:val="left" w:pos="7020"/>
              </w:tabs>
              <w:spacing w:line="160" w:lineRule="atLeast"/>
              <w:jc w:val="center"/>
              <w:rPr>
                <w:color w:val="auto"/>
                <w:highlight w:val="none"/>
              </w:rPr>
            </w:pPr>
          </w:p>
        </w:tc>
        <w:tc>
          <w:tcPr>
            <w:tcW w:w="1700" w:type="dxa"/>
            <w:vAlign w:val="center"/>
          </w:tcPr>
          <w:p>
            <w:pPr>
              <w:tabs>
                <w:tab w:val="left" w:pos="7020"/>
              </w:tabs>
              <w:spacing w:line="160" w:lineRule="atLeast"/>
              <w:jc w:val="center"/>
              <w:rPr>
                <w:color w:val="auto"/>
                <w:highlight w:val="none"/>
              </w:rPr>
            </w:pPr>
            <w:r>
              <w:rPr>
                <w:color w:val="auto"/>
                <w:highlight w:val="none"/>
              </w:rPr>
              <w:t>排放速率(kg/h)</w:t>
            </w:r>
          </w:p>
        </w:tc>
        <w:tc>
          <w:tcPr>
            <w:tcW w:w="550" w:type="dxa"/>
            <w:vMerge w:val="continue"/>
            <w:vAlign w:val="center"/>
          </w:tcPr>
          <w:p>
            <w:pPr>
              <w:jc w:val="center"/>
              <w:rPr>
                <w:color w:val="auto"/>
                <w:highlight w:val="none"/>
              </w:rPr>
            </w:pPr>
          </w:p>
        </w:tc>
        <w:tc>
          <w:tcPr>
            <w:tcW w:w="883" w:type="dxa"/>
            <w:vAlign w:val="center"/>
          </w:tcPr>
          <w:p>
            <w:pPr>
              <w:jc w:val="center"/>
              <w:rPr>
                <w:rFonts w:hint="eastAsia" w:eastAsia="宋体"/>
                <w:color w:val="auto"/>
                <w:highlight w:val="none"/>
                <w:lang w:val="en-US" w:eastAsia="zh-CN"/>
              </w:rPr>
            </w:pPr>
            <w:r>
              <w:rPr>
                <w:rFonts w:hint="eastAsia"/>
                <w:color w:val="auto"/>
                <w:highlight w:val="none"/>
                <w:lang w:val="en-US" w:eastAsia="zh-CN"/>
              </w:rPr>
              <w:t>0.055</w:t>
            </w:r>
          </w:p>
        </w:tc>
        <w:tc>
          <w:tcPr>
            <w:tcW w:w="850" w:type="dxa"/>
            <w:vAlign w:val="center"/>
          </w:tcPr>
          <w:p>
            <w:pPr>
              <w:jc w:val="center"/>
              <w:rPr>
                <w:rFonts w:hint="eastAsia" w:eastAsia="宋体"/>
                <w:color w:val="auto"/>
                <w:highlight w:val="none"/>
                <w:lang w:val="en-US" w:eastAsia="zh-CN"/>
              </w:rPr>
            </w:pPr>
            <w:r>
              <w:rPr>
                <w:rFonts w:hint="eastAsia"/>
                <w:color w:val="auto"/>
                <w:highlight w:val="none"/>
                <w:lang w:val="en-US" w:eastAsia="zh-CN"/>
              </w:rPr>
              <w:t>0.055</w:t>
            </w:r>
          </w:p>
        </w:tc>
        <w:tc>
          <w:tcPr>
            <w:tcW w:w="833" w:type="dxa"/>
            <w:vAlign w:val="center"/>
          </w:tcPr>
          <w:p>
            <w:pPr>
              <w:jc w:val="center"/>
              <w:rPr>
                <w:rFonts w:hint="eastAsia" w:eastAsia="宋体"/>
                <w:color w:val="auto"/>
                <w:highlight w:val="none"/>
                <w:lang w:val="en-US" w:eastAsia="zh-CN"/>
              </w:rPr>
            </w:pPr>
            <w:r>
              <w:rPr>
                <w:rFonts w:hint="eastAsia"/>
                <w:color w:val="auto"/>
                <w:highlight w:val="none"/>
                <w:lang w:val="en-US" w:eastAsia="zh-CN"/>
              </w:rPr>
              <w:t>0.049</w:t>
            </w:r>
          </w:p>
        </w:tc>
        <w:tc>
          <w:tcPr>
            <w:tcW w:w="967" w:type="dxa"/>
            <w:vAlign w:val="center"/>
          </w:tcPr>
          <w:p>
            <w:pPr>
              <w:jc w:val="center"/>
              <w:rPr>
                <w:rFonts w:hint="eastAsia" w:eastAsia="宋体"/>
                <w:color w:val="auto"/>
                <w:highlight w:val="none"/>
                <w:lang w:val="en-US" w:eastAsia="zh-CN"/>
              </w:rPr>
            </w:pPr>
            <w:r>
              <w:rPr>
                <w:rFonts w:hint="eastAsia"/>
                <w:color w:val="auto"/>
                <w:highlight w:val="none"/>
                <w:lang w:val="en-US" w:eastAsia="zh-CN"/>
              </w:rPr>
              <w:t>6.34</w:t>
            </w:r>
            <w:r>
              <w:rPr>
                <w:color w:val="auto"/>
                <w:highlight w:val="none"/>
              </w:rPr>
              <w:t>×10</w:t>
            </w:r>
            <w:r>
              <w:rPr>
                <w:color w:val="auto"/>
                <w:highlight w:val="none"/>
                <w:vertAlign w:val="superscript"/>
              </w:rPr>
              <w:t>-</w:t>
            </w:r>
            <w:r>
              <w:rPr>
                <w:rFonts w:hint="eastAsia"/>
                <w:color w:val="auto"/>
                <w:highlight w:val="none"/>
                <w:vertAlign w:val="superscript"/>
                <w:lang w:val="en-US" w:eastAsia="zh-CN"/>
              </w:rPr>
              <w:t>3</w:t>
            </w:r>
          </w:p>
        </w:tc>
        <w:tc>
          <w:tcPr>
            <w:tcW w:w="933" w:type="dxa"/>
            <w:vAlign w:val="center"/>
          </w:tcPr>
          <w:p>
            <w:pPr>
              <w:jc w:val="center"/>
              <w:rPr>
                <w:rFonts w:hint="eastAsia" w:eastAsia="宋体"/>
                <w:color w:val="auto"/>
                <w:highlight w:val="none"/>
                <w:lang w:val="en-US" w:eastAsia="zh-CN"/>
              </w:rPr>
            </w:pPr>
            <w:r>
              <w:rPr>
                <w:rFonts w:hint="eastAsia"/>
                <w:color w:val="auto"/>
                <w:highlight w:val="none"/>
                <w:lang w:val="en-US" w:eastAsia="zh-CN"/>
              </w:rPr>
              <w:t>5.93</w:t>
            </w:r>
            <w:r>
              <w:rPr>
                <w:color w:val="auto"/>
                <w:highlight w:val="none"/>
              </w:rPr>
              <w:t>×10</w:t>
            </w:r>
            <w:r>
              <w:rPr>
                <w:color w:val="auto"/>
                <w:highlight w:val="none"/>
                <w:vertAlign w:val="superscript"/>
              </w:rPr>
              <w:t>-</w:t>
            </w:r>
            <w:r>
              <w:rPr>
                <w:rFonts w:hint="eastAsia"/>
                <w:color w:val="auto"/>
                <w:highlight w:val="none"/>
                <w:vertAlign w:val="superscript"/>
                <w:lang w:val="en-US" w:eastAsia="zh-CN"/>
              </w:rPr>
              <w:t>3</w:t>
            </w:r>
          </w:p>
        </w:tc>
        <w:tc>
          <w:tcPr>
            <w:tcW w:w="980" w:type="dxa"/>
            <w:vAlign w:val="center"/>
          </w:tcPr>
          <w:p>
            <w:pPr>
              <w:jc w:val="center"/>
              <w:rPr>
                <w:rFonts w:hint="eastAsia" w:eastAsia="宋体"/>
                <w:color w:val="auto"/>
                <w:highlight w:val="none"/>
                <w:lang w:val="en-US" w:eastAsia="zh-CN"/>
              </w:rPr>
            </w:pPr>
            <w:r>
              <w:rPr>
                <w:rFonts w:hint="eastAsia"/>
                <w:color w:val="auto"/>
                <w:highlight w:val="none"/>
                <w:lang w:val="en-US" w:eastAsia="zh-CN"/>
              </w:rPr>
              <w:t>5.87</w:t>
            </w:r>
            <w:r>
              <w:rPr>
                <w:color w:val="auto"/>
                <w:highlight w:val="none"/>
              </w:rPr>
              <w:t>×10</w:t>
            </w:r>
            <w:r>
              <w:rPr>
                <w:color w:val="auto"/>
                <w:highlight w:val="none"/>
                <w:vertAlign w:val="superscript"/>
              </w:rPr>
              <w:t>-</w:t>
            </w:r>
            <w:r>
              <w:rPr>
                <w:rFonts w:hint="eastAsia"/>
                <w:color w:val="auto"/>
                <w:highlight w:val="none"/>
                <w:vertAlign w:val="superscript"/>
                <w:lang w:val="en-US" w:eastAsia="zh-CN"/>
              </w:rPr>
              <w:t>3</w:t>
            </w:r>
          </w:p>
        </w:tc>
        <w:tc>
          <w:tcPr>
            <w:tcW w:w="1069" w:type="dxa"/>
            <w:vMerge w:val="continue"/>
            <w:vAlign w:val="center"/>
          </w:tcPr>
          <w:p>
            <w:pPr>
              <w:jc w:val="center"/>
              <w:rPr>
                <w:rFonts w:hint="eastAsia"/>
                <w:color w:val="auto"/>
                <w:highlight w:val="none"/>
                <w:lang w:val="en-US" w:eastAsia="zh-CN"/>
              </w:rPr>
            </w:pPr>
          </w:p>
        </w:tc>
      </w:tr>
    </w:tbl>
    <w:p>
      <w:pPr>
        <w:spacing w:line="440" w:lineRule="exact"/>
        <w:ind w:firstLine="480" w:firstLineChars="200"/>
        <w:rPr>
          <w:color w:val="auto"/>
          <w:sz w:val="24"/>
          <w:highlight w:val="none"/>
        </w:rPr>
      </w:pPr>
      <w:r>
        <w:rPr>
          <w:color w:val="auto"/>
          <w:sz w:val="24"/>
          <w:highlight w:val="none"/>
        </w:rPr>
        <w:t>综上，项目</w:t>
      </w:r>
      <w:r>
        <w:rPr>
          <w:rFonts w:hint="default" w:ascii="Times New Roman" w:hAnsi="Times New Roman" w:cs="Times New Roman"/>
          <w:color w:val="auto"/>
          <w:sz w:val="24"/>
          <w:highlight w:val="none"/>
        </w:rPr>
        <w:t>硫酸雾、氯化氢</w:t>
      </w:r>
      <w:r>
        <w:rPr>
          <w:rFonts w:hint="eastAsia" w:cs="Times New Roman"/>
          <w:color w:val="auto"/>
          <w:sz w:val="24"/>
          <w:highlight w:val="none"/>
          <w:lang w:eastAsia="zh-CN"/>
        </w:rPr>
        <w:t>、</w:t>
      </w:r>
      <w:r>
        <w:rPr>
          <w:rFonts w:hint="eastAsia" w:cs="Times New Roman"/>
          <w:color w:val="auto"/>
          <w:sz w:val="24"/>
          <w:highlight w:val="none"/>
          <w:lang w:val="en-US" w:eastAsia="zh-CN"/>
        </w:rPr>
        <w:t>氮氧化物</w:t>
      </w:r>
      <w:r>
        <w:rPr>
          <w:rFonts w:hint="eastAsia" w:ascii="Times New Roman" w:hAnsi="Times New Roman" w:cs="Times New Roman"/>
          <w:color w:val="auto"/>
          <w:sz w:val="24"/>
          <w:highlight w:val="none"/>
          <w:lang w:val="en-US" w:eastAsia="zh-CN"/>
        </w:rPr>
        <w:t>和铬酸</w:t>
      </w:r>
      <w:r>
        <w:rPr>
          <w:rFonts w:hint="default" w:ascii="Times New Roman" w:hAnsi="Times New Roman" w:cs="Times New Roman"/>
          <w:color w:val="auto"/>
          <w:sz w:val="24"/>
          <w:highlight w:val="none"/>
          <w:lang w:val="en-US" w:eastAsia="zh-CN"/>
        </w:rPr>
        <w:t>雾</w:t>
      </w:r>
      <w:r>
        <w:rPr>
          <w:color w:val="auto"/>
          <w:sz w:val="24"/>
          <w:highlight w:val="none"/>
        </w:rPr>
        <w:t>基准气量排放浓度均满足《电镀污染物排放标准》(GB21900-2008)表5中硫酸雾(30mg/m</w:t>
      </w:r>
      <w:r>
        <w:rPr>
          <w:color w:val="auto"/>
          <w:sz w:val="24"/>
          <w:highlight w:val="none"/>
          <w:vertAlign w:val="superscript"/>
        </w:rPr>
        <w:t>3</w:t>
      </w:r>
      <w:r>
        <w:rPr>
          <w:color w:val="auto"/>
          <w:sz w:val="24"/>
          <w:highlight w:val="none"/>
        </w:rPr>
        <w:t>)、</w:t>
      </w:r>
      <w:r>
        <w:rPr>
          <w:rFonts w:hint="eastAsia"/>
          <w:color w:val="auto"/>
          <w:sz w:val="24"/>
          <w:highlight w:val="none"/>
        </w:rPr>
        <w:t>氮氧化物</w:t>
      </w:r>
      <w:r>
        <w:rPr>
          <w:color w:val="auto"/>
          <w:sz w:val="24"/>
          <w:highlight w:val="none"/>
        </w:rPr>
        <w:t>(</w:t>
      </w:r>
      <w:r>
        <w:rPr>
          <w:rFonts w:hint="eastAsia"/>
          <w:color w:val="auto"/>
          <w:sz w:val="24"/>
          <w:highlight w:val="none"/>
        </w:rPr>
        <w:t>20</w:t>
      </w:r>
      <w:r>
        <w:rPr>
          <w:color w:val="auto"/>
          <w:sz w:val="24"/>
          <w:highlight w:val="none"/>
        </w:rPr>
        <w:t>0mg/m</w:t>
      </w:r>
      <w:r>
        <w:rPr>
          <w:color w:val="auto"/>
          <w:sz w:val="24"/>
          <w:highlight w:val="none"/>
          <w:vertAlign w:val="superscript"/>
        </w:rPr>
        <w:t>3</w:t>
      </w:r>
      <w:r>
        <w:rPr>
          <w:color w:val="auto"/>
          <w:sz w:val="24"/>
          <w:highlight w:val="none"/>
        </w:rPr>
        <w:t>)、氯化氢(30mg/m</w:t>
      </w:r>
      <w:r>
        <w:rPr>
          <w:color w:val="auto"/>
          <w:sz w:val="24"/>
          <w:highlight w:val="none"/>
          <w:vertAlign w:val="superscript"/>
        </w:rPr>
        <w:t>3</w:t>
      </w:r>
      <w:r>
        <w:rPr>
          <w:color w:val="auto"/>
          <w:sz w:val="24"/>
          <w:highlight w:val="none"/>
        </w:rPr>
        <w:t>)</w:t>
      </w:r>
      <w:r>
        <w:rPr>
          <w:rFonts w:hint="eastAsia"/>
          <w:color w:val="auto"/>
          <w:sz w:val="24"/>
          <w:highlight w:val="none"/>
          <w:lang w:eastAsia="zh-CN"/>
        </w:rPr>
        <w:t>、铬酸雾</w:t>
      </w:r>
      <w:r>
        <w:rPr>
          <w:rFonts w:hint="eastAsia"/>
          <w:color w:val="auto"/>
          <w:sz w:val="24"/>
          <w:highlight w:val="none"/>
          <w:lang w:val="en-US" w:eastAsia="zh-CN"/>
        </w:rPr>
        <w:t>(</w:t>
      </w:r>
      <w:r>
        <w:rPr>
          <w:color w:val="auto"/>
          <w:sz w:val="24"/>
          <w:highlight w:val="none"/>
        </w:rPr>
        <w:t>0.05mg/m</w:t>
      </w:r>
      <w:r>
        <w:rPr>
          <w:color w:val="auto"/>
          <w:sz w:val="24"/>
          <w:highlight w:val="none"/>
          <w:vertAlign w:val="superscript"/>
        </w:rPr>
        <w:t>3</w:t>
      </w:r>
      <w:r>
        <w:rPr>
          <w:color w:val="auto"/>
          <w:sz w:val="24"/>
          <w:highlight w:val="none"/>
        </w:rPr>
        <w:t>)排放限值要求。</w:t>
      </w:r>
      <w:r>
        <w:rPr>
          <w:color w:val="auto"/>
          <w:sz w:val="24"/>
          <w:highlight w:val="none"/>
        </w:rPr>
        <w:t>项目</w:t>
      </w:r>
      <w:r>
        <w:rPr>
          <w:rFonts w:hint="eastAsia"/>
          <w:color w:val="auto"/>
          <w:sz w:val="24"/>
          <w:highlight w:val="none"/>
        </w:rPr>
        <w:t>甲基磺酸雾</w:t>
      </w:r>
      <w:r>
        <w:rPr>
          <w:rFonts w:hint="eastAsia"/>
          <w:color w:val="auto"/>
          <w:sz w:val="24"/>
          <w:highlight w:val="none"/>
          <w:lang w:val="en-US" w:eastAsia="zh-CN"/>
        </w:rPr>
        <w:t>(采用甲基磺酸中的羟基换算为甲基磺酸的量)</w:t>
      </w:r>
      <w:r>
        <w:rPr>
          <w:color w:val="auto"/>
          <w:sz w:val="24"/>
          <w:highlight w:val="none"/>
        </w:rPr>
        <w:t>基准气量排放浓度满足《电镀污染物排放标准》(GB21900-2008)表5中排放限值要求</w:t>
      </w:r>
      <w:r>
        <w:rPr>
          <w:rFonts w:hint="eastAsia"/>
          <w:color w:val="auto"/>
          <w:sz w:val="24"/>
          <w:highlight w:val="none"/>
          <w:lang w:val="en-US" w:eastAsia="zh-CN"/>
        </w:rPr>
        <w:t>(参照硫酸雾</w:t>
      </w:r>
      <w:r>
        <w:rPr>
          <w:color w:val="auto"/>
          <w:sz w:val="24"/>
          <w:highlight w:val="none"/>
        </w:rPr>
        <w:t>(30mg/m</w:t>
      </w:r>
      <w:r>
        <w:rPr>
          <w:color w:val="auto"/>
          <w:sz w:val="24"/>
          <w:highlight w:val="none"/>
          <w:vertAlign w:val="superscript"/>
        </w:rPr>
        <w:t>3</w:t>
      </w:r>
      <w:r>
        <w:rPr>
          <w:color w:val="auto"/>
          <w:sz w:val="24"/>
          <w:highlight w:val="none"/>
        </w:rPr>
        <w:t>)</w:t>
      </w:r>
      <w:r>
        <w:rPr>
          <w:rFonts w:hint="eastAsia"/>
          <w:color w:val="auto"/>
          <w:sz w:val="24"/>
          <w:highlight w:val="none"/>
          <w:lang w:val="en-US" w:eastAsia="zh-CN"/>
        </w:rPr>
        <w:t>)</w:t>
      </w:r>
      <w:r>
        <w:rPr>
          <w:color w:val="auto"/>
          <w:sz w:val="24"/>
          <w:highlight w:val="none"/>
        </w:rPr>
        <w:t>。</w:t>
      </w:r>
      <w:r>
        <w:rPr>
          <w:rFonts w:hint="default" w:ascii="Times New Roman" w:hAnsi="Times New Roman" w:cs="Times New Roman"/>
          <w:color w:val="auto"/>
          <w:sz w:val="24"/>
          <w:highlight w:val="none"/>
          <w:lang w:val="en-US" w:eastAsia="zh-CN"/>
        </w:rPr>
        <w:t>氮氧化物</w:t>
      </w:r>
      <w:r>
        <w:rPr>
          <w:rFonts w:hint="eastAsia" w:cs="Times New Roman"/>
          <w:color w:val="auto"/>
          <w:sz w:val="24"/>
          <w:highlight w:val="none"/>
          <w:lang w:val="en-US" w:eastAsia="zh-CN"/>
        </w:rPr>
        <w:t>排放浓度满足</w:t>
      </w:r>
      <w:r>
        <w:rPr>
          <w:rFonts w:hint="default" w:ascii="Times New Roman" w:hAnsi="Times New Roman" w:cs="Times New Roman"/>
          <w:color w:val="auto"/>
          <w:sz w:val="24"/>
          <w:highlight w:val="none"/>
        </w:rPr>
        <w:t>《区域性大气污染物综合排放标准》(DB37/2376-2019)表1中“重点控制区”的排放浓度限值</w:t>
      </w:r>
      <w:r>
        <w:rPr>
          <w:color w:val="auto"/>
          <w:sz w:val="24"/>
          <w:highlight w:val="none"/>
        </w:rPr>
        <w:t>(</w:t>
      </w:r>
      <w:r>
        <w:rPr>
          <w:rFonts w:hint="eastAsia"/>
          <w:color w:val="auto"/>
          <w:sz w:val="24"/>
          <w:highlight w:val="none"/>
          <w:lang w:val="en-US" w:eastAsia="zh-CN"/>
        </w:rPr>
        <w:t>10</w:t>
      </w:r>
      <w:r>
        <w:rPr>
          <w:color w:val="auto"/>
          <w:sz w:val="24"/>
          <w:highlight w:val="none"/>
        </w:rPr>
        <w:t>0mg/m</w:t>
      </w:r>
      <w:r>
        <w:rPr>
          <w:color w:val="auto"/>
          <w:sz w:val="24"/>
          <w:highlight w:val="none"/>
          <w:vertAlign w:val="superscript"/>
        </w:rPr>
        <w:t>3</w:t>
      </w:r>
      <w:r>
        <w:rPr>
          <w:color w:val="auto"/>
          <w:sz w:val="24"/>
          <w:highlight w:val="none"/>
        </w:rPr>
        <w:t>)</w:t>
      </w:r>
      <w:r>
        <w:rPr>
          <w:rFonts w:hint="eastAsia" w:cs="Times New Roman"/>
          <w:color w:val="auto"/>
          <w:sz w:val="24"/>
          <w:highlight w:val="none"/>
          <w:lang w:eastAsia="zh-CN"/>
        </w:rPr>
        <w:t>。</w:t>
      </w:r>
    </w:p>
    <w:p>
      <w:pPr>
        <w:spacing w:line="440" w:lineRule="exact"/>
        <w:ind w:firstLine="480" w:firstLineChars="200"/>
        <w:rPr>
          <w:rFonts w:hint="eastAsia" w:eastAsia="宋体"/>
          <w:color w:val="auto"/>
          <w:sz w:val="24"/>
          <w:highlight w:val="none"/>
          <w:lang w:eastAsia="zh-CN"/>
        </w:rPr>
      </w:pPr>
      <w:r>
        <w:rPr>
          <w:rFonts w:hint="eastAsia"/>
          <w:color w:val="auto"/>
          <w:sz w:val="24"/>
          <w:highlight w:val="none"/>
        </w:rPr>
        <w:t>项目</w:t>
      </w:r>
      <w:r>
        <w:rPr>
          <w:rFonts w:hint="eastAsia"/>
          <w:color w:val="auto"/>
          <w:sz w:val="24"/>
          <w:highlight w:val="none"/>
          <w:lang w:val="en-US" w:eastAsia="zh-CN"/>
        </w:rPr>
        <w:t>锅炉</w:t>
      </w:r>
      <w:r>
        <w:rPr>
          <w:rFonts w:hint="eastAsia"/>
          <w:color w:val="auto"/>
          <w:sz w:val="24"/>
          <w:highlight w:val="none"/>
        </w:rPr>
        <w:t>燃气废气中烟尘、二氧化硫、氮氧化物的排放浓度均满足</w:t>
      </w:r>
      <w:r>
        <w:rPr>
          <w:rFonts w:hint="default" w:ascii="Times New Roman" w:hAnsi="Times New Roman" w:cs="Times New Roman"/>
          <w:color w:val="auto"/>
          <w:sz w:val="24"/>
          <w:highlight w:val="none"/>
        </w:rPr>
        <w:t>《山东省锅炉大气污染物排放标准》</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DB37/2374-2018</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表2“重点控制区”浓度限值</w:t>
      </w:r>
      <w:r>
        <w:rPr>
          <w:rFonts w:hint="eastAsia" w:cs="Times New Roman"/>
          <w:color w:val="auto"/>
          <w:sz w:val="24"/>
          <w:highlight w:val="none"/>
          <w:lang w:val="en-US" w:eastAsia="zh-CN"/>
        </w:rPr>
        <w:t>要求</w:t>
      </w:r>
      <w:r>
        <w:rPr>
          <w:rFonts w:hint="eastAsia"/>
          <w:color w:val="auto"/>
          <w:sz w:val="24"/>
          <w:highlight w:val="none"/>
          <w:lang w:eastAsia="zh-CN"/>
        </w:rPr>
        <w:t>。</w:t>
      </w:r>
    </w:p>
    <w:p>
      <w:pPr>
        <w:tabs>
          <w:tab w:val="left" w:pos="900"/>
        </w:tabs>
        <w:autoSpaceDE w:val="0"/>
        <w:autoSpaceDN w:val="0"/>
        <w:adjustRightInd w:val="0"/>
        <w:spacing w:line="440" w:lineRule="exact"/>
        <w:ind w:firstLine="420" w:firstLineChars="175"/>
        <w:rPr>
          <w:color w:val="auto"/>
          <w:sz w:val="24"/>
          <w:highlight w:val="none"/>
        </w:rPr>
      </w:pPr>
      <w:r>
        <w:rPr>
          <w:rFonts w:hint="eastAsia"/>
          <w:color w:val="auto"/>
          <w:sz w:val="24"/>
          <w:highlight w:val="none"/>
        </w:rPr>
        <w:t>以本次监测时</w:t>
      </w:r>
      <w:r>
        <w:rPr>
          <w:rFonts w:hint="eastAsia"/>
          <w:color w:val="auto"/>
          <w:sz w:val="24"/>
          <w:highlight w:val="none"/>
        </w:rPr>
        <w:t>排气筒进口排放速率</w:t>
      </w:r>
      <w:r>
        <w:rPr>
          <w:rFonts w:hint="eastAsia"/>
          <w:color w:val="auto"/>
          <w:sz w:val="24"/>
          <w:highlight w:val="none"/>
          <w:lang w:eastAsia="zh-CN"/>
        </w:rPr>
        <w:t>平均</w:t>
      </w:r>
      <w:r>
        <w:rPr>
          <w:rFonts w:hint="eastAsia"/>
          <w:color w:val="auto"/>
          <w:sz w:val="24"/>
          <w:highlight w:val="none"/>
        </w:rPr>
        <w:t>值</w:t>
      </w:r>
      <w:r>
        <w:rPr>
          <w:rFonts w:hint="eastAsia"/>
          <w:color w:val="auto"/>
          <w:sz w:val="24"/>
          <w:highlight w:val="none"/>
        </w:rPr>
        <w:t>，结合现状捕集效率和净化效率核算全厂</w:t>
      </w:r>
      <w:r>
        <w:rPr>
          <w:rFonts w:hint="eastAsia"/>
          <w:color w:val="auto"/>
          <w:sz w:val="24"/>
          <w:highlight w:val="none"/>
          <w:lang w:val="en-US" w:eastAsia="zh-CN"/>
        </w:rPr>
        <w:t>废气</w:t>
      </w:r>
      <w:r>
        <w:rPr>
          <w:rFonts w:hint="eastAsia"/>
          <w:color w:val="auto"/>
          <w:sz w:val="24"/>
          <w:highlight w:val="none"/>
        </w:rPr>
        <w:t>产生量，详见表</w:t>
      </w:r>
      <w:r>
        <w:rPr>
          <w:rFonts w:hint="eastAsia"/>
          <w:color w:val="auto"/>
          <w:sz w:val="24"/>
          <w:highlight w:val="none"/>
          <w:lang w:val="en-US" w:eastAsia="zh-CN"/>
        </w:rPr>
        <w:t>2.5</w:t>
      </w:r>
      <w:r>
        <w:rPr>
          <w:rFonts w:hint="eastAsia"/>
          <w:color w:val="auto"/>
          <w:sz w:val="24"/>
          <w:highlight w:val="none"/>
        </w:rPr>
        <w:t>-6</w:t>
      </w:r>
      <w:r>
        <w:rPr>
          <w:color w:val="auto"/>
          <w:sz w:val="24"/>
          <w:highlight w:val="none"/>
        </w:rPr>
        <w:t>。</w:t>
      </w:r>
    </w:p>
    <w:p>
      <w:pPr>
        <w:adjustRightInd w:val="0"/>
        <w:snapToGrid w:val="0"/>
        <w:spacing w:line="440" w:lineRule="exact"/>
        <w:jc w:val="center"/>
        <w:rPr>
          <w:rFonts w:hint="eastAsia" w:eastAsia="黑体"/>
          <w:color w:val="auto"/>
          <w:sz w:val="24"/>
          <w:highlight w:val="none"/>
        </w:rPr>
      </w:pPr>
      <w:r>
        <w:rPr>
          <w:rFonts w:hint="eastAsia" w:eastAsia="黑体"/>
          <w:color w:val="auto"/>
          <w:sz w:val="24"/>
          <w:highlight w:val="none"/>
        </w:rPr>
        <w:t>表</w:t>
      </w:r>
      <w:r>
        <w:rPr>
          <w:rFonts w:hint="eastAsia" w:eastAsia="黑体"/>
          <w:color w:val="auto"/>
          <w:sz w:val="24"/>
          <w:highlight w:val="none"/>
          <w:lang w:val="en-US" w:eastAsia="zh-CN"/>
        </w:rPr>
        <w:t>2.5</w:t>
      </w:r>
      <w:r>
        <w:rPr>
          <w:rFonts w:hint="eastAsia" w:eastAsia="黑体"/>
          <w:color w:val="auto"/>
          <w:sz w:val="24"/>
          <w:highlight w:val="none"/>
        </w:rPr>
        <w:t xml:space="preserve">-6 </w:t>
      </w:r>
      <w:r>
        <w:rPr>
          <w:rFonts w:hint="eastAsia" w:eastAsia="黑体"/>
          <w:color w:val="auto"/>
          <w:sz w:val="24"/>
          <w:highlight w:val="none"/>
          <w:lang w:val="en-US" w:eastAsia="zh-CN"/>
        </w:rPr>
        <w:t xml:space="preserve"> </w:t>
      </w:r>
      <w:r>
        <w:rPr>
          <w:rFonts w:hint="eastAsia" w:eastAsia="黑体"/>
          <w:color w:val="auto"/>
          <w:sz w:val="24"/>
          <w:highlight w:val="none"/>
        </w:rPr>
        <w:t xml:space="preserve">废气污染物排放情况一览表 </w:t>
      </w:r>
    </w:p>
    <w:tbl>
      <w:tblPr>
        <w:tblStyle w:val="37"/>
        <w:tblW w:w="4997" w:type="pct"/>
        <w:tblInd w:w="0" w:type="dxa"/>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autofit"/>
        <w:tblCellMar>
          <w:top w:w="0" w:type="dxa"/>
          <w:left w:w="108" w:type="dxa"/>
          <w:bottom w:w="0" w:type="dxa"/>
          <w:right w:w="108" w:type="dxa"/>
        </w:tblCellMar>
      </w:tblPr>
      <w:tblGrid>
        <w:gridCol w:w="1028"/>
        <w:gridCol w:w="1119"/>
        <w:gridCol w:w="1119"/>
        <w:gridCol w:w="1111"/>
        <w:gridCol w:w="1176"/>
        <w:gridCol w:w="1001"/>
        <w:gridCol w:w="1503"/>
        <w:gridCol w:w="1167"/>
      </w:tblGrid>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557"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eastAsia="宋体"/>
                <w:b/>
                <w:bCs/>
                <w:color w:val="auto"/>
                <w:sz w:val="20"/>
                <w:szCs w:val="22"/>
                <w:highlight w:val="none"/>
                <w:vertAlign w:val="baseline"/>
                <w:lang w:val="en-US" w:eastAsia="zh-CN"/>
              </w:rPr>
            </w:pPr>
            <w:r>
              <w:rPr>
                <w:rFonts w:hint="eastAsia"/>
                <w:b/>
                <w:bCs/>
                <w:color w:val="auto"/>
                <w:sz w:val="20"/>
                <w:szCs w:val="22"/>
                <w:highlight w:val="none"/>
                <w:vertAlign w:val="baseline"/>
                <w:lang w:val="en-US" w:eastAsia="zh-CN"/>
              </w:rPr>
              <w:t>污染源</w:t>
            </w:r>
          </w:p>
        </w:tc>
        <w:tc>
          <w:tcPr>
            <w:tcW w:w="606"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eastAsia="宋体"/>
                <w:b/>
                <w:bCs/>
                <w:color w:val="auto"/>
                <w:sz w:val="20"/>
                <w:szCs w:val="22"/>
                <w:highlight w:val="none"/>
                <w:vertAlign w:val="baseline"/>
                <w:lang w:val="en-US" w:eastAsia="zh-CN"/>
              </w:rPr>
            </w:pPr>
            <w:r>
              <w:rPr>
                <w:rFonts w:hint="eastAsia"/>
                <w:b/>
                <w:bCs/>
                <w:color w:val="auto"/>
                <w:sz w:val="20"/>
                <w:szCs w:val="22"/>
                <w:highlight w:val="none"/>
                <w:vertAlign w:val="baseline"/>
                <w:lang w:val="en-US" w:eastAsia="zh-CN"/>
              </w:rPr>
              <w:t>污染物</w:t>
            </w:r>
          </w:p>
        </w:tc>
        <w:tc>
          <w:tcPr>
            <w:tcW w:w="606"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eastAsia="宋体"/>
                <w:b/>
                <w:bCs/>
                <w:color w:val="auto"/>
                <w:sz w:val="20"/>
                <w:szCs w:val="22"/>
                <w:highlight w:val="none"/>
                <w:vertAlign w:val="baseline"/>
                <w:lang w:val="en-US" w:eastAsia="zh-CN"/>
              </w:rPr>
            </w:pPr>
            <w:r>
              <w:rPr>
                <w:rFonts w:hint="eastAsia"/>
                <w:b/>
                <w:bCs/>
                <w:color w:val="auto"/>
                <w:sz w:val="20"/>
                <w:szCs w:val="22"/>
                <w:highlight w:val="none"/>
                <w:vertAlign w:val="baseline"/>
                <w:lang w:val="en-US" w:eastAsia="zh-CN"/>
              </w:rPr>
              <w:t>有组织产生量(t/a)</w:t>
            </w:r>
          </w:p>
        </w:tc>
        <w:tc>
          <w:tcPr>
            <w:tcW w:w="602"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eastAsia="宋体"/>
                <w:b/>
                <w:bCs/>
                <w:color w:val="auto"/>
                <w:sz w:val="20"/>
                <w:szCs w:val="22"/>
                <w:highlight w:val="none"/>
                <w:vertAlign w:val="baseline"/>
                <w:lang w:val="en-US" w:eastAsia="zh-CN"/>
              </w:rPr>
            </w:pPr>
            <w:r>
              <w:rPr>
                <w:rFonts w:hint="eastAsia"/>
                <w:b/>
                <w:bCs/>
                <w:color w:val="auto"/>
                <w:sz w:val="20"/>
                <w:szCs w:val="22"/>
                <w:highlight w:val="none"/>
                <w:vertAlign w:val="baseline"/>
                <w:lang w:val="en-US" w:eastAsia="zh-CN"/>
              </w:rPr>
              <w:t>有组织排放量(t/a)</w:t>
            </w:r>
          </w:p>
        </w:tc>
        <w:tc>
          <w:tcPr>
            <w:tcW w:w="637"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eastAsia="宋体"/>
                <w:b/>
                <w:bCs/>
                <w:color w:val="auto"/>
                <w:sz w:val="20"/>
                <w:szCs w:val="22"/>
                <w:highlight w:val="none"/>
                <w:vertAlign w:val="baseline"/>
                <w:lang w:val="en-US" w:eastAsia="zh-CN"/>
              </w:rPr>
            </w:pPr>
            <w:r>
              <w:rPr>
                <w:rFonts w:hint="eastAsia"/>
                <w:b/>
                <w:bCs/>
                <w:color w:val="auto"/>
                <w:sz w:val="20"/>
                <w:szCs w:val="22"/>
                <w:highlight w:val="none"/>
                <w:vertAlign w:val="baseline"/>
                <w:lang w:val="en-US" w:eastAsia="zh-CN"/>
              </w:rPr>
              <w:t>进口排放速率(kg/h)</w:t>
            </w:r>
          </w:p>
        </w:tc>
        <w:tc>
          <w:tcPr>
            <w:tcW w:w="542"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eastAsia="宋体"/>
                <w:b/>
                <w:bCs/>
                <w:color w:val="auto"/>
                <w:sz w:val="20"/>
                <w:szCs w:val="22"/>
                <w:highlight w:val="none"/>
                <w:vertAlign w:val="baseline"/>
                <w:lang w:val="en-US" w:eastAsia="zh-CN"/>
              </w:rPr>
            </w:pPr>
            <w:r>
              <w:rPr>
                <w:rFonts w:hint="eastAsia"/>
                <w:b/>
                <w:bCs/>
                <w:color w:val="auto"/>
                <w:sz w:val="20"/>
                <w:szCs w:val="22"/>
                <w:highlight w:val="none"/>
                <w:vertAlign w:val="baseline"/>
                <w:lang w:val="en-US" w:eastAsia="zh-CN"/>
              </w:rPr>
              <w:t>废气量(m</w:t>
            </w:r>
            <w:r>
              <w:rPr>
                <w:rFonts w:hint="eastAsia"/>
                <w:b/>
                <w:bCs/>
                <w:color w:val="auto"/>
                <w:sz w:val="20"/>
                <w:szCs w:val="22"/>
                <w:highlight w:val="none"/>
                <w:vertAlign w:val="superscript"/>
                <w:lang w:val="en-US" w:eastAsia="zh-CN"/>
              </w:rPr>
              <w:t>3</w:t>
            </w:r>
            <w:r>
              <w:rPr>
                <w:rFonts w:hint="eastAsia"/>
                <w:b/>
                <w:bCs/>
                <w:color w:val="auto"/>
                <w:sz w:val="20"/>
                <w:szCs w:val="22"/>
                <w:highlight w:val="none"/>
                <w:vertAlign w:val="baseline"/>
                <w:lang w:val="en-US" w:eastAsia="zh-CN"/>
              </w:rPr>
              <w:t>/h)</w:t>
            </w:r>
          </w:p>
        </w:tc>
        <w:tc>
          <w:tcPr>
            <w:tcW w:w="814"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eastAsia="宋体"/>
                <w:b/>
                <w:bCs/>
                <w:color w:val="auto"/>
                <w:sz w:val="20"/>
                <w:szCs w:val="22"/>
                <w:highlight w:val="none"/>
                <w:vertAlign w:val="baseline"/>
                <w:lang w:val="en-US" w:eastAsia="zh-CN"/>
              </w:rPr>
            </w:pPr>
            <w:r>
              <w:rPr>
                <w:rFonts w:hint="eastAsia"/>
                <w:b/>
                <w:bCs/>
                <w:color w:val="auto"/>
                <w:sz w:val="20"/>
                <w:szCs w:val="22"/>
                <w:highlight w:val="none"/>
                <w:vertAlign w:val="baseline"/>
                <w:lang w:val="en-US" w:eastAsia="zh-CN"/>
              </w:rPr>
              <w:t>实测排放浓度(mg/m</w:t>
            </w:r>
            <w:r>
              <w:rPr>
                <w:rFonts w:hint="eastAsia"/>
                <w:b/>
                <w:bCs/>
                <w:color w:val="auto"/>
                <w:sz w:val="20"/>
                <w:szCs w:val="22"/>
                <w:highlight w:val="none"/>
                <w:vertAlign w:val="superscript"/>
                <w:lang w:val="en-US" w:eastAsia="zh-CN"/>
              </w:rPr>
              <w:t>3</w:t>
            </w:r>
            <w:r>
              <w:rPr>
                <w:rFonts w:hint="eastAsia"/>
                <w:b/>
                <w:bCs/>
                <w:color w:val="auto"/>
                <w:sz w:val="20"/>
                <w:szCs w:val="22"/>
                <w:highlight w:val="none"/>
                <w:vertAlign w:val="baseline"/>
                <w:lang w:val="en-US" w:eastAsia="zh-CN"/>
              </w:rPr>
              <w:t>)</w:t>
            </w:r>
          </w:p>
        </w:tc>
        <w:tc>
          <w:tcPr>
            <w:tcW w:w="632"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eastAsia="宋体"/>
                <w:b/>
                <w:bCs/>
                <w:color w:val="auto"/>
                <w:sz w:val="20"/>
                <w:szCs w:val="22"/>
                <w:highlight w:val="none"/>
                <w:vertAlign w:val="baseline"/>
                <w:lang w:val="en-US" w:eastAsia="zh-CN"/>
              </w:rPr>
            </w:pPr>
            <w:r>
              <w:rPr>
                <w:rFonts w:hint="eastAsia"/>
                <w:b/>
                <w:bCs/>
                <w:color w:val="auto"/>
                <w:sz w:val="20"/>
                <w:szCs w:val="22"/>
                <w:highlight w:val="none"/>
                <w:vertAlign w:val="baseline"/>
                <w:lang w:val="en-US" w:eastAsia="zh-CN"/>
              </w:rPr>
              <w:t>无组织排放量(t/a)</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557" w:type="pct"/>
            <w:vMerge w:val="restar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eastAsia="宋体"/>
                <w:color w:val="auto"/>
                <w:highlight w:val="none"/>
                <w:vertAlign w:val="baseline"/>
                <w:lang w:val="en-US" w:eastAsia="zh-CN"/>
              </w:rPr>
            </w:pPr>
            <w:r>
              <w:rPr>
                <w:rFonts w:hint="eastAsia"/>
                <w:color w:val="auto"/>
                <w:highlight w:val="none"/>
                <w:vertAlign w:val="baseline"/>
                <w:lang w:val="en-US" w:eastAsia="zh-CN"/>
              </w:rPr>
              <w:t>P1</w:t>
            </w:r>
          </w:p>
        </w:tc>
        <w:tc>
          <w:tcPr>
            <w:tcW w:w="606"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eastAsia="宋体"/>
                <w:color w:val="auto"/>
                <w:highlight w:val="none"/>
                <w:vertAlign w:val="baseline"/>
                <w:lang w:val="en-US" w:eastAsia="zh-CN"/>
              </w:rPr>
            </w:pPr>
            <w:r>
              <w:rPr>
                <w:rFonts w:hint="eastAsia"/>
                <w:color w:val="auto"/>
                <w:highlight w:val="none"/>
                <w:vertAlign w:val="baseline"/>
                <w:lang w:val="en-US" w:eastAsia="zh-CN"/>
              </w:rPr>
              <w:t>HCl</w:t>
            </w:r>
          </w:p>
        </w:tc>
        <w:tc>
          <w:tcPr>
            <w:tcW w:w="606"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default" w:eastAsia="宋体"/>
                <w:color w:val="auto"/>
                <w:highlight w:val="none"/>
                <w:vertAlign w:val="baseline"/>
                <w:lang w:val="en-US" w:eastAsia="zh-CN"/>
              </w:rPr>
            </w:pPr>
            <w:r>
              <w:rPr>
                <w:rFonts w:hint="eastAsia"/>
                <w:color w:val="auto"/>
                <w:highlight w:val="none"/>
                <w:vertAlign w:val="baseline"/>
                <w:lang w:val="en-US" w:eastAsia="zh-CN"/>
              </w:rPr>
              <w:t>0.058</w:t>
            </w:r>
          </w:p>
        </w:tc>
        <w:tc>
          <w:tcPr>
            <w:tcW w:w="602"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eastAsia="宋体"/>
                <w:color w:val="auto"/>
                <w:highlight w:val="none"/>
                <w:vertAlign w:val="baseline"/>
                <w:lang w:val="en-US" w:eastAsia="zh-CN"/>
              </w:rPr>
            </w:pPr>
            <w:r>
              <w:rPr>
                <w:rFonts w:hint="eastAsia"/>
                <w:color w:val="auto"/>
                <w:highlight w:val="none"/>
                <w:vertAlign w:val="baseline"/>
                <w:lang w:val="en-US" w:eastAsia="zh-CN"/>
              </w:rPr>
              <w:t>0.006</w:t>
            </w:r>
          </w:p>
        </w:tc>
        <w:tc>
          <w:tcPr>
            <w:tcW w:w="637"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eastAsia="宋体"/>
                <w:color w:val="auto"/>
                <w:highlight w:val="none"/>
                <w:vertAlign w:val="baseline"/>
                <w:lang w:val="en-US" w:eastAsia="zh-CN"/>
              </w:rPr>
            </w:pPr>
            <w:r>
              <w:rPr>
                <w:rFonts w:hint="eastAsia"/>
                <w:color w:val="auto"/>
                <w:highlight w:val="none"/>
                <w:vertAlign w:val="baseline"/>
                <w:lang w:val="en-US" w:eastAsia="zh-CN"/>
              </w:rPr>
              <w:t>0.024</w:t>
            </w:r>
          </w:p>
        </w:tc>
        <w:tc>
          <w:tcPr>
            <w:tcW w:w="542" w:type="pct"/>
            <w:vMerge w:val="restar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color w:val="auto"/>
                <w:highlight w:val="none"/>
                <w:vertAlign w:val="baseline"/>
                <w:lang w:val="en-US"/>
              </w:rPr>
            </w:pPr>
            <w:r>
              <w:rPr>
                <w:rFonts w:hint="eastAsia"/>
                <w:color w:val="auto"/>
                <w:highlight w:val="none"/>
                <w:vertAlign w:val="baseline"/>
                <w:lang w:val="en-US" w:eastAsia="zh-CN"/>
              </w:rPr>
              <w:t>8651</w:t>
            </w:r>
          </w:p>
        </w:tc>
        <w:tc>
          <w:tcPr>
            <w:tcW w:w="814"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eastAsia="宋体"/>
                <w:color w:val="auto"/>
                <w:highlight w:val="none"/>
                <w:vertAlign w:val="baseline"/>
                <w:lang w:val="en-US" w:eastAsia="zh-CN"/>
              </w:rPr>
            </w:pPr>
            <w:r>
              <w:rPr>
                <w:rFonts w:hint="eastAsia"/>
                <w:color w:val="auto"/>
                <w:highlight w:val="none"/>
                <w:vertAlign w:val="baseline"/>
                <w:lang w:val="en-US" w:eastAsia="zh-CN"/>
              </w:rPr>
              <w:t>0.293</w:t>
            </w:r>
          </w:p>
        </w:tc>
        <w:tc>
          <w:tcPr>
            <w:tcW w:w="632"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default" w:eastAsia="宋体"/>
                <w:color w:val="auto"/>
                <w:highlight w:val="none"/>
                <w:vertAlign w:val="baseline"/>
                <w:lang w:val="en-US" w:eastAsia="zh-CN"/>
              </w:rPr>
            </w:pPr>
            <w:r>
              <w:rPr>
                <w:rFonts w:hint="eastAsia"/>
                <w:color w:val="auto"/>
                <w:highlight w:val="none"/>
                <w:vertAlign w:val="baseline"/>
                <w:lang w:val="en-US" w:eastAsia="zh-CN"/>
              </w:rPr>
              <w:t>0.0064</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557" w:type="pct"/>
            <w:vMerge w:val="continue"/>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color w:val="auto"/>
                <w:highlight w:val="none"/>
                <w:vertAlign w:val="baseline"/>
              </w:rPr>
            </w:pPr>
          </w:p>
        </w:tc>
        <w:tc>
          <w:tcPr>
            <w:tcW w:w="606"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color w:val="auto"/>
                <w:highlight w:val="none"/>
                <w:vertAlign w:val="baseline"/>
              </w:rPr>
            </w:pPr>
            <w:r>
              <w:rPr>
                <w:rFonts w:hint="default" w:ascii="Times New Roman" w:hAnsi="Times New Roman" w:cs="Times New Roman"/>
                <w:color w:val="auto"/>
                <w:sz w:val="21"/>
                <w:szCs w:val="21"/>
                <w:highlight w:val="none"/>
              </w:rPr>
              <w:t>NO</w:t>
            </w:r>
            <w:r>
              <w:rPr>
                <w:rFonts w:hint="default" w:ascii="Times New Roman" w:hAnsi="Times New Roman" w:cs="Times New Roman"/>
                <w:color w:val="auto"/>
                <w:sz w:val="21"/>
                <w:szCs w:val="21"/>
                <w:highlight w:val="none"/>
                <w:vertAlign w:val="subscript"/>
              </w:rPr>
              <w:t>x</w:t>
            </w:r>
          </w:p>
        </w:tc>
        <w:tc>
          <w:tcPr>
            <w:tcW w:w="606"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default" w:eastAsia="宋体"/>
                <w:color w:val="auto"/>
                <w:highlight w:val="none"/>
                <w:vertAlign w:val="baseline"/>
                <w:lang w:val="en-US" w:eastAsia="zh-CN"/>
              </w:rPr>
            </w:pPr>
            <w:r>
              <w:rPr>
                <w:rFonts w:hint="eastAsia"/>
                <w:color w:val="auto"/>
                <w:highlight w:val="none"/>
                <w:vertAlign w:val="baseline"/>
                <w:lang w:val="en-US" w:eastAsia="zh-CN"/>
              </w:rPr>
              <w:t>0.048</w:t>
            </w:r>
          </w:p>
        </w:tc>
        <w:tc>
          <w:tcPr>
            <w:tcW w:w="602"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eastAsia="宋体"/>
                <w:color w:val="auto"/>
                <w:highlight w:val="none"/>
                <w:vertAlign w:val="baseline"/>
                <w:lang w:val="en-US" w:eastAsia="zh-CN"/>
              </w:rPr>
            </w:pPr>
            <w:r>
              <w:rPr>
                <w:rFonts w:hint="eastAsia"/>
                <w:color w:val="auto"/>
                <w:highlight w:val="none"/>
                <w:vertAlign w:val="baseline"/>
                <w:lang w:val="en-US" w:eastAsia="zh-CN"/>
              </w:rPr>
              <w:t>0.005</w:t>
            </w:r>
          </w:p>
        </w:tc>
        <w:tc>
          <w:tcPr>
            <w:tcW w:w="637"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default" w:eastAsia="宋体"/>
                <w:color w:val="auto"/>
                <w:highlight w:val="none"/>
                <w:vertAlign w:val="baseline"/>
                <w:lang w:val="en-US" w:eastAsia="zh-CN"/>
              </w:rPr>
            </w:pPr>
            <w:r>
              <w:rPr>
                <w:rFonts w:hint="eastAsia"/>
                <w:color w:val="auto"/>
                <w:highlight w:val="none"/>
                <w:vertAlign w:val="baseline"/>
                <w:lang w:val="en-US" w:eastAsia="zh-CN"/>
              </w:rPr>
              <w:t>0.020</w:t>
            </w:r>
          </w:p>
        </w:tc>
        <w:tc>
          <w:tcPr>
            <w:tcW w:w="542" w:type="pct"/>
            <w:vMerge w:val="continue"/>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color w:val="auto"/>
                <w:highlight w:val="none"/>
                <w:vertAlign w:val="baseline"/>
              </w:rPr>
            </w:pPr>
          </w:p>
        </w:tc>
        <w:tc>
          <w:tcPr>
            <w:tcW w:w="814"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eastAsia="宋体"/>
                <w:color w:val="auto"/>
                <w:highlight w:val="none"/>
                <w:vertAlign w:val="baseline"/>
                <w:lang w:val="en-US" w:eastAsia="zh-CN"/>
              </w:rPr>
            </w:pPr>
            <w:r>
              <w:rPr>
                <w:rFonts w:hint="eastAsia"/>
                <w:color w:val="auto"/>
                <w:highlight w:val="none"/>
                <w:vertAlign w:val="baseline"/>
                <w:lang w:val="en-US" w:eastAsia="zh-CN"/>
              </w:rPr>
              <w:t>＜1.34</w:t>
            </w:r>
          </w:p>
        </w:tc>
        <w:tc>
          <w:tcPr>
            <w:tcW w:w="632"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default" w:eastAsia="宋体"/>
                <w:color w:val="auto"/>
                <w:highlight w:val="none"/>
                <w:vertAlign w:val="baseline"/>
                <w:lang w:val="en-US" w:eastAsia="zh-CN"/>
              </w:rPr>
            </w:pPr>
            <w:r>
              <w:rPr>
                <w:rFonts w:hint="eastAsia"/>
                <w:color w:val="auto"/>
                <w:highlight w:val="none"/>
                <w:vertAlign w:val="baseline"/>
                <w:lang w:val="en-US" w:eastAsia="zh-CN"/>
              </w:rPr>
              <w:t>0.0053</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557" w:type="pct"/>
            <w:vMerge w:val="continue"/>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color w:val="auto"/>
                <w:highlight w:val="none"/>
                <w:vertAlign w:val="baseline"/>
              </w:rPr>
            </w:pPr>
          </w:p>
        </w:tc>
        <w:tc>
          <w:tcPr>
            <w:tcW w:w="606"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default" w:ascii="Times New Roman" w:hAnsi="Times New Roman" w:cs="Times New Roman"/>
                <w:color w:val="auto"/>
                <w:sz w:val="21"/>
                <w:szCs w:val="21"/>
                <w:highlight w:val="none"/>
              </w:rPr>
            </w:pPr>
            <w:r>
              <w:rPr>
                <w:rFonts w:hint="eastAsia"/>
                <w:color w:val="auto"/>
                <w:highlight w:val="none"/>
                <w:lang w:eastAsia="zh-CN"/>
              </w:rPr>
              <w:t>硫酸雾</w:t>
            </w:r>
          </w:p>
        </w:tc>
        <w:tc>
          <w:tcPr>
            <w:tcW w:w="606"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color w:val="auto"/>
                <w:highlight w:val="none"/>
                <w:vertAlign w:val="baseline"/>
                <w:lang w:val="en-US"/>
              </w:rPr>
            </w:pPr>
            <w:r>
              <w:rPr>
                <w:rFonts w:hint="eastAsia"/>
                <w:color w:val="auto"/>
                <w:highlight w:val="none"/>
                <w:vertAlign w:val="baseline"/>
                <w:lang w:val="en-US" w:eastAsia="zh-CN"/>
              </w:rPr>
              <w:t>0.033</w:t>
            </w:r>
          </w:p>
        </w:tc>
        <w:tc>
          <w:tcPr>
            <w:tcW w:w="602"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color w:val="auto"/>
                <w:highlight w:val="none"/>
                <w:vertAlign w:val="baseline"/>
              </w:rPr>
            </w:pPr>
            <w:r>
              <w:rPr>
                <w:rFonts w:hint="eastAsia"/>
                <w:color w:val="auto"/>
                <w:highlight w:val="none"/>
                <w:vertAlign w:val="baseline"/>
                <w:lang w:val="en-US" w:eastAsia="zh-CN"/>
              </w:rPr>
              <w:t>0.003</w:t>
            </w:r>
          </w:p>
        </w:tc>
        <w:tc>
          <w:tcPr>
            <w:tcW w:w="637"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color w:val="auto"/>
                <w:highlight w:val="none"/>
                <w:vertAlign w:val="baseline"/>
                <w:lang w:val="en-US"/>
              </w:rPr>
            </w:pPr>
            <w:r>
              <w:rPr>
                <w:rFonts w:hint="eastAsia"/>
                <w:color w:val="auto"/>
                <w:highlight w:val="none"/>
                <w:vertAlign w:val="baseline"/>
                <w:lang w:val="en-US" w:eastAsia="zh-CN"/>
              </w:rPr>
              <w:t>0.014</w:t>
            </w:r>
          </w:p>
        </w:tc>
        <w:tc>
          <w:tcPr>
            <w:tcW w:w="542" w:type="pct"/>
            <w:vMerge w:val="continue"/>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color w:val="auto"/>
                <w:highlight w:val="none"/>
                <w:vertAlign w:val="baseline"/>
              </w:rPr>
            </w:pPr>
          </w:p>
        </w:tc>
        <w:tc>
          <w:tcPr>
            <w:tcW w:w="814"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color w:val="auto"/>
                <w:highlight w:val="none"/>
                <w:vertAlign w:val="baseline"/>
              </w:rPr>
            </w:pPr>
            <w:r>
              <w:rPr>
                <w:rFonts w:hint="eastAsia"/>
                <w:color w:val="auto"/>
                <w:highlight w:val="none"/>
                <w:vertAlign w:val="baseline"/>
                <w:lang w:val="en-US" w:eastAsia="zh-CN"/>
              </w:rPr>
              <w:t>0.2</w:t>
            </w:r>
          </w:p>
        </w:tc>
        <w:tc>
          <w:tcPr>
            <w:tcW w:w="632"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default"/>
                <w:color w:val="auto"/>
                <w:highlight w:val="none"/>
                <w:vertAlign w:val="baseline"/>
                <w:lang w:val="en-US"/>
              </w:rPr>
            </w:pPr>
            <w:r>
              <w:rPr>
                <w:rFonts w:hint="eastAsia"/>
                <w:color w:val="auto"/>
                <w:highlight w:val="none"/>
                <w:vertAlign w:val="baseline"/>
                <w:lang w:val="en-US" w:eastAsia="zh-CN"/>
              </w:rPr>
              <w:t>0.0037</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557" w:type="pct"/>
            <w:vMerge w:val="continue"/>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color w:val="auto"/>
                <w:highlight w:val="none"/>
                <w:vertAlign w:val="baseline"/>
              </w:rPr>
            </w:pPr>
          </w:p>
        </w:tc>
        <w:tc>
          <w:tcPr>
            <w:tcW w:w="606"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color w:val="auto"/>
                <w:highlight w:val="none"/>
                <w:vertAlign w:val="baseline"/>
              </w:rPr>
            </w:pPr>
            <w:r>
              <w:rPr>
                <w:rFonts w:hint="eastAsia"/>
                <w:color w:val="auto"/>
                <w:highlight w:val="none"/>
                <w:vertAlign w:val="baseline"/>
              </w:rPr>
              <w:t>甲基磺酸雾</w:t>
            </w:r>
          </w:p>
        </w:tc>
        <w:tc>
          <w:tcPr>
            <w:tcW w:w="606"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eastAsia="宋体"/>
                <w:color w:val="auto"/>
                <w:highlight w:val="none"/>
                <w:vertAlign w:val="baseline"/>
                <w:lang w:val="en-US" w:eastAsia="zh-CN"/>
              </w:rPr>
            </w:pPr>
            <w:r>
              <w:rPr>
                <w:rFonts w:hint="eastAsia"/>
                <w:color w:val="auto"/>
                <w:highlight w:val="none"/>
                <w:vertAlign w:val="baseline"/>
                <w:lang w:val="en-US" w:eastAsia="zh-CN"/>
              </w:rPr>
              <w:t>0.14</w:t>
            </w:r>
          </w:p>
        </w:tc>
        <w:tc>
          <w:tcPr>
            <w:tcW w:w="602"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eastAsia="宋体"/>
                <w:color w:val="auto"/>
                <w:highlight w:val="none"/>
                <w:vertAlign w:val="baseline"/>
                <w:lang w:val="en-US" w:eastAsia="zh-CN"/>
              </w:rPr>
            </w:pPr>
            <w:r>
              <w:rPr>
                <w:rFonts w:hint="eastAsia"/>
                <w:color w:val="auto"/>
                <w:highlight w:val="none"/>
                <w:vertAlign w:val="baseline"/>
                <w:lang w:val="en-US" w:eastAsia="zh-CN"/>
              </w:rPr>
              <w:t>0.014</w:t>
            </w:r>
          </w:p>
        </w:tc>
        <w:tc>
          <w:tcPr>
            <w:tcW w:w="637"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eastAsia="宋体"/>
                <w:color w:val="auto"/>
                <w:highlight w:val="none"/>
                <w:vertAlign w:val="baseline"/>
                <w:lang w:val="en-US" w:eastAsia="zh-CN"/>
              </w:rPr>
            </w:pPr>
            <w:r>
              <w:rPr>
                <w:rFonts w:hint="eastAsia"/>
                <w:color w:val="auto"/>
                <w:highlight w:val="none"/>
                <w:vertAlign w:val="baseline"/>
                <w:lang w:val="en-US" w:eastAsia="zh-CN"/>
              </w:rPr>
              <w:t>0.06</w:t>
            </w:r>
          </w:p>
        </w:tc>
        <w:tc>
          <w:tcPr>
            <w:tcW w:w="542" w:type="pct"/>
            <w:vMerge w:val="continue"/>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color w:val="auto"/>
                <w:highlight w:val="none"/>
                <w:vertAlign w:val="baseline"/>
              </w:rPr>
            </w:pPr>
          </w:p>
        </w:tc>
        <w:tc>
          <w:tcPr>
            <w:tcW w:w="814"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eastAsia="宋体"/>
                <w:color w:val="auto"/>
                <w:highlight w:val="none"/>
                <w:vertAlign w:val="baseline"/>
                <w:lang w:val="en-US" w:eastAsia="zh-CN"/>
              </w:rPr>
            </w:pPr>
            <w:r>
              <w:rPr>
                <w:rFonts w:hint="eastAsia"/>
                <w:color w:val="auto"/>
                <w:highlight w:val="none"/>
                <w:vertAlign w:val="baseline"/>
                <w:lang w:val="en-US" w:eastAsia="zh-CN"/>
              </w:rPr>
              <w:t>0.44</w:t>
            </w:r>
          </w:p>
        </w:tc>
        <w:tc>
          <w:tcPr>
            <w:tcW w:w="632"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eastAsia="宋体"/>
                <w:color w:val="auto"/>
                <w:highlight w:val="none"/>
                <w:vertAlign w:val="baseline"/>
                <w:lang w:val="en-US" w:eastAsia="zh-CN"/>
              </w:rPr>
            </w:pPr>
            <w:r>
              <w:rPr>
                <w:rFonts w:hint="eastAsia"/>
                <w:color w:val="auto"/>
                <w:highlight w:val="none"/>
                <w:vertAlign w:val="baseline"/>
                <w:lang w:val="en-US" w:eastAsia="zh-CN"/>
              </w:rPr>
              <w:t>0.016</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557"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eastAsia="宋体"/>
                <w:color w:val="auto"/>
                <w:highlight w:val="none"/>
                <w:vertAlign w:val="baseline"/>
                <w:lang w:val="en-US" w:eastAsia="zh-CN"/>
              </w:rPr>
            </w:pPr>
            <w:r>
              <w:rPr>
                <w:rFonts w:hint="eastAsia"/>
                <w:color w:val="auto"/>
                <w:highlight w:val="none"/>
                <w:vertAlign w:val="baseline"/>
                <w:lang w:val="en-US" w:eastAsia="zh-CN"/>
              </w:rPr>
              <w:t>P2</w:t>
            </w:r>
          </w:p>
        </w:tc>
        <w:tc>
          <w:tcPr>
            <w:tcW w:w="606"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color w:val="auto"/>
                <w:highlight w:val="none"/>
                <w:vertAlign w:val="baseline"/>
              </w:rPr>
            </w:pPr>
            <w:r>
              <w:rPr>
                <w:rFonts w:hint="eastAsia"/>
                <w:color w:val="auto"/>
                <w:highlight w:val="none"/>
                <w:vertAlign w:val="baseline"/>
                <w:lang w:val="en-US" w:eastAsia="zh-CN"/>
              </w:rPr>
              <w:t>HCl</w:t>
            </w:r>
          </w:p>
        </w:tc>
        <w:tc>
          <w:tcPr>
            <w:tcW w:w="606"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default" w:eastAsia="宋体"/>
                <w:color w:val="auto"/>
                <w:highlight w:val="none"/>
                <w:vertAlign w:val="baseline"/>
                <w:lang w:val="en-US" w:eastAsia="zh-CN"/>
              </w:rPr>
            </w:pPr>
            <w:r>
              <w:rPr>
                <w:rFonts w:hint="eastAsia"/>
                <w:color w:val="auto"/>
                <w:highlight w:val="none"/>
                <w:vertAlign w:val="baseline"/>
                <w:lang w:val="en-US" w:eastAsia="zh-CN"/>
              </w:rPr>
              <w:t>0.058</w:t>
            </w:r>
          </w:p>
        </w:tc>
        <w:tc>
          <w:tcPr>
            <w:tcW w:w="602"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eastAsia="宋体"/>
                <w:color w:val="auto"/>
                <w:highlight w:val="none"/>
                <w:vertAlign w:val="baseline"/>
                <w:lang w:val="en-US" w:eastAsia="zh-CN"/>
              </w:rPr>
            </w:pPr>
            <w:r>
              <w:rPr>
                <w:rFonts w:hint="eastAsia"/>
                <w:color w:val="auto"/>
                <w:highlight w:val="none"/>
                <w:vertAlign w:val="baseline"/>
                <w:lang w:val="en-US" w:eastAsia="zh-CN"/>
              </w:rPr>
              <w:t>0.006</w:t>
            </w:r>
          </w:p>
        </w:tc>
        <w:tc>
          <w:tcPr>
            <w:tcW w:w="637"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default" w:eastAsia="宋体"/>
                <w:color w:val="auto"/>
                <w:highlight w:val="none"/>
                <w:vertAlign w:val="baseline"/>
                <w:lang w:val="en-US" w:eastAsia="zh-CN"/>
              </w:rPr>
            </w:pPr>
            <w:r>
              <w:rPr>
                <w:rFonts w:hint="eastAsia"/>
                <w:color w:val="auto"/>
                <w:highlight w:val="none"/>
                <w:vertAlign w:val="baseline"/>
                <w:lang w:val="en-US" w:eastAsia="zh-CN"/>
              </w:rPr>
              <w:t>0.024</w:t>
            </w:r>
          </w:p>
        </w:tc>
        <w:tc>
          <w:tcPr>
            <w:tcW w:w="542"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eastAsia="宋体"/>
                <w:color w:val="auto"/>
                <w:highlight w:val="none"/>
                <w:vertAlign w:val="baseline"/>
                <w:lang w:val="en-US" w:eastAsia="zh-CN"/>
              </w:rPr>
            </w:pPr>
            <w:r>
              <w:rPr>
                <w:rFonts w:hint="eastAsia"/>
                <w:color w:val="auto"/>
                <w:highlight w:val="none"/>
                <w:vertAlign w:val="baseline"/>
                <w:lang w:val="en-US" w:eastAsia="zh-CN"/>
              </w:rPr>
              <w:t>8352</w:t>
            </w:r>
          </w:p>
        </w:tc>
        <w:tc>
          <w:tcPr>
            <w:tcW w:w="814"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eastAsia="宋体"/>
                <w:color w:val="auto"/>
                <w:highlight w:val="none"/>
                <w:vertAlign w:val="baseline"/>
                <w:lang w:val="en-US" w:eastAsia="zh-CN"/>
              </w:rPr>
            </w:pPr>
            <w:r>
              <w:rPr>
                <w:rFonts w:hint="eastAsia"/>
                <w:color w:val="auto"/>
                <w:highlight w:val="none"/>
                <w:vertAlign w:val="baseline"/>
                <w:lang w:val="en-US" w:eastAsia="zh-CN"/>
              </w:rPr>
              <w:t>0.3</w:t>
            </w:r>
          </w:p>
        </w:tc>
        <w:tc>
          <w:tcPr>
            <w:tcW w:w="632"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default" w:eastAsia="宋体"/>
                <w:color w:val="auto"/>
                <w:highlight w:val="none"/>
                <w:vertAlign w:val="baseline"/>
                <w:lang w:val="en-US" w:eastAsia="zh-CN"/>
              </w:rPr>
            </w:pPr>
            <w:r>
              <w:rPr>
                <w:rFonts w:hint="eastAsia"/>
                <w:color w:val="auto"/>
                <w:highlight w:val="none"/>
                <w:vertAlign w:val="baseline"/>
                <w:lang w:val="en-US" w:eastAsia="zh-CN"/>
              </w:rPr>
              <w:t>0.0064</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557" w:type="pct"/>
            <w:vMerge w:val="restar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color w:val="auto"/>
                <w:highlight w:val="none"/>
                <w:vertAlign w:val="baseline"/>
              </w:rPr>
            </w:pPr>
            <w:r>
              <w:rPr>
                <w:rFonts w:hint="eastAsia"/>
                <w:color w:val="auto"/>
                <w:highlight w:val="none"/>
                <w:vertAlign w:val="baseline"/>
                <w:lang w:val="en-US" w:eastAsia="zh-CN"/>
              </w:rPr>
              <w:t>P3</w:t>
            </w:r>
          </w:p>
        </w:tc>
        <w:tc>
          <w:tcPr>
            <w:tcW w:w="606"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color w:val="auto"/>
                <w:highlight w:val="none"/>
                <w:vertAlign w:val="baseline"/>
              </w:rPr>
            </w:pPr>
            <w:r>
              <w:rPr>
                <w:rFonts w:hint="eastAsia"/>
                <w:color w:val="auto"/>
                <w:highlight w:val="none"/>
                <w:vertAlign w:val="baseline"/>
                <w:lang w:val="en-US" w:eastAsia="zh-CN"/>
              </w:rPr>
              <w:t>HCl</w:t>
            </w:r>
          </w:p>
        </w:tc>
        <w:tc>
          <w:tcPr>
            <w:tcW w:w="606"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default" w:eastAsia="宋体"/>
                <w:color w:val="auto"/>
                <w:highlight w:val="none"/>
                <w:vertAlign w:val="baseline"/>
                <w:lang w:val="en-US" w:eastAsia="zh-CN"/>
              </w:rPr>
            </w:pPr>
            <w:r>
              <w:rPr>
                <w:rFonts w:hint="eastAsia"/>
                <w:color w:val="auto"/>
                <w:highlight w:val="none"/>
                <w:vertAlign w:val="baseline"/>
                <w:lang w:val="en-US" w:eastAsia="zh-CN"/>
              </w:rPr>
              <w:t>0.077</w:t>
            </w:r>
          </w:p>
        </w:tc>
        <w:tc>
          <w:tcPr>
            <w:tcW w:w="602"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eastAsia="宋体"/>
                <w:color w:val="auto"/>
                <w:highlight w:val="none"/>
                <w:vertAlign w:val="baseline"/>
                <w:lang w:val="en-US" w:eastAsia="zh-CN"/>
              </w:rPr>
            </w:pPr>
            <w:r>
              <w:rPr>
                <w:rFonts w:hint="eastAsia"/>
                <w:color w:val="auto"/>
                <w:highlight w:val="none"/>
                <w:vertAlign w:val="baseline"/>
                <w:lang w:val="en-US" w:eastAsia="zh-CN"/>
              </w:rPr>
              <w:t>0.008</w:t>
            </w:r>
          </w:p>
        </w:tc>
        <w:tc>
          <w:tcPr>
            <w:tcW w:w="637"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eastAsia="宋体"/>
                <w:color w:val="auto"/>
                <w:highlight w:val="none"/>
                <w:vertAlign w:val="baseline"/>
                <w:lang w:val="en-US" w:eastAsia="zh-CN"/>
              </w:rPr>
            </w:pPr>
            <w:r>
              <w:rPr>
                <w:rFonts w:hint="eastAsia"/>
                <w:color w:val="auto"/>
                <w:highlight w:val="none"/>
                <w:vertAlign w:val="baseline"/>
                <w:lang w:val="en-US" w:eastAsia="zh-CN"/>
              </w:rPr>
              <w:t>0.032</w:t>
            </w:r>
          </w:p>
        </w:tc>
        <w:tc>
          <w:tcPr>
            <w:tcW w:w="542" w:type="pct"/>
            <w:vMerge w:val="restar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eastAsia="宋体"/>
                <w:color w:val="auto"/>
                <w:highlight w:val="none"/>
                <w:vertAlign w:val="baseline"/>
                <w:lang w:val="en-US" w:eastAsia="zh-CN"/>
              </w:rPr>
            </w:pPr>
            <w:r>
              <w:rPr>
                <w:rFonts w:hint="eastAsia"/>
                <w:color w:val="auto"/>
                <w:highlight w:val="none"/>
                <w:vertAlign w:val="baseline"/>
                <w:lang w:val="en-US" w:eastAsia="zh-CN"/>
              </w:rPr>
              <w:t>8696</w:t>
            </w:r>
          </w:p>
        </w:tc>
        <w:tc>
          <w:tcPr>
            <w:tcW w:w="814"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eastAsia="宋体"/>
                <w:color w:val="auto"/>
                <w:highlight w:val="none"/>
                <w:vertAlign w:val="baseline"/>
                <w:lang w:val="en-US" w:eastAsia="zh-CN"/>
              </w:rPr>
            </w:pPr>
            <w:r>
              <w:rPr>
                <w:rFonts w:hint="eastAsia"/>
                <w:color w:val="auto"/>
                <w:highlight w:val="none"/>
                <w:vertAlign w:val="baseline"/>
                <w:lang w:val="en-US" w:eastAsia="zh-CN"/>
              </w:rPr>
              <w:t>0.3</w:t>
            </w:r>
          </w:p>
        </w:tc>
        <w:tc>
          <w:tcPr>
            <w:tcW w:w="632"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default" w:eastAsia="宋体"/>
                <w:color w:val="auto"/>
                <w:highlight w:val="none"/>
                <w:vertAlign w:val="baseline"/>
                <w:lang w:val="en-US" w:eastAsia="zh-CN"/>
              </w:rPr>
            </w:pPr>
            <w:r>
              <w:rPr>
                <w:rFonts w:hint="eastAsia"/>
                <w:color w:val="auto"/>
                <w:highlight w:val="none"/>
                <w:vertAlign w:val="baseline"/>
                <w:lang w:val="en-US" w:eastAsia="zh-CN"/>
              </w:rPr>
              <w:t>0.0085</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557" w:type="pct"/>
            <w:vMerge w:val="continue"/>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color w:val="auto"/>
                <w:highlight w:val="none"/>
                <w:vertAlign w:val="baseline"/>
                <w:lang w:val="en-US" w:eastAsia="zh-CN"/>
              </w:rPr>
            </w:pPr>
          </w:p>
        </w:tc>
        <w:tc>
          <w:tcPr>
            <w:tcW w:w="606"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color w:val="auto"/>
                <w:highlight w:val="none"/>
                <w:vertAlign w:val="baseline"/>
                <w:lang w:val="en-US" w:eastAsia="zh-CN"/>
              </w:rPr>
            </w:pPr>
            <w:r>
              <w:rPr>
                <w:rFonts w:hint="eastAsia"/>
                <w:color w:val="auto"/>
                <w:highlight w:val="none"/>
                <w:lang w:eastAsia="zh-CN"/>
              </w:rPr>
              <w:t>硫酸雾</w:t>
            </w:r>
          </w:p>
        </w:tc>
        <w:tc>
          <w:tcPr>
            <w:tcW w:w="606"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default" w:eastAsia="宋体"/>
                <w:color w:val="auto"/>
                <w:highlight w:val="none"/>
                <w:vertAlign w:val="baseline"/>
                <w:lang w:val="en-US" w:eastAsia="zh-CN"/>
              </w:rPr>
            </w:pPr>
            <w:r>
              <w:rPr>
                <w:rFonts w:hint="eastAsia"/>
                <w:color w:val="auto"/>
                <w:highlight w:val="none"/>
                <w:vertAlign w:val="baseline"/>
                <w:lang w:val="en-US" w:eastAsia="zh-CN"/>
              </w:rPr>
              <w:t>0.026</w:t>
            </w:r>
          </w:p>
        </w:tc>
        <w:tc>
          <w:tcPr>
            <w:tcW w:w="602"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eastAsia="宋体"/>
                <w:color w:val="auto"/>
                <w:highlight w:val="none"/>
                <w:vertAlign w:val="baseline"/>
                <w:lang w:val="en-US" w:eastAsia="zh-CN"/>
              </w:rPr>
            </w:pPr>
            <w:r>
              <w:rPr>
                <w:rFonts w:hint="eastAsia"/>
                <w:color w:val="auto"/>
                <w:highlight w:val="none"/>
                <w:vertAlign w:val="baseline"/>
                <w:lang w:val="en-US" w:eastAsia="zh-CN"/>
              </w:rPr>
              <w:t>0.003</w:t>
            </w:r>
          </w:p>
        </w:tc>
        <w:tc>
          <w:tcPr>
            <w:tcW w:w="637"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color w:val="auto"/>
                <w:highlight w:val="none"/>
                <w:vertAlign w:val="baseline"/>
              </w:rPr>
            </w:pPr>
            <w:r>
              <w:rPr>
                <w:rFonts w:hint="eastAsia"/>
                <w:color w:val="auto"/>
                <w:highlight w:val="none"/>
                <w:vertAlign w:val="baseline"/>
                <w:lang w:val="en-US" w:eastAsia="zh-CN"/>
              </w:rPr>
              <w:t>0.011</w:t>
            </w:r>
          </w:p>
        </w:tc>
        <w:tc>
          <w:tcPr>
            <w:tcW w:w="542" w:type="pct"/>
            <w:vMerge w:val="continue"/>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color w:val="auto"/>
                <w:highlight w:val="none"/>
                <w:vertAlign w:val="baseline"/>
              </w:rPr>
            </w:pPr>
          </w:p>
        </w:tc>
        <w:tc>
          <w:tcPr>
            <w:tcW w:w="814"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eastAsia="宋体"/>
                <w:color w:val="auto"/>
                <w:highlight w:val="none"/>
                <w:vertAlign w:val="baseline"/>
                <w:lang w:val="en-US" w:eastAsia="zh-CN"/>
              </w:rPr>
            </w:pPr>
            <w:r>
              <w:rPr>
                <w:rFonts w:hint="eastAsia"/>
                <w:color w:val="auto"/>
                <w:highlight w:val="none"/>
                <w:vertAlign w:val="baseline"/>
                <w:lang w:val="en-US" w:eastAsia="zh-CN"/>
              </w:rPr>
              <w:t>0.3</w:t>
            </w:r>
          </w:p>
        </w:tc>
        <w:tc>
          <w:tcPr>
            <w:tcW w:w="632"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default" w:eastAsia="宋体"/>
                <w:color w:val="auto"/>
                <w:highlight w:val="none"/>
                <w:vertAlign w:val="baseline"/>
                <w:lang w:val="en-US" w:eastAsia="zh-CN"/>
              </w:rPr>
            </w:pPr>
            <w:r>
              <w:rPr>
                <w:rFonts w:hint="eastAsia"/>
                <w:color w:val="auto"/>
                <w:highlight w:val="none"/>
                <w:vertAlign w:val="baseline"/>
                <w:lang w:val="en-US" w:eastAsia="zh-CN"/>
              </w:rPr>
              <w:t>0.0029</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557" w:type="pct"/>
            <w:vMerge w:val="continue"/>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color w:val="auto"/>
                <w:highlight w:val="none"/>
                <w:vertAlign w:val="baseline"/>
                <w:lang w:val="en-US" w:eastAsia="zh-CN"/>
              </w:rPr>
            </w:pPr>
          </w:p>
        </w:tc>
        <w:tc>
          <w:tcPr>
            <w:tcW w:w="606"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color w:val="auto"/>
                <w:highlight w:val="none"/>
                <w:vertAlign w:val="baseline"/>
                <w:lang w:val="en-US" w:eastAsia="zh-CN"/>
              </w:rPr>
            </w:pPr>
            <w:r>
              <w:rPr>
                <w:rFonts w:hint="eastAsia"/>
                <w:color w:val="auto"/>
                <w:highlight w:val="none"/>
                <w:vertAlign w:val="baseline"/>
                <w:lang w:val="en-US" w:eastAsia="zh-CN"/>
              </w:rPr>
              <w:t>铬酸雾</w:t>
            </w:r>
          </w:p>
        </w:tc>
        <w:tc>
          <w:tcPr>
            <w:tcW w:w="606"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eastAsia="宋体"/>
                <w:color w:val="auto"/>
                <w:highlight w:val="none"/>
                <w:vertAlign w:val="baseline"/>
                <w:lang w:val="en-US" w:eastAsia="zh-CN"/>
              </w:rPr>
            </w:pPr>
            <w:r>
              <w:rPr>
                <w:rFonts w:hint="eastAsia"/>
                <w:color w:val="auto"/>
                <w:highlight w:val="none"/>
                <w:vertAlign w:val="baseline"/>
                <w:lang w:val="en-US" w:eastAsia="zh-CN"/>
              </w:rPr>
              <w:t>0.0013</w:t>
            </w:r>
          </w:p>
        </w:tc>
        <w:tc>
          <w:tcPr>
            <w:tcW w:w="602"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default" w:eastAsia="宋体"/>
                <w:color w:val="auto"/>
                <w:highlight w:val="none"/>
                <w:vertAlign w:val="baseline"/>
                <w:lang w:val="en-US" w:eastAsia="zh-CN"/>
              </w:rPr>
            </w:pPr>
            <w:r>
              <w:rPr>
                <w:rFonts w:hint="eastAsia"/>
                <w:color w:val="auto"/>
                <w:highlight w:val="none"/>
                <w:vertAlign w:val="baseline"/>
                <w:lang w:val="en-US" w:eastAsia="zh-CN"/>
              </w:rPr>
              <w:t>0.00013</w:t>
            </w:r>
          </w:p>
        </w:tc>
        <w:tc>
          <w:tcPr>
            <w:tcW w:w="637"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eastAsia="宋体"/>
                <w:color w:val="auto"/>
                <w:highlight w:val="none"/>
                <w:vertAlign w:val="baseline"/>
                <w:lang w:val="en-US" w:eastAsia="zh-CN"/>
              </w:rPr>
            </w:pPr>
            <w:r>
              <w:rPr>
                <w:rFonts w:hint="eastAsia"/>
                <w:color w:val="auto"/>
                <w:highlight w:val="none"/>
                <w:vertAlign w:val="baseline"/>
                <w:lang w:val="en-US" w:eastAsia="zh-CN"/>
              </w:rPr>
              <w:t>0.00054</w:t>
            </w:r>
          </w:p>
        </w:tc>
        <w:tc>
          <w:tcPr>
            <w:tcW w:w="542" w:type="pct"/>
            <w:vMerge w:val="continue"/>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color w:val="auto"/>
                <w:highlight w:val="none"/>
                <w:vertAlign w:val="baseline"/>
              </w:rPr>
            </w:pPr>
          </w:p>
        </w:tc>
        <w:tc>
          <w:tcPr>
            <w:tcW w:w="814"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eastAsia="宋体"/>
                <w:color w:val="auto"/>
                <w:highlight w:val="none"/>
                <w:vertAlign w:val="baseline"/>
                <w:lang w:val="en-US" w:eastAsia="zh-CN"/>
              </w:rPr>
            </w:pPr>
            <w:r>
              <w:rPr>
                <w:rFonts w:hint="eastAsia"/>
                <w:color w:val="auto"/>
                <w:highlight w:val="none"/>
                <w:vertAlign w:val="baseline"/>
                <w:lang w:val="en-US" w:eastAsia="zh-CN"/>
              </w:rPr>
              <w:t>＜0.005</w:t>
            </w:r>
          </w:p>
        </w:tc>
        <w:tc>
          <w:tcPr>
            <w:tcW w:w="632"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eastAsia="宋体"/>
                <w:color w:val="auto"/>
                <w:highlight w:val="none"/>
                <w:vertAlign w:val="baseline"/>
                <w:lang w:val="en-US" w:eastAsia="zh-CN"/>
              </w:rPr>
            </w:pPr>
            <w:r>
              <w:rPr>
                <w:rFonts w:hint="eastAsia"/>
                <w:color w:val="auto"/>
                <w:highlight w:val="none"/>
                <w:vertAlign w:val="baseline"/>
                <w:lang w:val="en-US" w:eastAsia="zh-CN"/>
              </w:rPr>
              <w:t>0.0001</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557" w:type="pct"/>
            <w:vMerge w:val="restar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color w:val="auto"/>
                <w:highlight w:val="none"/>
                <w:vertAlign w:val="baseline"/>
              </w:rPr>
            </w:pPr>
            <w:r>
              <w:rPr>
                <w:color w:val="auto"/>
                <w:szCs w:val="21"/>
                <w:highlight w:val="none"/>
              </w:rPr>
              <w:t>P</w:t>
            </w:r>
            <w:r>
              <w:rPr>
                <w:rFonts w:hint="eastAsia"/>
                <w:color w:val="auto"/>
                <w:szCs w:val="21"/>
                <w:highlight w:val="none"/>
                <w:lang w:val="en-US" w:eastAsia="zh-CN"/>
              </w:rPr>
              <w:t>4-</w:t>
            </w:r>
            <w:r>
              <w:rPr>
                <w:color w:val="auto"/>
                <w:szCs w:val="21"/>
                <w:highlight w:val="none"/>
              </w:rPr>
              <w:t>1</w:t>
            </w:r>
          </w:p>
        </w:tc>
        <w:tc>
          <w:tcPr>
            <w:tcW w:w="606"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eastAsia="宋体"/>
                <w:color w:val="auto"/>
                <w:highlight w:val="none"/>
                <w:vertAlign w:val="baseline"/>
                <w:lang w:val="en-US" w:eastAsia="zh-CN"/>
              </w:rPr>
            </w:pPr>
            <w:r>
              <w:rPr>
                <w:rFonts w:hint="eastAsia"/>
                <w:color w:val="auto"/>
                <w:highlight w:val="none"/>
                <w:vertAlign w:val="baseline"/>
                <w:lang w:val="en-US" w:eastAsia="zh-CN"/>
              </w:rPr>
              <w:t>颗粒物</w:t>
            </w:r>
          </w:p>
        </w:tc>
        <w:tc>
          <w:tcPr>
            <w:tcW w:w="606"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eastAsia="宋体"/>
                <w:color w:val="auto"/>
                <w:highlight w:val="none"/>
                <w:vertAlign w:val="baseline"/>
                <w:lang w:val="en-US" w:eastAsia="zh-CN"/>
              </w:rPr>
            </w:pPr>
            <w:r>
              <w:rPr>
                <w:rFonts w:hint="eastAsia"/>
                <w:color w:val="auto"/>
                <w:highlight w:val="none"/>
                <w:vertAlign w:val="baseline"/>
                <w:lang w:val="en-US" w:eastAsia="zh-CN"/>
              </w:rPr>
              <w:t>0.012</w:t>
            </w:r>
          </w:p>
        </w:tc>
        <w:tc>
          <w:tcPr>
            <w:tcW w:w="602"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color w:val="auto"/>
                <w:highlight w:val="none"/>
                <w:vertAlign w:val="baseline"/>
              </w:rPr>
            </w:pPr>
            <w:r>
              <w:rPr>
                <w:rFonts w:hint="eastAsia"/>
                <w:color w:val="auto"/>
                <w:highlight w:val="none"/>
                <w:vertAlign w:val="baseline"/>
                <w:lang w:val="en-US" w:eastAsia="zh-CN"/>
              </w:rPr>
              <w:t>0.012</w:t>
            </w:r>
          </w:p>
        </w:tc>
        <w:tc>
          <w:tcPr>
            <w:tcW w:w="637"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default" w:eastAsia="宋体"/>
                <w:color w:val="auto"/>
                <w:highlight w:val="none"/>
                <w:vertAlign w:val="baseline"/>
                <w:lang w:val="en-US" w:eastAsia="zh-CN"/>
              </w:rPr>
            </w:pPr>
            <w:r>
              <w:rPr>
                <w:rFonts w:hint="eastAsia"/>
                <w:color w:val="auto"/>
                <w:highlight w:val="none"/>
                <w:vertAlign w:val="baseline"/>
                <w:lang w:val="en-US" w:eastAsia="zh-CN"/>
              </w:rPr>
              <w:t>0.0051</w:t>
            </w:r>
          </w:p>
        </w:tc>
        <w:tc>
          <w:tcPr>
            <w:tcW w:w="542" w:type="pct"/>
            <w:vMerge w:val="restar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eastAsia="宋体"/>
                <w:color w:val="auto"/>
                <w:highlight w:val="none"/>
                <w:vertAlign w:val="baseline"/>
                <w:lang w:val="en-US" w:eastAsia="zh-CN"/>
              </w:rPr>
            </w:pPr>
            <w:r>
              <w:rPr>
                <w:rFonts w:hint="eastAsia"/>
                <w:color w:val="auto"/>
                <w:highlight w:val="none"/>
                <w:vertAlign w:val="baseline"/>
                <w:lang w:val="en-US" w:eastAsia="zh-CN"/>
              </w:rPr>
              <w:t>1584</w:t>
            </w:r>
          </w:p>
        </w:tc>
        <w:tc>
          <w:tcPr>
            <w:tcW w:w="814"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color w:val="auto"/>
                <w:highlight w:val="none"/>
                <w:vertAlign w:val="baseline"/>
              </w:rPr>
            </w:pPr>
            <w:r>
              <w:rPr>
                <w:rFonts w:hint="eastAsia"/>
                <w:color w:val="auto"/>
                <w:highlight w:val="none"/>
                <w:vertAlign w:val="baseline"/>
                <w:lang w:val="en-US" w:eastAsia="zh-CN"/>
              </w:rPr>
              <w:t>5.55</w:t>
            </w:r>
          </w:p>
        </w:tc>
        <w:tc>
          <w:tcPr>
            <w:tcW w:w="632"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eastAsia="宋体"/>
                <w:color w:val="auto"/>
                <w:highlight w:val="none"/>
                <w:vertAlign w:val="baseline"/>
                <w:lang w:val="en-US" w:eastAsia="zh-CN"/>
              </w:rPr>
            </w:pPr>
            <w:r>
              <w:rPr>
                <w:rFonts w:hint="eastAsia"/>
                <w:color w:val="auto"/>
                <w:highlight w:val="none"/>
                <w:vertAlign w:val="baseline"/>
                <w:lang w:val="en-US" w:eastAsia="zh-CN"/>
              </w:rPr>
              <w:t>0</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557" w:type="pct"/>
            <w:vMerge w:val="continue"/>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color w:val="auto"/>
                <w:szCs w:val="21"/>
                <w:highlight w:val="none"/>
              </w:rPr>
            </w:pPr>
          </w:p>
        </w:tc>
        <w:tc>
          <w:tcPr>
            <w:tcW w:w="606"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color w:val="auto"/>
                <w:highlight w:val="none"/>
                <w:vertAlign w:val="baseline"/>
              </w:rPr>
            </w:pPr>
            <w:r>
              <w:rPr>
                <w:rFonts w:hint="default" w:ascii="Times New Roman" w:hAnsi="Times New Roman" w:cs="Times New Roman"/>
                <w:color w:val="auto"/>
                <w:sz w:val="21"/>
                <w:szCs w:val="21"/>
                <w:highlight w:val="none"/>
              </w:rPr>
              <w:t>NO</w:t>
            </w:r>
            <w:r>
              <w:rPr>
                <w:rFonts w:hint="default" w:ascii="Times New Roman" w:hAnsi="Times New Roman" w:cs="Times New Roman"/>
                <w:color w:val="auto"/>
                <w:sz w:val="21"/>
                <w:szCs w:val="21"/>
                <w:highlight w:val="none"/>
                <w:vertAlign w:val="subscript"/>
              </w:rPr>
              <w:t>x</w:t>
            </w:r>
          </w:p>
        </w:tc>
        <w:tc>
          <w:tcPr>
            <w:tcW w:w="606"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default" w:eastAsia="宋体"/>
                <w:color w:val="auto"/>
                <w:highlight w:val="none"/>
                <w:vertAlign w:val="baseline"/>
                <w:lang w:val="en-US" w:eastAsia="zh-CN"/>
              </w:rPr>
            </w:pPr>
            <w:r>
              <w:rPr>
                <w:rFonts w:hint="eastAsia"/>
                <w:color w:val="auto"/>
                <w:highlight w:val="none"/>
                <w:vertAlign w:val="baseline"/>
                <w:lang w:val="en-US" w:eastAsia="zh-CN"/>
              </w:rPr>
              <w:t>0.185</w:t>
            </w:r>
          </w:p>
        </w:tc>
        <w:tc>
          <w:tcPr>
            <w:tcW w:w="602"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color w:val="auto"/>
                <w:highlight w:val="none"/>
                <w:vertAlign w:val="baseline"/>
              </w:rPr>
            </w:pPr>
            <w:r>
              <w:rPr>
                <w:rFonts w:hint="eastAsia"/>
                <w:color w:val="auto"/>
                <w:highlight w:val="none"/>
                <w:vertAlign w:val="baseline"/>
                <w:lang w:val="en-US" w:eastAsia="zh-CN"/>
              </w:rPr>
              <w:t>0.185</w:t>
            </w:r>
          </w:p>
        </w:tc>
        <w:tc>
          <w:tcPr>
            <w:tcW w:w="637"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default" w:eastAsia="宋体"/>
                <w:color w:val="auto"/>
                <w:highlight w:val="none"/>
                <w:vertAlign w:val="baseline"/>
                <w:lang w:val="en-US" w:eastAsia="zh-CN"/>
              </w:rPr>
            </w:pPr>
            <w:r>
              <w:rPr>
                <w:rFonts w:hint="eastAsia"/>
                <w:color w:val="auto"/>
                <w:highlight w:val="none"/>
                <w:vertAlign w:val="baseline"/>
                <w:lang w:val="en-US" w:eastAsia="zh-CN"/>
              </w:rPr>
              <w:t>0.077</w:t>
            </w:r>
          </w:p>
        </w:tc>
        <w:tc>
          <w:tcPr>
            <w:tcW w:w="542" w:type="pct"/>
            <w:vMerge w:val="continue"/>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color w:val="auto"/>
                <w:highlight w:val="none"/>
                <w:vertAlign w:val="baseline"/>
              </w:rPr>
            </w:pPr>
          </w:p>
        </w:tc>
        <w:tc>
          <w:tcPr>
            <w:tcW w:w="814"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color w:val="auto"/>
                <w:highlight w:val="none"/>
                <w:vertAlign w:val="baseline"/>
              </w:rPr>
            </w:pPr>
            <w:r>
              <w:rPr>
                <w:rFonts w:hint="eastAsia"/>
                <w:color w:val="auto"/>
                <w:highlight w:val="none"/>
                <w:vertAlign w:val="baseline"/>
                <w:lang w:val="en-US" w:eastAsia="zh-CN"/>
              </w:rPr>
              <w:t>72.8</w:t>
            </w:r>
          </w:p>
        </w:tc>
        <w:tc>
          <w:tcPr>
            <w:tcW w:w="632"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eastAsia="宋体"/>
                <w:color w:val="auto"/>
                <w:highlight w:val="none"/>
                <w:vertAlign w:val="baseline"/>
                <w:lang w:val="en-US" w:eastAsia="zh-CN"/>
              </w:rPr>
            </w:pPr>
            <w:r>
              <w:rPr>
                <w:rFonts w:hint="eastAsia"/>
                <w:color w:val="auto"/>
                <w:highlight w:val="none"/>
                <w:vertAlign w:val="baseline"/>
                <w:lang w:val="en-US" w:eastAsia="zh-CN"/>
              </w:rPr>
              <w:t>0</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557" w:type="pct"/>
            <w:vMerge w:val="continue"/>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color w:val="auto"/>
                <w:szCs w:val="21"/>
                <w:highlight w:val="none"/>
              </w:rPr>
            </w:pPr>
          </w:p>
        </w:tc>
        <w:tc>
          <w:tcPr>
            <w:tcW w:w="606"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color w:val="auto"/>
                <w:highlight w:val="none"/>
                <w:vertAlign w:val="baseline"/>
              </w:rPr>
            </w:pPr>
            <w:r>
              <w:rPr>
                <w:rFonts w:hint="eastAsia" w:ascii="Times New Roman" w:hAnsi="Times New Roman" w:cs="Times New Roman"/>
                <w:color w:val="auto"/>
                <w:sz w:val="21"/>
                <w:szCs w:val="21"/>
                <w:highlight w:val="none"/>
                <w:lang w:val="en-US" w:eastAsia="zh-CN"/>
              </w:rPr>
              <w:t>SO</w:t>
            </w:r>
            <w:r>
              <w:rPr>
                <w:rFonts w:hint="eastAsia" w:ascii="Times New Roman" w:hAnsi="Times New Roman" w:cs="Times New Roman"/>
                <w:color w:val="auto"/>
                <w:sz w:val="21"/>
                <w:szCs w:val="21"/>
                <w:highlight w:val="none"/>
                <w:vertAlign w:val="subscript"/>
                <w:lang w:val="en-US" w:eastAsia="zh-CN"/>
              </w:rPr>
              <w:t>2</w:t>
            </w:r>
          </w:p>
        </w:tc>
        <w:tc>
          <w:tcPr>
            <w:tcW w:w="606"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default" w:eastAsia="宋体"/>
                <w:color w:val="auto"/>
                <w:highlight w:val="none"/>
                <w:vertAlign w:val="baseline"/>
                <w:lang w:val="en-US" w:eastAsia="zh-CN"/>
              </w:rPr>
            </w:pPr>
            <w:r>
              <w:rPr>
                <w:rFonts w:hint="eastAsia"/>
                <w:color w:val="auto"/>
                <w:highlight w:val="none"/>
                <w:vertAlign w:val="baseline"/>
                <w:lang w:val="en-US" w:eastAsia="zh-CN"/>
              </w:rPr>
              <w:t>0.031</w:t>
            </w:r>
          </w:p>
        </w:tc>
        <w:tc>
          <w:tcPr>
            <w:tcW w:w="602"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color w:val="auto"/>
                <w:highlight w:val="none"/>
                <w:vertAlign w:val="baseline"/>
              </w:rPr>
            </w:pPr>
            <w:r>
              <w:rPr>
                <w:rFonts w:hint="eastAsia"/>
                <w:color w:val="auto"/>
                <w:highlight w:val="none"/>
                <w:vertAlign w:val="baseline"/>
                <w:lang w:val="en-US" w:eastAsia="zh-CN"/>
              </w:rPr>
              <w:t>0.031</w:t>
            </w:r>
          </w:p>
        </w:tc>
        <w:tc>
          <w:tcPr>
            <w:tcW w:w="637"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eastAsia="宋体"/>
                <w:color w:val="auto"/>
                <w:highlight w:val="none"/>
                <w:vertAlign w:val="baseline"/>
                <w:lang w:val="en-US" w:eastAsia="zh-CN"/>
              </w:rPr>
            </w:pPr>
            <w:r>
              <w:rPr>
                <w:rFonts w:hint="eastAsia"/>
                <w:color w:val="auto"/>
                <w:highlight w:val="none"/>
                <w:vertAlign w:val="baseline"/>
                <w:lang w:val="en-US" w:eastAsia="zh-CN"/>
              </w:rPr>
              <w:t>0.013</w:t>
            </w:r>
          </w:p>
        </w:tc>
        <w:tc>
          <w:tcPr>
            <w:tcW w:w="542" w:type="pct"/>
            <w:vMerge w:val="continue"/>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color w:val="auto"/>
                <w:highlight w:val="none"/>
                <w:vertAlign w:val="baseline"/>
              </w:rPr>
            </w:pPr>
          </w:p>
        </w:tc>
        <w:tc>
          <w:tcPr>
            <w:tcW w:w="814"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color w:val="auto"/>
                <w:highlight w:val="none"/>
                <w:vertAlign w:val="baseline"/>
              </w:rPr>
            </w:pPr>
            <w:r>
              <w:rPr>
                <w:rFonts w:hint="eastAsia"/>
                <w:color w:val="auto"/>
                <w:highlight w:val="none"/>
                <w:vertAlign w:val="baseline"/>
                <w:lang w:val="en-US" w:eastAsia="zh-CN"/>
              </w:rPr>
              <w:t>15</w:t>
            </w:r>
          </w:p>
        </w:tc>
        <w:tc>
          <w:tcPr>
            <w:tcW w:w="632"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eastAsia="宋体"/>
                <w:color w:val="auto"/>
                <w:highlight w:val="none"/>
                <w:vertAlign w:val="baseline"/>
                <w:lang w:val="en-US" w:eastAsia="zh-CN"/>
              </w:rPr>
            </w:pPr>
            <w:r>
              <w:rPr>
                <w:rFonts w:hint="eastAsia"/>
                <w:color w:val="auto"/>
                <w:highlight w:val="none"/>
                <w:vertAlign w:val="baseline"/>
                <w:lang w:val="en-US" w:eastAsia="zh-CN"/>
              </w:rPr>
              <w:t>0</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557" w:type="pct"/>
            <w:vMerge w:val="restar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eastAsia="宋体"/>
                <w:color w:val="auto"/>
                <w:highlight w:val="none"/>
                <w:vertAlign w:val="baseline"/>
                <w:lang w:eastAsia="zh-CN"/>
              </w:rPr>
            </w:pPr>
            <w:r>
              <w:rPr>
                <w:color w:val="auto"/>
                <w:szCs w:val="21"/>
                <w:highlight w:val="none"/>
              </w:rPr>
              <w:t>P</w:t>
            </w:r>
            <w:r>
              <w:rPr>
                <w:rFonts w:hint="eastAsia"/>
                <w:color w:val="auto"/>
                <w:szCs w:val="21"/>
                <w:highlight w:val="none"/>
                <w:lang w:val="en-US" w:eastAsia="zh-CN"/>
              </w:rPr>
              <w:t>4-2</w:t>
            </w:r>
          </w:p>
        </w:tc>
        <w:tc>
          <w:tcPr>
            <w:tcW w:w="606"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color w:val="auto"/>
                <w:highlight w:val="none"/>
                <w:vertAlign w:val="baseline"/>
              </w:rPr>
            </w:pPr>
            <w:r>
              <w:rPr>
                <w:rFonts w:hint="eastAsia"/>
                <w:color w:val="auto"/>
                <w:highlight w:val="none"/>
                <w:vertAlign w:val="baseline"/>
                <w:lang w:val="en-US" w:eastAsia="zh-CN"/>
              </w:rPr>
              <w:t>HCl</w:t>
            </w:r>
          </w:p>
        </w:tc>
        <w:tc>
          <w:tcPr>
            <w:tcW w:w="606"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eastAsia="宋体"/>
                <w:color w:val="auto"/>
                <w:highlight w:val="none"/>
                <w:vertAlign w:val="baseline"/>
                <w:lang w:val="en-US" w:eastAsia="zh-CN"/>
              </w:rPr>
            </w:pPr>
            <w:r>
              <w:rPr>
                <w:rFonts w:hint="eastAsia"/>
                <w:color w:val="auto"/>
                <w:highlight w:val="none"/>
                <w:vertAlign w:val="baseline"/>
                <w:lang w:val="en-US" w:eastAsia="zh-CN"/>
              </w:rPr>
              <w:t>0.134</w:t>
            </w:r>
          </w:p>
        </w:tc>
        <w:tc>
          <w:tcPr>
            <w:tcW w:w="602"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eastAsia="宋体"/>
                <w:color w:val="auto"/>
                <w:highlight w:val="none"/>
                <w:vertAlign w:val="baseline"/>
                <w:lang w:val="en-US" w:eastAsia="zh-CN"/>
              </w:rPr>
            </w:pPr>
            <w:r>
              <w:rPr>
                <w:rFonts w:hint="eastAsia"/>
                <w:color w:val="auto"/>
                <w:highlight w:val="none"/>
                <w:vertAlign w:val="baseline"/>
                <w:lang w:val="en-US" w:eastAsia="zh-CN"/>
              </w:rPr>
              <w:t>0.013</w:t>
            </w:r>
          </w:p>
        </w:tc>
        <w:tc>
          <w:tcPr>
            <w:tcW w:w="637"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eastAsia="宋体"/>
                <w:color w:val="auto"/>
                <w:highlight w:val="none"/>
                <w:vertAlign w:val="baseline"/>
                <w:lang w:val="en-US" w:eastAsia="zh-CN"/>
              </w:rPr>
            </w:pPr>
            <w:r>
              <w:rPr>
                <w:rFonts w:hint="eastAsia"/>
                <w:color w:val="auto"/>
                <w:highlight w:val="none"/>
                <w:vertAlign w:val="baseline"/>
                <w:lang w:val="en-US" w:eastAsia="zh-CN"/>
              </w:rPr>
              <w:t>0.056</w:t>
            </w:r>
          </w:p>
        </w:tc>
        <w:tc>
          <w:tcPr>
            <w:tcW w:w="542" w:type="pct"/>
            <w:vMerge w:val="restar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eastAsia="宋体"/>
                <w:color w:val="auto"/>
                <w:highlight w:val="none"/>
                <w:vertAlign w:val="baseline"/>
                <w:lang w:val="en-US" w:eastAsia="zh-CN"/>
              </w:rPr>
            </w:pPr>
            <w:r>
              <w:rPr>
                <w:rFonts w:hint="eastAsia"/>
                <w:color w:val="auto"/>
                <w:highlight w:val="none"/>
                <w:vertAlign w:val="baseline"/>
                <w:lang w:val="en-US" w:eastAsia="zh-CN"/>
              </w:rPr>
              <w:t>10486</w:t>
            </w:r>
          </w:p>
        </w:tc>
        <w:tc>
          <w:tcPr>
            <w:tcW w:w="814"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eastAsia="宋体"/>
                <w:color w:val="auto"/>
                <w:highlight w:val="none"/>
                <w:vertAlign w:val="baseline"/>
                <w:lang w:val="en-US" w:eastAsia="zh-CN"/>
              </w:rPr>
            </w:pPr>
            <w:r>
              <w:rPr>
                <w:rFonts w:hint="eastAsia"/>
                <w:color w:val="auto"/>
                <w:highlight w:val="none"/>
                <w:vertAlign w:val="baseline"/>
                <w:lang w:val="en-US" w:eastAsia="zh-CN"/>
              </w:rPr>
              <w:t>0.697</w:t>
            </w:r>
          </w:p>
        </w:tc>
        <w:tc>
          <w:tcPr>
            <w:tcW w:w="632"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default" w:eastAsia="宋体"/>
                <w:color w:val="auto"/>
                <w:highlight w:val="none"/>
                <w:vertAlign w:val="baseline"/>
                <w:lang w:val="en-US" w:eastAsia="zh-CN"/>
              </w:rPr>
            </w:pPr>
            <w:r>
              <w:rPr>
                <w:rFonts w:hint="eastAsia"/>
                <w:color w:val="auto"/>
                <w:highlight w:val="none"/>
                <w:vertAlign w:val="baseline"/>
                <w:lang w:val="en-US" w:eastAsia="zh-CN"/>
              </w:rPr>
              <w:t>0.0139</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557" w:type="pct"/>
            <w:vMerge w:val="continue"/>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color w:val="auto"/>
                <w:szCs w:val="21"/>
                <w:highlight w:val="none"/>
              </w:rPr>
            </w:pPr>
          </w:p>
        </w:tc>
        <w:tc>
          <w:tcPr>
            <w:tcW w:w="606"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color w:val="auto"/>
                <w:highlight w:val="none"/>
                <w:vertAlign w:val="baseline"/>
              </w:rPr>
            </w:pPr>
            <w:r>
              <w:rPr>
                <w:rFonts w:hint="eastAsia"/>
                <w:color w:val="auto"/>
                <w:highlight w:val="none"/>
                <w:lang w:eastAsia="zh-CN"/>
              </w:rPr>
              <w:t>硫酸雾</w:t>
            </w:r>
          </w:p>
        </w:tc>
        <w:tc>
          <w:tcPr>
            <w:tcW w:w="606"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default" w:eastAsia="宋体"/>
                <w:color w:val="auto"/>
                <w:highlight w:val="none"/>
                <w:vertAlign w:val="baseline"/>
                <w:lang w:val="en-US" w:eastAsia="zh-CN"/>
              </w:rPr>
            </w:pPr>
            <w:r>
              <w:rPr>
                <w:rFonts w:hint="eastAsia"/>
                <w:color w:val="auto"/>
                <w:highlight w:val="none"/>
                <w:vertAlign w:val="baseline"/>
                <w:lang w:val="en-US" w:eastAsia="zh-CN"/>
              </w:rPr>
              <w:t>0.038</w:t>
            </w:r>
          </w:p>
        </w:tc>
        <w:tc>
          <w:tcPr>
            <w:tcW w:w="602"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eastAsia="宋体"/>
                <w:color w:val="auto"/>
                <w:highlight w:val="none"/>
                <w:vertAlign w:val="baseline"/>
                <w:lang w:val="en-US" w:eastAsia="zh-CN"/>
              </w:rPr>
            </w:pPr>
            <w:r>
              <w:rPr>
                <w:rFonts w:hint="eastAsia"/>
                <w:color w:val="auto"/>
                <w:highlight w:val="none"/>
                <w:vertAlign w:val="baseline"/>
                <w:lang w:val="en-US" w:eastAsia="zh-CN"/>
              </w:rPr>
              <w:t>0.004</w:t>
            </w:r>
          </w:p>
        </w:tc>
        <w:tc>
          <w:tcPr>
            <w:tcW w:w="637"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eastAsia="宋体"/>
                <w:color w:val="auto"/>
                <w:highlight w:val="none"/>
                <w:vertAlign w:val="baseline"/>
                <w:lang w:val="en-US" w:eastAsia="zh-CN"/>
              </w:rPr>
            </w:pPr>
            <w:r>
              <w:rPr>
                <w:rFonts w:hint="eastAsia"/>
                <w:color w:val="auto"/>
                <w:highlight w:val="none"/>
                <w:vertAlign w:val="baseline"/>
                <w:lang w:val="en-US" w:eastAsia="zh-CN"/>
              </w:rPr>
              <w:t>0.016</w:t>
            </w:r>
          </w:p>
        </w:tc>
        <w:tc>
          <w:tcPr>
            <w:tcW w:w="542" w:type="pct"/>
            <w:vMerge w:val="continue"/>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color w:val="auto"/>
                <w:highlight w:val="none"/>
                <w:vertAlign w:val="baseline"/>
              </w:rPr>
            </w:pPr>
          </w:p>
        </w:tc>
        <w:tc>
          <w:tcPr>
            <w:tcW w:w="814"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eastAsia="宋体"/>
                <w:color w:val="auto"/>
                <w:highlight w:val="none"/>
                <w:vertAlign w:val="baseline"/>
                <w:lang w:val="en-US" w:eastAsia="zh-CN"/>
              </w:rPr>
            </w:pPr>
            <w:r>
              <w:rPr>
                <w:rFonts w:hint="eastAsia"/>
                <w:color w:val="auto"/>
                <w:highlight w:val="none"/>
                <w:vertAlign w:val="baseline"/>
                <w:lang w:val="en-US" w:eastAsia="zh-CN"/>
              </w:rPr>
              <w:t>＜0.2</w:t>
            </w:r>
          </w:p>
        </w:tc>
        <w:tc>
          <w:tcPr>
            <w:tcW w:w="632"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default" w:eastAsia="宋体"/>
                <w:color w:val="auto"/>
                <w:highlight w:val="none"/>
                <w:vertAlign w:val="baseline"/>
                <w:lang w:val="en-US" w:eastAsia="zh-CN"/>
              </w:rPr>
            </w:pPr>
            <w:r>
              <w:rPr>
                <w:rFonts w:hint="eastAsia"/>
                <w:color w:val="auto"/>
                <w:highlight w:val="none"/>
                <w:vertAlign w:val="baseline"/>
                <w:lang w:val="en-US" w:eastAsia="zh-CN"/>
              </w:rPr>
              <w:t>0.0043</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557" w:type="pct"/>
            <w:vMerge w:val="restar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eastAsia="宋体"/>
                <w:color w:val="auto"/>
                <w:szCs w:val="21"/>
                <w:highlight w:val="none"/>
                <w:lang w:val="en-US" w:eastAsia="zh-CN"/>
              </w:rPr>
            </w:pPr>
            <w:r>
              <w:rPr>
                <w:rFonts w:hint="eastAsia"/>
                <w:color w:val="auto"/>
                <w:szCs w:val="21"/>
                <w:highlight w:val="none"/>
                <w:lang w:val="en-US" w:eastAsia="zh-CN"/>
              </w:rPr>
              <w:t>P5</w:t>
            </w:r>
          </w:p>
        </w:tc>
        <w:tc>
          <w:tcPr>
            <w:tcW w:w="606"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color w:val="auto"/>
                <w:highlight w:val="none"/>
                <w:vertAlign w:val="baseline"/>
              </w:rPr>
            </w:pPr>
            <w:r>
              <w:rPr>
                <w:rFonts w:hint="eastAsia"/>
                <w:color w:val="auto"/>
                <w:highlight w:val="none"/>
                <w:vertAlign w:val="baseline"/>
                <w:lang w:val="en-US" w:eastAsia="zh-CN"/>
              </w:rPr>
              <w:t>HCl</w:t>
            </w:r>
          </w:p>
        </w:tc>
        <w:tc>
          <w:tcPr>
            <w:tcW w:w="606"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default" w:eastAsia="宋体"/>
                <w:color w:val="auto"/>
                <w:highlight w:val="none"/>
                <w:vertAlign w:val="baseline"/>
                <w:lang w:val="en-US" w:eastAsia="zh-CN"/>
              </w:rPr>
            </w:pPr>
            <w:r>
              <w:rPr>
                <w:rFonts w:hint="eastAsia"/>
                <w:color w:val="auto"/>
                <w:highlight w:val="none"/>
                <w:vertAlign w:val="baseline"/>
                <w:lang w:val="en-US" w:eastAsia="zh-CN"/>
              </w:rPr>
              <w:t>0.018</w:t>
            </w:r>
          </w:p>
        </w:tc>
        <w:tc>
          <w:tcPr>
            <w:tcW w:w="602"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eastAsia="宋体"/>
                <w:color w:val="auto"/>
                <w:highlight w:val="none"/>
                <w:vertAlign w:val="baseline"/>
                <w:lang w:val="en-US" w:eastAsia="zh-CN"/>
              </w:rPr>
            </w:pPr>
            <w:r>
              <w:rPr>
                <w:rFonts w:hint="eastAsia"/>
                <w:color w:val="auto"/>
                <w:highlight w:val="none"/>
                <w:vertAlign w:val="baseline"/>
                <w:lang w:val="en-US" w:eastAsia="zh-CN"/>
              </w:rPr>
              <w:t>0.002</w:t>
            </w:r>
          </w:p>
        </w:tc>
        <w:tc>
          <w:tcPr>
            <w:tcW w:w="637"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default" w:eastAsia="宋体"/>
                <w:color w:val="auto"/>
                <w:highlight w:val="none"/>
                <w:vertAlign w:val="baseline"/>
                <w:lang w:val="en-US" w:eastAsia="zh-CN"/>
              </w:rPr>
            </w:pPr>
            <w:r>
              <w:rPr>
                <w:rFonts w:hint="eastAsia"/>
                <w:color w:val="auto"/>
                <w:highlight w:val="none"/>
                <w:vertAlign w:val="baseline"/>
                <w:lang w:val="en-US" w:eastAsia="zh-CN"/>
              </w:rPr>
              <w:t>0.0091</w:t>
            </w:r>
          </w:p>
        </w:tc>
        <w:tc>
          <w:tcPr>
            <w:tcW w:w="542" w:type="pct"/>
            <w:vMerge w:val="restar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eastAsia="宋体"/>
                <w:color w:val="auto"/>
                <w:highlight w:val="none"/>
                <w:vertAlign w:val="baseline"/>
                <w:lang w:val="en-US" w:eastAsia="zh-CN"/>
              </w:rPr>
            </w:pPr>
            <w:r>
              <w:rPr>
                <w:rFonts w:hint="eastAsia"/>
                <w:color w:val="auto"/>
                <w:highlight w:val="none"/>
                <w:vertAlign w:val="baseline"/>
                <w:lang w:val="en-US" w:eastAsia="zh-CN"/>
              </w:rPr>
              <w:t>9981</w:t>
            </w:r>
          </w:p>
        </w:tc>
        <w:tc>
          <w:tcPr>
            <w:tcW w:w="814"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color w:val="auto"/>
                <w:highlight w:val="none"/>
                <w:vertAlign w:val="baseline"/>
              </w:rPr>
            </w:pPr>
            <w:r>
              <w:rPr>
                <w:rFonts w:hint="eastAsia"/>
                <w:color w:val="auto"/>
                <w:highlight w:val="none"/>
                <w:vertAlign w:val="baseline"/>
                <w:lang w:val="en-US" w:eastAsia="zh-CN"/>
              </w:rPr>
              <w:t>＜0.2</w:t>
            </w:r>
          </w:p>
        </w:tc>
        <w:tc>
          <w:tcPr>
            <w:tcW w:w="632"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default" w:eastAsia="宋体"/>
                <w:color w:val="auto"/>
                <w:highlight w:val="none"/>
                <w:vertAlign w:val="baseline"/>
                <w:lang w:val="en-US" w:eastAsia="zh-CN"/>
              </w:rPr>
            </w:pPr>
            <w:r>
              <w:rPr>
                <w:rFonts w:hint="eastAsia"/>
                <w:color w:val="auto"/>
                <w:highlight w:val="none"/>
                <w:vertAlign w:val="baseline"/>
                <w:lang w:val="en-US" w:eastAsia="zh-CN"/>
              </w:rPr>
              <w:t>0.0024</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557" w:type="pct"/>
            <w:vMerge w:val="continue"/>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color w:val="auto"/>
                <w:szCs w:val="21"/>
                <w:highlight w:val="none"/>
              </w:rPr>
            </w:pPr>
          </w:p>
        </w:tc>
        <w:tc>
          <w:tcPr>
            <w:tcW w:w="606"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color w:val="auto"/>
                <w:highlight w:val="none"/>
                <w:vertAlign w:val="baseline"/>
              </w:rPr>
            </w:pPr>
            <w:r>
              <w:rPr>
                <w:rFonts w:hint="eastAsia"/>
                <w:color w:val="auto"/>
                <w:highlight w:val="none"/>
                <w:lang w:val="en-US" w:eastAsia="zh-CN"/>
              </w:rPr>
              <w:t>铬</w:t>
            </w:r>
            <w:r>
              <w:rPr>
                <w:rFonts w:hint="eastAsia"/>
                <w:color w:val="auto"/>
                <w:highlight w:val="none"/>
                <w:lang w:eastAsia="zh-CN"/>
              </w:rPr>
              <w:t>酸雾</w:t>
            </w:r>
          </w:p>
        </w:tc>
        <w:tc>
          <w:tcPr>
            <w:tcW w:w="606"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eastAsia="宋体"/>
                <w:color w:val="auto"/>
                <w:highlight w:val="none"/>
                <w:vertAlign w:val="baseline"/>
                <w:lang w:val="en-US" w:eastAsia="zh-CN"/>
              </w:rPr>
            </w:pPr>
            <w:r>
              <w:rPr>
                <w:rFonts w:hint="eastAsia"/>
                <w:color w:val="auto"/>
                <w:highlight w:val="none"/>
                <w:vertAlign w:val="baseline"/>
                <w:lang w:val="en-US" w:eastAsia="zh-CN"/>
              </w:rPr>
              <w:t>0.0036</w:t>
            </w:r>
          </w:p>
        </w:tc>
        <w:tc>
          <w:tcPr>
            <w:tcW w:w="602"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eastAsia="宋体"/>
                <w:color w:val="auto"/>
                <w:highlight w:val="none"/>
                <w:vertAlign w:val="baseline"/>
                <w:lang w:val="en-US" w:eastAsia="zh-CN"/>
              </w:rPr>
            </w:pPr>
            <w:r>
              <w:rPr>
                <w:rFonts w:hint="eastAsia"/>
                <w:color w:val="auto"/>
                <w:highlight w:val="none"/>
                <w:vertAlign w:val="baseline"/>
                <w:lang w:val="en-US" w:eastAsia="zh-CN"/>
              </w:rPr>
              <w:t>0.0004</w:t>
            </w:r>
          </w:p>
        </w:tc>
        <w:tc>
          <w:tcPr>
            <w:tcW w:w="637"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eastAsia="宋体"/>
                <w:color w:val="auto"/>
                <w:highlight w:val="none"/>
                <w:vertAlign w:val="baseline"/>
                <w:lang w:val="en-US" w:eastAsia="zh-CN"/>
              </w:rPr>
            </w:pPr>
            <w:r>
              <w:rPr>
                <w:rFonts w:hint="eastAsia"/>
                <w:color w:val="auto"/>
                <w:highlight w:val="none"/>
                <w:vertAlign w:val="baseline"/>
                <w:lang w:val="en-US" w:eastAsia="zh-CN"/>
              </w:rPr>
              <w:t>0.0015</w:t>
            </w:r>
          </w:p>
        </w:tc>
        <w:tc>
          <w:tcPr>
            <w:tcW w:w="542" w:type="pct"/>
            <w:vMerge w:val="continue"/>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color w:val="auto"/>
                <w:highlight w:val="none"/>
                <w:vertAlign w:val="baseline"/>
              </w:rPr>
            </w:pPr>
          </w:p>
        </w:tc>
        <w:tc>
          <w:tcPr>
            <w:tcW w:w="814"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color w:val="auto"/>
                <w:highlight w:val="none"/>
                <w:vertAlign w:val="baseline"/>
              </w:rPr>
            </w:pPr>
            <w:r>
              <w:rPr>
                <w:rFonts w:hint="eastAsia"/>
                <w:color w:val="auto"/>
                <w:highlight w:val="none"/>
                <w:vertAlign w:val="baseline"/>
                <w:lang w:val="en-US" w:eastAsia="zh-CN"/>
              </w:rPr>
              <w:t>＜0.005</w:t>
            </w:r>
          </w:p>
        </w:tc>
        <w:tc>
          <w:tcPr>
            <w:tcW w:w="632"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default" w:eastAsia="宋体"/>
                <w:color w:val="auto"/>
                <w:highlight w:val="none"/>
                <w:vertAlign w:val="baseline"/>
                <w:lang w:val="en-US" w:eastAsia="zh-CN"/>
              </w:rPr>
            </w:pPr>
            <w:r>
              <w:rPr>
                <w:rFonts w:hint="eastAsia"/>
                <w:color w:val="auto"/>
                <w:highlight w:val="none"/>
                <w:vertAlign w:val="baseline"/>
                <w:lang w:val="en-US" w:eastAsia="zh-CN"/>
              </w:rPr>
              <w:t>0.00039</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9" w:hRule="atLeast"/>
        </w:trPr>
        <w:tc>
          <w:tcPr>
            <w:tcW w:w="557" w:type="pct"/>
            <w:vMerge w:val="continue"/>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color w:val="auto"/>
                <w:szCs w:val="21"/>
                <w:highlight w:val="none"/>
              </w:rPr>
            </w:pPr>
          </w:p>
        </w:tc>
        <w:tc>
          <w:tcPr>
            <w:tcW w:w="606"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eastAsia="宋体"/>
                <w:color w:val="auto"/>
                <w:highlight w:val="none"/>
                <w:vertAlign w:val="baseline"/>
                <w:lang w:val="en-US" w:eastAsia="zh-CN"/>
              </w:rPr>
            </w:pPr>
            <w:r>
              <w:rPr>
                <w:rFonts w:hint="eastAsia"/>
                <w:color w:val="auto"/>
                <w:highlight w:val="none"/>
                <w:vertAlign w:val="baseline"/>
                <w:lang w:val="en-US" w:eastAsia="zh-CN"/>
              </w:rPr>
              <w:t>氨</w:t>
            </w:r>
          </w:p>
        </w:tc>
        <w:tc>
          <w:tcPr>
            <w:tcW w:w="606"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default" w:eastAsia="宋体"/>
                <w:color w:val="auto"/>
                <w:highlight w:val="none"/>
                <w:vertAlign w:val="baseline"/>
                <w:lang w:val="en-US" w:eastAsia="zh-CN"/>
              </w:rPr>
            </w:pPr>
            <w:r>
              <w:rPr>
                <w:rFonts w:hint="eastAsia"/>
                <w:color w:val="auto"/>
                <w:highlight w:val="none"/>
                <w:vertAlign w:val="baseline"/>
                <w:lang w:val="en-US" w:eastAsia="zh-CN"/>
              </w:rPr>
              <w:t>0.035</w:t>
            </w:r>
          </w:p>
        </w:tc>
        <w:tc>
          <w:tcPr>
            <w:tcW w:w="602"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eastAsia="宋体"/>
                <w:color w:val="auto"/>
                <w:highlight w:val="none"/>
                <w:vertAlign w:val="baseline"/>
                <w:lang w:val="en-US" w:eastAsia="zh-CN"/>
              </w:rPr>
            </w:pPr>
            <w:r>
              <w:rPr>
                <w:rFonts w:hint="eastAsia"/>
                <w:color w:val="auto"/>
                <w:highlight w:val="none"/>
                <w:vertAlign w:val="baseline"/>
                <w:lang w:val="en-US" w:eastAsia="zh-CN"/>
              </w:rPr>
              <w:t>0.003</w:t>
            </w:r>
          </w:p>
        </w:tc>
        <w:tc>
          <w:tcPr>
            <w:tcW w:w="637"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default" w:eastAsia="宋体"/>
                <w:color w:val="auto"/>
                <w:highlight w:val="none"/>
                <w:vertAlign w:val="baseline"/>
                <w:lang w:val="en-US" w:eastAsia="zh-CN"/>
              </w:rPr>
            </w:pPr>
            <w:r>
              <w:rPr>
                <w:rFonts w:hint="eastAsia"/>
                <w:color w:val="auto"/>
                <w:highlight w:val="none"/>
                <w:vertAlign w:val="baseline"/>
                <w:lang w:val="en-US" w:eastAsia="zh-CN"/>
              </w:rPr>
              <w:t>0.0145</w:t>
            </w:r>
          </w:p>
        </w:tc>
        <w:tc>
          <w:tcPr>
            <w:tcW w:w="542" w:type="pct"/>
            <w:vMerge w:val="continue"/>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color w:val="auto"/>
                <w:highlight w:val="none"/>
                <w:vertAlign w:val="baseline"/>
              </w:rPr>
            </w:pPr>
          </w:p>
        </w:tc>
        <w:tc>
          <w:tcPr>
            <w:tcW w:w="814"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eastAsia="宋体"/>
                <w:color w:val="auto"/>
                <w:highlight w:val="none"/>
                <w:vertAlign w:val="baseline"/>
                <w:lang w:val="en-US" w:eastAsia="zh-CN"/>
              </w:rPr>
            </w:pPr>
            <w:r>
              <w:rPr>
                <w:rFonts w:hint="eastAsia"/>
                <w:color w:val="auto"/>
                <w:highlight w:val="none"/>
                <w:vertAlign w:val="baseline"/>
                <w:lang w:val="en-US" w:eastAsia="zh-CN"/>
              </w:rPr>
              <w:t>0.298</w:t>
            </w:r>
          </w:p>
        </w:tc>
        <w:tc>
          <w:tcPr>
            <w:tcW w:w="632"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default" w:eastAsia="宋体"/>
                <w:color w:val="auto"/>
                <w:highlight w:val="none"/>
                <w:vertAlign w:val="baseline"/>
                <w:lang w:val="en-US" w:eastAsia="zh-CN"/>
              </w:rPr>
            </w:pPr>
            <w:r>
              <w:rPr>
                <w:rFonts w:hint="eastAsia"/>
                <w:color w:val="auto"/>
                <w:highlight w:val="none"/>
                <w:vertAlign w:val="baseline"/>
                <w:lang w:val="en-US" w:eastAsia="zh-CN"/>
              </w:rPr>
              <w:t>0.0039</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557"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eastAsia="宋体"/>
                <w:color w:val="auto"/>
                <w:szCs w:val="21"/>
                <w:highlight w:val="none"/>
                <w:lang w:val="en-US" w:eastAsia="zh-CN"/>
              </w:rPr>
            </w:pPr>
            <w:r>
              <w:rPr>
                <w:rFonts w:hint="eastAsia"/>
                <w:color w:val="auto"/>
                <w:szCs w:val="21"/>
                <w:highlight w:val="none"/>
                <w:lang w:val="en-US" w:eastAsia="zh-CN"/>
              </w:rPr>
              <w:t>P6</w:t>
            </w:r>
          </w:p>
        </w:tc>
        <w:tc>
          <w:tcPr>
            <w:tcW w:w="606"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color w:val="auto"/>
                <w:highlight w:val="none"/>
                <w:vertAlign w:val="baseline"/>
                <w:lang w:val="en-US" w:eastAsia="zh-CN"/>
              </w:rPr>
            </w:pPr>
            <w:r>
              <w:rPr>
                <w:rFonts w:hint="eastAsia"/>
                <w:color w:val="auto"/>
                <w:highlight w:val="none"/>
                <w:vertAlign w:val="baseline"/>
                <w:lang w:val="en-US" w:eastAsia="zh-CN"/>
              </w:rPr>
              <w:t>HCl</w:t>
            </w:r>
          </w:p>
        </w:tc>
        <w:tc>
          <w:tcPr>
            <w:tcW w:w="606"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default" w:eastAsia="宋体"/>
                <w:color w:val="auto"/>
                <w:highlight w:val="none"/>
                <w:vertAlign w:val="baseline"/>
                <w:lang w:val="en-US" w:eastAsia="zh-CN"/>
              </w:rPr>
            </w:pPr>
            <w:r>
              <w:rPr>
                <w:rFonts w:hint="eastAsia"/>
                <w:color w:val="auto"/>
                <w:highlight w:val="none"/>
                <w:vertAlign w:val="baseline"/>
                <w:lang w:val="en-US" w:eastAsia="zh-CN"/>
              </w:rPr>
              <w:t>0.130</w:t>
            </w:r>
          </w:p>
        </w:tc>
        <w:tc>
          <w:tcPr>
            <w:tcW w:w="602"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eastAsia="宋体"/>
                <w:color w:val="auto"/>
                <w:highlight w:val="none"/>
                <w:vertAlign w:val="baseline"/>
                <w:lang w:val="en-US" w:eastAsia="zh-CN"/>
              </w:rPr>
            </w:pPr>
            <w:r>
              <w:rPr>
                <w:rFonts w:hint="eastAsia"/>
                <w:color w:val="auto"/>
                <w:highlight w:val="none"/>
                <w:vertAlign w:val="baseline"/>
                <w:lang w:val="en-US" w:eastAsia="zh-CN"/>
              </w:rPr>
              <w:t>0.013</w:t>
            </w:r>
          </w:p>
        </w:tc>
        <w:tc>
          <w:tcPr>
            <w:tcW w:w="637"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eastAsia="宋体"/>
                <w:color w:val="auto"/>
                <w:highlight w:val="none"/>
                <w:vertAlign w:val="baseline"/>
                <w:lang w:val="en-US" w:eastAsia="zh-CN"/>
              </w:rPr>
            </w:pPr>
            <w:r>
              <w:rPr>
                <w:rFonts w:hint="eastAsia"/>
                <w:color w:val="auto"/>
                <w:highlight w:val="none"/>
                <w:vertAlign w:val="baseline"/>
                <w:lang w:val="en-US" w:eastAsia="zh-CN"/>
              </w:rPr>
              <w:t>0.054</w:t>
            </w:r>
          </w:p>
        </w:tc>
        <w:tc>
          <w:tcPr>
            <w:tcW w:w="542"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eastAsia="宋体"/>
                <w:color w:val="auto"/>
                <w:highlight w:val="none"/>
                <w:vertAlign w:val="baseline"/>
                <w:lang w:val="en-US" w:eastAsia="zh-CN"/>
              </w:rPr>
            </w:pPr>
            <w:r>
              <w:rPr>
                <w:rFonts w:hint="eastAsia"/>
                <w:color w:val="auto"/>
                <w:highlight w:val="none"/>
                <w:vertAlign w:val="baseline"/>
                <w:lang w:val="en-US" w:eastAsia="zh-CN"/>
              </w:rPr>
              <w:t>9759</w:t>
            </w:r>
          </w:p>
        </w:tc>
        <w:tc>
          <w:tcPr>
            <w:tcW w:w="814"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eastAsia="宋体"/>
                <w:color w:val="auto"/>
                <w:highlight w:val="none"/>
                <w:vertAlign w:val="baseline"/>
                <w:lang w:val="en-US" w:eastAsia="zh-CN"/>
              </w:rPr>
            </w:pPr>
            <w:r>
              <w:rPr>
                <w:rFonts w:hint="eastAsia"/>
                <w:color w:val="auto"/>
                <w:highlight w:val="none"/>
                <w:vertAlign w:val="baseline"/>
                <w:lang w:val="en-US" w:eastAsia="zh-CN"/>
              </w:rPr>
              <w:t>0.731</w:t>
            </w:r>
          </w:p>
        </w:tc>
        <w:tc>
          <w:tcPr>
            <w:tcW w:w="632" w:type="pct"/>
            <w:tcBorders>
              <w:tl2br w:val="nil"/>
              <w:tr2bl w:val="nil"/>
            </w:tcBorders>
            <w:vAlign w:val="center"/>
          </w:tcPr>
          <w:p>
            <w:pPr>
              <w:pStyle w:val="35"/>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outlineLvl w:val="9"/>
              <w:rPr>
                <w:rFonts w:hint="eastAsia" w:eastAsia="宋体"/>
                <w:color w:val="auto"/>
                <w:highlight w:val="none"/>
                <w:vertAlign w:val="baseline"/>
                <w:lang w:val="en-US" w:eastAsia="zh-CN"/>
              </w:rPr>
            </w:pPr>
            <w:r>
              <w:rPr>
                <w:rFonts w:hint="eastAsia"/>
                <w:color w:val="auto"/>
                <w:highlight w:val="none"/>
                <w:vertAlign w:val="baseline"/>
                <w:lang w:val="en-US" w:eastAsia="zh-CN"/>
              </w:rPr>
              <w:t>0.015</w:t>
            </w:r>
          </w:p>
        </w:tc>
      </w:tr>
    </w:tbl>
    <w:p>
      <w:pPr>
        <w:spacing w:line="440" w:lineRule="exact"/>
        <w:ind w:firstLine="480" w:firstLineChars="200"/>
        <w:rPr>
          <w:rFonts w:hint="eastAsia"/>
          <w:color w:val="auto"/>
          <w:sz w:val="24"/>
          <w:highlight w:val="none"/>
        </w:rPr>
      </w:pPr>
      <w:r>
        <w:rPr>
          <w:rFonts w:hint="eastAsia"/>
          <w:color w:val="auto"/>
          <w:sz w:val="24"/>
          <w:highlight w:val="none"/>
        </w:rPr>
        <w:t>2、无组织排放废气</w:t>
      </w:r>
    </w:p>
    <w:p>
      <w:pPr>
        <w:spacing w:line="440" w:lineRule="exact"/>
        <w:ind w:firstLine="480" w:firstLineChars="200"/>
        <w:rPr>
          <w:snapToGrid w:val="0"/>
          <w:color w:val="auto"/>
          <w:kern w:val="0"/>
          <w:sz w:val="24"/>
          <w:highlight w:val="none"/>
        </w:rPr>
      </w:pPr>
      <w:r>
        <w:rPr>
          <w:rFonts w:hint="eastAsia"/>
          <w:color w:val="auto"/>
          <w:sz w:val="24"/>
          <w:highlight w:val="none"/>
        </w:rPr>
        <w:t>此次评价</w:t>
      </w:r>
      <w:r>
        <w:rPr>
          <w:color w:val="auto"/>
          <w:sz w:val="24"/>
          <w:highlight w:val="none"/>
        </w:rPr>
        <w:t>对</w:t>
      </w:r>
      <w:r>
        <w:rPr>
          <w:rFonts w:hint="eastAsia"/>
          <w:color w:val="auto"/>
          <w:sz w:val="24"/>
          <w:highlight w:val="none"/>
          <w:lang w:val="en-US" w:eastAsia="zh-CN"/>
        </w:rPr>
        <w:t>项目所在园区</w:t>
      </w:r>
      <w:r>
        <w:rPr>
          <w:color w:val="auto"/>
          <w:sz w:val="24"/>
          <w:highlight w:val="none"/>
        </w:rPr>
        <w:t>的厂界的</w:t>
      </w:r>
      <w:r>
        <w:rPr>
          <w:rFonts w:hint="eastAsia"/>
          <w:color w:val="auto"/>
          <w:sz w:val="24"/>
          <w:highlight w:val="none"/>
        </w:rPr>
        <w:t>氯化氢、NOx、硫酸雾、铬酸雾、氨</w:t>
      </w:r>
      <w:r>
        <w:rPr>
          <w:rFonts w:hint="eastAsia"/>
          <w:color w:val="auto"/>
          <w:sz w:val="24"/>
          <w:highlight w:val="none"/>
          <w:lang w:val="en-US" w:eastAsia="zh-CN"/>
        </w:rPr>
        <w:t>等</w:t>
      </w:r>
      <w:r>
        <w:rPr>
          <w:color w:val="auto"/>
          <w:sz w:val="24"/>
          <w:highlight w:val="none"/>
        </w:rPr>
        <w:t>进行了监测，监测时间为201</w:t>
      </w:r>
      <w:r>
        <w:rPr>
          <w:rFonts w:hint="eastAsia"/>
          <w:color w:val="auto"/>
          <w:sz w:val="24"/>
          <w:highlight w:val="none"/>
          <w:lang w:val="en-US" w:eastAsia="zh-CN"/>
        </w:rPr>
        <w:t>9</w:t>
      </w:r>
      <w:r>
        <w:rPr>
          <w:color w:val="auto"/>
          <w:sz w:val="24"/>
          <w:highlight w:val="none"/>
        </w:rPr>
        <w:t>年</w:t>
      </w:r>
      <w:r>
        <w:rPr>
          <w:rFonts w:hint="eastAsia"/>
          <w:color w:val="auto"/>
          <w:sz w:val="24"/>
          <w:highlight w:val="none"/>
          <w:lang w:val="en-US" w:eastAsia="zh-CN"/>
        </w:rPr>
        <w:t>9</w:t>
      </w:r>
      <w:r>
        <w:rPr>
          <w:color w:val="auto"/>
          <w:sz w:val="24"/>
          <w:highlight w:val="none"/>
        </w:rPr>
        <w:t>月</w:t>
      </w:r>
      <w:r>
        <w:rPr>
          <w:rFonts w:hint="eastAsia"/>
          <w:color w:val="auto"/>
          <w:sz w:val="24"/>
          <w:highlight w:val="none"/>
        </w:rPr>
        <w:t>17</w:t>
      </w:r>
      <w:r>
        <w:rPr>
          <w:color w:val="auto"/>
          <w:sz w:val="24"/>
          <w:highlight w:val="none"/>
        </w:rPr>
        <w:t>日、</w:t>
      </w:r>
      <w:r>
        <w:rPr>
          <w:rFonts w:hint="eastAsia"/>
          <w:color w:val="auto"/>
          <w:sz w:val="24"/>
          <w:highlight w:val="none"/>
        </w:rPr>
        <w:t>18</w:t>
      </w:r>
      <w:r>
        <w:rPr>
          <w:color w:val="auto"/>
          <w:sz w:val="24"/>
          <w:highlight w:val="none"/>
        </w:rPr>
        <w:t>日，监测期间正常生产，</w:t>
      </w:r>
      <w:r>
        <w:rPr>
          <w:rFonts w:hint="eastAsia"/>
          <w:snapToGrid w:val="0"/>
          <w:color w:val="auto"/>
          <w:kern w:val="0"/>
          <w:sz w:val="24"/>
          <w:highlight w:val="none"/>
        </w:rPr>
        <w:t>园区</w:t>
      </w:r>
      <w:r>
        <w:rPr>
          <w:snapToGrid w:val="0"/>
          <w:color w:val="auto"/>
          <w:kern w:val="0"/>
          <w:sz w:val="24"/>
          <w:highlight w:val="none"/>
        </w:rPr>
        <w:t>厂界废气监测</w:t>
      </w:r>
      <w:r>
        <w:rPr>
          <w:rFonts w:hint="eastAsia"/>
          <w:snapToGrid w:val="0"/>
          <w:color w:val="auto"/>
          <w:kern w:val="0"/>
          <w:sz w:val="24"/>
          <w:highlight w:val="none"/>
        </w:rPr>
        <w:t>结果</w:t>
      </w:r>
      <w:r>
        <w:rPr>
          <w:snapToGrid w:val="0"/>
          <w:color w:val="auto"/>
          <w:kern w:val="0"/>
          <w:sz w:val="24"/>
          <w:highlight w:val="none"/>
        </w:rPr>
        <w:t>情况</w:t>
      </w:r>
      <w:r>
        <w:rPr>
          <w:snapToGrid w:val="0"/>
          <w:color w:val="auto"/>
          <w:kern w:val="0"/>
          <w:sz w:val="24"/>
          <w:highlight w:val="none"/>
        </w:rPr>
        <w:t>见表</w:t>
      </w:r>
      <w:r>
        <w:rPr>
          <w:rFonts w:hint="eastAsia"/>
          <w:snapToGrid w:val="0"/>
          <w:color w:val="auto"/>
          <w:kern w:val="0"/>
          <w:sz w:val="24"/>
          <w:highlight w:val="none"/>
          <w:lang w:val="en-US" w:eastAsia="zh-CN"/>
        </w:rPr>
        <w:t>2.5</w:t>
      </w:r>
      <w:r>
        <w:rPr>
          <w:snapToGrid w:val="0"/>
          <w:color w:val="auto"/>
          <w:kern w:val="0"/>
          <w:sz w:val="24"/>
          <w:highlight w:val="none"/>
        </w:rPr>
        <w:t>-</w:t>
      </w:r>
      <w:r>
        <w:rPr>
          <w:rFonts w:hint="eastAsia"/>
          <w:snapToGrid w:val="0"/>
          <w:color w:val="auto"/>
          <w:kern w:val="0"/>
          <w:sz w:val="24"/>
          <w:highlight w:val="none"/>
          <w:lang w:val="en-US" w:eastAsia="zh-CN"/>
        </w:rPr>
        <w:t>7</w:t>
      </w:r>
      <w:r>
        <w:rPr>
          <w:snapToGrid w:val="0"/>
          <w:color w:val="auto"/>
          <w:kern w:val="0"/>
          <w:sz w:val="24"/>
          <w:highlight w:val="none"/>
        </w:rPr>
        <w:t>。</w:t>
      </w:r>
    </w:p>
    <w:p>
      <w:pPr>
        <w:adjustRightInd w:val="0"/>
        <w:snapToGrid w:val="0"/>
        <w:spacing w:line="440" w:lineRule="exact"/>
        <w:jc w:val="center"/>
        <w:rPr>
          <w:color w:val="auto"/>
          <w:highlight w:val="none"/>
        </w:rPr>
      </w:pPr>
      <w:r>
        <w:rPr>
          <w:rFonts w:eastAsia="黑体"/>
          <w:color w:val="auto"/>
          <w:sz w:val="24"/>
          <w:highlight w:val="none"/>
        </w:rPr>
        <w:t>表</w:t>
      </w:r>
      <w:r>
        <w:rPr>
          <w:rFonts w:hint="eastAsia" w:eastAsia="黑体"/>
          <w:color w:val="auto"/>
          <w:sz w:val="24"/>
          <w:highlight w:val="none"/>
          <w:lang w:eastAsia="zh-CN"/>
        </w:rPr>
        <w:t>2.5</w:t>
      </w:r>
      <w:r>
        <w:rPr>
          <w:rFonts w:eastAsia="黑体"/>
          <w:color w:val="auto"/>
          <w:sz w:val="24"/>
          <w:highlight w:val="none"/>
        </w:rPr>
        <w:t>-</w:t>
      </w:r>
      <w:r>
        <w:rPr>
          <w:rFonts w:hint="eastAsia" w:eastAsia="黑体"/>
          <w:color w:val="auto"/>
          <w:sz w:val="24"/>
          <w:highlight w:val="none"/>
          <w:lang w:val="en-US" w:eastAsia="zh-CN"/>
        </w:rPr>
        <w:t>7</w:t>
      </w:r>
      <w:r>
        <w:rPr>
          <w:rFonts w:eastAsia="黑体"/>
          <w:color w:val="auto"/>
          <w:sz w:val="24"/>
          <w:highlight w:val="none"/>
        </w:rPr>
        <w:t xml:space="preserve">  厂界无组织废气监测表</w:t>
      </w:r>
    </w:p>
    <w:tbl>
      <w:tblPr>
        <w:tblStyle w:val="36"/>
        <w:tblW w:w="9230" w:type="dxa"/>
        <w:jc w:val="center"/>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105"/>
        <w:gridCol w:w="1106"/>
        <w:gridCol w:w="1106"/>
        <w:gridCol w:w="1076"/>
        <w:gridCol w:w="1181"/>
        <w:gridCol w:w="1217"/>
        <w:gridCol w:w="1217"/>
        <w:gridCol w:w="1222"/>
      </w:tblGrid>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exact"/>
          <w:jc w:val="center"/>
        </w:trPr>
        <w:tc>
          <w:tcPr>
            <w:tcW w:w="2211" w:type="dxa"/>
            <w:gridSpan w:val="2"/>
            <w:vMerge w:val="restart"/>
            <w:vAlign w:val="center"/>
          </w:tcPr>
          <w:p>
            <w:pPr>
              <w:jc w:val="center"/>
              <w:rPr>
                <w:color w:val="auto"/>
                <w:highlight w:val="none"/>
              </w:rPr>
            </w:pPr>
            <w:r>
              <w:rPr>
                <w:rFonts w:hint="eastAsia"/>
                <w:color w:val="auto"/>
                <w:highlight w:val="none"/>
              </w:rPr>
              <w:t>项目</w:t>
            </w:r>
          </w:p>
        </w:tc>
        <w:tc>
          <w:tcPr>
            <w:tcW w:w="3363" w:type="dxa"/>
            <w:gridSpan w:val="3"/>
            <w:vAlign w:val="center"/>
          </w:tcPr>
          <w:p>
            <w:pPr>
              <w:jc w:val="center"/>
              <w:rPr>
                <w:color w:val="auto"/>
                <w:highlight w:val="none"/>
              </w:rPr>
            </w:pPr>
            <w:r>
              <w:rPr>
                <w:rFonts w:hint="eastAsia"/>
                <w:color w:val="auto"/>
                <w:highlight w:val="none"/>
              </w:rPr>
              <w:t>201</w:t>
            </w:r>
            <w:r>
              <w:rPr>
                <w:rFonts w:hint="eastAsia"/>
                <w:color w:val="auto"/>
                <w:highlight w:val="none"/>
                <w:lang w:val="en-US" w:eastAsia="zh-CN"/>
              </w:rPr>
              <w:t>9</w:t>
            </w:r>
            <w:r>
              <w:rPr>
                <w:rFonts w:hint="eastAsia"/>
                <w:color w:val="auto"/>
                <w:highlight w:val="none"/>
              </w:rPr>
              <w:t>.</w:t>
            </w:r>
            <w:r>
              <w:rPr>
                <w:rFonts w:hint="eastAsia"/>
                <w:color w:val="auto"/>
                <w:highlight w:val="none"/>
                <w:lang w:val="en-US" w:eastAsia="zh-CN"/>
              </w:rPr>
              <w:t>9</w:t>
            </w:r>
            <w:r>
              <w:rPr>
                <w:rFonts w:hint="eastAsia"/>
                <w:color w:val="auto"/>
                <w:highlight w:val="none"/>
              </w:rPr>
              <w:t>.17</w:t>
            </w:r>
          </w:p>
        </w:tc>
        <w:tc>
          <w:tcPr>
            <w:tcW w:w="3656" w:type="dxa"/>
            <w:gridSpan w:val="3"/>
            <w:vAlign w:val="center"/>
          </w:tcPr>
          <w:p>
            <w:pPr>
              <w:jc w:val="center"/>
              <w:rPr>
                <w:color w:val="auto"/>
                <w:highlight w:val="none"/>
              </w:rPr>
            </w:pPr>
            <w:r>
              <w:rPr>
                <w:rFonts w:hint="eastAsia"/>
                <w:color w:val="auto"/>
                <w:highlight w:val="none"/>
              </w:rPr>
              <w:t>201</w:t>
            </w:r>
            <w:r>
              <w:rPr>
                <w:rFonts w:hint="eastAsia"/>
                <w:color w:val="auto"/>
                <w:highlight w:val="none"/>
                <w:lang w:val="en-US" w:eastAsia="zh-CN"/>
              </w:rPr>
              <w:t>9</w:t>
            </w:r>
            <w:r>
              <w:rPr>
                <w:rFonts w:hint="eastAsia"/>
                <w:color w:val="auto"/>
                <w:highlight w:val="none"/>
              </w:rPr>
              <w:t>.</w:t>
            </w:r>
            <w:r>
              <w:rPr>
                <w:rFonts w:hint="eastAsia"/>
                <w:color w:val="auto"/>
                <w:highlight w:val="none"/>
                <w:lang w:val="en-US" w:eastAsia="zh-CN"/>
              </w:rPr>
              <w:t>9</w:t>
            </w:r>
            <w:r>
              <w:rPr>
                <w:rFonts w:hint="eastAsia"/>
                <w:color w:val="auto"/>
                <w:highlight w:val="none"/>
              </w:rPr>
              <w:t>.18</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exact"/>
          <w:jc w:val="center"/>
        </w:trPr>
        <w:tc>
          <w:tcPr>
            <w:tcW w:w="2211" w:type="dxa"/>
            <w:gridSpan w:val="2"/>
            <w:vMerge w:val="continue"/>
            <w:vAlign w:val="center"/>
          </w:tcPr>
          <w:p>
            <w:pPr>
              <w:jc w:val="center"/>
              <w:rPr>
                <w:color w:val="auto"/>
                <w:highlight w:val="none"/>
              </w:rPr>
            </w:pPr>
          </w:p>
        </w:tc>
        <w:tc>
          <w:tcPr>
            <w:tcW w:w="1106" w:type="dxa"/>
            <w:vAlign w:val="center"/>
          </w:tcPr>
          <w:p>
            <w:pPr>
              <w:jc w:val="center"/>
              <w:rPr>
                <w:color w:val="auto"/>
                <w:highlight w:val="none"/>
              </w:rPr>
            </w:pPr>
            <w:r>
              <w:rPr>
                <w:color w:val="auto"/>
                <w:highlight w:val="none"/>
              </w:rPr>
              <w:t>第</w:t>
            </w:r>
            <w:r>
              <w:rPr>
                <w:rFonts w:hint="eastAsia"/>
                <w:color w:val="auto"/>
                <w:highlight w:val="none"/>
              </w:rPr>
              <w:t>一</w:t>
            </w:r>
            <w:r>
              <w:rPr>
                <w:color w:val="auto"/>
                <w:highlight w:val="none"/>
              </w:rPr>
              <w:t>次</w:t>
            </w:r>
          </w:p>
        </w:tc>
        <w:tc>
          <w:tcPr>
            <w:tcW w:w="1076" w:type="dxa"/>
            <w:vAlign w:val="center"/>
          </w:tcPr>
          <w:p>
            <w:pPr>
              <w:jc w:val="center"/>
              <w:rPr>
                <w:color w:val="auto"/>
                <w:highlight w:val="none"/>
              </w:rPr>
            </w:pPr>
            <w:r>
              <w:rPr>
                <w:color w:val="auto"/>
                <w:highlight w:val="none"/>
              </w:rPr>
              <w:t>第</w:t>
            </w:r>
            <w:r>
              <w:rPr>
                <w:rFonts w:hint="eastAsia"/>
                <w:color w:val="auto"/>
                <w:highlight w:val="none"/>
              </w:rPr>
              <w:t>二</w:t>
            </w:r>
            <w:r>
              <w:rPr>
                <w:color w:val="auto"/>
                <w:highlight w:val="none"/>
              </w:rPr>
              <w:t>次</w:t>
            </w:r>
          </w:p>
        </w:tc>
        <w:tc>
          <w:tcPr>
            <w:tcW w:w="1181" w:type="dxa"/>
            <w:vAlign w:val="center"/>
          </w:tcPr>
          <w:p>
            <w:pPr>
              <w:jc w:val="center"/>
              <w:rPr>
                <w:color w:val="auto"/>
                <w:highlight w:val="none"/>
              </w:rPr>
            </w:pPr>
            <w:r>
              <w:rPr>
                <w:color w:val="auto"/>
                <w:highlight w:val="none"/>
              </w:rPr>
              <w:t>第</w:t>
            </w:r>
            <w:r>
              <w:rPr>
                <w:rFonts w:hint="eastAsia"/>
                <w:color w:val="auto"/>
                <w:highlight w:val="none"/>
              </w:rPr>
              <w:t>三</w:t>
            </w:r>
            <w:r>
              <w:rPr>
                <w:color w:val="auto"/>
                <w:highlight w:val="none"/>
              </w:rPr>
              <w:t>次</w:t>
            </w:r>
          </w:p>
        </w:tc>
        <w:tc>
          <w:tcPr>
            <w:tcW w:w="1217" w:type="dxa"/>
            <w:vAlign w:val="center"/>
          </w:tcPr>
          <w:p>
            <w:pPr>
              <w:jc w:val="center"/>
              <w:rPr>
                <w:color w:val="auto"/>
                <w:highlight w:val="none"/>
              </w:rPr>
            </w:pPr>
            <w:r>
              <w:rPr>
                <w:color w:val="auto"/>
                <w:highlight w:val="none"/>
              </w:rPr>
              <w:t>第</w:t>
            </w:r>
            <w:r>
              <w:rPr>
                <w:rFonts w:hint="eastAsia"/>
                <w:color w:val="auto"/>
                <w:highlight w:val="none"/>
              </w:rPr>
              <w:t>一</w:t>
            </w:r>
            <w:r>
              <w:rPr>
                <w:color w:val="auto"/>
                <w:highlight w:val="none"/>
              </w:rPr>
              <w:t>次</w:t>
            </w:r>
          </w:p>
        </w:tc>
        <w:tc>
          <w:tcPr>
            <w:tcW w:w="1217" w:type="dxa"/>
            <w:vAlign w:val="center"/>
          </w:tcPr>
          <w:p>
            <w:pPr>
              <w:jc w:val="center"/>
              <w:rPr>
                <w:color w:val="auto"/>
                <w:highlight w:val="none"/>
              </w:rPr>
            </w:pPr>
            <w:r>
              <w:rPr>
                <w:color w:val="auto"/>
                <w:highlight w:val="none"/>
              </w:rPr>
              <w:t>第</w:t>
            </w:r>
            <w:r>
              <w:rPr>
                <w:rFonts w:hint="eastAsia"/>
                <w:color w:val="auto"/>
                <w:highlight w:val="none"/>
              </w:rPr>
              <w:t>二</w:t>
            </w:r>
            <w:r>
              <w:rPr>
                <w:color w:val="auto"/>
                <w:highlight w:val="none"/>
              </w:rPr>
              <w:t>次</w:t>
            </w:r>
          </w:p>
        </w:tc>
        <w:tc>
          <w:tcPr>
            <w:tcW w:w="1222" w:type="dxa"/>
            <w:vAlign w:val="center"/>
          </w:tcPr>
          <w:p>
            <w:pPr>
              <w:jc w:val="center"/>
              <w:rPr>
                <w:color w:val="auto"/>
                <w:highlight w:val="none"/>
              </w:rPr>
            </w:pPr>
            <w:r>
              <w:rPr>
                <w:color w:val="auto"/>
                <w:highlight w:val="none"/>
              </w:rPr>
              <w:t>第</w:t>
            </w:r>
            <w:r>
              <w:rPr>
                <w:rFonts w:hint="eastAsia"/>
                <w:color w:val="auto"/>
                <w:highlight w:val="none"/>
              </w:rPr>
              <w:t>三</w:t>
            </w:r>
            <w:r>
              <w:rPr>
                <w:color w:val="auto"/>
                <w:highlight w:val="none"/>
              </w:rPr>
              <w:t>次</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exact"/>
          <w:jc w:val="center"/>
        </w:trPr>
        <w:tc>
          <w:tcPr>
            <w:tcW w:w="1105" w:type="dxa"/>
            <w:vMerge w:val="restart"/>
            <w:vAlign w:val="center"/>
          </w:tcPr>
          <w:p>
            <w:pPr>
              <w:widowControl/>
              <w:jc w:val="center"/>
              <w:textAlignment w:val="center"/>
              <w:rPr>
                <w:color w:val="auto"/>
                <w:kern w:val="0"/>
                <w:szCs w:val="21"/>
                <w:highlight w:val="none"/>
                <w:lang w:bidi="ar"/>
              </w:rPr>
            </w:pPr>
            <w:r>
              <w:rPr>
                <w:rFonts w:hint="eastAsia"/>
                <w:color w:val="auto"/>
                <w:kern w:val="0"/>
                <w:szCs w:val="21"/>
                <w:highlight w:val="none"/>
              </w:rPr>
              <w:t>氯化氢</w:t>
            </w:r>
            <w:r>
              <w:rPr>
                <w:color w:val="auto"/>
                <w:kern w:val="0"/>
                <w:szCs w:val="21"/>
                <w:highlight w:val="none"/>
              </w:rPr>
              <w:t>(mg/m</w:t>
            </w:r>
            <w:r>
              <w:rPr>
                <w:color w:val="auto"/>
                <w:kern w:val="0"/>
                <w:szCs w:val="21"/>
                <w:highlight w:val="none"/>
                <w:vertAlign w:val="superscript"/>
              </w:rPr>
              <w:t>3</w:t>
            </w:r>
            <w:r>
              <w:rPr>
                <w:color w:val="auto"/>
                <w:kern w:val="0"/>
                <w:szCs w:val="21"/>
                <w:highlight w:val="none"/>
              </w:rPr>
              <w:t>)</w:t>
            </w:r>
          </w:p>
        </w:tc>
        <w:tc>
          <w:tcPr>
            <w:tcW w:w="1106" w:type="dxa"/>
            <w:vAlign w:val="center"/>
          </w:tcPr>
          <w:p>
            <w:pPr>
              <w:widowControl/>
              <w:jc w:val="center"/>
              <w:textAlignment w:val="center"/>
              <w:rPr>
                <w:color w:val="auto"/>
                <w:kern w:val="0"/>
                <w:szCs w:val="21"/>
                <w:highlight w:val="none"/>
                <w:lang w:bidi="ar"/>
              </w:rPr>
            </w:pPr>
            <w:r>
              <w:rPr>
                <w:color w:val="auto"/>
                <w:szCs w:val="21"/>
                <w:highlight w:val="none"/>
              </w:rPr>
              <w:t>1#</w:t>
            </w:r>
            <w:r>
              <w:rPr>
                <w:rFonts w:hint="eastAsia"/>
                <w:color w:val="auto"/>
                <w:szCs w:val="21"/>
                <w:highlight w:val="none"/>
              </w:rPr>
              <w:t>上风向</w:t>
            </w:r>
          </w:p>
        </w:tc>
        <w:tc>
          <w:tcPr>
            <w:tcW w:w="1106" w:type="dxa"/>
            <w:vAlign w:val="center"/>
          </w:tcPr>
          <w:p>
            <w:pPr>
              <w:widowControl/>
              <w:jc w:val="center"/>
              <w:textAlignment w:val="center"/>
              <w:rPr>
                <w:rFonts w:hint="eastAsia" w:eastAsia="宋体"/>
                <w:color w:val="auto"/>
                <w:szCs w:val="21"/>
                <w:highlight w:val="none"/>
                <w:lang w:val="en-US" w:eastAsia="zh-CN"/>
              </w:rPr>
            </w:pPr>
            <w:r>
              <w:rPr>
                <w:color w:val="auto"/>
                <w:kern w:val="0"/>
                <w:szCs w:val="21"/>
                <w:highlight w:val="none"/>
                <w:lang w:bidi="ar"/>
              </w:rPr>
              <w:t>0.</w:t>
            </w:r>
            <w:r>
              <w:rPr>
                <w:rFonts w:hint="eastAsia"/>
                <w:color w:val="auto"/>
                <w:kern w:val="0"/>
                <w:szCs w:val="21"/>
                <w:highlight w:val="none"/>
                <w:lang w:val="en-US" w:eastAsia="zh-CN" w:bidi="ar"/>
              </w:rPr>
              <w:t>058</w:t>
            </w:r>
          </w:p>
        </w:tc>
        <w:tc>
          <w:tcPr>
            <w:tcW w:w="1076" w:type="dxa"/>
            <w:vAlign w:val="center"/>
          </w:tcPr>
          <w:p>
            <w:pPr>
              <w:widowControl/>
              <w:jc w:val="center"/>
              <w:textAlignment w:val="center"/>
              <w:rPr>
                <w:rFonts w:hint="eastAsia" w:eastAsia="宋体"/>
                <w:color w:val="auto"/>
                <w:szCs w:val="21"/>
                <w:highlight w:val="none"/>
                <w:lang w:val="en-US" w:eastAsia="zh-CN"/>
              </w:rPr>
            </w:pPr>
            <w:r>
              <w:rPr>
                <w:color w:val="auto"/>
                <w:kern w:val="0"/>
                <w:szCs w:val="21"/>
                <w:highlight w:val="none"/>
                <w:lang w:bidi="ar"/>
              </w:rPr>
              <w:t>0.</w:t>
            </w:r>
            <w:r>
              <w:rPr>
                <w:rFonts w:hint="eastAsia"/>
                <w:color w:val="auto"/>
                <w:kern w:val="0"/>
                <w:szCs w:val="21"/>
                <w:highlight w:val="none"/>
                <w:lang w:val="en-US" w:eastAsia="zh-CN" w:bidi="ar"/>
              </w:rPr>
              <w:t>061</w:t>
            </w:r>
          </w:p>
        </w:tc>
        <w:tc>
          <w:tcPr>
            <w:tcW w:w="1181" w:type="dxa"/>
            <w:vAlign w:val="center"/>
          </w:tcPr>
          <w:p>
            <w:pPr>
              <w:widowControl/>
              <w:jc w:val="center"/>
              <w:textAlignment w:val="center"/>
              <w:rPr>
                <w:rFonts w:hint="eastAsia" w:eastAsia="宋体"/>
                <w:color w:val="auto"/>
                <w:szCs w:val="21"/>
                <w:highlight w:val="none"/>
                <w:lang w:val="en-US" w:eastAsia="zh-CN"/>
              </w:rPr>
            </w:pPr>
            <w:r>
              <w:rPr>
                <w:color w:val="auto"/>
                <w:kern w:val="0"/>
                <w:szCs w:val="21"/>
                <w:highlight w:val="none"/>
                <w:lang w:bidi="ar"/>
              </w:rPr>
              <w:t>0.0</w:t>
            </w:r>
            <w:r>
              <w:rPr>
                <w:rFonts w:hint="eastAsia"/>
                <w:color w:val="auto"/>
                <w:kern w:val="0"/>
                <w:szCs w:val="21"/>
                <w:highlight w:val="none"/>
                <w:lang w:val="en-US" w:eastAsia="zh-CN" w:bidi="ar"/>
              </w:rPr>
              <w:t>56</w:t>
            </w:r>
          </w:p>
        </w:tc>
        <w:tc>
          <w:tcPr>
            <w:tcW w:w="1217" w:type="dxa"/>
            <w:vAlign w:val="center"/>
          </w:tcPr>
          <w:p>
            <w:pPr>
              <w:widowControl/>
              <w:jc w:val="center"/>
              <w:textAlignment w:val="center"/>
              <w:rPr>
                <w:rFonts w:hint="eastAsia" w:eastAsia="宋体"/>
                <w:color w:val="auto"/>
                <w:szCs w:val="21"/>
                <w:highlight w:val="none"/>
                <w:lang w:val="en-US" w:eastAsia="zh-CN"/>
              </w:rPr>
            </w:pPr>
            <w:r>
              <w:rPr>
                <w:color w:val="auto"/>
                <w:kern w:val="0"/>
                <w:szCs w:val="21"/>
                <w:highlight w:val="none"/>
                <w:lang w:bidi="ar"/>
              </w:rPr>
              <w:t>0.0</w:t>
            </w:r>
            <w:r>
              <w:rPr>
                <w:rFonts w:hint="eastAsia"/>
                <w:color w:val="auto"/>
                <w:kern w:val="0"/>
                <w:szCs w:val="21"/>
                <w:highlight w:val="none"/>
                <w:lang w:val="en-US" w:eastAsia="zh-CN" w:bidi="ar"/>
              </w:rPr>
              <w:t>60</w:t>
            </w:r>
          </w:p>
        </w:tc>
        <w:tc>
          <w:tcPr>
            <w:tcW w:w="1217" w:type="dxa"/>
            <w:vAlign w:val="center"/>
          </w:tcPr>
          <w:p>
            <w:pPr>
              <w:widowControl/>
              <w:jc w:val="center"/>
              <w:textAlignment w:val="center"/>
              <w:rPr>
                <w:rFonts w:hint="eastAsia" w:eastAsia="宋体"/>
                <w:color w:val="auto"/>
                <w:szCs w:val="21"/>
                <w:highlight w:val="none"/>
                <w:lang w:eastAsia="zh-CN"/>
              </w:rPr>
            </w:pPr>
            <w:r>
              <w:rPr>
                <w:color w:val="auto"/>
                <w:kern w:val="0"/>
                <w:szCs w:val="21"/>
                <w:highlight w:val="none"/>
                <w:lang w:bidi="ar"/>
              </w:rPr>
              <w:t>0.09</w:t>
            </w:r>
            <w:r>
              <w:rPr>
                <w:rFonts w:hint="eastAsia"/>
                <w:color w:val="auto"/>
                <w:kern w:val="0"/>
                <w:szCs w:val="21"/>
                <w:highlight w:val="none"/>
                <w:lang w:val="en-US" w:eastAsia="zh-CN" w:bidi="ar"/>
              </w:rPr>
              <w:t>0</w:t>
            </w:r>
          </w:p>
        </w:tc>
        <w:tc>
          <w:tcPr>
            <w:tcW w:w="1222" w:type="dxa"/>
            <w:vAlign w:val="center"/>
          </w:tcPr>
          <w:p>
            <w:pPr>
              <w:widowControl/>
              <w:jc w:val="center"/>
              <w:textAlignment w:val="center"/>
              <w:rPr>
                <w:rFonts w:hint="eastAsia" w:eastAsia="宋体"/>
                <w:color w:val="auto"/>
                <w:szCs w:val="21"/>
                <w:highlight w:val="none"/>
                <w:lang w:val="en-US" w:eastAsia="zh-CN"/>
              </w:rPr>
            </w:pPr>
            <w:r>
              <w:rPr>
                <w:color w:val="auto"/>
                <w:kern w:val="0"/>
                <w:szCs w:val="21"/>
                <w:highlight w:val="none"/>
                <w:lang w:bidi="ar"/>
              </w:rPr>
              <w:t>0.</w:t>
            </w:r>
            <w:r>
              <w:rPr>
                <w:rFonts w:hint="eastAsia"/>
                <w:color w:val="auto"/>
                <w:kern w:val="0"/>
                <w:szCs w:val="21"/>
                <w:highlight w:val="none"/>
                <w:lang w:val="en-US" w:eastAsia="zh-CN" w:bidi="ar"/>
              </w:rPr>
              <w:t>081</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exact"/>
          <w:jc w:val="center"/>
        </w:trPr>
        <w:tc>
          <w:tcPr>
            <w:tcW w:w="1105" w:type="dxa"/>
            <w:vMerge w:val="continue"/>
            <w:vAlign w:val="center"/>
          </w:tcPr>
          <w:p>
            <w:pPr>
              <w:widowControl/>
              <w:jc w:val="center"/>
              <w:textAlignment w:val="center"/>
              <w:rPr>
                <w:color w:val="auto"/>
                <w:kern w:val="0"/>
                <w:szCs w:val="21"/>
                <w:highlight w:val="none"/>
                <w:lang w:bidi="ar"/>
              </w:rPr>
            </w:pPr>
          </w:p>
        </w:tc>
        <w:tc>
          <w:tcPr>
            <w:tcW w:w="1106" w:type="dxa"/>
            <w:vAlign w:val="center"/>
          </w:tcPr>
          <w:p>
            <w:pPr>
              <w:widowControl/>
              <w:jc w:val="center"/>
              <w:textAlignment w:val="center"/>
              <w:rPr>
                <w:color w:val="auto"/>
                <w:kern w:val="0"/>
                <w:szCs w:val="21"/>
                <w:highlight w:val="none"/>
                <w:lang w:bidi="ar"/>
              </w:rPr>
            </w:pPr>
            <w:r>
              <w:rPr>
                <w:color w:val="auto"/>
                <w:szCs w:val="21"/>
                <w:highlight w:val="none"/>
              </w:rPr>
              <w:t>2#</w:t>
            </w:r>
            <w:r>
              <w:rPr>
                <w:rFonts w:hint="eastAsia"/>
                <w:color w:val="auto"/>
                <w:szCs w:val="21"/>
                <w:highlight w:val="none"/>
              </w:rPr>
              <w:t>下风向</w:t>
            </w:r>
          </w:p>
        </w:tc>
        <w:tc>
          <w:tcPr>
            <w:tcW w:w="1106" w:type="dxa"/>
            <w:vAlign w:val="center"/>
          </w:tcPr>
          <w:p>
            <w:pPr>
              <w:widowControl/>
              <w:jc w:val="center"/>
              <w:textAlignment w:val="center"/>
              <w:rPr>
                <w:rFonts w:hint="eastAsia" w:eastAsia="宋体"/>
                <w:color w:val="auto"/>
                <w:szCs w:val="21"/>
                <w:highlight w:val="none"/>
                <w:lang w:val="en-US" w:eastAsia="zh-CN"/>
              </w:rPr>
            </w:pPr>
            <w:r>
              <w:rPr>
                <w:color w:val="auto"/>
                <w:kern w:val="0"/>
                <w:szCs w:val="21"/>
                <w:highlight w:val="none"/>
                <w:lang w:bidi="ar"/>
              </w:rPr>
              <w:t>0.</w:t>
            </w:r>
            <w:r>
              <w:rPr>
                <w:rFonts w:hint="eastAsia"/>
                <w:color w:val="auto"/>
                <w:kern w:val="0"/>
                <w:szCs w:val="21"/>
                <w:highlight w:val="none"/>
                <w:lang w:val="en-US" w:eastAsia="zh-CN" w:bidi="ar"/>
              </w:rPr>
              <w:t>079</w:t>
            </w:r>
          </w:p>
        </w:tc>
        <w:tc>
          <w:tcPr>
            <w:tcW w:w="1076" w:type="dxa"/>
            <w:vAlign w:val="center"/>
          </w:tcPr>
          <w:p>
            <w:pPr>
              <w:widowControl/>
              <w:jc w:val="center"/>
              <w:textAlignment w:val="center"/>
              <w:rPr>
                <w:rFonts w:hint="eastAsia" w:eastAsia="宋体"/>
                <w:color w:val="auto"/>
                <w:szCs w:val="21"/>
                <w:highlight w:val="none"/>
                <w:lang w:val="en-US" w:eastAsia="zh-CN"/>
              </w:rPr>
            </w:pPr>
            <w:r>
              <w:rPr>
                <w:color w:val="auto"/>
                <w:kern w:val="0"/>
                <w:szCs w:val="21"/>
                <w:highlight w:val="none"/>
                <w:lang w:bidi="ar"/>
              </w:rPr>
              <w:t>0.</w:t>
            </w:r>
            <w:r>
              <w:rPr>
                <w:rFonts w:hint="eastAsia"/>
                <w:color w:val="auto"/>
                <w:kern w:val="0"/>
                <w:szCs w:val="21"/>
                <w:highlight w:val="none"/>
                <w:lang w:val="en-US" w:eastAsia="zh-CN" w:bidi="ar"/>
              </w:rPr>
              <w:t>085</w:t>
            </w:r>
          </w:p>
        </w:tc>
        <w:tc>
          <w:tcPr>
            <w:tcW w:w="1181" w:type="dxa"/>
            <w:vAlign w:val="center"/>
          </w:tcPr>
          <w:p>
            <w:pPr>
              <w:widowControl/>
              <w:jc w:val="center"/>
              <w:textAlignment w:val="center"/>
              <w:rPr>
                <w:rFonts w:hint="eastAsia" w:eastAsia="宋体"/>
                <w:color w:val="auto"/>
                <w:szCs w:val="21"/>
                <w:highlight w:val="none"/>
                <w:lang w:val="en-US" w:eastAsia="zh-CN"/>
              </w:rPr>
            </w:pPr>
            <w:r>
              <w:rPr>
                <w:color w:val="auto"/>
                <w:kern w:val="0"/>
                <w:szCs w:val="21"/>
                <w:highlight w:val="none"/>
                <w:lang w:bidi="ar"/>
              </w:rPr>
              <w:t>0.</w:t>
            </w:r>
            <w:r>
              <w:rPr>
                <w:rFonts w:hint="eastAsia"/>
                <w:color w:val="auto"/>
                <w:kern w:val="0"/>
                <w:szCs w:val="21"/>
                <w:highlight w:val="none"/>
                <w:lang w:val="en-US" w:eastAsia="zh-CN" w:bidi="ar"/>
              </w:rPr>
              <w:t>096</w:t>
            </w:r>
          </w:p>
        </w:tc>
        <w:tc>
          <w:tcPr>
            <w:tcW w:w="1217" w:type="dxa"/>
            <w:vAlign w:val="center"/>
          </w:tcPr>
          <w:p>
            <w:pPr>
              <w:widowControl/>
              <w:jc w:val="center"/>
              <w:textAlignment w:val="center"/>
              <w:rPr>
                <w:rFonts w:hint="eastAsia" w:eastAsia="宋体"/>
                <w:color w:val="auto"/>
                <w:szCs w:val="21"/>
                <w:highlight w:val="none"/>
                <w:lang w:val="en-US" w:eastAsia="zh-CN"/>
              </w:rPr>
            </w:pPr>
            <w:r>
              <w:rPr>
                <w:color w:val="auto"/>
                <w:kern w:val="0"/>
                <w:szCs w:val="21"/>
                <w:highlight w:val="none"/>
                <w:lang w:bidi="ar"/>
              </w:rPr>
              <w:t>0.</w:t>
            </w:r>
            <w:r>
              <w:rPr>
                <w:rFonts w:hint="eastAsia"/>
                <w:color w:val="auto"/>
                <w:kern w:val="0"/>
                <w:szCs w:val="21"/>
                <w:highlight w:val="none"/>
                <w:lang w:val="en-US" w:eastAsia="zh-CN" w:bidi="ar"/>
              </w:rPr>
              <w:t>084</w:t>
            </w:r>
          </w:p>
        </w:tc>
        <w:tc>
          <w:tcPr>
            <w:tcW w:w="1217" w:type="dxa"/>
            <w:vAlign w:val="center"/>
          </w:tcPr>
          <w:p>
            <w:pPr>
              <w:widowControl/>
              <w:jc w:val="center"/>
              <w:textAlignment w:val="center"/>
              <w:rPr>
                <w:rFonts w:hint="eastAsia" w:eastAsia="宋体"/>
                <w:color w:val="auto"/>
                <w:szCs w:val="21"/>
                <w:highlight w:val="none"/>
                <w:lang w:val="en-US" w:eastAsia="zh-CN"/>
              </w:rPr>
            </w:pPr>
            <w:r>
              <w:rPr>
                <w:color w:val="auto"/>
                <w:kern w:val="0"/>
                <w:szCs w:val="21"/>
                <w:highlight w:val="none"/>
                <w:lang w:bidi="ar"/>
              </w:rPr>
              <w:t>0.</w:t>
            </w:r>
            <w:r>
              <w:rPr>
                <w:rFonts w:hint="eastAsia"/>
                <w:color w:val="auto"/>
                <w:kern w:val="0"/>
                <w:szCs w:val="21"/>
                <w:highlight w:val="none"/>
                <w:lang w:val="en-US" w:eastAsia="zh-CN" w:bidi="ar"/>
              </w:rPr>
              <w:t>091</w:t>
            </w:r>
          </w:p>
        </w:tc>
        <w:tc>
          <w:tcPr>
            <w:tcW w:w="1222" w:type="dxa"/>
            <w:vAlign w:val="center"/>
          </w:tcPr>
          <w:p>
            <w:pPr>
              <w:widowControl/>
              <w:jc w:val="center"/>
              <w:textAlignment w:val="center"/>
              <w:rPr>
                <w:rFonts w:hint="eastAsia" w:eastAsia="宋体"/>
                <w:color w:val="auto"/>
                <w:szCs w:val="21"/>
                <w:highlight w:val="none"/>
                <w:lang w:val="en-US" w:eastAsia="zh-CN"/>
              </w:rPr>
            </w:pPr>
            <w:r>
              <w:rPr>
                <w:color w:val="auto"/>
                <w:kern w:val="0"/>
                <w:szCs w:val="21"/>
                <w:highlight w:val="none"/>
                <w:lang w:bidi="ar"/>
              </w:rPr>
              <w:t>0.</w:t>
            </w:r>
            <w:r>
              <w:rPr>
                <w:rFonts w:hint="eastAsia"/>
                <w:color w:val="auto"/>
                <w:kern w:val="0"/>
                <w:szCs w:val="21"/>
                <w:highlight w:val="none"/>
                <w:lang w:val="en-US" w:eastAsia="zh-CN" w:bidi="ar"/>
              </w:rPr>
              <w:t>088</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exact"/>
          <w:jc w:val="center"/>
        </w:trPr>
        <w:tc>
          <w:tcPr>
            <w:tcW w:w="1105" w:type="dxa"/>
            <w:vMerge w:val="continue"/>
            <w:vAlign w:val="center"/>
          </w:tcPr>
          <w:p>
            <w:pPr>
              <w:widowControl/>
              <w:jc w:val="center"/>
              <w:textAlignment w:val="center"/>
              <w:rPr>
                <w:color w:val="auto"/>
                <w:kern w:val="0"/>
                <w:szCs w:val="21"/>
                <w:highlight w:val="none"/>
                <w:lang w:bidi="ar"/>
              </w:rPr>
            </w:pPr>
          </w:p>
        </w:tc>
        <w:tc>
          <w:tcPr>
            <w:tcW w:w="1106" w:type="dxa"/>
            <w:vAlign w:val="center"/>
          </w:tcPr>
          <w:p>
            <w:pPr>
              <w:widowControl/>
              <w:jc w:val="center"/>
              <w:textAlignment w:val="center"/>
              <w:rPr>
                <w:color w:val="auto"/>
                <w:kern w:val="0"/>
                <w:szCs w:val="21"/>
                <w:highlight w:val="none"/>
                <w:lang w:bidi="ar"/>
              </w:rPr>
            </w:pPr>
            <w:r>
              <w:rPr>
                <w:color w:val="auto"/>
                <w:szCs w:val="21"/>
                <w:highlight w:val="none"/>
              </w:rPr>
              <w:t>3#</w:t>
            </w:r>
            <w:r>
              <w:rPr>
                <w:rFonts w:hint="eastAsia"/>
                <w:color w:val="auto"/>
                <w:szCs w:val="21"/>
                <w:highlight w:val="none"/>
              </w:rPr>
              <w:t>下风向</w:t>
            </w:r>
          </w:p>
        </w:tc>
        <w:tc>
          <w:tcPr>
            <w:tcW w:w="1106" w:type="dxa"/>
            <w:vAlign w:val="center"/>
          </w:tcPr>
          <w:p>
            <w:pPr>
              <w:widowControl/>
              <w:jc w:val="center"/>
              <w:textAlignment w:val="center"/>
              <w:rPr>
                <w:color w:val="auto"/>
                <w:szCs w:val="21"/>
                <w:highlight w:val="none"/>
              </w:rPr>
            </w:pPr>
            <w:r>
              <w:rPr>
                <w:color w:val="auto"/>
                <w:kern w:val="0"/>
                <w:szCs w:val="21"/>
                <w:highlight w:val="none"/>
                <w:lang w:bidi="ar"/>
              </w:rPr>
              <w:t>0.</w:t>
            </w:r>
            <w:r>
              <w:rPr>
                <w:rFonts w:hint="eastAsia"/>
                <w:color w:val="auto"/>
                <w:kern w:val="0"/>
                <w:szCs w:val="21"/>
                <w:highlight w:val="none"/>
                <w:lang w:val="en-US" w:eastAsia="zh-CN" w:bidi="ar"/>
              </w:rPr>
              <w:t>09</w:t>
            </w:r>
            <w:r>
              <w:rPr>
                <w:color w:val="auto"/>
                <w:kern w:val="0"/>
                <w:szCs w:val="21"/>
                <w:highlight w:val="none"/>
                <w:lang w:bidi="ar"/>
              </w:rPr>
              <w:t>2</w:t>
            </w:r>
          </w:p>
        </w:tc>
        <w:tc>
          <w:tcPr>
            <w:tcW w:w="1076" w:type="dxa"/>
            <w:vAlign w:val="center"/>
          </w:tcPr>
          <w:p>
            <w:pPr>
              <w:widowControl/>
              <w:jc w:val="center"/>
              <w:textAlignment w:val="center"/>
              <w:rPr>
                <w:color w:val="auto"/>
                <w:szCs w:val="21"/>
                <w:highlight w:val="none"/>
              </w:rPr>
            </w:pPr>
            <w:r>
              <w:rPr>
                <w:color w:val="auto"/>
                <w:kern w:val="0"/>
                <w:szCs w:val="21"/>
                <w:highlight w:val="none"/>
                <w:lang w:bidi="ar"/>
              </w:rPr>
              <w:t>0.</w:t>
            </w:r>
            <w:r>
              <w:rPr>
                <w:rFonts w:hint="eastAsia"/>
                <w:color w:val="auto"/>
                <w:kern w:val="0"/>
                <w:szCs w:val="21"/>
                <w:highlight w:val="none"/>
                <w:lang w:val="en-US" w:eastAsia="zh-CN" w:bidi="ar"/>
              </w:rPr>
              <w:t>079</w:t>
            </w:r>
          </w:p>
        </w:tc>
        <w:tc>
          <w:tcPr>
            <w:tcW w:w="1181" w:type="dxa"/>
            <w:vAlign w:val="center"/>
          </w:tcPr>
          <w:p>
            <w:pPr>
              <w:widowControl/>
              <w:jc w:val="center"/>
              <w:textAlignment w:val="center"/>
              <w:rPr>
                <w:rFonts w:hint="eastAsia" w:eastAsia="宋体"/>
                <w:color w:val="auto"/>
                <w:szCs w:val="21"/>
                <w:highlight w:val="none"/>
                <w:lang w:val="en-US" w:eastAsia="zh-CN"/>
              </w:rPr>
            </w:pPr>
            <w:r>
              <w:rPr>
                <w:color w:val="auto"/>
                <w:kern w:val="0"/>
                <w:szCs w:val="21"/>
                <w:highlight w:val="none"/>
                <w:lang w:bidi="ar"/>
              </w:rPr>
              <w:t>0.</w:t>
            </w:r>
            <w:r>
              <w:rPr>
                <w:rFonts w:hint="eastAsia"/>
                <w:color w:val="auto"/>
                <w:kern w:val="0"/>
                <w:szCs w:val="21"/>
                <w:highlight w:val="none"/>
                <w:lang w:val="en-US" w:eastAsia="zh-CN" w:bidi="ar"/>
              </w:rPr>
              <w:t>082</w:t>
            </w:r>
          </w:p>
        </w:tc>
        <w:tc>
          <w:tcPr>
            <w:tcW w:w="1217" w:type="dxa"/>
            <w:vAlign w:val="center"/>
          </w:tcPr>
          <w:p>
            <w:pPr>
              <w:widowControl/>
              <w:jc w:val="center"/>
              <w:textAlignment w:val="center"/>
              <w:rPr>
                <w:rFonts w:hint="eastAsia" w:eastAsia="宋体"/>
                <w:color w:val="auto"/>
                <w:szCs w:val="21"/>
                <w:highlight w:val="none"/>
                <w:lang w:val="en-US" w:eastAsia="zh-CN"/>
              </w:rPr>
            </w:pPr>
            <w:r>
              <w:rPr>
                <w:color w:val="auto"/>
                <w:kern w:val="0"/>
                <w:szCs w:val="21"/>
                <w:highlight w:val="none"/>
                <w:lang w:bidi="ar"/>
              </w:rPr>
              <w:t>0.</w:t>
            </w:r>
            <w:r>
              <w:rPr>
                <w:rFonts w:hint="eastAsia"/>
                <w:color w:val="auto"/>
                <w:kern w:val="0"/>
                <w:szCs w:val="21"/>
                <w:highlight w:val="none"/>
                <w:lang w:val="en-US" w:eastAsia="zh-CN" w:bidi="ar"/>
              </w:rPr>
              <w:t>086</w:t>
            </w:r>
          </w:p>
        </w:tc>
        <w:tc>
          <w:tcPr>
            <w:tcW w:w="1217" w:type="dxa"/>
            <w:vAlign w:val="center"/>
          </w:tcPr>
          <w:p>
            <w:pPr>
              <w:widowControl/>
              <w:jc w:val="center"/>
              <w:textAlignment w:val="center"/>
              <w:rPr>
                <w:rFonts w:hint="eastAsia" w:eastAsia="宋体"/>
                <w:color w:val="auto"/>
                <w:szCs w:val="21"/>
                <w:highlight w:val="none"/>
                <w:lang w:val="en-US" w:eastAsia="zh-CN"/>
              </w:rPr>
            </w:pPr>
            <w:r>
              <w:rPr>
                <w:color w:val="auto"/>
                <w:kern w:val="0"/>
                <w:szCs w:val="21"/>
                <w:highlight w:val="none"/>
                <w:lang w:bidi="ar"/>
              </w:rPr>
              <w:t>0.</w:t>
            </w:r>
            <w:r>
              <w:rPr>
                <w:rFonts w:hint="eastAsia"/>
                <w:color w:val="auto"/>
                <w:kern w:val="0"/>
                <w:szCs w:val="21"/>
                <w:highlight w:val="none"/>
                <w:lang w:val="en-US" w:eastAsia="zh-CN" w:bidi="ar"/>
              </w:rPr>
              <w:t>090</w:t>
            </w:r>
          </w:p>
        </w:tc>
        <w:tc>
          <w:tcPr>
            <w:tcW w:w="1222" w:type="dxa"/>
            <w:vAlign w:val="center"/>
          </w:tcPr>
          <w:p>
            <w:pPr>
              <w:widowControl/>
              <w:jc w:val="center"/>
              <w:textAlignment w:val="center"/>
              <w:rPr>
                <w:rFonts w:hint="eastAsia" w:eastAsia="宋体"/>
                <w:color w:val="auto"/>
                <w:szCs w:val="21"/>
                <w:highlight w:val="none"/>
                <w:lang w:val="en-US" w:eastAsia="zh-CN"/>
              </w:rPr>
            </w:pPr>
            <w:r>
              <w:rPr>
                <w:color w:val="auto"/>
                <w:kern w:val="0"/>
                <w:szCs w:val="21"/>
                <w:highlight w:val="none"/>
                <w:lang w:bidi="ar"/>
              </w:rPr>
              <w:t>0.</w:t>
            </w:r>
            <w:r>
              <w:rPr>
                <w:rFonts w:hint="eastAsia"/>
                <w:color w:val="auto"/>
                <w:kern w:val="0"/>
                <w:szCs w:val="21"/>
                <w:highlight w:val="none"/>
                <w:lang w:val="en-US" w:eastAsia="zh-CN" w:bidi="ar"/>
              </w:rPr>
              <w:t>089</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exact"/>
          <w:jc w:val="center"/>
        </w:trPr>
        <w:tc>
          <w:tcPr>
            <w:tcW w:w="1105" w:type="dxa"/>
            <w:vMerge w:val="continue"/>
            <w:vAlign w:val="center"/>
          </w:tcPr>
          <w:p>
            <w:pPr>
              <w:widowControl/>
              <w:jc w:val="center"/>
              <w:textAlignment w:val="center"/>
              <w:rPr>
                <w:color w:val="auto"/>
                <w:kern w:val="0"/>
                <w:szCs w:val="21"/>
                <w:highlight w:val="none"/>
                <w:lang w:bidi="ar"/>
              </w:rPr>
            </w:pPr>
          </w:p>
        </w:tc>
        <w:tc>
          <w:tcPr>
            <w:tcW w:w="1106" w:type="dxa"/>
            <w:vAlign w:val="center"/>
          </w:tcPr>
          <w:p>
            <w:pPr>
              <w:widowControl/>
              <w:jc w:val="center"/>
              <w:textAlignment w:val="center"/>
              <w:rPr>
                <w:color w:val="auto"/>
                <w:kern w:val="0"/>
                <w:szCs w:val="21"/>
                <w:highlight w:val="none"/>
                <w:lang w:bidi="ar"/>
              </w:rPr>
            </w:pPr>
            <w:r>
              <w:rPr>
                <w:rFonts w:hint="eastAsia"/>
                <w:color w:val="auto"/>
                <w:szCs w:val="21"/>
                <w:highlight w:val="none"/>
              </w:rPr>
              <w:t>4</w:t>
            </w:r>
            <w:r>
              <w:rPr>
                <w:color w:val="auto"/>
                <w:szCs w:val="21"/>
                <w:highlight w:val="none"/>
              </w:rPr>
              <w:t>#</w:t>
            </w:r>
            <w:r>
              <w:rPr>
                <w:rFonts w:hint="eastAsia"/>
                <w:color w:val="auto"/>
                <w:szCs w:val="21"/>
                <w:highlight w:val="none"/>
              </w:rPr>
              <w:t>下风向</w:t>
            </w:r>
          </w:p>
        </w:tc>
        <w:tc>
          <w:tcPr>
            <w:tcW w:w="1106" w:type="dxa"/>
            <w:vAlign w:val="center"/>
          </w:tcPr>
          <w:p>
            <w:pPr>
              <w:widowControl/>
              <w:jc w:val="center"/>
              <w:textAlignment w:val="center"/>
              <w:rPr>
                <w:rFonts w:hint="eastAsia" w:eastAsia="宋体"/>
                <w:color w:val="auto"/>
                <w:szCs w:val="21"/>
                <w:highlight w:val="none"/>
                <w:lang w:val="en-US" w:eastAsia="zh-CN"/>
              </w:rPr>
            </w:pPr>
            <w:r>
              <w:rPr>
                <w:color w:val="auto"/>
                <w:kern w:val="0"/>
                <w:szCs w:val="21"/>
                <w:highlight w:val="none"/>
                <w:lang w:bidi="ar"/>
              </w:rPr>
              <w:t>0.</w:t>
            </w:r>
            <w:r>
              <w:rPr>
                <w:rFonts w:hint="eastAsia"/>
                <w:color w:val="auto"/>
                <w:kern w:val="0"/>
                <w:szCs w:val="21"/>
                <w:highlight w:val="none"/>
                <w:lang w:val="en-US" w:eastAsia="zh-CN" w:bidi="ar"/>
              </w:rPr>
              <w:t>083</w:t>
            </w:r>
          </w:p>
        </w:tc>
        <w:tc>
          <w:tcPr>
            <w:tcW w:w="1076" w:type="dxa"/>
            <w:vAlign w:val="center"/>
          </w:tcPr>
          <w:p>
            <w:pPr>
              <w:widowControl/>
              <w:jc w:val="center"/>
              <w:textAlignment w:val="center"/>
              <w:rPr>
                <w:rFonts w:hint="eastAsia" w:eastAsia="宋体"/>
                <w:color w:val="auto"/>
                <w:szCs w:val="21"/>
                <w:highlight w:val="none"/>
                <w:lang w:val="en-US" w:eastAsia="zh-CN"/>
              </w:rPr>
            </w:pPr>
            <w:r>
              <w:rPr>
                <w:color w:val="auto"/>
                <w:kern w:val="0"/>
                <w:szCs w:val="21"/>
                <w:highlight w:val="none"/>
                <w:lang w:bidi="ar"/>
              </w:rPr>
              <w:t>0.</w:t>
            </w:r>
            <w:r>
              <w:rPr>
                <w:rFonts w:hint="eastAsia"/>
                <w:color w:val="auto"/>
                <w:kern w:val="0"/>
                <w:szCs w:val="21"/>
                <w:highlight w:val="none"/>
                <w:lang w:val="en-US" w:eastAsia="zh-CN" w:bidi="ar"/>
              </w:rPr>
              <w:t>088</w:t>
            </w:r>
          </w:p>
        </w:tc>
        <w:tc>
          <w:tcPr>
            <w:tcW w:w="1181" w:type="dxa"/>
            <w:vAlign w:val="center"/>
          </w:tcPr>
          <w:p>
            <w:pPr>
              <w:widowControl/>
              <w:jc w:val="center"/>
              <w:textAlignment w:val="center"/>
              <w:rPr>
                <w:rFonts w:hint="eastAsia" w:eastAsia="宋体"/>
                <w:color w:val="auto"/>
                <w:szCs w:val="21"/>
                <w:highlight w:val="none"/>
                <w:lang w:val="en-US" w:eastAsia="zh-CN"/>
              </w:rPr>
            </w:pPr>
            <w:r>
              <w:rPr>
                <w:color w:val="auto"/>
                <w:kern w:val="0"/>
                <w:szCs w:val="21"/>
                <w:highlight w:val="none"/>
                <w:lang w:bidi="ar"/>
              </w:rPr>
              <w:t>0.</w:t>
            </w:r>
            <w:r>
              <w:rPr>
                <w:rFonts w:hint="eastAsia"/>
                <w:color w:val="auto"/>
                <w:kern w:val="0"/>
                <w:szCs w:val="21"/>
                <w:highlight w:val="none"/>
                <w:lang w:val="en-US" w:eastAsia="zh-CN" w:bidi="ar"/>
              </w:rPr>
              <w:t>092</w:t>
            </w:r>
          </w:p>
        </w:tc>
        <w:tc>
          <w:tcPr>
            <w:tcW w:w="1217" w:type="dxa"/>
            <w:vAlign w:val="center"/>
          </w:tcPr>
          <w:p>
            <w:pPr>
              <w:widowControl/>
              <w:jc w:val="center"/>
              <w:textAlignment w:val="center"/>
              <w:rPr>
                <w:rFonts w:hint="eastAsia" w:eastAsia="宋体"/>
                <w:color w:val="auto"/>
                <w:szCs w:val="21"/>
                <w:highlight w:val="none"/>
                <w:lang w:val="en-US" w:eastAsia="zh-CN"/>
              </w:rPr>
            </w:pPr>
            <w:r>
              <w:rPr>
                <w:color w:val="auto"/>
                <w:kern w:val="0"/>
                <w:szCs w:val="21"/>
                <w:highlight w:val="none"/>
                <w:lang w:bidi="ar"/>
              </w:rPr>
              <w:t>0.</w:t>
            </w:r>
            <w:r>
              <w:rPr>
                <w:rFonts w:hint="eastAsia"/>
                <w:color w:val="auto"/>
                <w:kern w:val="0"/>
                <w:szCs w:val="21"/>
                <w:highlight w:val="none"/>
                <w:lang w:val="en-US" w:eastAsia="zh-CN" w:bidi="ar"/>
              </w:rPr>
              <w:t>081</w:t>
            </w:r>
          </w:p>
        </w:tc>
        <w:tc>
          <w:tcPr>
            <w:tcW w:w="1217" w:type="dxa"/>
            <w:vAlign w:val="center"/>
          </w:tcPr>
          <w:p>
            <w:pPr>
              <w:widowControl/>
              <w:jc w:val="center"/>
              <w:textAlignment w:val="center"/>
              <w:rPr>
                <w:rFonts w:hint="eastAsia" w:eastAsia="宋体"/>
                <w:color w:val="auto"/>
                <w:szCs w:val="21"/>
                <w:highlight w:val="none"/>
                <w:lang w:val="en-US" w:eastAsia="zh-CN"/>
              </w:rPr>
            </w:pPr>
            <w:r>
              <w:rPr>
                <w:color w:val="auto"/>
                <w:kern w:val="0"/>
                <w:szCs w:val="21"/>
                <w:highlight w:val="none"/>
                <w:lang w:bidi="ar"/>
              </w:rPr>
              <w:t>0.</w:t>
            </w:r>
            <w:r>
              <w:rPr>
                <w:rFonts w:hint="eastAsia"/>
                <w:color w:val="auto"/>
                <w:kern w:val="0"/>
                <w:szCs w:val="21"/>
                <w:highlight w:val="none"/>
                <w:lang w:val="en-US" w:eastAsia="zh-CN" w:bidi="ar"/>
              </w:rPr>
              <w:t>084</w:t>
            </w:r>
          </w:p>
        </w:tc>
        <w:tc>
          <w:tcPr>
            <w:tcW w:w="1222" w:type="dxa"/>
            <w:vAlign w:val="center"/>
          </w:tcPr>
          <w:p>
            <w:pPr>
              <w:widowControl/>
              <w:jc w:val="center"/>
              <w:textAlignment w:val="center"/>
              <w:rPr>
                <w:rFonts w:hint="eastAsia" w:eastAsia="宋体"/>
                <w:color w:val="auto"/>
                <w:szCs w:val="21"/>
                <w:highlight w:val="none"/>
                <w:lang w:val="en-US" w:eastAsia="zh-CN"/>
              </w:rPr>
            </w:pPr>
            <w:r>
              <w:rPr>
                <w:color w:val="auto"/>
                <w:kern w:val="0"/>
                <w:szCs w:val="21"/>
                <w:highlight w:val="none"/>
                <w:lang w:bidi="ar"/>
              </w:rPr>
              <w:t>0.</w:t>
            </w:r>
            <w:r>
              <w:rPr>
                <w:rFonts w:hint="eastAsia"/>
                <w:color w:val="auto"/>
                <w:kern w:val="0"/>
                <w:szCs w:val="21"/>
                <w:highlight w:val="none"/>
                <w:lang w:val="en-US" w:eastAsia="zh-CN" w:bidi="ar"/>
              </w:rPr>
              <w:t>080</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exact"/>
          <w:jc w:val="center"/>
        </w:trPr>
        <w:tc>
          <w:tcPr>
            <w:tcW w:w="1105" w:type="dxa"/>
            <w:vMerge w:val="restart"/>
            <w:vAlign w:val="center"/>
          </w:tcPr>
          <w:p>
            <w:pPr>
              <w:widowControl/>
              <w:jc w:val="center"/>
              <w:textAlignment w:val="center"/>
              <w:rPr>
                <w:color w:val="auto"/>
                <w:kern w:val="0"/>
                <w:szCs w:val="21"/>
                <w:highlight w:val="none"/>
                <w:lang w:bidi="ar"/>
              </w:rPr>
            </w:pPr>
            <w:r>
              <w:rPr>
                <w:rFonts w:hint="eastAsia"/>
                <w:color w:val="auto"/>
                <w:kern w:val="0"/>
                <w:szCs w:val="21"/>
                <w:highlight w:val="none"/>
                <w:lang w:val="en-US" w:eastAsia="zh-CN"/>
              </w:rPr>
              <w:t>硫酸雾</w:t>
            </w:r>
            <w:r>
              <w:rPr>
                <w:color w:val="auto"/>
                <w:kern w:val="0"/>
                <w:szCs w:val="21"/>
                <w:highlight w:val="none"/>
              </w:rPr>
              <w:t>(mg/m</w:t>
            </w:r>
            <w:r>
              <w:rPr>
                <w:color w:val="auto"/>
                <w:kern w:val="0"/>
                <w:szCs w:val="21"/>
                <w:highlight w:val="none"/>
                <w:vertAlign w:val="superscript"/>
              </w:rPr>
              <w:t>3</w:t>
            </w:r>
            <w:r>
              <w:rPr>
                <w:color w:val="auto"/>
                <w:kern w:val="0"/>
                <w:szCs w:val="21"/>
                <w:highlight w:val="none"/>
              </w:rPr>
              <w:t>)</w:t>
            </w:r>
          </w:p>
        </w:tc>
        <w:tc>
          <w:tcPr>
            <w:tcW w:w="1106" w:type="dxa"/>
            <w:vAlign w:val="center"/>
          </w:tcPr>
          <w:p>
            <w:pPr>
              <w:widowControl/>
              <w:jc w:val="center"/>
              <w:textAlignment w:val="center"/>
              <w:rPr>
                <w:rFonts w:hint="eastAsia"/>
                <w:color w:val="auto"/>
                <w:szCs w:val="21"/>
                <w:highlight w:val="none"/>
              </w:rPr>
            </w:pPr>
            <w:r>
              <w:rPr>
                <w:color w:val="auto"/>
                <w:szCs w:val="21"/>
                <w:highlight w:val="none"/>
              </w:rPr>
              <w:t>1#</w:t>
            </w:r>
            <w:r>
              <w:rPr>
                <w:rFonts w:hint="eastAsia"/>
                <w:color w:val="auto"/>
                <w:szCs w:val="21"/>
                <w:highlight w:val="none"/>
              </w:rPr>
              <w:t>上风向</w:t>
            </w:r>
          </w:p>
        </w:tc>
        <w:tc>
          <w:tcPr>
            <w:tcW w:w="1106" w:type="dxa"/>
            <w:vAlign w:val="center"/>
          </w:tcPr>
          <w:p>
            <w:pPr>
              <w:widowControl/>
              <w:jc w:val="center"/>
              <w:textAlignment w:val="center"/>
              <w:rPr>
                <w:rFonts w:hint="eastAsia" w:eastAsia="宋体"/>
                <w:color w:val="auto"/>
                <w:kern w:val="0"/>
                <w:szCs w:val="21"/>
                <w:highlight w:val="none"/>
                <w:lang w:val="en-US" w:eastAsia="zh-CN" w:bidi="ar"/>
              </w:rPr>
            </w:pPr>
            <w:r>
              <w:rPr>
                <w:rFonts w:hint="eastAsia"/>
                <w:color w:val="auto"/>
                <w:kern w:val="0"/>
                <w:szCs w:val="21"/>
                <w:highlight w:val="none"/>
                <w:lang w:val="en-US" w:eastAsia="zh-CN" w:bidi="ar"/>
              </w:rPr>
              <w:t>0.028</w:t>
            </w:r>
          </w:p>
        </w:tc>
        <w:tc>
          <w:tcPr>
            <w:tcW w:w="1076" w:type="dxa"/>
            <w:vAlign w:val="center"/>
          </w:tcPr>
          <w:p>
            <w:pPr>
              <w:widowControl/>
              <w:jc w:val="center"/>
              <w:textAlignment w:val="center"/>
              <w:rPr>
                <w:color w:val="auto"/>
                <w:kern w:val="0"/>
                <w:szCs w:val="21"/>
                <w:highlight w:val="none"/>
                <w:lang w:val="en-US" w:bidi="ar"/>
              </w:rPr>
            </w:pPr>
            <w:r>
              <w:rPr>
                <w:rFonts w:hint="eastAsia"/>
                <w:color w:val="auto"/>
                <w:kern w:val="0"/>
                <w:szCs w:val="21"/>
                <w:highlight w:val="none"/>
                <w:lang w:val="en-US" w:eastAsia="zh-CN" w:bidi="ar"/>
              </w:rPr>
              <w:t>0.030</w:t>
            </w:r>
          </w:p>
        </w:tc>
        <w:tc>
          <w:tcPr>
            <w:tcW w:w="1181" w:type="dxa"/>
            <w:vAlign w:val="center"/>
          </w:tcPr>
          <w:p>
            <w:pPr>
              <w:widowControl/>
              <w:jc w:val="center"/>
              <w:textAlignment w:val="center"/>
              <w:rPr>
                <w:color w:val="auto"/>
                <w:kern w:val="0"/>
                <w:szCs w:val="21"/>
                <w:highlight w:val="none"/>
                <w:lang w:val="en-US" w:bidi="ar"/>
              </w:rPr>
            </w:pPr>
            <w:r>
              <w:rPr>
                <w:rFonts w:hint="eastAsia"/>
                <w:color w:val="auto"/>
                <w:kern w:val="0"/>
                <w:szCs w:val="21"/>
                <w:highlight w:val="none"/>
                <w:lang w:val="en-US" w:eastAsia="zh-CN" w:bidi="ar"/>
              </w:rPr>
              <w:t>0.029</w:t>
            </w:r>
          </w:p>
        </w:tc>
        <w:tc>
          <w:tcPr>
            <w:tcW w:w="1217" w:type="dxa"/>
            <w:vAlign w:val="center"/>
          </w:tcPr>
          <w:p>
            <w:pPr>
              <w:widowControl/>
              <w:jc w:val="center"/>
              <w:textAlignment w:val="center"/>
              <w:rPr>
                <w:color w:val="auto"/>
                <w:kern w:val="0"/>
                <w:szCs w:val="21"/>
                <w:highlight w:val="none"/>
                <w:lang w:val="en-US" w:bidi="ar"/>
              </w:rPr>
            </w:pPr>
            <w:r>
              <w:rPr>
                <w:rFonts w:hint="eastAsia"/>
                <w:color w:val="auto"/>
                <w:kern w:val="0"/>
                <w:szCs w:val="21"/>
                <w:highlight w:val="none"/>
                <w:lang w:val="en-US" w:eastAsia="zh-CN" w:bidi="ar"/>
              </w:rPr>
              <w:t>0.027</w:t>
            </w:r>
          </w:p>
        </w:tc>
        <w:tc>
          <w:tcPr>
            <w:tcW w:w="1217" w:type="dxa"/>
            <w:vAlign w:val="center"/>
          </w:tcPr>
          <w:p>
            <w:pPr>
              <w:widowControl/>
              <w:jc w:val="center"/>
              <w:textAlignment w:val="center"/>
              <w:rPr>
                <w:color w:val="auto"/>
                <w:kern w:val="0"/>
                <w:szCs w:val="21"/>
                <w:highlight w:val="none"/>
                <w:lang w:val="en-US" w:bidi="ar"/>
              </w:rPr>
            </w:pPr>
            <w:r>
              <w:rPr>
                <w:rFonts w:hint="eastAsia"/>
                <w:color w:val="auto"/>
                <w:kern w:val="0"/>
                <w:szCs w:val="21"/>
                <w:highlight w:val="none"/>
                <w:lang w:val="en-US" w:eastAsia="zh-CN" w:bidi="ar"/>
              </w:rPr>
              <w:t>0.030</w:t>
            </w:r>
          </w:p>
        </w:tc>
        <w:tc>
          <w:tcPr>
            <w:tcW w:w="1222" w:type="dxa"/>
            <w:vAlign w:val="center"/>
          </w:tcPr>
          <w:p>
            <w:pPr>
              <w:widowControl/>
              <w:jc w:val="center"/>
              <w:textAlignment w:val="center"/>
              <w:rPr>
                <w:color w:val="auto"/>
                <w:kern w:val="0"/>
                <w:szCs w:val="21"/>
                <w:highlight w:val="none"/>
                <w:lang w:val="en-US" w:bidi="ar"/>
              </w:rPr>
            </w:pPr>
            <w:r>
              <w:rPr>
                <w:rFonts w:hint="eastAsia"/>
                <w:color w:val="auto"/>
                <w:kern w:val="0"/>
                <w:szCs w:val="21"/>
                <w:highlight w:val="none"/>
                <w:lang w:val="en-US" w:eastAsia="zh-CN" w:bidi="ar"/>
              </w:rPr>
              <w:t>0.031</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exact"/>
          <w:jc w:val="center"/>
        </w:trPr>
        <w:tc>
          <w:tcPr>
            <w:tcW w:w="1105" w:type="dxa"/>
            <w:vMerge w:val="continue"/>
            <w:vAlign w:val="center"/>
          </w:tcPr>
          <w:p>
            <w:pPr>
              <w:widowControl/>
              <w:jc w:val="center"/>
              <w:textAlignment w:val="center"/>
              <w:rPr>
                <w:color w:val="auto"/>
                <w:kern w:val="0"/>
                <w:szCs w:val="21"/>
                <w:highlight w:val="none"/>
                <w:lang w:bidi="ar"/>
              </w:rPr>
            </w:pPr>
          </w:p>
        </w:tc>
        <w:tc>
          <w:tcPr>
            <w:tcW w:w="1106" w:type="dxa"/>
            <w:vAlign w:val="center"/>
          </w:tcPr>
          <w:p>
            <w:pPr>
              <w:widowControl/>
              <w:jc w:val="center"/>
              <w:textAlignment w:val="center"/>
              <w:rPr>
                <w:rFonts w:hint="eastAsia"/>
                <w:color w:val="auto"/>
                <w:szCs w:val="21"/>
                <w:highlight w:val="none"/>
              </w:rPr>
            </w:pPr>
            <w:r>
              <w:rPr>
                <w:color w:val="auto"/>
                <w:szCs w:val="21"/>
                <w:highlight w:val="none"/>
              </w:rPr>
              <w:t>2#</w:t>
            </w:r>
            <w:r>
              <w:rPr>
                <w:rFonts w:hint="eastAsia"/>
                <w:color w:val="auto"/>
                <w:szCs w:val="21"/>
                <w:highlight w:val="none"/>
              </w:rPr>
              <w:t>下风向</w:t>
            </w:r>
          </w:p>
        </w:tc>
        <w:tc>
          <w:tcPr>
            <w:tcW w:w="1106" w:type="dxa"/>
            <w:vAlign w:val="center"/>
          </w:tcPr>
          <w:p>
            <w:pPr>
              <w:widowControl/>
              <w:jc w:val="center"/>
              <w:textAlignment w:val="center"/>
              <w:rPr>
                <w:color w:val="auto"/>
                <w:kern w:val="0"/>
                <w:szCs w:val="21"/>
                <w:highlight w:val="none"/>
                <w:lang w:val="en-US" w:bidi="ar"/>
              </w:rPr>
            </w:pPr>
            <w:r>
              <w:rPr>
                <w:rFonts w:hint="eastAsia"/>
                <w:color w:val="auto"/>
                <w:kern w:val="0"/>
                <w:szCs w:val="21"/>
                <w:highlight w:val="none"/>
                <w:lang w:val="en-US" w:eastAsia="zh-CN" w:bidi="ar"/>
              </w:rPr>
              <w:t>0.036</w:t>
            </w:r>
          </w:p>
        </w:tc>
        <w:tc>
          <w:tcPr>
            <w:tcW w:w="1076" w:type="dxa"/>
            <w:vAlign w:val="center"/>
          </w:tcPr>
          <w:p>
            <w:pPr>
              <w:widowControl/>
              <w:jc w:val="center"/>
              <w:textAlignment w:val="center"/>
              <w:rPr>
                <w:color w:val="auto"/>
                <w:kern w:val="0"/>
                <w:szCs w:val="21"/>
                <w:highlight w:val="none"/>
                <w:lang w:val="en-US" w:bidi="ar"/>
              </w:rPr>
            </w:pPr>
            <w:r>
              <w:rPr>
                <w:rFonts w:hint="eastAsia"/>
                <w:color w:val="auto"/>
                <w:kern w:val="0"/>
                <w:szCs w:val="21"/>
                <w:highlight w:val="none"/>
                <w:lang w:val="en-US" w:eastAsia="zh-CN" w:bidi="ar"/>
              </w:rPr>
              <w:t>0.038</w:t>
            </w:r>
          </w:p>
        </w:tc>
        <w:tc>
          <w:tcPr>
            <w:tcW w:w="1181" w:type="dxa"/>
            <w:vAlign w:val="center"/>
          </w:tcPr>
          <w:p>
            <w:pPr>
              <w:widowControl/>
              <w:jc w:val="center"/>
              <w:textAlignment w:val="center"/>
              <w:rPr>
                <w:color w:val="auto"/>
                <w:kern w:val="0"/>
                <w:szCs w:val="21"/>
                <w:highlight w:val="none"/>
                <w:lang w:val="en-US" w:bidi="ar"/>
              </w:rPr>
            </w:pPr>
            <w:r>
              <w:rPr>
                <w:rFonts w:hint="eastAsia"/>
                <w:color w:val="auto"/>
                <w:kern w:val="0"/>
                <w:szCs w:val="21"/>
                <w:highlight w:val="none"/>
                <w:lang w:val="en-US" w:eastAsia="zh-CN" w:bidi="ar"/>
              </w:rPr>
              <w:t>0.041</w:t>
            </w:r>
          </w:p>
        </w:tc>
        <w:tc>
          <w:tcPr>
            <w:tcW w:w="1217" w:type="dxa"/>
            <w:vAlign w:val="center"/>
          </w:tcPr>
          <w:p>
            <w:pPr>
              <w:widowControl/>
              <w:jc w:val="center"/>
              <w:textAlignment w:val="center"/>
              <w:rPr>
                <w:color w:val="auto"/>
                <w:kern w:val="0"/>
                <w:szCs w:val="21"/>
                <w:highlight w:val="none"/>
                <w:lang w:val="en-US" w:bidi="ar"/>
              </w:rPr>
            </w:pPr>
            <w:r>
              <w:rPr>
                <w:rFonts w:hint="eastAsia"/>
                <w:color w:val="auto"/>
                <w:kern w:val="0"/>
                <w:szCs w:val="21"/>
                <w:highlight w:val="none"/>
                <w:lang w:val="en-US" w:eastAsia="zh-CN" w:bidi="ar"/>
              </w:rPr>
              <w:t>0.036</w:t>
            </w:r>
          </w:p>
        </w:tc>
        <w:tc>
          <w:tcPr>
            <w:tcW w:w="1217" w:type="dxa"/>
            <w:vAlign w:val="center"/>
          </w:tcPr>
          <w:p>
            <w:pPr>
              <w:widowControl/>
              <w:jc w:val="center"/>
              <w:textAlignment w:val="center"/>
              <w:rPr>
                <w:color w:val="auto"/>
                <w:kern w:val="0"/>
                <w:szCs w:val="21"/>
                <w:highlight w:val="none"/>
                <w:lang w:val="en-US" w:bidi="ar"/>
              </w:rPr>
            </w:pPr>
            <w:r>
              <w:rPr>
                <w:rFonts w:hint="eastAsia"/>
                <w:color w:val="auto"/>
                <w:kern w:val="0"/>
                <w:szCs w:val="21"/>
                <w:highlight w:val="none"/>
                <w:lang w:val="en-US" w:eastAsia="zh-CN" w:bidi="ar"/>
              </w:rPr>
              <w:t>0.037</w:t>
            </w:r>
          </w:p>
        </w:tc>
        <w:tc>
          <w:tcPr>
            <w:tcW w:w="1222" w:type="dxa"/>
            <w:vAlign w:val="center"/>
          </w:tcPr>
          <w:p>
            <w:pPr>
              <w:widowControl/>
              <w:jc w:val="center"/>
              <w:textAlignment w:val="center"/>
              <w:rPr>
                <w:color w:val="auto"/>
                <w:kern w:val="0"/>
                <w:szCs w:val="21"/>
                <w:highlight w:val="none"/>
                <w:lang w:val="en-US" w:bidi="ar"/>
              </w:rPr>
            </w:pPr>
            <w:r>
              <w:rPr>
                <w:rFonts w:hint="eastAsia"/>
                <w:color w:val="auto"/>
                <w:kern w:val="0"/>
                <w:szCs w:val="21"/>
                <w:highlight w:val="none"/>
                <w:lang w:val="en-US" w:eastAsia="zh-CN" w:bidi="ar"/>
              </w:rPr>
              <w:t>0.038</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exact"/>
          <w:jc w:val="center"/>
        </w:trPr>
        <w:tc>
          <w:tcPr>
            <w:tcW w:w="1105" w:type="dxa"/>
            <w:vMerge w:val="continue"/>
            <w:vAlign w:val="center"/>
          </w:tcPr>
          <w:p>
            <w:pPr>
              <w:widowControl/>
              <w:jc w:val="center"/>
              <w:textAlignment w:val="center"/>
              <w:rPr>
                <w:color w:val="auto"/>
                <w:kern w:val="0"/>
                <w:szCs w:val="21"/>
                <w:highlight w:val="none"/>
                <w:lang w:bidi="ar"/>
              </w:rPr>
            </w:pPr>
          </w:p>
        </w:tc>
        <w:tc>
          <w:tcPr>
            <w:tcW w:w="1106" w:type="dxa"/>
            <w:vAlign w:val="center"/>
          </w:tcPr>
          <w:p>
            <w:pPr>
              <w:widowControl/>
              <w:jc w:val="center"/>
              <w:textAlignment w:val="center"/>
              <w:rPr>
                <w:rFonts w:hint="eastAsia"/>
                <w:color w:val="auto"/>
                <w:szCs w:val="21"/>
                <w:highlight w:val="none"/>
              </w:rPr>
            </w:pPr>
            <w:r>
              <w:rPr>
                <w:color w:val="auto"/>
                <w:szCs w:val="21"/>
                <w:highlight w:val="none"/>
              </w:rPr>
              <w:t>3#</w:t>
            </w:r>
            <w:r>
              <w:rPr>
                <w:rFonts w:hint="eastAsia"/>
                <w:color w:val="auto"/>
                <w:szCs w:val="21"/>
                <w:highlight w:val="none"/>
              </w:rPr>
              <w:t>下风向</w:t>
            </w:r>
          </w:p>
        </w:tc>
        <w:tc>
          <w:tcPr>
            <w:tcW w:w="1106" w:type="dxa"/>
            <w:vAlign w:val="center"/>
          </w:tcPr>
          <w:p>
            <w:pPr>
              <w:widowControl/>
              <w:jc w:val="center"/>
              <w:textAlignment w:val="center"/>
              <w:rPr>
                <w:color w:val="auto"/>
                <w:kern w:val="0"/>
                <w:szCs w:val="21"/>
                <w:highlight w:val="none"/>
                <w:lang w:val="en-US" w:bidi="ar"/>
              </w:rPr>
            </w:pPr>
            <w:r>
              <w:rPr>
                <w:rFonts w:hint="eastAsia"/>
                <w:color w:val="auto"/>
                <w:kern w:val="0"/>
                <w:szCs w:val="21"/>
                <w:highlight w:val="none"/>
                <w:lang w:val="en-US" w:eastAsia="zh-CN" w:bidi="ar"/>
              </w:rPr>
              <w:t>0.044</w:t>
            </w:r>
          </w:p>
        </w:tc>
        <w:tc>
          <w:tcPr>
            <w:tcW w:w="1076" w:type="dxa"/>
            <w:vAlign w:val="center"/>
          </w:tcPr>
          <w:p>
            <w:pPr>
              <w:widowControl/>
              <w:jc w:val="center"/>
              <w:textAlignment w:val="center"/>
              <w:rPr>
                <w:color w:val="auto"/>
                <w:kern w:val="0"/>
                <w:szCs w:val="21"/>
                <w:highlight w:val="none"/>
                <w:lang w:val="en-US" w:bidi="ar"/>
              </w:rPr>
            </w:pPr>
            <w:r>
              <w:rPr>
                <w:rFonts w:hint="eastAsia"/>
                <w:color w:val="auto"/>
                <w:kern w:val="0"/>
                <w:szCs w:val="21"/>
                <w:highlight w:val="none"/>
                <w:lang w:val="en-US" w:eastAsia="zh-CN" w:bidi="ar"/>
              </w:rPr>
              <w:t>0.041</w:t>
            </w:r>
          </w:p>
        </w:tc>
        <w:tc>
          <w:tcPr>
            <w:tcW w:w="1181" w:type="dxa"/>
            <w:vAlign w:val="center"/>
          </w:tcPr>
          <w:p>
            <w:pPr>
              <w:widowControl/>
              <w:jc w:val="center"/>
              <w:textAlignment w:val="center"/>
              <w:rPr>
                <w:color w:val="auto"/>
                <w:kern w:val="0"/>
                <w:szCs w:val="21"/>
                <w:highlight w:val="none"/>
                <w:lang w:val="en-US" w:bidi="ar"/>
              </w:rPr>
            </w:pPr>
            <w:r>
              <w:rPr>
                <w:rFonts w:hint="eastAsia"/>
                <w:color w:val="auto"/>
                <w:kern w:val="0"/>
                <w:szCs w:val="21"/>
                <w:highlight w:val="none"/>
                <w:lang w:val="en-US" w:eastAsia="zh-CN" w:bidi="ar"/>
              </w:rPr>
              <w:t>0.046</w:t>
            </w:r>
          </w:p>
        </w:tc>
        <w:tc>
          <w:tcPr>
            <w:tcW w:w="1217" w:type="dxa"/>
            <w:vAlign w:val="center"/>
          </w:tcPr>
          <w:p>
            <w:pPr>
              <w:widowControl/>
              <w:jc w:val="center"/>
              <w:textAlignment w:val="center"/>
              <w:rPr>
                <w:color w:val="auto"/>
                <w:kern w:val="0"/>
                <w:szCs w:val="21"/>
                <w:highlight w:val="none"/>
                <w:lang w:val="en-US" w:bidi="ar"/>
              </w:rPr>
            </w:pPr>
            <w:r>
              <w:rPr>
                <w:rFonts w:hint="eastAsia"/>
                <w:color w:val="auto"/>
                <w:kern w:val="0"/>
                <w:szCs w:val="21"/>
                <w:highlight w:val="none"/>
                <w:lang w:val="en-US" w:eastAsia="zh-CN" w:bidi="ar"/>
              </w:rPr>
              <w:t>0.038</w:t>
            </w:r>
          </w:p>
        </w:tc>
        <w:tc>
          <w:tcPr>
            <w:tcW w:w="1217" w:type="dxa"/>
            <w:vAlign w:val="center"/>
          </w:tcPr>
          <w:p>
            <w:pPr>
              <w:widowControl/>
              <w:jc w:val="center"/>
              <w:textAlignment w:val="center"/>
              <w:rPr>
                <w:color w:val="auto"/>
                <w:kern w:val="0"/>
                <w:szCs w:val="21"/>
                <w:highlight w:val="none"/>
                <w:lang w:val="en-US" w:bidi="ar"/>
              </w:rPr>
            </w:pPr>
            <w:r>
              <w:rPr>
                <w:rFonts w:hint="eastAsia"/>
                <w:color w:val="auto"/>
                <w:kern w:val="0"/>
                <w:szCs w:val="21"/>
                <w:highlight w:val="none"/>
                <w:lang w:val="en-US" w:eastAsia="zh-CN" w:bidi="ar"/>
              </w:rPr>
              <w:t>0.039</w:t>
            </w:r>
          </w:p>
        </w:tc>
        <w:tc>
          <w:tcPr>
            <w:tcW w:w="1222" w:type="dxa"/>
            <w:vAlign w:val="center"/>
          </w:tcPr>
          <w:p>
            <w:pPr>
              <w:widowControl/>
              <w:jc w:val="center"/>
              <w:textAlignment w:val="center"/>
              <w:rPr>
                <w:color w:val="auto"/>
                <w:kern w:val="0"/>
                <w:szCs w:val="21"/>
                <w:highlight w:val="none"/>
                <w:lang w:val="en-US" w:bidi="ar"/>
              </w:rPr>
            </w:pPr>
            <w:r>
              <w:rPr>
                <w:rFonts w:hint="eastAsia"/>
                <w:color w:val="auto"/>
                <w:kern w:val="0"/>
                <w:szCs w:val="21"/>
                <w:highlight w:val="none"/>
                <w:lang w:val="en-US" w:eastAsia="zh-CN" w:bidi="ar"/>
              </w:rPr>
              <w:t>0.037</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exact"/>
          <w:jc w:val="center"/>
        </w:trPr>
        <w:tc>
          <w:tcPr>
            <w:tcW w:w="1105" w:type="dxa"/>
            <w:vMerge w:val="continue"/>
            <w:vAlign w:val="center"/>
          </w:tcPr>
          <w:p>
            <w:pPr>
              <w:widowControl/>
              <w:jc w:val="center"/>
              <w:textAlignment w:val="center"/>
              <w:rPr>
                <w:color w:val="auto"/>
                <w:kern w:val="0"/>
                <w:szCs w:val="21"/>
                <w:highlight w:val="none"/>
                <w:lang w:bidi="ar"/>
              </w:rPr>
            </w:pPr>
          </w:p>
        </w:tc>
        <w:tc>
          <w:tcPr>
            <w:tcW w:w="1106" w:type="dxa"/>
            <w:vAlign w:val="center"/>
          </w:tcPr>
          <w:p>
            <w:pPr>
              <w:widowControl/>
              <w:jc w:val="center"/>
              <w:textAlignment w:val="center"/>
              <w:rPr>
                <w:rFonts w:hint="eastAsia"/>
                <w:color w:val="auto"/>
                <w:szCs w:val="21"/>
                <w:highlight w:val="none"/>
              </w:rPr>
            </w:pPr>
            <w:r>
              <w:rPr>
                <w:rFonts w:hint="eastAsia"/>
                <w:color w:val="auto"/>
                <w:szCs w:val="21"/>
                <w:highlight w:val="none"/>
              </w:rPr>
              <w:t>4</w:t>
            </w:r>
            <w:r>
              <w:rPr>
                <w:color w:val="auto"/>
                <w:szCs w:val="21"/>
                <w:highlight w:val="none"/>
              </w:rPr>
              <w:t>#</w:t>
            </w:r>
            <w:r>
              <w:rPr>
                <w:rFonts w:hint="eastAsia"/>
                <w:color w:val="auto"/>
                <w:szCs w:val="21"/>
                <w:highlight w:val="none"/>
              </w:rPr>
              <w:t>下风向</w:t>
            </w:r>
          </w:p>
        </w:tc>
        <w:tc>
          <w:tcPr>
            <w:tcW w:w="1106" w:type="dxa"/>
            <w:vAlign w:val="center"/>
          </w:tcPr>
          <w:p>
            <w:pPr>
              <w:widowControl/>
              <w:jc w:val="center"/>
              <w:textAlignment w:val="center"/>
              <w:rPr>
                <w:color w:val="auto"/>
                <w:kern w:val="0"/>
                <w:szCs w:val="21"/>
                <w:highlight w:val="none"/>
                <w:lang w:val="en-US" w:bidi="ar"/>
              </w:rPr>
            </w:pPr>
            <w:r>
              <w:rPr>
                <w:rFonts w:hint="eastAsia"/>
                <w:color w:val="auto"/>
                <w:kern w:val="0"/>
                <w:szCs w:val="21"/>
                <w:highlight w:val="none"/>
                <w:lang w:val="en-US" w:eastAsia="zh-CN" w:bidi="ar"/>
              </w:rPr>
              <w:t>0.036</w:t>
            </w:r>
          </w:p>
        </w:tc>
        <w:tc>
          <w:tcPr>
            <w:tcW w:w="1076" w:type="dxa"/>
            <w:vAlign w:val="center"/>
          </w:tcPr>
          <w:p>
            <w:pPr>
              <w:widowControl/>
              <w:jc w:val="center"/>
              <w:textAlignment w:val="center"/>
              <w:rPr>
                <w:color w:val="auto"/>
                <w:kern w:val="0"/>
                <w:szCs w:val="21"/>
                <w:highlight w:val="none"/>
                <w:lang w:val="en-US" w:bidi="ar"/>
              </w:rPr>
            </w:pPr>
            <w:r>
              <w:rPr>
                <w:rFonts w:hint="eastAsia"/>
                <w:color w:val="auto"/>
                <w:kern w:val="0"/>
                <w:szCs w:val="21"/>
                <w:highlight w:val="none"/>
                <w:lang w:val="en-US" w:eastAsia="zh-CN" w:bidi="ar"/>
              </w:rPr>
              <w:t>0.039</w:t>
            </w:r>
          </w:p>
        </w:tc>
        <w:tc>
          <w:tcPr>
            <w:tcW w:w="1181" w:type="dxa"/>
            <w:vAlign w:val="center"/>
          </w:tcPr>
          <w:p>
            <w:pPr>
              <w:widowControl/>
              <w:jc w:val="center"/>
              <w:textAlignment w:val="center"/>
              <w:rPr>
                <w:color w:val="auto"/>
                <w:kern w:val="0"/>
                <w:szCs w:val="21"/>
                <w:highlight w:val="none"/>
                <w:lang w:val="en-US" w:bidi="ar"/>
              </w:rPr>
            </w:pPr>
            <w:r>
              <w:rPr>
                <w:rFonts w:hint="eastAsia"/>
                <w:color w:val="auto"/>
                <w:kern w:val="0"/>
                <w:szCs w:val="21"/>
                <w:highlight w:val="none"/>
                <w:lang w:val="en-US" w:eastAsia="zh-CN" w:bidi="ar"/>
              </w:rPr>
              <w:t>0.044</w:t>
            </w:r>
          </w:p>
        </w:tc>
        <w:tc>
          <w:tcPr>
            <w:tcW w:w="1217" w:type="dxa"/>
            <w:vAlign w:val="center"/>
          </w:tcPr>
          <w:p>
            <w:pPr>
              <w:widowControl/>
              <w:jc w:val="center"/>
              <w:textAlignment w:val="center"/>
              <w:rPr>
                <w:color w:val="auto"/>
                <w:kern w:val="0"/>
                <w:szCs w:val="21"/>
                <w:highlight w:val="none"/>
                <w:lang w:val="en-US" w:bidi="ar"/>
              </w:rPr>
            </w:pPr>
            <w:r>
              <w:rPr>
                <w:rFonts w:hint="eastAsia"/>
                <w:color w:val="auto"/>
                <w:kern w:val="0"/>
                <w:szCs w:val="21"/>
                <w:highlight w:val="none"/>
                <w:lang w:val="en-US" w:eastAsia="zh-CN" w:bidi="ar"/>
              </w:rPr>
              <w:t>0.042</w:t>
            </w:r>
          </w:p>
        </w:tc>
        <w:tc>
          <w:tcPr>
            <w:tcW w:w="1217" w:type="dxa"/>
            <w:vAlign w:val="center"/>
          </w:tcPr>
          <w:p>
            <w:pPr>
              <w:widowControl/>
              <w:jc w:val="center"/>
              <w:textAlignment w:val="center"/>
              <w:rPr>
                <w:color w:val="auto"/>
                <w:kern w:val="0"/>
                <w:szCs w:val="21"/>
                <w:highlight w:val="none"/>
                <w:lang w:val="en-US" w:bidi="ar"/>
              </w:rPr>
            </w:pPr>
            <w:r>
              <w:rPr>
                <w:rFonts w:hint="eastAsia"/>
                <w:color w:val="auto"/>
                <w:kern w:val="0"/>
                <w:szCs w:val="21"/>
                <w:highlight w:val="none"/>
                <w:lang w:val="en-US" w:eastAsia="zh-CN" w:bidi="ar"/>
              </w:rPr>
              <w:t>0.047</w:t>
            </w:r>
          </w:p>
        </w:tc>
        <w:tc>
          <w:tcPr>
            <w:tcW w:w="1222" w:type="dxa"/>
            <w:vAlign w:val="center"/>
          </w:tcPr>
          <w:p>
            <w:pPr>
              <w:widowControl/>
              <w:jc w:val="center"/>
              <w:textAlignment w:val="center"/>
              <w:rPr>
                <w:color w:val="auto"/>
                <w:kern w:val="0"/>
                <w:szCs w:val="21"/>
                <w:highlight w:val="none"/>
                <w:lang w:val="en-US" w:bidi="ar"/>
              </w:rPr>
            </w:pPr>
            <w:r>
              <w:rPr>
                <w:rFonts w:hint="eastAsia"/>
                <w:color w:val="auto"/>
                <w:kern w:val="0"/>
                <w:szCs w:val="21"/>
                <w:highlight w:val="none"/>
                <w:lang w:val="en-US" w:eastAsia="zh-CN" w:bidi="ar"/>
              </w:rPr>
              <w:t>0.045</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exact"/>
          <w:jc w:val="center"/>
        </w:trPr>
        <w:tc>
          <w:tcPr>
            <w:tcW w:w="1105" w:type="dxa"/>
            <w:vMerge w:val="restart"/>
            <w:vAlign w:val="center"/>
          </w:tcPr>
          <w:p>
            <w:pPr>
              <w:widowControl/>
              <w:jc w:val="center"/>
              <w:textAlignment w:val="center"/>
              <w:rPr>
                <w:color w:val="auto"/>
                <w:kern w:val="0"/>
                <w:szCs w:val="21"/>
                <w:highlight w:val="none"/>
                <w:lang w:bidi="ar"/>
              </w:rPr>
            </w:pPr>
            <w:r>
              <w:rPr>
                <w:rFonts w:hint="eastAsia"/>
                <w:color w:val="auto"/>
                <w:kern w:val="0"/>
                <w:szCs w:val="21"/>
                <w:highlight w:val="none"/>
                <w:lang w:val="en-US" w:eastAsia="zh-CN"/>
              </w:rPr>
              <w:t>铬酸雾</w:t>
            </w:r>
            <w:r>
              <w:rPr>
                <w:color w:val="auto"/>
                <w:kern w:val="0"/>
                <w:szCs w:val="21"/>
                <w:highlight w:val="none"/>
              </w:rPr>
              <w:t>(mg/m</w:t>
            </w:r>
            <w:r>
              <w:rPr>
                <w:color w:val="auto"/>
                <w:kern w:val="0"/>
                <w:szCs w:val="21"/>
                <w:highlight w:val="none"/>
                <w:vertAlign w:val="superscript"/>
              </w:rPr>
              <w:t>3</w:t>
            </w:r>
            <w:r>
              <w:rPr>
                <w:color w:val="auto"/>
                <w:kern w:val="0"/>
                <w:szCs w:val="21"/>
                <w:highlight w:val="none"/>
              </w:rPr>
              <w:t>)</w:t>
            </w:r>
          </w:p>
        </w:tc>
        <w:tc>
          <w:tcPr>
            <w:tcW w:w="1106" w:type="dxa"/>
            <w:vAlign w:val="center"/>
          </w:tcPr>
          <w:p>
            <w:pPr>
              <w:widowControl/>
              <w:jc w:val="center"/>
              <w:textAlignment w:val="center"/>
              <w:rPr>
                <w:rFonts w:hint="eastAsia"/>
                <w:color w:val="auto"/>
                <w:szCs w:val="21"/>
                <w:highlight w:val="none"/>
              </w:rPr>
            </w:pPr>
            <w:r>
              <w:rPr>
                <w:color w:val="auto"/>
                <w:szCs w:val="21"/>
                <w:highlight w:val="none"/>
              </w:rPr>
              <w:t>1#</w:t>
            </w:r>
            <w:r>
              <w:rPr>
                <w:rFonts w:hint="eastAsia"/>
                <w:color w:val="auto"/>
                <w:szCs w:val="21"/>
                <w:highlight w:val="none"/>
              </w:rPr>
              <w:t>上风向</w:t>
            </w:r>
          </w:p>
        </w:tc>
        <w:tc>
          <w:tcPr>
            <w:tcW w:w="1106" w:type="dxa"/>
            <w:vAlign w:val="center"/>
          </w:tcPr>
          <w:p>
            <w:pPr>
              <w:widowControl/>
              <w:jc w:val="center"/>
              <w:textAlignment w:val="center"/>
              <w:rPr>
                <w:color w:val="auto"/>
                <w:kern w:val="0"/>
                <w:szCs w:val="21"/>
                <w:highlight w:val="none"/>
                <w:lang w:bidi="ar"/>
              </w:rPr>
            </w:pPr>
            <w:r>
              <w:rPr>
                <w:rFonts w:hint="eastAsia"/>
                <w:color w:val="auto"/>
                <w:kern w:val="0"/>
                <w:szCs w:val="21"/>
                <w:highlight w:val="none"/>
                <w:lang w:val="en-US" w:eastAsia="zh-CN" w:bidi="ar"/>
              </w:rPr>
              <w:t>未检出</w:t>
            </w:r>
          </w:p>
        </w:tc>
        <w:tc>
          <w:tcPr>
            <w:tcW w:w="1076" w:type="dxa"/>
            <w:vAlign w:val="center"/>
          </w:tcPr>
          <w:p>
            <w:pPr>
              <w:widowControl/>
              <w:jc w:val="center"/>
              <w:textAlignment w:val="center"/>
              <w:rPr>
                <w:color w:val="auto"/>
                <w:kern w:val="0"/>
                <w:szCs w:val="21"/>
                <w:highlight w:val="none"/>
                <w:lang w:bidi="ar"/>
              </w:rPr>
            </w:pPr>
            <w:r>
              <w:rPr>
                <w:rFonts w:hint="eastAsia"/>
                <w:color w:val="auto"/>
                <w:kern w:val="0"/>
                <w:szCs w:val="21"/>
                <w:highlight w:val="none"/>
                <w:lang w:val="en-US" w:eastAsia="zh-CN" w:bidi="ar"/>
              </w:rPr>
              <w:t>未检出</w:t>
            </w:r>
          </w:p>
        </w:tc>
        <w:tc>
          <w:tcPr>
            <w:tcW w:w="1181" w:type="dxa"/>
            <w:vAlign w:val="center"/>
          </w:tcPr>
          <w:p>
            <w:pPr>
              <w:widowControl/>
              <w:jc w:val="center"/>
              <w:textAlignment w:val="center"/>
              <w:rPr>
                <w:color w:val="auto"/>
                <w:kern w:val="0"/>
                <w:szCs w:val="21"/>
                <w:highlight w:val="none"/>
                <w:lang w:bidi="ar"/>
              </w:rPr>
            </w:pPr>
            <w:r>
              <w:rPr>
                <w:rFonts w:hint="eastAsia"/>
                <w:color w:val="auto"/>
                <w:kern w:val="0"/>
                <w:szCs w:val="21"/>
                <w:highlight w:val="none"/>
                <w:lang w:val="en-US" w:eastAsia="zh-CN" w:bidi="ar"/>
              </w:rPr>
              <w:t>未检出</w:t>
            </w:r>
          </w:p>
        </w:tc>
        <w:tc>
          <w:tcPr>
            <w:tcW w:w="1217" w:type="dxa"/>
            <w:vAlign w:val="center"/>
          </w:tcPr>
          <w:p>
            <w:pPr>
              <w:widowControl/>
              <w:jc w:val="center"/>
              <w:textAlignment w:val="center"/>
              <w:rPr>
                <w:color w:val="auto"/>
                <w:kern w:val="0"/>
                <w:szCs w:val="21"/>
                <w:highlight w:val="none"/>
                <w:lang w:bidi="ar"/>
              </w:rPr>
            </w:pPr>
            <w:r>
              <w:rPr>
                <w:rFonts w:hint="eastAsia"/>
                <w:color w:val="auto"/>
                <w:kern w:val="0"/>
                <w:szCs w:val="21"/>
                <w:highlight w:val="none"/>
                <w:lang w:val="en-US" w:eastAsia="zh-CN" w:bidi="ar"/>
              </w:rPr>
              <w:t>未检出</w:t>
            </w:r>
          </w:p>
        </w:tc>
        <w:tc>
          <w:tcPr>
            <w:tcW w:w="1217" w:type="dxa"/>
            <w:vAlign w:val="center"/>
          </w:tcPr>
          <w:p>
            <w:pPr>
              <w:widowControl/>
              <w:jc w:val="center"/>
              <w:textAlignment w:val="center"/>
              <w:rPr>
                <w:color w:val="auto"/>
                <w:kern w:val="0"/>
                <w:szCs w:val="21"/>
                <w:highlight w:val="none"/>
                <w:lang w:bidi="ar"/>
              </w:rPr>
            </w:pPr>
            <w:r>
              <w:rPr>
                <w:rFonts w:hint="eastAsia"/>
                <w:color w:val="auto"/>
                <w:kern w:val="0"/>
                <w:szCs w:val="21"/>
                <w:highlight w:val="none"/>
                <w:lang w:val="en-US" w:eastAsia="zh-CN" w:bidi="ar"/>
              </w:rPr>
              <w:t>未检出</w:t>
            </w:r>
          </w:p>
        </w:tc>
        <w:tc>
          <w:tcPr>
            <w:tcW w:w="1222" w:type="dxa"/>
            <w:vAlign w:val="center"/>
          </w:tcPr>
          <w:p>
            <w:pPr>
              <w:widowControl/>
              <w:jc w:val="center"/>
              <w:textAlignment w:val="center"/>
              <w:rPr>
                <w:color w:val="auto"/>
                <w:kern w:val="0"/>
                <w:szCs w:val="21"/>
                <w:highlight w:val="none"/>
                <w:lang w:bidi="ar"/>
              </w:rPr>
            </w:pPr>
            <w:r>
              <w:rPr>
                <w:rFonts w:hint="eastAsia"/>
                <w:color w:val="auto"/>
                <w:kern w:val="0"/>
                <w:szCs w:val="21"/>
                <w:highlight w:val="none"/>
                <w:lang w:val="en-US" w:eastAsia="zh-CN" w:bidi="ar"/>
              </w:rPr>
              <w:t>未检出</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exact"/>
          <w:jc w:val="center"/>
        </w:trPr>
        <w:tc>
          <w:tcPr>
            <w:tcW w:w="1105" w:type="dxa"/>
            <w:vMerge w:val="continue"/>
            <w:vAlign w:val="center"/>
          </w:tcPr>
          <w:p>
            <w:pPr>
              <w:widowControl/>
              <w:jc w:val="center"/>
              <w:textAlignment w:val="center"/>
              <w:rPr>
                <w:color w:val="auto"/>
                <w:kern w:val="0"/>
                <w:szCs w:val="21"/>
                <w:highlight w:val="none"/>
                <w:lang w:bidi="ar"/>
              </w:rPr>
            </w:pPr>
          </w:p>
        </w:tc>
        <w:tc>
          <w:tcPr>
            <w:tcW w:w="1106" w:type="dxa"/>
            <w:vAlign w:val="center"/>
          </w:tcPr>
          <w:p>
            <w:pPr>
              <w:widowControl/>
              <w:jc w:val="center"/>
              <w:textAlignment w:val="center"/>
              <w:rPr>
                <w:rFonts w:hint="eastAsia"/>
                <w:color w:val="auto"/>
                <w:szCs w:val="21"/>
                <w:highlight w:val="none"/>
              </w:rPr>
            </w:pPr>
            <w:r>
              <w:rPr>
                <w:color w:val="auto"/>
                <w:szCs w:val="21"/>
                <w:highlight w:val="none"/>
              </w:rPr>
              <w:t>2#</w:t>
            </w:r>
            <w:r>
              <w:rPr>
                <w:rFonts w:hint="eastAsia"/>
                <w:color w:val="auto"/>
                <w:szCs w:val="21"/>
                <w:highlight w:val="none"/>
              </w:rPr>
              <w:t>下风向</w:t>
            </w:r>
          </w:p>
        </w:tc>
        <w:tc>
          <w:tcPr>
            <w:tcW w:w="1106" w:type="dxa"/>
            <w:vAlign w:val="center"/>
          </w:tcPr>
          <w:p>
            <w:pPr>
              <w:widowControl/>
              <w:jc w:val="center"/>
              <w:textAlignment w:val="center"/>
              <w:rPr>
                <w:color w:val="auto"/>
                <w:kern w:val="0"/>
                <w:szCs w:val="21"/>
                <w:highlight w:val="none"/>
                <w:lang w:bidi="ar"/>
              </w:rPr>
            </w:pPr>
            <w:r>
              <w:rPr>
                <w:rFonts w:hint="eastAsia"/>
                <w:color w:val="auto"/>
                <w:kern w:val="0"/>
                <w:szCs w:val="21"/>
                <w:highlight w:val="none"/>
                <w:lang w:val="en-US" w:eastAsia="zh-CN" w:bidi="ar"/>
              </w:rPr>
              <w:t>未检出</w:t>
            </w:r>
          </w:p>
        </w:tc>
        <w:tc>
          <w:tcPr>
            <w:tcW w:w="1076" w:type="dxa"/>
            <w:vAlign w:val="center"/>
          </w:tcPr>
          <w:p>
            <w:pPr>
              <w:widowControl/>
              <w:jc w:val="center"/>
              <w:textAlignment w:val="center"/>
              <w:rPr>
                <w:color w:val="auto"/>
                <w:kern w:val="0"/>
                <w:szCs w:val="21"/>
                <w:highlight w:val="none"/>
                <w:lang w:bidi="ar"/>
              </w:rPr>
            </w:pPr>
            <w:r>
              <w:rPr>
                <w:rFonts w:hint="eastAsia"/>
                <w:color w:val="auto"/>
                <w:kern w:val="0"/>
                <w:szCs w:val="21"/>
                <w:highlight w:val="none"/>
                <w:lang w:val="en-US" w:eastAsia="zh-CN" w:bidi="ar"/>
              </w:rPr>
              <w:t>未检出</w:t>
            </w:r>
          </w:p>
        </w:tc>
        <w:tc>
          <w:tcPr>
            <w:tcW w:w="1181" w:type="dxa"/>
            <w:vAlign w:val="center"/>
          </w:tcPr>
          <w:p>
            <w:pPr>
              <w:widowControl/>
              <w:jc w:val="center"/>
              <w:textAlignment w:val="center"/>
              <w:rPr>
                <w:color w:val="auto"/>
                <w:kern w:val="0"/>
                <w:szCs w:val="21"/>
                <w:highlight w:val="none"/>
                <w:lang w:bidi="ar"/>
              </w:rPr>
            </w:pPr>
            <w:r>
              <w:rPr>
                <w:rFonts w:hint="eastAsia"/>
                <w:color w:val="auto"/>
                <w:kern w:val="0"/>
                <w:szCs w:val="21"/>
                <w:highlight w:val="none"/>
                <w:lang w:val="en-US" w:eastAsia="zh-CN" w:bidi="ar"/>
              </w:rPr>
              <w:t>未检出</w:t>
            </w:r>
          </w:p>
        </w:tc>
        <w:tc>
          <w:tcPr>
            <w:tcW w:w="1217" w:type="dxa"/>
            <w:vAlign w:val="center"/>
          </w:tcPr>
          <w:p>
            <w:pPr>
              <w:widowControl/>
              <w:jc w:val="center"/>
              <w:textAlignment w:val="center"/>
              <w:rPr>
                <w:color w:val="auto"/>
                <w:kern w:val="0"/>
                <w:szCs w:val="21"/>
                <w:highlight w:val="none"/>
                <w:lang w:bidi="ar"/>
              </w:rPr>
            </w:pPr>
            <w:r>
              <w:rPr>
                <w:rFonts w:hint="eastAsia"/>
                <w:color w:val="auto"/>
                <w:kern w:val="0"/>
                <w:szCs w:val="21"/>
                <w:highlight w:val="none"/>
                <w:lang w:val="en-US" w:eastAsia="zh-CN" w:bidi="ar"/>
              </w:rPr>
              <w:t>未检出</w:t>
            </w:r>
          </w:p>
        </w:tc>
        <w:tc>
          <w:tcPr>
            <w:tcW w:w="1217" w:type="dxa"/>
            <w:vAlign w:val="center"/>
          </w:tcPr>
          <w:p>
            <w:pPr>
              <w:widowControl/>
              <w:jc w:val="center"/>
              <w:textAlignment w:val="center"/>
              <w:rPr>
                <w:color w:val="auto"/>
                <w:kern w:val="0"/>
                <w:szCs w:val="21"/>
                <w:highlight w:val="none"/>
                <w:lang w:bidi="ar"/>
              </w:rPr>
            </w:pPr>
            <w:r>
              <w:rPr>
                <w:rFonts w:hint="eastAsia"/>
                <w:color w:val="auto"/>
                <w:kern w:val="0"/>
                <w:szCs w:val="21"/>
                <w:highlight w:val="none"/>
                <w:lang w:val="en-US" w:eastAsia="zh-CN" w:bidi="ar"/>
              </w:rPr>
              <w:t>未检出</w:t>
            </w:r>
          </w:p>
        </w:tc>
        <w:tc>
          <w:tcPr>
            <w:tcW w:w="1222" w:type="dxa"/>
            <w:vAlign w:val="center"/>
          </w:tcPr>
          <w:p>
            <w:pPr>
              <w:widowControl/>
              <w:jc w:val="center"/>
              <w:textAlignment w:val="center"/>
              <w:rPr>
                <w:color w:val="auto"/>
                <w:kern w:val="0"/>
                <w:szCs w:val="21"/>
                <w:highlight w:val="none"/>
                <w:lang w:bidi="ar"/>
              </w:rPr>
            </w:pPr>
            <w:r>
              <w:rPr>
                <w:rFonts w:hint="eastAsia"/>
                <w:color w:val="auto"/>
                <w:kern w:val="0"/>
                <w:szCs w:val="21"/>
                <w:highlight w:val="none"/>
                <w:lang w:val="en-US" w:eastAsia="zh-CN" w:bidi="ar"/>
              </w:rPr>
              <w:t>未检出</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exact"/>
          <w:jc w:val="center"/>
        </w:trPr>
        <w:tc>
          <w:tcPr>
            <w:tcW w:w="1105" w:type="dxa"/>
            <w:vMerge w:val="continue"/>
            <w:vAlign w:val="center"/>
          </w:tcPr>
          <w:p>
            <w:pPr>
              <w:widowControl/>
              <w:jc w:val="center"/>
              <w:textAlignment w:val="center"/>
              <w:rPr>
                <w:color w:val="auto"/>
                <w:kern w:val="0"/>
                <w:szCs w:val="21"/>
                <w:highlight w:val="none"/>
                <w:lang w:bidi="ar"/>
              </w:rPr>
            </w:pPr>
          </w:p>
        </w:tc>
        <w:tc>
          <w:tcPr>
            <w:tcW w:w="1106" w:type="dxa"/>
            <w:vAlign w:val="center"/>
          </w:tcPr>
          <w:p>
            <w:pPr>
              <w:widowControl/>
              <w:jc w:val="center"/>
              <w:textAlignment w:val="center"/>
              <w:rPr>
                <w:rFonts w:hint="eastAsia"/>
                <w:color w:val="auto"/>
                <w:szCs w:val="21"/>
                <w:highlight w:val="none"/>
              </w:rPr>
            </w:pPr>
            <w:r>
              <w:rPr>
                <w:color w:val="auto"/>
                <w:szCs w:val="21"/>
                <w:highlight w:val="none"/>
              </w:rPr>
              <w:t>3#</w:t>
            </w:r>
            <w:r>
              <w:rPr>
                <w:rFonts w:hint="eastAsia"/>
                <w:color w:val="auto"/>
                <w:szCs w:val="21"/>
                <w:highlight w:val="none"/>
              </w:rPr>
              <w:t>下风向</w:t>
            </w:r>
          </w:p>
        </w:tc>
        <w:tc>
          <w:tcPr>
            <w:tcW w:w="1106" w:type="dxa"/>
            <w:vAlign w:val="center"/>
          </w:tcPr>
          <w:p>
            <w:pPr>
              <w:widowControl/>
              <w:jc w:val="center"/>
              <w:textAlignment w:val="center"/>
              <w:rPr>
                <w:color w:val="auto"/>
                <w:kern w:val="0"/>
                <w:szCs w:val="21"/>
                <w:highlight w:val="none"/>
                <w:lang w:bidi="ar"/>
              </w:rPr>
            </w:pPr>
            <w:r>
              <w:rPr>
                <w:rFonts w:hint="eastAsia"/>
                <w:color w:val="auto"/>
                <w:kern w:val="0"/>
                <w:szCs w:val="21"/>
                <w:highlight w:val="none"/>
                <w:lang w:val="en-US" w:eastAsia="zh-CN" w:bidi="ar"/>
              </w:rPr>
              <w:t>未检出</w:t>
            </w:r>
          </w:p>
        </w:tc>
        <w:tc>
          <w:tcPr>
            <w:tcW w:w="1076" w:type="dxa"/>
            <w:vAlign w:val="center"/>
          </w:tcPr>
          <w:p>
            <w:pPr>
              <w:widowControl/>
              <w:jc w:val="center"/>
              <w:textAlignment w:val="center"/>
              <w:rPr>
                <w:color w:val="auto"/>
                <w:kern w:val="0"/>
                <w:szCs w:val="21"/>
                <w:highlight w:val="none"/>
                <w:lang w:bidi="ar"/>
              </w:rPr>
            </w:pPr>
            <w:r>
              <w:rPr>
                <w:rFonts w:hint="eastAsia"/>
                <w:color w:val="auto"/>
                <w:kern w:val="0"/>
                <w:szCs w:val="21"/>
                <w:highlight w:val="none"/>
                <w:lang w:val="en-US" w:eastAsia="zh-CN" w:bidi="ar"/>
              </w:rPr>
              <w:t>未检出</w:t>
            </w:r>
          </w:p>
        </w:tc>
        <w:tc>
          <w:tcPr>
            <w:tcW w:w="1181" w:type="dxa"/>
            <w:vAlign w:val="center"/>
          </w:tcPr>
          <w:p>
            <w:pPr>
              <w:widowControl/>
              <w:jc w:val="center"/>
              <w:textAlignment w:val="center"/>
              <w:rPr>
                <w:color w:val="auto"/>
                <w:kern w:val="0"/>
                <w:szCs w:val="21"/>
                <w:highlight w:val="none"/>
                <w:lang w:bidi="ar"/>
              </w:rPr>
            </w:pPr>
            <w:r>
              <w:rPr>
                <w:rFonts w:hint="eastAsia"/>
                <w:color w:val="auto"/>
                <w:kern w:val="0"/>
                <w:szCs w:val="21"/>
                <w:highlight w:val="none"/>
                <w:lang w:val="en-US" w:eastAsia="zh-CN" w:bidi="ar"/>
              </w:rPr>
              <w:t>未检出</w:t>
            </w:r>
          </w:p>
        </w:tc>
        <w:tc>
          <w:tcPr>
            <w:tcW w:w="1217" w:type="dxa"/>
            <w:vAlign w:val="center"/>
          </w:tcPr>
          <w:p>
            <w:pPr>
              <w:widowControl/>
              <w:jc w:val="center"/>
              <w:textAlignment w:val="center"/>
              <w:rPr>
                <w:color w:val="auto"/>
                <w:kern w:val="0"/>
                <w:szCs w:val="21"/>
                <w:highlight w:val="none"/>
                <w:lang w:bidi="ar"/>
              </w:rPr>
            </w:pPr>
            <w:r>
              <w:rPr>
                <w:rFonts w:hint="eastAsia"/>
                <w:color w:val="auto"/>
                <w:kern w:val="0"/>
                <w:szCs w:val="21"/>
                <w:highlight w:val="none"/>
                <w:lang w:val="en-US" w:eastAsia="zh-CN" w:bidi="ar"/>
              </w:rPr>
              <w:t>未检出</w:t>
            </w:r>
          </w:p>
        </w:tc>
        <w:tc>
          <w:tcPr>
            <w:tcW w:w="1217" w:type="dxa"/>
            <w:vAlign w:val="center"/>
          </w:tcPr>
          <w:p>
            <w:pPr>
              <w:widowControl/>
              <w:jc w:val="center"/>
              <w:textAlignment w:val="center"/>
              <w:rPr>
                <w:color w:val="auto"/>
                <w:kern w:val="0"/>
                <w:szCs w:val="21"/>
                <w:highlight w:val="none"/>
                <w:lang w:bidi="ar"/>
              </w:rPr>
            </w:pPr>
            <w:r>
              <w:rPr>
                <w:rFonts w:hint="eastAsia"/>
                <w:color w:val="auto"/>
                <w:kern w:val="0"/>
                <w:szCs w:val="21"/>
                <w:highlight w:val="none"/>
                <w:lang w:val="en-US" w:eastAsia="zh-CN" w:bidi="ar"/>
              </w:rPr>
              <w:t>未检出</w:t>
            </w:r>
          </w:p>
        </w:tc>
        <w:tc>
          <w:tcPr>
            <w:tcW w:w="1222" w:type="dxa"/>
            <w:vAlign w:val="center"/>
          </w:tcPr>
          <w:p>
            <w:pPr>
              <w:widowControl/>
              <w:jc w:val="center"/>
              <w:textAlignment w:val="center"/>
              <w:rPr>
                <w:color w:val="auto"/>
                <w:kern w:val="0"/>
                <w:szCs w:val="21"/>
                <w:highlight w:val="none"/>
                <w:lang w:bidi="ar"/>
              </w:rPr>
            </w:pPr>
            <w:r>
              <w:rPr>
                <w:rFonts w:hint="eastAsia"/>
                <w:color w:val="auto"/>
                <w:kern w:val="0"/>
                <w:szCs w:val="21"/>
                <w:highlight w:val="none"/>
                <w:lang w:val="en-US" w:eastAsia="zh-CN" w:bidi="ar"/>
              </w:rPr>
              <w:t>未检出</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exact"/>
          <w:jc w:val="center"/>
        </w:trPr>
        <w:tc>
          <w:tcPr>
            <w:tcW w:w="1105" w:type="dxa"/>
            <w:vMerge w:val="continue"/>
            <w:vAlign w:val="center"/>
          </w:tcPr>
          <w:p>
            <w:pPr>
              <w:widowControl/>
              <w:jc w:val="center"/>
              <w:textAlignment w:val="center"/>
              <w:rPr>
                <w:color w:val="auto"/>
                <w:kern w:val="0"/>
                <w:szCs w:val="21"/>
                <w:highlight w:val="none"/>
                <w:lang w:bidi="ar"/>
              </w:rPr>
            </w:pPr>
          </w:p>
        </w:tc>
        <w:tc>
          <w:tcPr>
            <w:tcW w:w="1106" w:type="dxa"/>
            <w:vAlign w:val="center"/>
          </w:tcPr>
          <w:p>
            <w:pPr>
              <w:widowControl/>
              <w:jc w:val="center"/>
              <w:textAlignment w:val="center"/>
              <w:rPr>
                <w:rFonts w:hint="eastAsia"/>
                <w:color w:val="auto"/>
                <w:szCs w:val="21"/>
                <w:highlight w:val="none"/>
              </w:rPr>
            </w:pPr>
            <w:r>
              <w:rPr>
                <w:rFonts w:hint="eastAsia"/>
                <w:color w:val="auto"/>
                <w:szCs w:val="21"/>
                <w:highlight w:val="none"/>
              </w:rPr>
              <w:t>4</w:t>
            </w:r>
            <w:r>
              <w:rPr>
                <w:color w:val="auto"/>
                <w:szCs w:val="21"/>
                <w:highlight w:val="none"/>
              </w:rPr>
              <w:t>#</w:t>
            </w:r>
            <w:r>
              <w:rPr>
                <w:rFonts w:hint="eastAsia"/>
                <w:color w:val="auto"/>
                <w:szCs w:val="21"/>
                <w:highlight w:val="none"/>
              </w:rPr>
              <w:t>下风向</w:t>
            </w:r>
          </w:p>
        </w:tc>
        <w:tc>
          <w:tcPr>
            <w:tcW w:w="1106" w:type="dxa"/>
            <w:vAlign w:val="center"/>
          </w:tcPr>
          <w:p>
            <w:pPr>
              <w:widowControl/>
              <w:jc w:val="center"/>
              <w:textAlignment w:val="center"/>
              <w:rPr>
                <w:color w:val="auto"/>
                <w:kern w:val="0"/>
                <w:szCs w:val="21"/>
                <w:highlight w:val="none"/>
                <w:lang w:bidi="ar"/>
              </w:rPr>
            </w:pPr>
            <w:r>
              <w:rPr>
                <w:rFonts w:hint="eastAsia"/>
                <w:color w:val="auto"/>
                <w:kern w:val="0"/>
                <w:szCs w:val="21"/>
                <w:highlight w:val="none"/>
                <w:lang w:val="en-US" w:eastAsia="zh-CN" w:bidi="ar"/>
              </w:rPr>
              <w:t>未检出</w:t>
            </w:r>
          </w:p>
        </w:tc>
        <w:tc>
          <w:tcPr>
            <w:tcW w:w="1076" w:type="dxa"/>
            <w:vAlign w:val="center"/>
          </w:tcPr>
          <w:p>
            <w:pPr>
              <w:widowControl/>
              <w:jc w:val="center"/>
              <w:textAlignment w:val="center"/>
              <w:rPr>
                <w:color w:val="auto"/>
                <w:kern w:val="0"/>
                <w:szCs w:val="21"/>
                <w:highlight w:val="none"/>
                <w:lang w:bidi="ar"/>
              </w:rPr>
            </w:pPr>
            <w:r>
              <w:rPr>
                <w:rFonts w:hint="eastAsia"/>
                <w:color w:val="auto"/>
                <w:kern w:val="0"/>
                <w:szCs w:val="21"/>
                <w:highlight w:val="none"/>
                <w:lang w:val="en-US" w:eastAsia="zh-CN" w:bidi="ar"/>
              </w:rPr>
              <w:t>未检出</w:t>
            </w:r>
          </w:p>
        </w:tc>
        <w:tc>
          <w:tcPr>
            <w:tcW w:w="1181" w:type="dxa"/>
            <w:vAlign w:val="center"/>
          </w:tcPr>
          <w:p>
            <w:pPr>
              <w:widowControl/>
              <w:jc w:val="center"/>
              <w:textAlignment w:val="center"/>
              <w:rPr>
                <w:color w:val="auto"/>
                <w:kern w:val="0"/>
                <w:szCs w:val="21"/>
                <w:highlight w:val="none"/>
                <w:lang w:bidi="ar"/>
              </w:rPr>
            </w:pPr>
            <w:r>
              <w:rPr>
                <w:rFonts w:hint="eastAsia"/>
                <w:color w:val="auto"/>
                <w:kern w:val="0"/>
                <w:szCs w:val="21"/>
                <w:highlight w:val="none"/>
                <w:lang w:val="en-US" w:eastAsia="zh-CN" w:bidi="ar"/>
              </w:rPr>
              <w:t>未检出</w:t>
            </w:r>
          </w:p>
        </w:tc>
        <w:tc>
          <w:tcPr>
            <w:tcW w:w="1217" w:type="dxa"/>
            <w:vAlign w:val="center"/>
          </w:tcPr>
          <w:p>
            <w:pPr>
              <w:widowControl/>
              <w:jc w:val="center"/>
              <w:textAlignment w:val="center"/>
              <w:rPr>
                <w:color w:val="auto"/>
                <w:kern w:val="0"/>
                <w:szCs w:val="21"/>
                <w:highlight w:val="none"/>
                <w:lang w:bidi="ar"/>
              </w:rPr>
            </w:pPr>
            <w:r>
              <w:rPr>
                <w:rFonts w:hint="eastAsia"/>
                <w:color w:val="auto"/>
                <w:kern w:val="0"/>
                <w:szCs w:val="21"/>
                <w:highlight w:val="none"/>
                <w:lang w:val="en-US" w:eastAsia="zh-CN" w:bidi="ar"/>
              </w:rPr>
              <w:t>未检出</w:t>
            </w:r>
          </w:p>
        </w:tc>
        <w:tc>
          <w:tcPr>
            <w:tcW w:w="1217" w:type="dxa"/>
            <w:vAlign w:val="center"/>
          </w:tcPr>
          <w:p>
            <w:pPr>
              <w:widowControl/>
              <w:jc w:val="center"/>
              <w:textAlignment w:val="center"/>
              <w:rPr>
                <w:color w:val="auto"/>
                <w:kern w:val="0"/>
                <w:szCs w:val="21"/>
                <w:highlight w:val="none"/>
                <w:lang w:bidi="ar"/>
              </w:rPr>
            </w:pPr>
            <w:r>
              <w:rPr>
                <w:rFonts w:hint="eastAsia"/>
                <w:color w:val="auto"/>
                <w:kern w:val="0"/>
                <w:szCs w:val="21"/>
                <w:highlight w:val="none"/>
                <w:lang w:val="en-US" w:eastAsia="zh-CN" w:bidi="ar"/>
              </w:rPr>
              <w:t>未检出</w:t>
            </w:r>
          </w:p>
        </w:tc>
        <w:tc>
          <w:tcPr>
            <w:tcW w:w="1222" w:type="dxa"/>
            <w:vAlign w:val="center"/>
          </w:tcPr>
          <w:p>
            <w:pPr>
              <w:widowControl/>
              <w:jc w:val="center"/>
              <w:textAlignment w:val="center"/>
              <w:rPr>
                <w:color w:val="auto"/>
                <w:kern w:val="0"/>
                <w:szCs w:val="21"/>
                <w:highlight w:val="none"/>
                <w:lang w:bidi="ar"/>
              </w:rPr>
            </w:pPr>
            <w:r>
              <w:rPr>
                <w:rFonts w:hint="eastAsia"/>
                <w:color w:val="auto"/>
                <w:kern w:val="0"/>
                <w:szCs w:val="21"/>
                <w:highlight w:val="none"/>
                <w:lang w:val="en-US" w:eastAsia="zh-CN" w:bidi="ar"/>
              </w:rPr>
              <w:t>未检出</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exact"/>
          <w:jc w:val="center"/>
        </w:trPr>
        <w:tc>
          <w:tcPr>
            <w:tcW w:w="1105" w:type="dxa"/>
            <w:vMerge w:val="restart"/>
            <w:vAlign w:val="center"/>
          </w:tcPr>
          <w:p>
            <w:pPr>
              <w:widowControl/>
              <w:jc w:val="center"/>
              <w:textAlignment w:val="center"/>
              <w:rPr>
                <w:rFonts w:hint="default" w:ascii="Times New Roman" w:hAnsi="Times New Roman" w:cs="Times New Roman"/>
                <w:color w:val="auto"/>
                <w:sz w:val="21"/>
                <w:szCs w:val="21"/>
                <w:highlight w:val="none"/>
                <w:vertAlign w:val="subscript"/>
              </w:rPr>
            </w:pPr>
            <w:r>
              <w:rPr>
                <w:rFonts w:hint="default" w:ascii="Times New Roman" w:hAnsi="Times New Roman" w:cs="Times New Roman"/>
                <w:color w:val="auto"/>
                <w:sz w:val="21"/>
                <w:szCs w:val="21"/>
                <w:highlight w:val="none"/>
              </w:rPr>
              <w:t>NO</w:t>
            </w:r>
            <w:r>
              <w:rPr>
                <w:rFonts w:hint="default" w:ascii="Times New Roman" w:hAnsi="Times New Roman" w:cs="Times New Roman"/>
                <w:color w:val="auto"/>
                <w:sz w:val="21"/>
                <w:szCs w:val="21"/>
                <w:highlight w:val="none"/>
                <w:vertAlign w:val="subscript"/>
              </w:rPr>
              <w:t>x</w:t>
            </w:r>
          </w:p>
          <w:p>
            <w:pPr>
              <w:widowControl/>
              <w:jc w:val="center"/>
              <w:textAlignment w:val="center"/>
              <w:rPr>
                <w:color w:val="auto"/>
                <w:kern w:val="0"/>
                <w:szCs w:val="21"/>
                <w:highlight w:val="none"/>
                <w:lang w:bidi="ar"/>
              </w:rPr>
            </w:pPr>
            <w:r>
              <w:rPr>
                <w:color w:val="auto"/>
                <w:kern w:val="0"/>
                <w:szCs w:val="21"/>
                <w:highlight w:val="none"/>
              </w:rPr>
              <w:t>(mg/m</w:t>
            </w:r>
            <w:r>
              <w:rPr>
                <w:color w:val="auto"/>
                <w:kern w:val="0"/>
                <w:szCs w:val="21"/>
                <w:highlight w:val="none"/>
                <w:vertAlign w:val="superscript"/>
              </w:rPr>
              <w:t>3</w:t>
            </w:r>
            <w:r>
              <w:rPr>
                <w:color w:val="auto"/>
                <w:kern w:val="0"/>
                <w:szCs w:val="21"/>
                <w:highlight w:val="none"/>
              </w:rPr>
              <w:t>)</w:t>
            </w:r>
          </w:p>
        </w:tc>
        <w:tc>
          <w:tcPr>
            <w:tcW w:w="1106" w:type="dxa"/>
            <w:vAlign w:val="center"/>
          </w:tcPr>
          <w:p>
            <w:pPr>
              <w:widowControl/>
              <w:jc w:val="center"/>
              <w:textAlignment w:val="center"/>
              <w:rPr>
                <w:rFonts w:hint="eastAsia"/>
                <w:color w:val="auto"/>
                <w:szCs w:val="21"/>
                <w:highlight w:val="none"/>
              </w:rPr>
            </w:pPr>
            <w:r>
              <w:rPr>
                <w:color w:val="auto"/>
                <w:szCs w:val="21"/>
                <w:highlight w:val="none"/>
              </w:rPr>
              <w:t>1#</w:t>
            </w:r>
            <w:r>
              <w:rPr>
                <w:rFonts w:hint="eastAsia"/>
                <w:color w:val="auto"/>
                <w:szCs w:val="21"/>
                <w:highlight w:val="none"/>
              </w:rPr>
              <w:t>上风向</w:t>
            </w:r>
          </w:p>
        </w:tc>
        <w:tc>
          <w:tcPr>
            <w:tcW w:w="1106" w:type="dxa"/>
            <w:vAlign w:val="center"/>
          </w:tcPr>
          <w:p>
            <w:pPr>
              <w:widowControl/>
              <w:jc w:val="center"/>
              <w:textAlignment w:val="center"/>
              <w:rPr>
                <w:rFonts w:hint="eastAsia" w:eastAsia="宋体"/>
                <w:color w:val="auto"/>
                <w:kern w:val="0"/>
                <w:szCs w:val="21"/>
                <w:highlight w:val="none"/>
                <w:lang w:val="en-US" w:eastAsia="zh-CN" w:bidi="ar"/>
              </w:rPr>
            </w:pPr>
            <w:r>
              <w:rPr>
                <w:rFonts w:hint="eastAsia"/>
                <w:color w:val="auto"/>
                <w:kern w:val="0"/>
                <w:szCs w:val="21"/>
                <w:highlight w:val="none"/>
                <w:lang w:val="en-US" w:eastAsia="zh-CN" w:bidi="ar"/>
              </w:rPr>
              <w:t>0.061</w:t>
            </w:r>
          </w:p>
        </w:tc>
        <w:tc>
          <w:tcPr>
            <w:tcW w:w="1076" w:type="dxa"/>
            <w:vAlign w:val="center"/>
          </w:tcPr>
          <w:p>
            <w:pPr>
              <w:widowControl/>
              <w:jc w:val="center"/>
              <w:textAlignment w:val="center"/>
              <w:rPr>
                <w:rFonts w:hint="eastAsia" w:eastAsia="宋体"/>
                <w:color w:val="auto"/>
                <w:kern w:val="0"/>
                <w:szCs w:val="21"/>
                <w:highlight w:val="none"/>
                <w:lang w:val="en-US" w:eastAsia="zh-CN" w:bidi="ar"/>
              </w:rPr>
            </w:pPr>
            <w:r>
              <w:rPr>
                <w:rFonts w:hint="eastAsia"/>
                <w:color w:val="auto"/>
                <w:kern w:val="0"/>
                <w:szCs w:val="21"/>
                <w:highlight w:val="none"/>
                <w:lang w:val="en-US" w:eastAsia="zh-CN" w:bidi="ar"/>
              </w:rPr>
              <w:t>0.059</w:t>
            </w:r>
          </w:p>
        </w:tc>
        <w:tc>
          <w:tcPr>
            <w:tcW w:w="1181" w:type="dxa"/>
            <w:vAlign w:val="center"/>
          </w:tcPr>
          <w:p>
            <w:pPr>
              <w:widowControl/>
              <w:jc w:val="center"/>
              <w:textAlignment w:val="center"/>
              <w:rPr>
                <w:rFonts w:hint="eastAsia" w:eastAsia="宋体"/>
                <w:color w:val="auto"/>
                <w:kern w:val="0"/>
                <w:szCs w:val="21"/>
                <w:highlight w:val="none"/>
                <w:lang w:val="en-US" w:eastAsia="zh-CN" w:bidi="ar"/>
              </w:rPr>
            </w:pPr>
            <w:r>
              <w:rPr>
                <w:rFonts w:hint="eastAsia"/>
                <w:color w:val="auto"/>
                <w:kern w:val="0"/>
                <w:szCs w:val="21"/>
                <w:highlight w:val="none"/>
                <w:lang w:val="en-US" w:eastAsia="zh-CN" w:bidi="ar"/>
              </w:rPr>
              <w:t>0.053</w:t>
            </w:r>
          </w:p>
        </w:tc>
        <w:tc>
          <w:tcPr>
            <w:tcW w:w="1217" w:type="dxa"/>
            <w:vAlign w:val="center"/>
          </w:tcPr>
          <w:p>
            <w:pPr>
              <w:widowControl/>
              <w:jc w:val="center"/>
              <w:textAlignment w:val="center"/>
              <w:rPr>
                <w:rFonts w:hint="eastAsia" w:eastAsia="宋体"/>
                <w:color w:val="auto"/>
                <w:kern w:val="0"/>
                <w:szCs w:val="21"/>
                <w:highlight w:val="none"/>
                <w:lang w:val="en-US" w:eastAsia="zh-CN" w:bidi="ar"/>
              </w:rPr>
            </w:pPr>
            <w:r>
              <w:rPr>
                <w:rFonts w:hint="eastAsia"/>
                <w:color w:val="auto"/>
                <w:kern w:val="0"/>
                <w:szCs w:val="21"/>
                <w:highlight w:val="none"/>
                <w:lang w:val="en-US" w:eastAsia="zh-CN" w:bidi="ar"/>
              </w:rPr>
              <w:t>0.065</w:t>
            </w:r>
          </w:p>
        </w:tc>
        <w:tc>
          <w:tcPr>
            <w:tcW w:w="1217" w:type="dxa"/>
            <w:vAlign w:val="center"/>
          </w:tcPr>
          <w:p>
            <w:pPr>
              <w:widowControl/>
              <w:jc w:val="center"/>
              <w:textAlignment w:val="center"/>
              <w:rPr>
                <w:rFonts w:hint="eastAsia" w:eastAsia="宋体"/>
                <w:color w:val="auto"/>
                <w:kern w:val="0"/>
                <w:szCs w:val="21"/>
                <w:highlight w:val="none"/>
                <w:lang w:val="en-US" w:eastAsia="zh-CN" w:bidi="ar"/>
              </w:rPr>
            </w:pPr>
            <w:r>
              <w:rPr>
                <w:rFonts w:hint="eastAsia"/>
                <w:color w:val="auto"/>
                <w:kern w:val="0"/>
                <w:szCs w:val="21"/>
                <w:highlight w:val="none"/>
                <w:lang w:val="en-US" w:eastAsia="zh-CN" w:bidi="ar"/>
              </w:rPr>
              <w:t>0.057</w:t>
            </w:r>
          </w:p>
        </w:tc>
        <w:tc>
          <w:tcPr>
            <w:tcW w:w="1222" w:type="dxa"/>
            <w:vAlign w:val="center"/>
          </w:tcPr>
          <w:p>
            <w:pPr>
              <w:widowControl/>
              <w:jc w:val="center"/>
              <w:textAlignment w:val="center"/>
              <w:rPr>
                <w:rFonts w:hint="eastAsia" w:eastAsia="宋体"/>
                <w:color w:val="auto"/>
                <w:kern w:val="0"/>
                <w:szCs w:val="21"/>
                <w:highlight w:val="none"/>
                <w:lang w:val="en-US" w:eastAsia="zh-CN" w:bidi="ar"/>
              </w:rPr>
            </w:pPr>
            <w:r>
              <w:rPr>
                <w:rFonts w:hint="eastAsia"/>
                <w:color w:val="auto"/>
                <w:kern w:val="0"/>
                <w:szCs w:val="21"/>
                <w:highlight w:val="none"/>
                <w:lang w:val="en-US" w:eastAsia="zh-CN" w:bidi="ar"/>
              </w:rPr>
              <w:t>0.061</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exact"/>
          <w:jc w:val="center"/>
        </w:trPr>
        <w:tc>
          <w:tcPr>
            <w:tcW w:w="1105" w:type="dxa"/>
            <w:vMerge w:val="continue"/>
            <w:vAlign w:val="center"/>
          </w:tcPr>
          <w:p>
            <w:pPr>
              <w:widowControl/>
              <w:jc w:val="center"/>
              <w:textAlignment w:val="center"/>
              <w:rPr>
                <w:color w:val="auto"/>
                <w:kern w:val="0"/>
                <w:szCs w:val="21"/>
                <w:highlight w:val="none"/>
                <w:lang w:bidi="ar"/>
              </w:rPr>
            </w:pPr>
          </w:p>
        </w:tc>
        <w:tc>
          <w:tcPr>
            <w:tcW w:w="1106" w:type="dxa"/>
            <w:vAlign w:val="center"/>
          </w:tcPr>
          <w:p>
            <w:pPr>
              <w:widowControl/>
              <w:jc w:val="center"/>
              <w:textAlignment w:val="center"/>
              <w:rPr>
                <w:rFonts w:hint="eastAsia"/>
                <w:color w:val="auto"/>
                <w:szCs w:val="21"/>
                <w:highlight w:val="none"/>
              </w:rPr>
            </w:pPr>
            <w:r>
              <w:rPr>
                <w:color w:val="auto"/>
                <w:szCs w:val="21"/>
                <w:highlight w:val="none"/>
              </w:rPr>
              <w:t>2#</w:t>
            </w:r>
            <w:r>
              <w:rPr>
                <w:rFonts w:hint="eastAsia"/>
                <w:color w:val="auto"/>
                <w:szCs w:val="21"/>
                <w:highlight w:val="none"/>
              </w:rPr>
              <w:t>下风向</w:t>
            </w:r>
          </w:p>
        </w:tc>
        <w:tc>
          <w:tcPr>
            <w:tcW w:w="1106" w:type="dxa"/>
            <w:vAlign w:val="center"/>
          </w:tcPr>
          <w:p>
            <w:pPr>
              <w:widowControl/>
              <w:jc w:val="center"/>
              <w:textAlignment w:val="center"/>
              <w:rPr>
                <w:rFonts w:hint="eastAsia" w:eastAsia="宋体"/>
                <w:color w:val="auto"/>
                <w:kern w:val="0"/>
                <w:szCs w:val="21"/>
                <w:highlight w:val="none"/>
                <w:lang w:val="en-US" w:eastAsia="zh-CN" w:bidi="ar"/>
              </w:rPr>
            </w:pPr>
            <w:r>
              <w:rPr>
                <w:rFonts w:hint="eastAsia"/>
                <w:color w:val="auto"/>
                <w:kern w:val="0"/>
                <w:szCs w:val="21"/>
                <w:highlight w:val="none"/>
                <w:lang w:val="en-US" w:eastAsia="zh-CN" w:bidi="ar"/>
              </w:rPr>
              <w:t>0.080</w:t>
            </w:r>
          </w:p>
        </w:tc>
        <w:tc>
          <w:tcPr>
            <w:tcW w:w="1076" w:type="dxa"/>
            <w:vAlign w:val="center"/>
          </w:tcPr>
          <w:p>
            <w:pPr>
              <w:widowControl/>
              <w:jc w:val="center"/>
              <w:textAlignment w:val="center"/>
              <w:rPr>
                <w:rFonts w:hint="eastAsia" w:eastAsia="宋体"/>
                <w:color w:val="auto"/>
                <w:kern w:val="0"/>
                <w:szCs w:val="21"/>
                <w:highlight w:val="none"/>
                <w:lang w:val="en-US" w:eastAsia="zh-CN" w:bidi="ar"/>
              </w:rPr>
            </w:pPr>
            <w:r>
              <w:rPr>
                <w:rFonts w:hint="eastAsia"/>
                <w:color w:val="auto"/>
                <w:kern w:val="0"/>
                <w:szCs w:val="21"/>
                <w:highlight w:val="none"/>
                <w:lang w:val="en-US" w:eastAsia="zh-CN" w:bidi="ar"/>
              </w:rPr>
              <w:t>0.092</w:t>
            </w:r>
          </w:p>
        </w:tc>
        <w:tc>
          <w:tcPr>
            <w:tcW w:w="1181" w:type="dxa"/>
            <w:vAlign w:val="center"/>
          </w:tcPr>
          <w:p>
            <w:pPr>
              <w:widowControl/>
              <w:jc w:val="center"/>
              <w:textAlignment w:val="center"/>
              <w:rPr>
                <w:rFonts w:hint="eastAsia" w:eastAsia="宋体"/>
                <w:color w:val="auto"/>
                <w:kern w:val="0"/>
                <w:szCs w:val="21"/>
                <w:highlight w:val="none"/>
                <w:lang w:val="en-US" w:eastAsia="zh-CN" w:bidi="ar"/>
              </w:rPr>
            </w:pPr>
            <w:r>
              <w:rPr>
                <w:rFonts w:hint="eastAsia"/>
                <w:color w:val="auto"/>
                <w:kern w:val="0"/>
                <w:szCs w:val="21"/>
                <w:highlight w:val="none"/>
                <w:lang w:val="en-US" w:eastAsia="zh-CN" w:bidi="ar"/>
              </w:rPr>
              <w:t>0.096</w:t>
            </w:r>
          </w:p>
        </w:tc>
        <w:tc>
          <w:tcPr>
            <w:tcW w:w="1217" w:type="dxa"/>
            <w:vAlign w:val="center"/>
          </w:tcPr>
          <w:p>
            <w:pPr>
              <w:widowControl/>
              <w:jc w:val="center"/>
              <w:textAlignment w:val="center"/>
              <w:rPr>
                <w:rFonts w:hint="eastAsia" w:eastAsia="宋体"/>
                <w:color w:val="auto"/>
                <w:kern w:val="0"/>
                <w:szCs w:val="21"/>
                <w:highlight w:val="none"/>
                <w:lang w:val="en-US" w:eastAsia="zh-CN" w:bidi="ar"/>
              </w:rPr>
            </w:pPr>
            <w:r>
              <w:rPr>
                <w:rFonts w:hint="eastAsia"/>
                <w:color w:val="auto"/>
                <w:kern w:val="0"/>
                <w:szCs w:val="21"/>
                <w:highlight w:val="none"/>
                <w:lang w:val="en-US" w:eastAsia="zh-CN" w:bidi="ar"/>
              </w:rPr>
              <w:t>0.085</w:t>
            </w:r>
          </w:p>
        </w:tc>
        <w:tc>
          <w:tcPr>
            <w:tcW w:w="1217" w:type="dxa"/>
            <w:vAlign w:val="center"/>
          </w:tcPr>
          <w:p>
            <w:pPr>
              <w:widowControl/>
              <w:jc w:val="center"/>
              <w:textAlignment w:val="center"/>
              <w:rPr>
                <w:rFonts w:hint="eastAsia" w:eastAsia="宋体"/>
                <w:color w:val="auto"/>
                <w:kern w:val="0"/>
                <w:szCs w:val="21"/>
                <w:highlight w:val="none"/>
                <w:lang w:val="en-US" w:eastAsia="zh-CN" w:bidi="ar"/>
              </w:rPr>
            </w:pPr>
            <w:r>
              <w:rPr>
                <w:rFonts w:hint="eastAsia"/>
                <w:color w:val="auto"/>
                <w:kern w:val="0"/>
                <w:szCs w:val="21"/>
                <w:highlight w:val="none"/>
                <w:lang w:val="en-US" w:eastAsia="zh-CN" w:bidi="ar"/>
              </w:rPr>
              <w:t>0.092</w:t>
            </w:r>
          </w:p>
        </w:tc>
        <w:tc>
          <w:tcPr>
            <w:tcW w:w="1222" w:type="dxa"/>
            <w:vAlign w:val="center"/>
          </w:tcPr>
          <w:p>
            <w:pPr>
              <w:widowControl/>
              <w:jc w:val="center"/>
              <w:textAlignment w:val="center"/>
              <w:rPr>
                <w:rFonts w:hint="eastAsia" w:eastAsia="宋体"/>
                <w:color w:val="auto"/>
                <w:kern w:val="0"/>
                <w:szCs w:val="21"/>
                <w:highlight w:val="none"/>
                <w:lang w:val="en-US" w:eastAsia="zh-CN" w:bidi="ar"/>
              </w:rPr>
            </w:pPr>
            <w:r>
              <w:rPr>
                <w:rFonts w:hint="eastAsia"/>
                <w:color w:val="auto"/>
                <w:kern w:val="0"/>
                <w:szCs w:val="21"/>
                <w:highlight w:val="none"/>
                <w:lang w:val="en-US" w:eastAsia="zh-CN" w:bidi="ar"/>
              </w:rPr>
              <w:t>0.087</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exact"/>
          <w:jc w:val="center"/>
        </w:trPr>
        <w:tc>
          <w:tcPr>
            <w:tcW w:w="1105" w:type="dxa"/>
            <w:vMerge w:val="continue"/>
            <w:vAlign w:val="center"/>
          </w:tcPr>
          <w:p>
            <w:pPr>
              <w:widowControl/>
              <w:jc w:val="center"/>
              <w:textAlignment w:val="center"/>
              <w:rPr>
                <w:color w:val="auto"/>
                <w:kern w:val="0"/>
                <w:szCs w:val="21"/>
                <w:highlight w:val="none"/>
                <w:lang w:bidi="ar"/>
              </w:rPr>
            </w:pPr>
          </w:p>
        </w:tc>
        <w:tc>
          <w:tcPr>
            <w:tcW w:w="1106" w:type="dxa"/>
            <w:vAlign w:val="center"/>
          </w:tcPr>
          <w:p>
            <w:pPr>
              <w:widowControl/>
              <w:jc w:val="center"/>
              <w:textAlignment w:val="center"/>
              <w:rPr>
                <w:rFonts w:hint="eastAsia"/>
                <w:color w:val="auto"/>
                <w:szCs w:val="21"/>
                <w:highlight w:val="none"/>
              </w:rPr>
            </w:pPr>
            <w:r>
              <w:rPr>
                <w:color w:val="auto"/>
                <w:szCs w:val="21"/>
                <w:highlight w:val="none"/>
              </w:rPr>
              <w:t>3#</w:t>
            </w:r>
            <w:r>
              <w:rPr>
                <w:rFonts w:hint="eastAsia"/>
                <w:color w:val="auto"/>
                <w:szCs w:val="21"/>
                <w:highlight w:val="none"/>
              </w:rPr>
              <w:t>下风向</w:t>
            </w:r>
          </w:p>
        </w:tc>
        <w:tc>
          <w:tcPr>
            <w:tcW w:w="1106" w:type="dxa"/>
            <w:vAlign w:val="center"/>
          </w:tcPr>
          <w:p>
            <w:pPr>
              <w:widowControl/>
              <w:jc w:val="center"/>
              <w:textAlignment w:val="center"/>
              <w:rPr>
                <w:rFonts w:hint="eastAsia" w:eastAsia="宋体"/>
                <w:color w:val="auto"/>
                <w:kern w:val="0"/>
                <w:szCs w:val="21"/>
                <w:highlight w:val="none"/>
                <w:lang w:val="en-US" w:eastAsia="zh-CN" w:bidi="ar"/>
              </w:rPr>
            </w:pPr>
            <w:r>
              <w:rPr>
                <w:rFonts w:hint="eastAsia"/>
                <w:color w:val="auto"/>
                <w:kern w:val="0"/>
                <w:szCs w:val="21"/>
                <w:highlight w:val="none"/>
                <w:lang w:val="en-US" w:eastAsia="zh-CN" w:bidi="ar"/>
              </w:rPr>
              <w:t>0.102</w:t>
            </w:r>
          </w:p>
        </w:tc>
        <w:tc>
          <w:tcPr>
            <w:tcW w:w="1076" w:type="dxa"/>
            <w:vAlign w:val="center"/>
          </w:tcPr>
          <w:p>
            <w:pPr>
              <w:widowControl/>
              <w:jc w:val="center"/>
              <w:textAlignment w:val="center"/>
              <w:rPr>
                <w:rFonts w:hint="eastAsia" w:eastAsia="宋体"/>
                <w:color w:val="auto"/>
                <w:kern w:val="0"/>
                <w:szCs w:val="21"/>
                <w:highlight w:val="none"/>
                <w:lang w:val="en-US" w:eastAsia="zh-CN" w:bidi="ar"/>
              </w:rPr>
            </w:pPr>
            <w:r>
              <w:rPr>
                <w:rFonts w:hint="eastAsia"/>
                <w:color w:val="auto"/>
                <w:kern w:val="0"/>
                <w:szCs w:val="21"/>
                <w:highlight w:val="none"/>
                <w:lang w:val="en-US" w:eastAsia="zh-CN" w:bidi="ar"/>
              </w:rPr>
              <w:t>0.096</w:t>
            </w:r>
          </w:p>
        </w:tc>
        <w:tc>
          <w:tcPr>
            <w:tcW w:w="1181" w:type="dxa"/>
            <w:vAlign w:val="center"/>
          </w:tcPr>
          <w:p>
            <w:pPr>
              <w:widowControl/>
              <w:jc w:val="center"/>
              <w:textAlignment w:val="center"/>
              <w:rPr>
                <w:rFonts w:hint="eastAsia" w:eastAsia="宋体"/>
                <w:color w:val="auto"/>
                <w:kern w:val="0"/>
                <w:szCs w:val="21"/>
                <w:highlight w:val="none"/>
                <w:lang w:val="en-US" w:eastAsia="zh-CN" w:bidi="ar"/>
              </w:rPr>
            </w:pPr>
            <w:r>
              <w:rPr>
                <w:rFonts w:hint="eastAsia"/>
                <w:color w:val="auto"/>
                <w:kern w:val="0"/>
                <w:szCs w:val="21"/>
                <w:highlight w:val="none"/>
                <w:lang w:val="en-US" w:eastAsia="zh-CN" w:bidi="ar"/>
              </w:rPr>
              <w:t>0.088</w:t>
            </w:r>
          </w:p>
        </w:tc>
        <w:tc>
          <w:tcPr>
            <w:tcW w:w="1217" w:type="dxa"/>
            <w:vAlign w:val="center"/>
          </w:tcPr>
          <w:p>
            <w:pPr>
              <w:widowControl/>
              <w:jc w:val="center"/>
              <w:textAlignment w:val="center"/>
              <w:rPr>
                <w:rFonts w:hint="eastAsia" w:eastAsia="宋体"/>
                <w:color w:val="auto"/>
                <w:kern w:val="0"/>
                <w:szCs w:val="21"/>
                <w:highlight w:val="none"/>
                <w:lang w:val="en-US" w:eastAsia="zh-CN" w:bidi="ar"/>
              </w:rPr>
            </w:pPr>
            <w:r>
              <w:rPr>
                <w:rFonts w:hint="eastAsia"/>
                <w:color w:val="auto"/>
                <w:kern w:val="0"/>
                <w:szCs w:val="21"/>
                <w:highlight w:val="none"/>
                <w:lang w:val="en-US" w:eastAsia="zh-CN" w:bidi="ar"/>
              </w:rPr>
              <w:t>0.090</w:t>
            </w:r>
          </w:p>
        </w:tc>
        <w:tc>
          <w:tcPr>
            <w:tcW w:w="1217" w:type="dxa"/>
            <w:vAlign w:val="center"/>
          </w:tcPr>
          <w:p>
            <w:pPr>
              <w:widowControl/>
              <w:jc w:val="center"/>
              <w:textAlignment w:val="center"/>
              <w:rPr>
                <w:rFonts w:hint="eastAsia" w:eastAsia="宋体"/>
                <w:color w:val="auto"/>
                <w:kern w:val="0"/>
                <w:szCs w:val="21"/>
                <w:highlight w:val="none"/>
                <w:lang w:val="en-US" w:eastAsia="zh-CN" w:bidi="ar"/>
              </w:rPr>
            </w:pPr>
            <w:r>
              <w:rPr>
                <w:rFonts w:hint="eastAsia"/>
                <w:color w:val="auto"/>
                <w:kern w:val="0"/>
                <w:szCs w:val="21"/>
                <w:highlight w:val="none"/>
                <w:lang w:val="en-US" w:eastAsia="zh-CN" w:bidi="ar"/>
              </w:rPr>
              <w:t>0.098</w:t>
            </w:r>
          </w:p>
        </w:tc>
        <w:tc>
          <w:tcPr>
            <w:tcW w:w="1222" w:type="dxa"/>
            <w:vAlign w:val="center"/>
          </w:tcPr>
          <w:p>
            <w:pPr>
              <w:widowControl/>
              <w:jc w:val="center"/>
              <w:textAlignment w:val="center"/>
              <w:rPr>
                <w:rFonts w:hint="eastAsia" w:eastAsia="宋体"/>
                <w:color w:val="auto"/>
                <w:kern w:val="0"/>
                <w:szCs w:val="21"/>
                <w:highlight w:val="none"/>
                <w:lang w:val="en-US" w:eastAsia="zh-CN" w:bidi="ar"/>
              </w:rPr>
            </w:pPr>
            <w:r>
              <w:rPr>
                <w:rFonts w:hint="eastAsia"/>
                <w:color w:val="auto"/>
                <w:kern w:val="0"/>
                <w:szCs w:val="21"/>
                <w:highlight w:val="none"/>
                <w:lang w:val="en-US" w:eastAsia="zh-CN" w:bidi="ar"/>
              </w:rPr>
              <w:t>0.084</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exact"/>
          <w:jc w:val="center"/>
        </w:trPr>
        <w:tc>
          <w:tcPr>
            <w:tcW w:w="1105" w:type="dxa"/>
            <w:vMerge w:val="continue"/>
            <w:vAlign w:val="center"/>
          </w:tcPr>
          <w:p>
            <w:pPr>
              <w:widowControl/>
              <w:jc w:val="center"/>
              <w:textAlignment w:val="center"/>
              <w:rPr>
                <w:color w:val="auto"/>
                <w:kern w:val="0"/>
                <w:szCs w:val="21"/>
                <w:highlight w:val="none"/>
                <w:lang w:bidi="ar"/>
              </w:rPr>
            </w:pPr>
          </w:p>
        </w:tc>
        <w:tc>
          <w:tcPr>
            <w:tcW w:w="1106" w:type="dxa"/>
            <w:vAlign w:val="center"/>
          </w:tcPr>
          <w:p>
            <w:pPr>
              <w:widowControl/>
              <w:jc w:val="center"/>
              <w:textAlignment w:val="center"/>
              <w:rPr>
                <w:rFonts w:hint="eastAsia"/>
                <w:color w:val="auto"/>
                <w:szCs w:val="21"/>
                <w:highlight w:val="none"/>
              </w:rPr>
            </w:pPr>
            <w:r>
              <w:rPr>
                <w:rFonts w:hint="eastAsia"/>
                <w:color w:val="auto"/>
                <w:szCs w:val="21"/>
                <w:highlight w:val="none"/>
              </w:rPr>
              <w:t>4</w:t>
            </w:r>
            <w:r>
              <w:rPr>
                <w:color w:val="auto"/>
                <w:szCs w:val="21"/>
                <w:highlight w:val="none"/>
              </w:rPr>
              <w:t>#</w:t>
            </w:r>
            <w:r>
              <w:rPr>
                <w:rFonts w:hint="eastAsia"/>
                <w:color w:val="auto"/>
                <w:szCs w:val="21"/>
                <w:highlight w:val="none"/>
              </w:rPr>
              <w:t>下风向</w:t>
            </w:r>
          </w:p>
        </w:tc>
        <w:tc>
          <w:tcPr>
            <w:tcW w:w="1106" w:type="dxa"/>
            <w:vAlign w:val="center"/>
          </w:tcPr>
          <w:p>
            <w:pPr>
              <w:widowControl/>
              <w:jc w:val="center"/>
              <w:textAlignment w:val="center"/>
              <w:rPr>
                <w:rFonts w:hint="eastAsia" w:eastAsia="宋体"/>
                <w:color w:val="auto"/>
                <w:kern w:val="0"/>
                <w:szCs w:val="21"/>
                <w:highlight w:val="none"/>
                <w:lang w:val="en-US" w:eastAsia="zh-CN" w:bidi="ar"/>
              </w:rPr>
            </w:pPr>
            <w:r>
              <w:rPr>
                <w:rFonts w:hint="eastAsia"/>
                <w:color w:val="auto"/>
                <w:kern w:val="0"/>
                <w:szCs w:val="21"/>
                <w:highlight w:val="none"/>
                <w:lang w:val="en-US" w:eastAsia="zh-CN" w:bidi="ar"/>
              </w:rPr>
              <w:t>0.099</w:t>
            </w:r>
          </w:p>
        </w:tc>
        <w:tc>
          <w:tcPr>
            <w:tcW w:w="1076" w:type="dxa"/>
            <w:vAlign w:val="center"/>
          </w:tcPr>
          <w:p>
            <w:pPr>
              <w:widowControl/>
              <w:jc w:val="center"/>
              <w:textAlignment w:val="center"/>
              <w:rPr>
                <w:rFonts w:hint="eastAsia" w:eastAsia="宋体"/>
                <w:color w:val="auto"/>
                <w:kern w:val="0"/>
                <w:szCs w:val="21"/>
                <w:highlight w:val="none"/>
                <w:lang w:val="en-US" w:eastAsia="zh-CN" w:bidi="ar"/>
              </w:rPr>
            </w:pPr>
            <w:r>
              <w:rPr>
                <w:rFonts w:hint="eastAsia"/>
                <w:color w:val="auto"/>
                <w:kern w:val="0"/>
                <w:szCs w:val="21"/>
                <w:highlight w:val="none"/>
                <w:lang w:val="en-US" w:eastAsia="zh-CN" w:bidi="ar"/>
              </w:rPr>
              <w:t>0.102</w:t>
            </w:r>
          </w:p>
        </w:tc>
        <w:tc>
          <w:tcPr>
            <w:tcW w:w="1181" w:type="dxa"/>
            <w:vAlign w:val="center"/>
          </w:tcPr>
          <w:p>
            <w:pPr>
              <w:widowControl/>
              <w:jc w:val="center"/>
              <w:textAlignment w:val="center"/>
              <w:rPr>
                <w:rFonts w:hint="eastAsia" w:eastAsia="宋体"/>
                <w:color w:val="auto"/>
                <w:kern w:val="0"/>
                <w:szCs w:val="21"/>
                <w:highlight w:val="none"/>
                <w:lang w:val="en-US" w:eastAsia="zh-CN" w:bidi="ar"/>
              </w:rPr>
            </w:pPr>
            <w:r>
              <w:rPr>
                <w:rFonts w:hint="eastAsia"/>
                <w:color w:val="auto"/>
                <w:kern w:val="0"/>
                <w:szCs w:val="21"/>
                <w:highlight w:val="none"/>
                <w:lang w:val="en-US" w:eastAsia="zh-CN" w:bidi="ar"/>
              </w:rPr>
              <w:t>0.087</w:t>
            </w:r>
          </w:p>
        </w:tc>
        <w:tc>
          <w:tcPr>
            <w:tcW w:w="1217" w:type="dxa"/>
            <w:vAlign w:val="center"/>
          </w:tcPr>
          <w:p>
            <w:pPr>
              <w:widowControl/>
              <w:jc w:val="center"/>
              <w:textAlignment w:val="center"/>
              <w:rPr>
                <w:rFonts w:hint="eastAsia" w:eastAsia="宋体"/>
                <w:color w:val="auto"/>
                <w:kern w:val="0"/>
                <w:szCs w:val="21"/>
                <w:highlight w:val="none"/>
                <w:lang w:val="en-US" w:eastAsia="zh-CN" w:bidi="ar"/>
              </w:rPr>
            </w:pPr>
            <w:r>
              <w:rPr>
                <w:rFonts w:hint="eastAsia"/>
                <w:color w:val="auto"/>
                <w:kern w:val="0"/>
                <w:szCs w:val="21"/>
                <w:highlight w:val="none"/>
                <w:lang w:val="en-US" w:eastAsia="zh-CN" w:bidi="ar"/>
              </w:rPr>
              <w:t>0.085</w:t>
            </w:r>
          </w:p>
        </w:tc>
        <w:tc>
          <w:tcPr>
            <w:tcW w:w="1217" w:type="dxa"/>
            <w:vAlign w:val="center"/>
          </w:tcPr>
          <w:p>
            <w:pPr>
              <w:widowControl/>
              <w:jc w:val="center"/>
              <w:textAlignment w:val="center"/>
              <w:rPr>
                <w:rFonts w:hint="eastAsia" w:eastAsia="宋体"/>
                <w:color w:val="auto"/>
                <w:kern w:val="0"/>
                <w:szCs w:val="21"/>
                <w:highlight w:val="none"/>
                <w:lang w:val="en-US" w:eastAsia="zh-CN" w:bidi="ar"/>
              </w:rPr>
            </w:pPr>
            <w:r>
              <w:rPr>
                <w:rFonts w:hint="eastAsia"/>
                <w:color w:val="auto"/>
                <w:kern w:val="0"/>
                <w:szCs w:val="21"/>
                <w:highlight w:val="none"/>
                <w:lang w:val="en-US" w:eastAsia="zh-CN" w:bidi="ar"/>
              </w:rPr>
              <w:t>0.092</w:t>
            </w:r>
          </w:p>
        </w:tc>
        <w:tc>
          <w:tcPr>
            <w:tcW w:w="1222" w:type="dxa"/>
            <w:vAlign w:val="center"/>
          </w:tcPr>
          <w:p>
            <w:pPr>
              <w:widowControl/>
              <w:jc w:val="center"/>
              <w:textAlignment w:val="center"/>
              <w:rPr>
                <w:rFonts w:hint="eastAsia" w:eastAsia="宋体"/>
                <w:color w:val="auto"/>
                <w:kern w:val="0"/>
                <w:szCs w:val="21"/>
                <w:highlight w:val="none"/>
                <w:lang w:val="en-US" w:eastAsia="zh-CN" w:bidi="ar"/>
              </w:rPr>
            </w:pPr>
            <w:r>
              <w:rPr>
                <w:rFonts w:hint="eastAsia"/>
                <w:color w:val="auto"/>
                <w:kern w:val="0"/>
                <w:szCs w:val="21"/>
                <w:highlight w:val="none"/>
                <w:lang w:val="en-US" w:eastAsia="zh-CN" w:bidi="ar"/>
              </w:rPr>
              <w:t>0.096</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exact"/>
          <w:jc w:val="center"/>
        </w:trPr>
        <w:tc>
          <w:tcPr>
            <w:tcW w:w="1105" w:type="dxa"/>
            <w:vMerge w:val="restart"/>
            <w:vAlign w:val="center"/>
          </w:tcPr>
          <w:p>
            <w:pPr>
              <w:widowControl/>
              <w:jc w:val="center"/>
              <w:textAlignment w:val="center"/>
              <w:rPr>
                <w:color w:val="auto"/>
                <w:kern w:val="0"/>
                <w:szCs w:val="21"/>
                <w:highlight w:val="none"/>
                <w:lang w:bidi="ar"/>
              </w:rPr>
            </w:pPr>
            <w:r>
              <w:rPr>
                <w:rFonts w:hint="eastAsia"/>
                <w:color w:val="auto"/>
                <w:kern w:val="0"/>
                <w:szCs w:val="21"/>
                <w:highlight w:val="none"/>
                <w:lang w:val="en-US" w:eastAsia="zh-CN"/>
              </w:rPr>
              <w:t>氨</w:t>
            </w:r>
            <w:r>
              <w:rPr>
                <w:color w:val="auto"/>
                <w:kern w:val="0"/>
                <w:szCs w:val="21"/>
                <w:highlight w:val="none"/>
              </w:rPr>
              <w:t>(mg/m</w:t>
            </w:r>
            <w:r>
              <w:rPr>
                <w:color w:val="auto"/>
                <w:kern w:val="0"/>
                <w:szCs w:val="21"/>
                <w:highlight w:val="none"/>
                <w:vertAlign w:val="superscript"/>
              </w:rPr>
              <w:t>3</w:t>
            </w:r>
            <w:r>
              <w:rPr>
                <w:color w:val="auto"/>
                <w:kern w:val="0"/>
                <w:szCs w:val="21"/>
                <w:highlight w:val="none"/>
              </w:rPr>
              <w:t>)</w:t>
            </w:r>
          </w:p>
        </w:tc>
        <w:tc>
          <w:tcPr>
            <w:tcW w:w="1106" w:type="dxa"/>
            <w:vAlign w:val="center"/>
          </w:tcPr>
          <w:p>
            <w:pPr>
              <w:widowControl/>
              <w:jc w:val="center"/>
              <w:textAlignment w:val="center"/>
              <w:rPr>
                <w:rFonts w:hint="eastAsia"/>
                <w:color w:val="auto"/>
                <w:szCs w:val="21"/>
                <w:highlight w:val="none"/>
              </w:rPr>
            </w:pPr>
            <w:r>
              <w:rPr>
                <w:color w:val="auto"/>
                <w:szCs w:val="21"/>
                <w:highlight w:val="none"/>
              </w:rPr>
              <w:t>1#</w:t>
            </w:r>
            <w:r>
              <w:rPr>
                <w:rFonts w:hint="eastAsia"/>
                <w:color w:val="auto"/>
                <w:szCs w:val="21"/>
                <w:highlight w:val="none"/>
              </w:rPr>
              <w:t>上风向</w:t>
            </w:r>
          </w:p>
        </w:tc>
        <w:tc>
          <w:tcPr>
            <w:tcW w:w="1106" w:type="dxa"/>
            <w:vAlign w:val="center"/>
          </w:tcPr>
          <w:p>
            <w:pPr>
              <w:widowControl/>
              <w:jc w:val="center"/>
              <w:textAlignment w:val="center"/>
              <w:rPr>
                <w:rFonts w:hint="eastAsia" w:eastAsia="宋体"/>
                <w:color w:val="auto"/>
                <w:kern w:val="0"/>
                <w:szCs w:val="21"/>
                <w:highlight w:val="none"/>
                <w:lang w:val="en-US" w:eastAsia="zh-CN" w:bidi="ar"/>
              </w:rPr>
            </w:pPr>
            <w:r>
              <w:rPr>
                <w:rFonts w:hint="eastAsia"/>
                <w:color w:val="auto"/>
                <w:kern w:val="0"/>
                <w:szCs w:val="21"/>
                <w:highlight w:val="none"/>
                <w:lang w:val="en-US" w:eastAsia="zh-CN" w:bidi="ar"/>
              </w:rPr>
              <w:t>0.01</w:t>
            </w:r>
          </w:p>
        </w:tc>
        <w:tc>
          <w:tcPr>
            <w:tcW w:w="1076" w:type="dxa"/>
            <w:vAlign w:val="center"/>
          </w:tcPr>
          <w:p>
            <w:pPr>
              <w:widowControl/>
              <w:jc w:val="center"/>
              <w:textAlignment w:val="center"/>
              <w:rPr>
                <w:rFonts w:hint="eastAsia" w:eastAsia="宋体"/>
                <w:color w:val="auto"/>
                <w:kern w:val="0"/>
                <w:szCs w:val="21"/>
                <w:highlight w:val="none"/>
                <w:lang w:val="en-US" w:eastAsia="zh-CN" w:bidi="ar"/>
              </w:rPr>
            </w:pPr>
            <w:r>
              <w:rPr>
                <w:rFonts w:hint="eastAsia"/>
                <w:color w:val="auto"/>
                <w:kern w:val="0"/>
                <w:szCs w:val="21"/>
                <w:highlight w:val="none"/>
                <w:lang w:val="en-US" w:eastAsia="zh-CN" w:bidi="ar"/>
              </w:rPr>
              <w:t>0.01</w:t>
            </w:r>
          </w:p>
        </w:tc>
        <w:tc>
          <w:tcPr>
            <w:tcW w:w="1181" w:type="dxa"/>
            <w:vAlign w:val="center"/>
          </w:tcPr>
          <w:p>
            <w:pPr>
              <w:widowControl/>
              <w:jc w:val="center"/>
              <w:textAlignment w:val="center"/>
              <w:rPr>
                <w:rFonts w:hint="eastAsia" w:eastAsia="宋体"/>
                <w:color w:val="auto"/>
                <w:kern w:val="0"/>
                <w:szCs w:val="21"/>
                <w:highlight w:val="none"/>
                <w:lang w:val="en-US" w:eastAsia="zh-CN" w:bidi="ar"/>
              </w:rPr>
            </w:pPr>
            <w:r>
              <w:rPr>
                <w:rFonts w:hint="eastAsia"/>
                <w:color w:val="auto"/>
                <w:kern w:val="0"/>
                <w:szCs w:val="21"/>
                <w:highlight w:val="none"/>
                <w:lang w:val="en-US" w:eastAsia="zh-CN" w:bidi="ar"/>
              </w:rPr>
              <w:t>0.02</w:t>
            </w:r>
          </w:p>
        </w:tc>
        <w:tc>
          <w:tcPr>
            <w:tcW w:w="1217" w:type="dxa"/>
            <w:vAlign w:val="center"/>
          </w:tcPr>
          <w:p>
            <w:pPr>
              <w:widowControl/>
              <w:jc w:val="center"/>
              <w:textAlignment w:val="center"/>
              <w:rPr>
                <w:rFonts w:hint="eastAsia" w:eastAsia="宋体"/>
                <w:color w:val="auto"/>
                <w:kern w:val="0"/>
                <w:szCs w:val="21"/>
                <w:highlight w:val="none"/>
                <w:lang w:val="en-US" w:eastAsia="zh-CN" w:bidi="ar"/>
              </w:rPr>
            </w:pPr>
            <w:r>
              <w:rPr>
                <w:rFonts w:hint="eastAsia"/>
                <w:color w:val="auto"/>
                <w:kern w:val="0"/>
                <w:szCs w:val="21"/>
                <w:highlight w:val="none"/>
                <w:lang w:val="en-US" w:eastAsia="zh-CN" w:bidi="ar"/>
              </w:rPr>
              <w:t>0.02</w:t>
            </w:r>
          </w:p>
        </w:tc>
        <w:tc>
          <w:tcPr>
            <w:tcW w:w="1217" w:type="dxa"/>
            <w:vAlign w:val="center"/>
          </w:tcPr>
          <w:p>
            <w:pPr>
              <w:widowControl/>
              <w:jc w:val="center"/>
              <w:textAlignment w:val="center"/>
              <w:rPr>
                <w:rFonts w:hint="eastAsia" w:eastAsia="宋体"/>
                <w:color w:val="auto"/>
                <w:kern w:val="0"/>
                <w:szCs w:val="21"/>
                <w:highlight w:val="none"/>
                <w:lang w:val="en-US" w:eastAsia="zh-CN" w:bidi="ar"/>
              </w:rPr>
            </w:pPr>
            <w:r>
              <w:rPr>
                <w:rFonts w:hint="eastAsia"/>
                <w:color w:val="auto"/>
                <w:kern w:val="0"/>
                <w:szCs w:val="21"/>
                <w:highlight w:val="none"/>
                <w:lang w:val="en-US" w:eastAsia="zh-CN" w:bidi="ar"/>
              </w:rPr>
              <w:t>0.02</w:t>
            </w:r>
          </w:p>
        </w:tc>
        <w:tc>
          <w:tcPr>
            <w:tcW w:w="1222" w:type="dxa"/>
            <w:vAlign w:val="center"/>
          </w:tcPr>
          <w:p>
            <w:pPr>
              <w:widowControl/>
              <w:jc w:val="center"/>
              <w:textAlignment w:val="center"/>
              <w:rPr>
                <w:rFonts w:hint="eastAsia" w:eastAsia="宋体"/>
                <w:color w:val="auto"/>
                <w:kern w:val="0"/>
                <w:szCs w:val="21"/>
                <w:highlight w:val="none"/>
                <w:lang w:val="en-US" w:eastAsia="zh-CN" w:bidi="ar"/>
              </w:rPr>
            </w:pPr>
            <w:r>
              <w:rPr>
                <w:rFonts w:hint="eastAsia"/>
                <w:color w:val="auto"/>
                <w:kern w:val="0"/>
                <w:szCs w:val="21"/>
                <w:highlight w:val="none"/>
                <w:lang w:val="en-US" w:eastAsia="zh-CN" w:bidi="ar"/>
              </w:rPr>
              <w:t>0.01</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exact"/>
          <w:jc w:val="center"/>
        </w:trPr>
        <w:tc>
          <w:tcPr>
            <w:tcW w:w="1105" w:type="dxa"/>
            <w:vMerge w:val="continue"/>
            <w:vAlign w:val="center"/>
          </w:tcPr>
          <w:p>
            <w:pPr>
              <w:widowControl/>
              <w:jc w:val="center"/>
              <w:textAlignment w:val="center"/>
              <w:rPr>
                <w:color w:val="auto"/>
                <w:kern w:val="0"/>
                <w:szCs w:val="21"/>
                <w:highlight w:val="none"/>
                <w:lang w:bidi="ar"/>
              </w:rPr>
            </w:pPr>
          </w:p>
        </w:tc>
        <w:tc>
          <w:tcPr>
            <w:tcW w:w="1106" w:type="dxa"/>
            <w:vAlign w:val="center"/>
          </w:tcPr>
          <w:p>
            <w:pPr>
              <w:widowControl/>
              <w:jc w:val="center"/>
              <w:textAlignment w:val="center"/>
              <w:rPr>
                <w:rFonts w:hint="eastAsia"/>
                <w:color w:val="auto"/>
                <w:szCs w:val="21"/>
                <w:highlight w:val="none"/>
              </w:rPr>
            </w:pPr>
            <w:r>
              <w:rPr>
                <w:color w:val="auto"/>
                <w:szCs w:val="21"/>
                <w:highlight w:val="none"/>
              </w:rPr>
              <w:t>2#</w:t>
            </w:r>
            <w:r>
              <w:rPr>
                <w:rFonts w:hint="eastAsia"/>
                <w:color w:val="auto"/>
                <w:szCs w:val="21"/>
                <w:highlight w:val="none"/>
              </w:rPr>
              <w:t>下风向</w:t>
            </w:r>
          </w:p>
        </w:tc>
        <w:tc>
          <w:tcPr>
            <w:tcW w:w="1106" w:type="dxa"/>
            <w:vAlign w:val="center"/>
          </w:tcPr>
          <w:p>
            <w:pPr>
              <w:widowControl/>
              <w:jc w:val="center"/>
              <w:textAlignment w:val="center"/>
              <w:rPr>
                <w:rFonts w:hint="eastAsia" w:eastAsia="宋体"/>
                <w:color w:val="auto"/>
                <w:kern w:val="0"/>
                <w:szCs w:val="21"/>
                <w:highlight w:val="none"/>
                <w:lang w:val="en-US" w:eastAsia="zh-CN" w:bidi="ar"/>
              </w:rPr>
            </w:pPr>
            <w:r>
              <w:rPr>
                <w:rFonts w:hint="eastAsia"/>
                <w:color w:val="auto"/>
                <w:kern w:val="0"/>
                <w:szCs w:val="21"/>
                <w:highlight w:val="none"/>
                <w:lang w:val="en-US" w:eastAsia="zh-CN" w:bidi="ar"/>
              </w:rPr>
              <w:t>0.07</w:t>
            </w:r>
          </w:p>
        </w:tc>
        <w:tc>
          <w:tcPr>
            <w:tcW w:w="1076" w:type="dxa"/>
            <w:vAlign w:val="center"/>
          </w:tcPr>
          <w:p>
            <w:pPr>
              <w:widowControl/>
              <w:jc w:val="center"/>
              <w:textAlignment w:val="center"/>
              <w:rPr>
                <w:rFonts w:hint="eastAsia" w:eastAsia="宋体"/>
                <w:color w:val="auto"/>
                <w:kern w:val="0"/>
                <w:szCs w:val="21"/>
                <w:highlight w:val="none"/>
                <w:lang w:val="en-US" w:eastAsia="zh-CN" w:bidi="ar"/>
              </w:rPr>
            </w:pPr>
            <w:r>
              <w:rPr>
                <w:rFonts w:hint="eastAsia"/>
                <w:color w:val="auto"/>
                <w:kern w:val="0"/>
                <w:szCs w:val="21"/>
                <w:highlight w:val="none"/>
                <w:lang w:val="en-US" w:eastAsia="zh-CN" w:bidi="ar"/>
              </w:rPr>
              <w:t>0.05</w:t>
            </w:r>
          </w:p>
        </w:tc>
        <w:tc>
          <w:tcPr>
            <w:tcW w:w="1181" w:type="dxa"/>
            <w:vAlign w:val="center"/>
          </w:tcPr>
          <w:p>
            <w:pPr>
              <w:widowControl/>
              <w:jc w:val="center"/>
              <w:textAlignment w:val="center"/>
              <w:rPr>
                <w:rFonts w:hint="eastAsia" w:eastAsia="宋体"/>
                <w:color w:val="auto"/>
                <w:kern w:val="0"/>
                <w:szCs w:val="21"/>
                <w:highlight w:val="none"/>
                <w:lang w:val="en-US" w:eastAsia="zh-CN" w:bidi="ar"/>
              </w:rPr>
            </w:pPr>
            <w:r>
              <w:rPr>
                <w:rFonts w:hint="eastAsia"/>
                <w:color w:val="auto"/>
                <w:kern w:val="0"/>
                <w:szCs w:val="21"/>
                <w:highlight w:val="none"/>
                <w:lang w:val="en-US" w:eastAsia="zh-CN" w:bidi="ar"/>
              </w:rPr>
              <w:t>0.05</w:t>
            </w:r>
          </w:p>
        </w:tc>
        <w:tc>
          <w:tcPr>
            <w:tcW w:w="1217" w:type="dxa"/>
            <w:vAlign w:val="center"/>
          </w:tcPr>
          <w:p>
            <w:pPr>
              <w:widowControl/>
              <w:jc w:val="center"/>
              <w:textAlignment w:val="center"/>
              <w:rPr>
                <w:rFonts w:hint="eastAsia" w:eastAsia="宋体"/>
                <w:color w:val="auto"/>
                <w:kern w:val="0"/>
                <w:szCs w:val="21"/>
                <w:highlight w:val="none"/>
                <w:lang w:val="en-US" w:eastAsia="zh-CN" w:bidi="ar"/>
              </w:rPr>
            </w:pPr>
            <w:r>
              <w:rPr>
                <w:rFonts w:hint="eastAsia"/>
                <w:color w:val="auto"/>
                <w:kern w:val="0"/>
                <w:szCs w:val="21"/>
                <w:highlight w:val="none"/>
                <w:lang w:val="en-US" w:eastAsia="zh-CN" w:bidi="ar"/>
              </w:rPr>
              <w:t>0.08</w:t>
            </w:r>
          </w:p>
        </w:tc>
        <w:tc>
          <w:tcPr>
            <w:tcW w:w="1217" w:type="dxa"/>
            <w:vAlign w:val="center"/>
          </w:tcPr>
          <w:p>
            <w:pPr>
              <w:widowControl/>
              <w:jc w:val="center"/>
              <w:textAlignment w:val="center"/>
              <w:rPr>
                <w:rFonts w:hint="eastAsia" w:eastAsia="宋体"/>
                <w:color w:val="auto"/>
                <w:kern w:val="0"/>
                <w:szCs w:val="21"/>
                <w:highlight w:val="none"/>
                <w:lang w:val="en-US" w:eastAsia="zh-CN" w:bidi="ar"/>
              </w:rPr>
            </w:pPr>
            <w:r>
              <w:rPr>
                <w:rFonts w:hint="eastAsia"/>
                <w:color w:val="auto"/>
                <w:kern w:val="0"/>
                <w:szCs w:val="21"/>
                <w:highlight w:val="none"/>
                <w:lang w:val="en-US" w:eastAsia="zh-CN" w:bidi="ar"/>
              </w:rPr>
              <w:t>0.06</w:t>
            </w:r>
          </w:p>
        </w:tc>
        <w:tc>
          <w:tcPr>
            <w:tcW w:w="1222" w:type="dxa"/>
            <w:vAlign w:val="center"/>
          </w:tcPr>
          <w:p>
            <w:pPr>
              <w:widowControl/>
              <w:jc w:val="center"/>
              <w:textAlignment w:val="center"/>
              <w:rPr>
                <w:rFonts w:hint="eastAsia" w:eastAsia="宋体"/>
                <w:color w:val="auto"/>
                <w:kern w:val="0"/>
                <w:szCs w:val="21"/>
                <w:highlight w:val="none"/>
                <w:lang w:val="en-US" w:eastAsia="zh-CN" w:bidi="ar"/>
              </w:rPr>
            </w:pPr>
            <w:r>
              <w:rPr>
                <w:rFonts w:hint="eastAsia"/>
                <w:color w:val="auto"/>
                <w:kern w:val="0"/>
                <w:szCs w:val="21"/>
                <w:highlight w:val="none"/>
                <w:lang w:val="en-US" w:eastAsia="zh-CN" w:bidi="ar"/>
              </w:rPr>
              <w:t>0.05</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exact"/>
          <w:jc w:val="center"/>
        </w:trPr>
        <w:tc>
          <w:tcPr>
            <w:tcW w:w="1105" w:type="dxa"/>
            <w:vMerge w:val="continue"/>
            <w:vAlign w:val="center"/>
          </w:tcPr>
          <w:p>
            <w:pPr>
              <w:widowControl/>
              <w:jc w:val="center"/>
              <w:textAlignment w:val="center"/>
              <w:rPr>
                <w:color w:val="auto"/>
                <w:kern w:val="0"/>
                <w:szCs w:val="21"/>
                <w:highlight w:val="none"/>
                <w:lang w:bidi="ar"/>
              </w:rPr>
            </w:pPr>
          </w:p>
        </w:tc>
        <w:tc>
          <w:tcPr>
            <w:tcW w:w="1106" w:type="dxa"/>
            <w:vAlign w:val="center"/>
          </w:tcPr>
          <w:p>
            <w:pPr>
              <w:widowControl/>
              <w:jc w:val="center"/>
              <w:textAlignment w:val="center"/>
              <w:rPr>
                <w:rFonts w:hint="eastAsia"/>
                <w:color w:val="auto"/>
                <w:szCs w:val="21"/>
                <w:highlight w:val="none"/>
              </w:rPr>
            </w:pPr>
            <w:r>
              <w:rPr>
                <w:color w:val="auto"/>
                <w:szCs w:val="21"/>
                <w:highlight w:val="none"/>
              </w:rPr>
              <w:t>3#</w:t>
            </w:r>
            <w:r>
              <w:rPr>
                <w:rFonts w:hint="eastAsia"/>
                <w:color w:val="auto"/>
                <w:szCs w:val="21"/>
                <w:highlight w:val="none"/>
              </w:rPr>
              <w:t>下风向</w:t>
            </w:r>
          </w:p>
        </w:tc>
        <w:tc>
          <w:tcPr>
            <w:tcW w:w="1106" w:type="dxa"/>
            <w:vAlign w:val="center"/>
          </w:tcPr>
          <w:p>
            <w:pPr>
              <w:widowControl/>
              <w:jc w:val="center"/>
              <w:textAlignment w:val="center"/>
              <w:rPr>
                <w:rFonts w:hint="eastAsia" w:eastAsia="宋体"/>
                <w:color w:val="auto"/>
                <w:kern w:val="0"/>
                <w:szCs w:val="21"/>
                <w:highlight w:val="none"/>
                <w:lang w:val="en-US" w:eastAsia="zh-CN" w:bidi="ar"/>
              </w:rPr>
            </w:pPr>
            <w:r>
              <w:rPr>
                <w:rFonts w:hint="eastAsia"/>
                <w:color w:val="auto"/>
                <w:kern w:val="0"/>
                <w:szCs w:val="21"/>
                <w:highlight w:val="none"/>
                <w:lang w:val="en-US" w:eastAsia="zh-CN" w:bidi="ar"/>
              </w:rPr>
              <w:t>0.05</w:t>
            </w:r>
          </w:p>
        </w:tc>
        <w:tc>
          <w:tcPr>
            <w:tcW w:w="1076" w:type="dxa"/>
            <w:vAlign w:val="center"/>
          </w:tcPr>
          <w:p>
            <w:pPr>
              <w:widowControl/>
              <w:jc w:val="center"/>
              <w:textAlignment w:val="center"/>
              <w:rPr>
                <w:rFonts w:hint="eastAsia" w:eastAsia="宋体"/>
                <w:color w:val="auto"/>
                <w:kern w:val="0"/>
                <w:szCs w:val="21"/>
                <w:highlight w:val="none"/>
                <w:lang w:val="en-US" w:eastAsia="zh-CN" w:bidi="ar"/>
              </w:rPr>
            </w:pPr>
            <w:r>
              <w:rPr>
                <w:rFonts w:hint="eastAsia"/>
                <w:color w:val="auto"/>
                <w:kern w:val="0"/>
                <w:szCs w:val="21"/>
                <w:highlight w:val="none"/>
                <w:lang w:val="en-US" w:eastAsia="zh-CN" w:bidi="ar"/>
              </w:rPr>
              <w:t>0.09</w:t>
            </w:r>
          </w:p>
        </w:tc>
        <w:tc>
          <w:tcPr>
            <w:tcW w:w="1181" w:type="dxa"/>
            <w:vAlign w:val="center"/>
          </w:tcPr>
          <w:p>
            <w:pPr>
              <w:widowControl/>
              <w:jc w:val="center"/>
              <w:textAlignment w:val="center"/>
              <w:rPr>
                <w:rFonts w:hint="eastAsia" w:eastAsia="宋体"/>
                <w:color w:val="auto"/>
                <w:kern w:val="0"/>
                <w:szCs w:val="21"/>
                <w:highlight w:val="none"/>
                <w:lang w:val="en-US" w:eastAsia="zh-CN" w:bidi="ar"/>
              </w:rPr>
            </w:pPr>
            <w:r>
              <w:rPr>
                <w:rFonts w:hint="eastAsia"/>
                <w:color w:val="auto"/>
                <w:kern w:val="0"/>
                <w:szCs w:val="21"/>
                <w:highlight w:val="none"/>
                <w:lang w:val="en-US" w:eastAsia="zh-CN" w:bidi="ar"/>
              </w:rPr>
              <w:t>0.05</w:t>
            </w:r>
          </w:p>
        </w:tc>
        <w:tc>
          <w:tcPr>
            <w:tcW w:w="1217" w:type="dxa"/>
            <w:vAlign w:val="center"/>
          </w:tcPr>
          <w:p>
            <w:pPr>
              <w:widowControl/>
              <w:jc w:val="center"/>
              <w:textAlignment w:val="center"/>
              <w:rPr>
                <w:rFonts w:hint="eastAsia" w:eastAsia="宋体"/>
                <w:color w:val="auto"/>
                <w:kern w:val="0"/>
                <w:szCs w:val="21"/>
                <w:highlight w:val="none"/>
                <w:lang w:val="en-US" w:eastAsia="zh-CN" w:bidi="ar"/>
              </w:rPr>
            </w:pPr>
            <w:r>
              <w:rPr>
                <w:rFonts w:hint="eastAsia"/>
                <w:color w:val="auto"/>
                <w:kern w:val="0"/>
                <w:szCs w:val="21"/>
                <w:highlight w:val="none"/>
                <w:lang w:val="en-US" w:eastAsia="zh-CN" w:bidi="ar"/>
              </w:rPr>
              <w:t>0.07</w:t>
            </w:r>
          </w:p>
        </w:tc>
        <w:tc>
          <w:tcPr>
            <w:tcW w:w="1217" w:type="dxa"/>
            <w:vAlign w:val="center"/>
          </w:tcPr>
          <w:p>
            <w:pPr>
              <w:widowControl/>
              <w:jc w:val="center"/>
              <w:textAlignment w:val="center"/>
              <w:rPr>
                <w:rFonts w:hint="eastAsia" w:eastAsia="宋体"/>
                <w:color w:val="auto"/>
                <w:kern w:val="0"/>
                <w:szCs w:val="21"/>
                <w:highlight w:val="none"/>
                <w:lang w:val="en-US" w:eastAsia="zh-CN" w:bidi="ar"/>
              </w:rPr>
            </w:pPr>
            <w:r>
              <w:rPr>
                <w:rFonts w:hint="eastAsia"/>
                <w:color w:val="auto"/>
                <w:kern w:val="0"/>
                <w:szCs w:val="21"/>
                <w:highlight w:val="none"/>
                <w:lang w:val="en-US" w:eastAsia="zh-CN" w:bidi="ar"/>
              </w:rPr>
              <w:t>0.07</w:t>
            </w:r>
          </w:p>
        </w:tc>
        <w:tc>
          <w:tcPr>
            <w:tcW w:w="1222" w:type="dxa"/>
            <w:vAlign w:val="center"/>
          </w:tcPr>
          <w:p>
            <w:pPr>
              <w:widowControl/>
              <w:jc w:val="center"/>
              <w:textAlignment w:val="center"/>
              <w:rPr>
                <w:rFonts w:hint="eastAsia" w:eastAsia="宋体"/>
                <w:color w:val="auto"/>
                <w:kern w:val="0"/>
                <w:szCs w:val="21"/>
                <w:highlight w:val="none"/>
                <w:lang w:val="en-US" w:eastAsia="zh-CN" w:bidi="ar"/>
              </w:rPr>
            </w:pPr>
            <w:r>
              <w:rPr>
                <w:rFonts w:hint="eastAsia"/>
                <w:color w:val="auto"/>
                <w:kern w:val="0"/>
                <w:szCs w:val="21"/>
                <w:highlight w:val="none"/>
                <w:lang w:val="en-US" w:eastAsia="zh-CN" w:bidi="ar"/>
              </w:rPr>
              <w:t>0.08</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exact"/>
          <w:jc w:val="center"/>
        </w:trPr>
        <w:tc>
          <w:tcPr>
            <w:tcW w:w="1105" w:type="dxa"/>
            <w:vMerge w:val="continue"/>
            <w:vAlign w:val="center"/>
          </w:tcPr>
          <w:p>
            <w:pPr>
              <w:widowControl/>
              <w:jc w:val="center"/>
              <w:textAlignment w:val="center"/>
              <w:rPr>
                <w:color w:val="auto"/>
                <w:kern w:val="0"/>
                <w:szCs w:val="21"/>
                <w:highlight w:val="none"/>
                <w:lang w:bidi="ar"/>
              </w:rPr>
            </w:pPr>
          </w:p>
        </w:tc>
        <w:tc>
          <w:tcPr>
            <w:tcW w:w="1106" w:type="dxa"/>
            <w:vAlign w:val="center"/>
          </w:tcPr>
          <w:p>
            <w:pPr>
              <w:widowControl/>
              <w:jc w:val="center"/>
              <w:textAlignment w:val="center"/>
              <w:rPr>
                <w:rFonts w:hint="eastAsia"/>
                <w:color w:val="auto"/>
                <w:szCs w:val="21"/>
                <w:highlight w:val="none"/>
              </w:rPr>
            </w:pPr>
            <w:r>
              <w:rPr>
                <w:rFonts w:hint="eastAsia"/>
                <w:color w:val="auto"/>
                <w:szCs w:val="21"/>
                <w:highlight w:val="none"/>
              </w:rPr>
              <w:t>4</w:t>
            </w:r>
            <w:r>
              <w:rPr>
                <w:color w:val="auto"/>
                <w:szCs w:val="21"/>
                <w:highlight w:val="none"/>
              </w:rPr>
              <w:t>#</w:t>
            </w:r>
            <w:r>
              <w:rPr>
                <w:rFonts w:hint="eastAsia"/>
                <w:color w:val="auto"/>
                <w:szCs w:val="21"/>
                <w:highlight w:val="none"/>
              </w:rPr>
              <w:t>下风向</w:t>
            </w:r>
          </w:p>
        </w:tc>
        <w:tc>
          <w:tcPr>
            <w:tcW w:w="1106" w:type="dxa"/>
            <w:vAlign w:val="center"/>
          </w:tcPr>
          <w:p>
            <w:pPr>
              <w:widowControl/>
              <w:jc w:val="center"/>
              <w:textAlignment w:val="center"/>
              <w:rPr>
                <w:rFonts w:hint="eastAsia" w:eastAsia="宋体"/>
                <w:color w:val="auto"/>
                <w:kern w:val="0"/>
                <w:szCs w:val="21"/>
                <w:highlight w:val="none"/>
                <w:lang w:val="en-US" w:eastAsia="zh-CN" w:bidi="ar"/>
              </w:rPr>
            </w:pPr>
            <w:r>
              <w:rPr>
                <w:rFonts w:hint="eastAsia"/>
                <w:color w:val="auto"/>
                <w:kern w:val="0"/>
                <w:szCs w:val="21"/>
                <w:highlight w:val="none"/>
                <w:lang w:val="en-US" w:eastAsia="zh-CN" w:bidi="ar"/>
              </w:rPr>
              <w:t>0.06</w:t>
            </w:r>
          </w:p>
        </w:tc>
        <w:tc>
          <w:tcPr>
            <w:tcW w:w="1076" w:type="dxa"/>
            <w:vAlign w:val="center"/>
          </w:tcPr>
          <w:p>
            <w:pPr>
              <w:widowControl/>
              <w:jc w:val="center"/>
              <w:textAlignment w:val="center"/>
              <w:rPr>
                <w:rFonts w:hint="eastAsia" w:eastAsia="宋体"/>
                <w:color w:val="auto"/>
                <w:kern w:val="0"/>
                <w:szCs w:val="21"/>
                <w:highlight w:val="none"/>
                <w:lang w:val="en-US" w:eastAsia="zh-CN" w:bidi="ar"/>
              </w:rPr>
            </w:pPr>
            <w:r>
              <w:rPr>
                <w:rFonts w:hint="eastAsia"/>
                <w:color w:val="auto"/>
                <w:kern w:val="0"/>
                <w:szCs w:val="21"/>
                <w:highlight w:val="none"/>
                <w:lang w:val="en-US" w:eastAsia="zh-CN" w:bidi="ar"/>
              </w:rPr>
              <w:t>0.06</w:t>
            </w:r>
          </w:p>
        </w:tc>
        <w:tc>
          <w:tcPr>
            <w:tcW w:w="1181" w:type="dxa"/>
            <w:vAlign w:val="center"/>
          </w:tcPr>
          <w:p>
            <w:pPr>
              <w:widowControl/>
              <w:jc w:val="center"/>
              <w:textAlignment w:val="center"/>
              <w:rPr>
                <w:rFonts w:hint="eastAsia" w:eastAsia="宋体"/>
                <w:color w:val="auto"/>
                <w:kern w:val="0"/>
                <w:szCs w:val="21"/>
                <w:highlight w:val="none"/>
                <w:lang w:val="en-US" w:eastAsia="zh-CN" w:bidi="ar"/>
              </w:rPr>
            </w:pPr>
            <w:r>
              <w:rPr>
                <w:rFonts w:hint="eastAsia"/>
                <w:color w:val="auto"/>
                <w:kern w:val="0"/>
                <w:szCs w:val="21"/>
                <w:highlight w:val="none"/>
                <w:lang w:val="en-US" w:eastAsia="zh-CN" w:bidi="ar"/>
              </w:rPr>
              <w:t>0.05</w:t>
            </w:r>
          </w:p>
        </w:tc>
        <w:tc>
          <w:tcPr>
            <w:tcW w:w="1217" w:type="dxa"/>
            <w:vAlign w:val="center"/>
          </w:tcPr>
          <w:p>
            <w:pPr>
              <w:widowControl/>
              <w:jc w:val="center"/>
              <w:textAlignment w:val="center"/>
              <w:rPr>
                <w:rFonts w:hint="eastAsia" w:eastAsia="宋体"/>
                <w:color w:val="auto"/>
                <w:kern w:val="0"/>
                <w:szCs w:val="21"/>
                <w:highlight w:val="none"/>
                <w:lang w:val="en-US" w:eastAsia="zh-CN" w:bidi="ar"/>
              </w:rPr>
            </w:pPr>
            <w:r>
              <w:rPr>
                <w:rFonts w:hint="eastAsia"/>
                <w:color w:val="auto"/>
                <w:kern w:val="0"/>
                <w:szCs w:val="21"/>
                <w:highlight w:val="none"/>
                <w:lang w:val="en-US" w:eastAsia="zh-CN" w:bidi="ar"/>
              </w:rPr>
              <w:t>0.08</w:t>
            </w:r>
          </w:p>
        </w:tc>
        <w:tc>
          <w:tcPr>
            <w:tcW w:w="1217" w:type="dxa"/>
            <w:vAlign w:val="center"/>
          </w:tcPr>
          <w:p>
            <w:pPr>
              <w:widowControl/>
              <w:jc w:val="center"/>
              <w:textAlignment w:val="center"/>
              <w:rPr>
                <w:rFonts w:hint="eastAsia" w:eastAsia="宋体"/>
                <w:color w:val="auto"/>
                <w:kern w:val="0"/>
                <w:szCs w:val="21"/>
                <w:highlight w:val="none"/>
                <w:lang w:val="en-US" w:eastAsia="zh-CN" w:bidi="ar"/>
              </w:rPr>
            </w:pPr>
            <w:r>
              <w:rPr>
                <w:rFonts w:hint="eastAsia"/>
                <w:color w:val="auto"/>
                <w:kern w:val="0"/>
                <w:szCs w:val="21"/>
                <w:highlight w:val="none"/>
                <w:lang w:val="en-US" w:eastAsia="zh-CN" w:bidi="ar"/>
              </w:rPr>
              <w:t>0.06</w:t>
            </w:r>
          </w:p>
        </w:tc>
        <w:tc>
          <w:tcPr>
            <w:tcW w:w="1222" w:type="dxa"/>
            <w:vAlign w:val="center"/>
          </w:tcPr>
          <w:p>
            <w:pPr>
              <w:widowControl/>
              <w:jc w:val="center"/>
              <w:textAlignment w:val="center"/>
              <w:rPr>
                <w:rFonts w:hint="eastAsia" w:eastAsia="宋体"/>
                <w:color w:val="auto"/>
                <w:kern w:val="0"/>
                <w:szCs w:val="21"/>
                <w:highlight w:val="none"/>
                <w:lang w:val="en-US" w:eastAsia="zh-CN" w:bidi="ar"/>
              </w:rPr>
            </w:pPr>
            <w:r>
              <w:rPr>
                <w:rFonts w:hint="eastAsia"/>
                <w:color w:val="auto"/>
                <w:kern w:val="0"/>
                <w:szCs w:val="21"/>
                <w:highlight w:val="none"/>
                <w:lang w:val="en-US" w:eastAsia="zh-CN" w:bidi="ar"/>
              </w:rPr>
              <w:t>0.06</w:t>
            </w:r>
          </w:p>
        </w:tc>
      </w:tr>
    </w:tbl>
    <w:p>
      <w:pPr>
        <w:spacing w:line="360" w:lineRule="auto"/>
        <w:ind w:firstLine="480" w:firstLineChars="200"/>
        <w:rPr>
          <w:rFonts w:hint="eastAsia"/>
          <w:color w:val="auto"/>
          <w:sz w:val="24"/>
          <w:highlight w:val="none"/>
          <w:lang w:eastAsia="zh-CN"/>
        </w:rPr>
      </w:pPr>
      <w:r>
        <w:rPr>
          <w:color w:val="auto"/>
          <w:sz w:val="24"/>
          <w:highlight w:val="none"/>
        </w:rPr>
        <w:t>由上表看出，本项目正常生产期间，</w:t>
      </w:r>
      <w:r>
        <w:rPr>
          <w:color w:val="auto"/>
          <w:kern w:val="0"/>
          <w:sz w:val="24"/>
          <w:highlight w:val="none"/>
        </w:rPr>
        <w:t>项目</w:t>
      </w:r>
      <w:r>
        <w:rPr>
          <w:rFonts w:hint="eastAsia"/>
          <w:color w:val="auto"/>
          <w:sz w:val="24"/>
          <w:highlight w:val="none"/>
        </w:rPr>
        <w:t>无组织排放的硫酸雾、氮氧化物、铬酸雾、氯化氢各厂界</w:t>
      </w:r>
      <w:r>
        <w:rPr>
          <w:rFonts w:hint="eastAsia"/>
          <w:color w:val="auto"/>
          <w:sz w:val="24"/>
          <w:highlight w:val="none"/>
          <w:lang w:val="en-US" w:eastAsia="zh-CN"/>
        </w:rPr>
        <w:t>排放</w:t>
      </w:r>
      <w:r>
        <w:rPr>
          <w:rFonts w:hint="eastAsia"/>
          <w:color w:val="auto"/>
          <w:sz w:val="24"/>
          <w:highlight w:val="none"/>
        </w:rPr>
        <w:t>浓度满足</w:t>
      </w:r>
      <w:r>
        <w:rPr>
          <w:color w:val="auto"/>
          <w:sz w:val="24"/>
          <w:highlight w:val="none"/>
        </w:rPr>
        <w:t>《大气污染物综合排放标准》(GB16297-1996)表2中</w:t>
      </w:r>
      <w:r>
        <w:rPr>
          <w:rFonts w:hint="eastAsia"/>
          <w:color w:val="auto"/>
          <w:sz w:val="24"/>
          <w:highlight w:val="none"/>
        </w:rPr>
        <w:t>无组织监控浓度限值</w:t>
      </w:r>
      <w:r>
        <w:rPr>
          <w:color w:val="auto"/>
          <w:sz w:val="24"/>
          <w:highlight w:val="none"/>
        </w:rPr>
        <w:t>。</w:t>
      </w:r>
      <w:r>
        <w:rPr>
          <w:rFonts w:hint="eastAsia"/>
          <w:color w:val="auto"/>
          <w:sz w:val="24"/>
          <w:highlight w:val="none"/>
          <w:lang w:eastAsia="zh-CN"/>
        </w:rPr>
        <w:t>氨</w:t>
      </w:r>
      <w:r>
        <w:rPr>
          <w:rFonts w:hint="eastAsia"/>
          <w:color w:val="auto"/>
          <w:sz w:val="24"/>
          <w:highlight w:val="none"/>
        </w:rPr>
        <w:t>各厂界</w:t>
      </w:r>
      <w:r>
        <w:rPr>
          <w:rFonts w:hint="eastAsia"/>
          <w:color w:val="auto"/>
          <w:sz w:val="24"/>
          <w:highlight w:val="none"/>
          <w:lang w:val="en-US" w:eastAsia="zh-CN"/>
        </w:rPr>
        <w:t>排放</w:t>
      </w:r>
      <w:r>
        <w:rPr>
          <w:rFonts w:hint="eastAsia"/>
          <w:color w:val="auto"/>
          <w:sz w:val="24"/>
          <w:highlight w:val="none"/>
        </w:rPr>
        <w:t>浓度满足</w:t>
      </w:r>
      <w:r>
        <w:rPr>
          <w:rFonts w:hint="eastAsia"/>
          <w:color w:val="auto"/>
          <w:sz w:val="24"/>
          <w:highlight w:val="none"/>
        </w:rPr>
        <w:t>《恶臭污染物排放标准》(GB14554-93)表1厂界二级</w:t>
      </w:r>
      <w:r>
        <w:rPr>
          <w:rFonts w:hint="eastAsia"/>
          <w:color w:val="auto"/>
          <w:sz w:val="24"/>
          <w:highlight w:val="none"/>
          <w:lang w:val="en-US" w:eastAsia="zh-CN"/>
        </w:rPr>
        <w:t>标准</w:t>
      </w:r>
      <w:r>
        <w:rPr>
          <w:rFonts w:hint="eastAsia"/>
          <w:color w:val="auto"/>
          <w:sz w:val="24"/>
          <w:highlight w:val="none"/>
        </w:rPr>
        <w:t>限值</w:t>
      </w:r>
      <w:r>
        <w:rPr>
          <w:rFonts w:hint="eastAsia"/>
          <w:color w:val="auto"/>
          <w:sz w:val="24"/>
          <w:highlight w:val="none"/>
          <w:lang w:eastAsia="zh-CN"/>
        </w:rPr>
        <w:t>。</w:t>
      </w:r>
    </w:p>
    <w:p>
      <w:pPr>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根据表2.5-6计算的有组织排放量及收集效率、净化效率，推算出项目废气污染物实际的产生排放情况见表2.5</w:t>
      </w:r>
      <w:r>
        <w:rPr>
          <w:rFonts w:hint="default"/>
          <w:color w:val="auto"/>
          <w:sz w:val="24"/>
          <w:highlight w:val="none"/>
          <w:lang w:val="en-US" w:eastAsia="zh-CN"/>
        </w:rPr>
        <w:t>-</w:t>
      </w:r>
      <w:r>
        <w:rPr>
          <w:rFonts w:hint="eastAsia"/>
          <w:color w:val="auto"/>
          <w:sz w:val="24"/>
          <w:highlight w:val="none"/>
          <w:lang w:val="en-US" w:eastAsia="zh-CN"/>
        </w:rPr>
        <w:t>8。</w:t>
      </w:r>
    </w:p>
    <w:p>
      <w:pPr>
        <w:pStyle w:val="44"/>
        <w:keepNext w:val="0"/>
        <w:keepLines w:val="0"/>
        <w:pageBreakBefore w:val="0"/>
        <w:kinsoku/>
        <w:wordWrap/>
        <w:overflowPunct/>
        <w:topLinePunct w:val="0"/>
        <w:bidi w:val="0"/>
        <w:adjustRightInd w:val="0"/>
        <w:snapToGrid w:val="0"/>
        <w:spacing w:line="360" w:lineRule="auto"/>
        <w:jc w:val="center"/>
        <w:textAlignment w:val="auto"/>
        <w:rPr>
          <w:rFonts w:hint="default" w:ascii="Times New Roman" w:hAnsi="Times New Roman" w:eastAsia="黑体" w:cs="Times New Roman"/>
          <w:color w:val="auto"/>
          <w:highlight w:val="none"/>
          <w:lang w:val="en-US" w:eastAsia="zh-CN"/>
        </w:rPr>
      </w:pPr>
      <w:r>
        <w:rPr>
          <w:rFonts w:hint="default" w:ascii="Times New Roman" w:hAnsi="Times New Roman" w:eastAsia="黑体" w:cs="Times New Roman"/>
          <w:color w:val="auto"/>
          <w:highlight w:val="none"/>
          <w:lang w:val="en-US" w:eastAsia="zh-CN"/>
        </w:rPr>
        <w:t>表</w:t>
      </w:r>
      <w:r>
        <w:rPr>
          <w:rFonts w:hint="eastAsia" w:ascii="Times New Roman" w:eastAsia="黑体" w:cs="Times New Roman"/>
          <w:color w:val="auto"/>
          <w:highlight w:val="none"/>
          <w:lang w:val="en-US" w:eastAsia="zh-CN"/>
        </w:rPr>
        <w:t>2.5</w:t>
      </w:r>
      <w:r>
        <w:rPr>
          <w:rFonts w:hint="default" w:ascii="Times New Roman" w:hAnsi="Times New Roman" w:eastAsia="黑体" w:cs="Times New Roman"/>
          <w:color w:val="auto"/>
          <w:highlight w:val="none"/>
          <w:lang w:val="en-US" w:eastAsia="zh-CN"/>
        </w:rPr>
        <w:t>-</w:t>
      </w:r>
      <w:r>
        <w:rPr>
          <w:rFonts w:hint="eastAsia" w:ascii="Times New Roman" w:eastAsia="黑体" w:cs="Times New Roman"/>
          <w:color w:val="auto"/>
          <w:highlight w:val="none"/>
          <w:lang w:val="en-US" w:eastAsia="zh-CN"/>
        </w:rPr>
        <w:t>8</w:t>
      </w:r>
      <w:r>
        <w:rPr>
          <w:rFonts w:hint="default" w:ascii="Times New Roman" w:hAnsi="Times New Roman" w:eastAsia="黑体" w:cs="Times New Roman"/>
          <w:color w:val="auto"/>
          <w:highlight w:val="none"/>
          <w:lang w:val="en-US" w:eastAsia="zh-CN"/>
        </w:rPr>
        <w:t xml:space="preserve"> 废气污染物产、排放情况一览表</w:t>
      </w:r>
    </w:p>
    <w:tbl>
      <w:tblPr>
        <w:tblStyle w:val="36"/>
        <w:tblW w:w="9287" w:type="dxa"/>
        <w:jc w:val="center"/>
        <w:tblBorders>
          <w:top w:val="single" w:color="000000" w:sz="8" w:space="0"/>
          <w:left w:val="none" w:color="auto" w:sz="0" w:space="0"/>
          <w:bottom w:val="single" w:color="000000" w:sz="8"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336"/>
        <w:gridCol w:w="1595"/>
        <w:gridCol w:w="1826"/>
        <w:gridCol w:w="1779"/>
        <w:gridCol w:w="2751"/>
      </w:tblGrid>
      <w:tr>
        <w:tblPrEx>
          <w:tblBorders>
            <w:top w:val="single" w:color="000000" w:sz="8" w:space="0"/>
            <w:left w:val="none" w:color="auto" w:sz="0" w:space="0"/>
            <w:bottom w:val="single" w:color="000000" w:sz="8"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jc w:val="center"/>
        </w:trPr>
        <w:tc>
          <w:tcPr>
            <w:tcW w:w="1336" w:type="dxa"/>
            <w:vAlign w:val="center"/>
          </w:tcPr>
          <w:p>
            <w:pPr>
              <w:jc w:val="center"/>
              <w:rPr>
                <w:b/>
                <w:color w:val="auto"/>
                <w:sz w:val="21"/>
                <w:szCs w:val="21"/>
                <w:highlight w:val="none"/>
              </w:rPr>
            </w:pPr>
            <w:r>
              <w:rPr>
                <w:b/>
                <w:color w:val="auto"/>
                <w:sz w:val="21"/>
                <w:szCs w:val="21"/>
                <w:highlight w:val="none"/>
              </w:rPr>
              <w:t>废气来源</w:t>
            </w:r>
          </w:p>
        </w:tc>
        <w:tc>
          <w:tcPr>
            <w:tcW w:w="1595" w:type="dxa"/>
            <w:vAlign w:val="center"/>
          </w:tcPr>
          <w:p>
            <w:pPr>
              <w:jc w:val="center"/>
              <w:rPr>
                <w:b/>
                <w:color w:val="auto"/>
                <w:sz w:val="21"/>
                <w:szCs w:val="21"/>
                <w:highlight w:val="none"/>
              </w:rPr>
            </w:pPr>
            <w:r>
              <w:rPr>
                <w:b/>
                <w:color w:val="auto"/>
                <w:sz w:val="21"/>
                <w:szCs w:val="21"/>
                <w:highlight w:val="none"/>
              </w:rPr>
              <w:t>污染因子</w:t>
            </w:r>
          </w:p>
        </w:tc>
        <w:tc>
          <w:tcPr>
            <w:tcW w:w="1826" w:type="dxa"/>
            <w:vAlign w:val="center"/>
          </w:tcPr>
          <w:p>
            <w:pPr>
              <w:jc w:val="center"/>
              <w:rPr>
                <w:b/>
                <w:color w:val="auto"/>
                <w:sz w:val="21"/>
                <w:szCs w:val="21"/>
                <w:highlight w:val="none"/>
              </w:rPr>
            </w:pPr>
            <w:r>
              <w:rPr>
                <w:b/>
                <w:color w:val="auto"/>
                <w:sz w:val="21"/>
                <w:szCs w:val="21"/>
                <w:highlight w:val="none"/>
              </w:rPr>
              <w:t>产生量(kg/a)</w:t>
            </w:r>
          </w:p>
        </w:tc>
        <w:tc>
          <w:tcPr>
            <w:tcW w:w="1779" w:type="dxa"/>
            <w:vAlign w:val="center"/>
          </w:tcPr>
          <w:p>
            <w:pPr>
              <w:jc w:val="center"/>
              <w:rPr>
                <w:b/>
                <w:color w:val="auto"/>
                <w:sz w:val="21"/>
                <w:szCs w:val="21"/>
                <w:highlight w:val="none"/>
              </w:rPr>
            </w:pPr>
            <w:r>
              <w:rPr>
                <w:b/>
                <w:color w:val="auto"/>
                <w:sz w:val="21"/>
                <w:szCs w:val="21"/>
                <w:highlight w:val="none"/>
              </w:rPr>
              <w:t>消减量(kg/a)</w:t>
            </w:r>
          </w:p>
        </w:tc>
        <w:tc>
          <w:tcPr>
            <w:tcW w:w="2751" w:type="dxa"/>
            <w:vAlign w:val="center"/>
          </w:tcPr>
          <w:p>
            <w:pPr>
              <w:jc w:val="center"/>
              <w:rPr>
                <w:b/>
                <w:color w:val="auto"/>
                <w:sz w:val="21"/>
                <w:szCs w:val="21"/>
                <w:highlight w:val="none"/>
              </w:rPr>
            </w:pPr>
            <w:r>
              <w:rPr>
                <w:b/>
                <w:color w:val="auto"/>
                <w:sz w:val="21"/>
                <w:szCs w:val="21"/>
                <w:highlight w:val="none"/>
              </w:rPr>
              <w:t>排放量(kg/a)</w:t>
            </w:r>
          </w:p>
        </w:tc>
      </w:tr>
      <w:tr>
        <w:tblPrEx>
          <w:tblBorders>
            <w:top w:val="single" w:color="000000" w:sz="8" w:space="0"/>
            <w:left w:val="none" w:color="auto" w:sz="0" w:space="0"/>
            <w:bottom w:val="single" w:color="000000" w:sz="8" w:space="0"/>
            <w:right w:val="none" w:color="auto" w:sz="0" w:space="0"/>
            <w:insideH w:val="dotted" w:color="auto" w:sz="4" w:space="0"/>
            <w:insideV w:val="dotted" w:color="auto" w:sz="4" w:space="0"/>
          </w:tblBorders>
        </w:tblPrEx>
        <w:trPr>
          <w:cantSplit/>
          <w:trHeight w:val="340" w:hRule="atLeast"/>
          <w:jc w:val="center"/>
        </w:trPr>
        <w:tc>
          <w:tcPr>
            <w:tcW w:w="1336" w:type="dxa"/>
            <w:vMerge w:val="restart"/>
            <w:vAlign w:val="center"/>
          </w:tcPr>
          <w:p>
            <w:pPr>
              <w:pStyle w:val="44"/>
              <w:jc w:val="center"/>
              <w:rPr>
                <w:rFonts w:ascii="Times New Roman" w:cs="Times New Roman"/>
                <w:color w:val="auto"/>
                <w:sz w:val="21"/>
                <w:szCs w:val="21"/>
                <w:highlight w:val="none"/>
              </w:rPr>
            </w:pPr>
            <w:r>
              <w:rPr>
                <w:rFonts w:ascii="Times New Roman" w:cs="Times New Roman"/>
                <w:color w:val="auto"/>
                <w:sz w:val="21"/>
                <w:szCs w:val="21"/>
                <w:highlight w:val="none"/>
              </w:rPr>
              <w:t>有组织</w:t>
            </w:r>
          </w:p>
        </w:tc>
        <w:tc>
          <w:tcPr>
            <w:tcW w:w="159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color w:val="auto"/>
                <w:sz w:val="21"/>
                <w:szCs w:val="21"/>
                <w:highlight w:val="none"/>
              </w:rPr>
            </w:pPr>
            <w:r>
              <w:rPr>
                <w:rFonts w:hint="default" w:ascii="Times New Roman" w:hAnsi="Times New Roman" w:cs="Times New Roman"/>
                <w:color w:val="auto"/>
                <w:kern w:val="0"/>
                <w:sz w:val="21"/>
                <w:szCs w:val="21"/>
                <w:highlight w:val="none"/>
              </w:rPr>
              <w:t>氯化氢</w:t>
            </w:r>
          </w:p>
        </w:tc>
        <w:tc>
          <w:tcPr>
            <w:tcW w:w="1826" w:type="dxa"/>
            <w:vAlign w:val="center"/>
          </w:tcPr>
          <w:p>
            <w:pPr>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475</w:t>
            </w:r>
          </w:p>
        </w:tc>
        <w:tc>
          <w:tcPr>
            <w:tcW w:w="1779" w:type="dxa"/>
            <w:vAlign w:val="center"/>
          </w:tcPr>
          <w:p>
            <w:pPr>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427</w:t>
            </w:r>
          </w:p>
        </w:tc>
        <w:tc>
          <w:tcPr>
            <w:tcW w:w="2751" w:type="dxa"/>
            <w:vAlign w:val="center"/>
          </w:tcPr>
          <w:p>
            <w:pPr>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48</w:t>
            </w:r>
          </w:p>
        </w:tc>
      </w:tr>
      <w:tr>
        <w:tblPrEx>
          <w:tblBorders>
            <w:top w:val="single" w:color="000000" w:sz="8" w:space="0"/>
            <w:left w:val="none" w:color="auto" w:sz="0" w:space="0"/>
            <w:bottom w:val="single" w:color="000000" w:sz="8"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jc w:val="center"/>
        </w:trPr>
        <w:tc>
          <w:tcPr>
            <w:tcW w:w="1336" w:type="dxa"/>
            <w:vMerge w:val="continue"/>
            <w:vAlign w:val="center"/>
          </w:tcPr>
          <w:p>
            <w:pPr>
              <w:pStyle w:val="44"/>
              <w:jc w:val="center"/>
              <w:rPr>
                <w:rFonts w:ascii="Times New Roman" w:cs="Times New Roman"/>
                <w:color w:val="auto"/>
                <w:sz w:val="21"/>
                <w:szCs w:val="21"/>
                <w:highlight w:val="none"/>
              </w:rPr>
            </w:pPr>
          </w:p>
        </w:tc>
        <w:tc>
          <w:tcPr>
            <w:tcW w:w="159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color w:val="auto"/>
                <w:sz w:val="21"/>
                <w:szCs w:val="21"/>
                <w:highlight w:val="none"/>
              </w:rPr>
            </w:pPr>
            <w:r>
              <w:rPr>
                <w:rFonts w:hint="default" w:ascii="Times New Roman" w:hAnsi="Times New Roman" w:cs="Times New Roman"/>
                <w:color w:val="auto"/>
                <w:kern w:val="0"/>
                <w:sz w:val="21"/>
                <w:szCs w:val="21"/>
                <w:highlight w:val="none"/>
              </w:rPr>
              <w:t>硫酸雾</w:t>
            </w:r>
          </w:p>
        </w:tc>
        <w:tc>
          <w:tcPr>
            <w:tcW w:w="1826" w:type="dxa"/>
            <w:vAlign w:val="center"/>
          </w:tcPr>
          <w:p>
            <w:pPr>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97</w:t>
            </w:r>
          </w:p>
        </w:tc>
        <w:tc>
          <w:tcPr>
            <w:tcW w:w="1779" w:type="dxa"/>
            <w:vAlign w:val="center"/>
          </w:tcPr>
          <w:p>
            <w:pPr>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87</w:t>
            </w:r>
          </w:p>
        </w:tc>
        <w:tc>
          <w:tcPr>
            <w:tcW w:w="2751" w:type="dxa"/>
            <w:vAlign w:val="center"/>
          </w:tcPr>
          <w:p>
            <w:pPr>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10</w:t>
            </w:r>
          </w:p>
        </w:tc>
      </w:tr>
      <w:tr>
        <w:tblPrEx>
          <w:tblBorders>
            <w:top w:val="single" w:color="000000" w:sz="8" w:space="0"/>
            <w:left w:val="none" w:color="auto" w:sz="0" w:space="0"/>
            <w:bottom w:val="single" w:color="000000" w:sz="8" w:space="0"/>
            <w:right w:val="none" w:color="auto" w:sz="0" w:space="0"/>
            <w:insideH w:val="dotted" w:color="auto" w:sz="4" w:space="0"/>
            <w:insideV w:val="dotted" w:color="auto" w:sz="4" w:space="0"/>
          </w:tblBorders>
        </w:tblPrEx>
        <w:trPr>
          <w:cantSplit/>
          <w:trHeight w:val="90" w:hRule="atLeast"/>
          <w:jc w:val="center"/>
        </w:trPr>
        <w:tc>
          <w:tcPr>
            <w:tcW w:w="1336" w:type="dxa"/>
            <w:vMerge w:val="continue"/>
            <w:vAlign w:val="center"/>
          </w:tcPr>
          <w:p>
            <w:pPr>
              <w:pStyle w:val="44"/>
              <w:jc w:val="center"/>
              <w:rPr>
                <w:rFonts w:ascii="Times New Roman" w:cs="Times New Roman"/>
                <w:color w:val="auto"/>
                <w:sz w:val="21"/>
                <w:szCs w:val="21"/>
                <w:highlight w:val="none"/>
              </w:rPr>
            </w:pPr>
          </w:p>
        </w:tc>
        <w:tc>
          <w:tcPr>
            <w:tcW w:w="159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color w:val="auto"/>
                <w:sz w:val="21"/>
                <w:szCs w:val="21"/>
                <w:highlight w:val="none"/>
              </w:rPr>
            </w:pPr>
            <w:r>
              <w:rPr>
                <w:rFonts w:hint="eastAsia" w:ascii="Times New Roman" w:hAnsi="Times New Roman" w:cs="Times New Roman"/>
                <w:color w:val="auto"/>
                <w:sz w:val="21"/>
                <w:szCs w:val="21"/>
                <w:highlight w:val="none"/>
                <w:lang w:val="en-US" w:eastAsia="zh-CN"/>
              </w:rPr>
              <w:t>甲基磺酸雾</w:t>
            </w:r>
          </w:p>
        </w:tc>
        <w:tc>
          <w:tcPr>
            <w:tcW w:w="1826" w:type="dxa"/>
            <w:vAlign w:val="center"/>
          </w:tcPr>
          <w:p>
            <w:pPr>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140</w:t>
            </w:r>
          </w:p>
        </w:tc>
        <w:tc>
          <w:tcPr>
            <w:tcW w:w="1779" w:type="dxa"/>
            <w:vAlign w:val="center"/>
          </w:tcPr>
          <w:p>
            <w:pPr>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126</w:t>
            </w:r>
          </w:p>
        </w:tc>
        <w:tc>
          <w:tcPr>
            <w:tcW w:w="2751" w:type="dxa"/>
            <w:vAlign w:val="center"/>
          </w:tcPr>
          <w:p>
            <w:pPr>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14</w:t>
            </w:r>
          </w:p>
        </w:tc>
      </w:tr>
      <w:tr>
        <w:tblPrEx>
          <w:tblBorders>
            <w:top w:val="single" w:color="000000" w:sz="8" w:space="0"/>
            <w:left w:val="none" w:color="auto" w:sz="0" w:space="0"/>
            <w:bottom w:val="single" w:color="000000" w:sz="8"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jc w:val="center"/>
        </w:trPr>
        <w:tc>
          <w:tcPr>
            <w:tcW w:w="1336" w:type="dxa"/>
            <w:vMerge w:val="continue"/>
            <w:vAlign w:val="center"/>
          </w:tcPr>
          <w:p>
            <w:pPr>
              <w:pStyle w:val="44"/>
              <w:jc w:val="center"/>
              <w:rPr>
                <w:rFonts w:ascii="Times New Roman" w:cs="Times New Roman"/>
                <w:color w:val="auto"/>
                <w:sz w:val="21"/>
                <w:szCs w:val="21"/>
                <w:highlight w:val="none"/>
              </w:rPr>
            </w:pPr>
          </w:p>
        </w:tc>
        <w:tc>
          <w:tcPr>
            <w:tcW w:w="159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color w:val="auto"/>
                <w:sz w:val="21"/>
                <w:szCs w:val="21"/>
                <w:highlight w:val="none"/>
              </w:rPr>
            </w:pPr>
            <w:r>
              <w:rPr>
                <w:rFonts w:hint="default" w:ascii="Times New Roman" w:hAnsi="Times New Roman" w:cs="Times New Roman"/>
                <w:color w:val="auto"/>
                <w:kern w:val="0"/>
                <w:sz w:val="21"/>
                <w:szCs w:val="21"/>
                <w:highlight w:val="none"/>
              </w:rPr>
              <w:t>铬酸雾</w:t>
            </w:r>
          </w:p>
        </w:tc>
        <w:tc>
          <w:tcPr>
            <w:tcW w:w="1826" w:type="dxa"/>
            <w:vAlign w:val="center"/>
          </w:tcPr>
          <w:p>
            <w:pPr>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4.9</w:t>
            </w:r>
          </w:p>
        </w:tc>
        <w:tc>
          <w:tcPr>
            <w:tcW w:w="1779" w:type="dxa"/>
            <w:vAlign w:val="center"/>
          </w:tcPr>
          <w:p>
            <w:pPr>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4.4</w:t>
            </w:r>
          </w:p>
        </w:tc>
        <w:tc>
          <w:tcPr>
            <w:tcW w:w="2751" w:type="dxa"/>
            <w:vAlign w:val="center"/>
          </w:tcPr>
          <w:p>
            <w:pPr>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0.5</w:t>
            </w:r>
          </w:p>
        </w:tc>
      </w:tr>
      <w:tr>
        <w:tblPrEx>
          <w:tblBorders>
            <w:top w:val="single" w:color="000000" w:sz="8" w:space="0"/>
            <w:left w:val="none" w:color="auto" w:sz="0" w:space="0"/>
            <w:bottom w:val="single" w:color="000000" w:sz="8"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jc w:val="center"/>
        </w:trPr>
        <w:tc>
          <w:tcPr>
            <w:tcW w:w="1336" w:type="dxa"/>
            <w:vMerge w:val="continue"/>
            <w:vAlign w:val="center"/>
          </w:tcPr>
          <w:p>
            <w:pPr>
              <w:pStyle w:val="44"/>
              <w:jc w:val="center"/>
              <w:rPr>
                <w:rFonts w:ascii="Times New Roman" w:cs="Times New Roman"/>
                <w:color w:val="auto"/>
                <w:sz w:val="21"/>
                <w:szCs w:val="21"/>
                <w:highlight w:val="none"/>
              </w:rPr>
            </w:pPr>
          </w:p>
        </w:tc>
        <w:tc>
          <w:tcPr>
            <w:tcW w:w="159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氨</w:t>
            </w:r>
          </w:p>
        </w:tc>
        <w:tc>
          <w:tcPr>
            <w:tcW w:w="1826" w:type="dxa"/>
            <w:vAlign w:val="center"/>
          </w:tcPr>
          <w:p>
            <w:pPr>
              <w:jc w:val="center"/>
              <w:rPr>
                <w:rFonts w:hint="default"/>
                <w:color w:val="auto"/>
                <w:sz w:val="21"/>
                <w:szCs w:val="21"/>
                <w:highlight w:val="none"/>
                <w:lang w:val="en-US" w:eastAsia="zh-CN"/>
              </w:rPr>
            </w:pPr>
            <w:r>
              <w:rPr>
                <w:rFonts w:hint="eastAsia"/>
                <w:color w:val="auto"/>
                <w:sz w:val="21"/>
                <w:szCs w:val="21"/>
                <w:highlight w:val="none"/>
                <w:lang w:val="en-US" w:eastAsia="zh-CN"/>
              </w:rPr>
              <w:t>35</w:t>
            </w:r>
          </w:p>
        </w:tc>
        <w:tc>
          <w:tcPr>
            <w:tcW w:w="1779" w:type="dxa"/>
            <w:vAlign w:val="center"/>
          </w:tcPr>
          <w:p>
            <w:pPr>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32</w:t>
            </w:r>
          </w:p>
        </w:tc>
        <w:tc>
          <w:tcPr>
            <w:tcW w:w="2751" w:type="dxa"/>
            <w:vAlign w:val="center"/>
          </w:tcPr>
          <w:p>
            <w:pPr>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3</w:t>
            </w:r>
          </w:p>
        </w:tc>
      </w:tr>
      <w:tr>
        <w:tblPrEx>
          <w:tblBorders>
            <w:top w:val="single" w:color="000000" w:sz="8" w:space="0"/>
            <w:left w:val="none" w:color="auto" w:sz="0" w:space="0"/>
            <w:bottom w:val="single" w:color="000000" w:sz="8"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jc w:val="center"/>
        </w:trPr>
        <w:tc>
          <w:tcPr>
            <w:tcW w:w="1336" w:type="dxa"/>
            <w:vMerge w:val="continue"/>
            <w:vAlign w:val="center"/>
          </w:tcPr>
          <w:p>
            <w:pPr>
              <w:pStyle w:val="44"/>
              <w:jc w:val="center"/>
              <w:rPr>
                <w:rFonts w:ascii="Times New Roman" w:cs="Times New Roman"/>
                <w:color w:val="auto"/>
                <w:sz w:val="21"/>
                <w:szCs w:val="21"/>
                <w:highlight w:val="none"/>
              </w:rPr>
            </w:pPr>
          </w:p>
        </w:tc>
        <w:tc>
          <w:tcPr>
            <w:tcW w:w="159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NO</w:t>
            </w:r>
            <w:r>
              <w:rPr>
                <w:rFonts w:hint="default" w:ascii="Times New Roman" w:hAnsi="Times New Roman" w:cs="Times New Roman"/>
                <w:color w:val="auto"/>
                <w:sz w:val="21"/>
                <w:szCs w:val="21"/>
                <w:highlight w:val="none"/>
                <w:vertAlign w:val="subscript"/>
              </w:rPr>
              <w:t>x</w:t>
            </w:r>
          </w:p>
        </w:tc>
        <w:tc>
          <w:tcPr>
            <w:tcW w:w="1826" w:type="dxa"/>
            <w:vAlign w:val="center"/>
          </w:tcPr>
          <w:p>
            <w:pPr>
              <w:jc w:val="center"/>
              <w:rPr>
                <w:rFonts w:hint="default"/>
                <w:color w:val="auto"/>
                <w:sz w:val="21"/>
                <w:szCs w:val="21"/>
                <w:highlight w:val="none"/>
                <w:lang w:val="en-US"/>
              </w:rPr>
            </w:pPr>
            <w:r>
              <w:rPr>
                <w:rFonts w:hint="eastAsia"/>
                <w:color w:val="auto"/>
                <w:sz w:val="21"/>
                <w:szCs w:val="21"/>
                <w:highlight w:val="none"/>
                <w:lang w:val="en-US" w:eastAsia="zh-CN"/>
              </w:rPr>
              <w:t>233</w:t>
            </w:r>
          </w:p>
        </w:tc>
        <w:tc>
          <w:tcPr>
            <w:tcW w:w="1779" w:type="dxa"/>
            <w:vAlign w:val="center"/>
          </w:tcPr>
          <w:p>
            <w:pPr>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17</w:t>
            </w:r>
          </w:p>
        </w:tc>
        <w:tc>
          <w:tcPr>
            <w:tcW w:w="2751" w:type="dxa"/>
            <w:vAlign w:val="center"/>
          </w:tcPr>
          <w:p>
            <w:pPr>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216</w:t>
            </w:r>
          </w:p>
        </w:tc>
      </w:tr>
      <w:tr>
        <w:tblPrEx>
          <w:tblBorders>
            <w:top w:val="single" w:color="000000" w:sz="8" w:space="0"/>
            <w:left w:val="none" w:color="auto" w:sz="0" w:space="0"/>
            <w:bottom w:val="single" w:color="000000" w:sz="8" w:space="0"/>
            <w:right w:val="none" w:color="auto" w:sz="0" w:space="0"/>
            <w:insideH w:val="dotted" w:color="auto" w:sz="4" w:space="0"/>
            <w:insideV w:val="dotted" w:color="auto" w:sz="4" w:space="0"/>
          </w:tblBorders>
        </w:tblPrEx>
        <w:trPr>
          <w:cantSplit/>
          <w:trHeight w:val="340" w:hRule="atLeast"/>
          <w:jc w:val="center"/>
        </w:trPr>
        <w:tc>
          <w:tcPr>
            <w:tcW w:w="1336" w:type="dxa"/>
            <w:vMerge w:val="continue"/>
            <w:vAlign w:val="center"/>
          </w:tcPr>
          <w:p>
            <w:pPr>
              <w:pStyle w:val="44"/>
              <w:jc w:val="center"/>
              <w:rPr>
                <w:rFonts w:ascii="Times New Roman" w:cs="Times New Roman"/>
                <w:color w:val="auto"/>
                <w:sz w:val="21"/>
                <w:szCs w:val="21"/>
                <w:highlight w:val="none"/>
              </w:rPr>
            </w:pPr>
          </w:p>
        </w:tc>
        <w:tc>
          <w:tcPr>
            <w:tcW w:w="159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SO</w:t>
            </w:r>
            <w:r>
              <w:rPr>
                <w:rFonts w:hint="eastAsia" w:cs="Times New Roman"/>
                <w:color w:val="auto"/>
                <w:sz w:val="21"/>
                <w:szCs w:val="21"/>
                <w:highlight w:val="none"/>
                <w:vertAlign w:val="subscript"/>
                <w:lang w:val="en-US" w:eastAsia="zh-CN"/>
              </w:rPr>
              <w:t>2</w:t>
            </w:r>
          </w:p>
        </w:tc>
        <w:tc>
          <w:tcPr>
            <w:tcW w:w="1826" w:type="dxa"/>
            <w:vAlign w:val="center"/>
          </w:tcPr>
          <w:p>
            <w:pPr>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31</w:t>
            </w:r>
          </w:p>
        </w:tc>
        <w:tc>
          <w:tcPr>
            <w:tcW w:w="1779" w:type="dxa"/>
            <w:vAlign w:val="center"/>
          </w:tcPr>
          <w:p>
            <w:pPr>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0</w:t>
            </w:r>
          </w:p>
        </w:tc>
        <w:tc>
          <w:tcPr>
            <w:tcW w:w="2751" w:type="dxa"/>
            <w:vAlign w:val="center"/>
          </w:tcPr>
          <w:p>
            <w:pPr>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31</w:t>
            </w:r>
          </w:p>
        </w:tc>
      </w:tr>
      <w:tr>
        <w:tblPrEx>
          <w:tblBorders>
            <w:top w:val="single" w:color="000000" w:sz="8" w:space="0"/>
            <w:left w:val="none" w:color="auto" w:sz="0" w:space="0"/>
            <w:bottom w:val="single" w:color="000000" w:sz="8"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jc w:val="center"/>
        </w:trPr>
        <w:tc>
          <w:tcPr>
            <w:tcW w:w="1336" w:type="dxa"/>
            <w:vMerge w:val="continue"/>
            <w:vAlign w:val="center"/>
          </w:tcPr>
          <w:p>
            <w:pPr>
              <w:tabs>
                <w:tab w:val="left" w:pos="900"/>
              </w:tabs>
              <w:autoSpaceDE w:val="0"/>
              <w:autoSpaceDN w:val="0"/>
              <w:adjustRightInd w:val="0"/>
              <w:spacing w:line="440" w:lineRule="exact"/>
              <w:jc w:val="center"/>
              <w:rPr>
                <w:color w:val="auto"/>
                <w:sz w:val="21"/>
                <w:szCs w:val="21"/>
                <w:highlight w:val="none"/>
              </w:rPr>
            </w:pPr>
          </w:p>
        </w:tc>
        <w:tc>
          <w:tcPr>
            <w:tcW w:w="1595" w:type="dxa"/>
            <w:vAlign w:val="center"/>
          </w:tcPr>
          <w:p>
            <w:pPr>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颗粒物</w:t>
            </w:r>
          </w:p>
        </w:tc>
        <w:tc>
          <w:tcPr>
            <w:tcW w:w="1826" w:type="dxa"/>
            <w:vAlign w:val="center"/>
          </w:tcPr>
          <w:p>
            <w:pPr>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12</w:t>
            </w:r>
          </w:p>
        </w:tc>
        <w:tc>
          <w:tcPr>
            <w:tcW w:w="1779" w:type="dxa"/>
            <w:vAlign w:val="center"/>
          </w:tcPr>
          <w:p>
            <w:pPr>
              <w:jc w:val="center"/>
              <w:rPr>
                <w:color w:val="auto"/>
                <w:sz w:val="21"/>
                <w:szCs w:val="21"/>
                <w:highlight w:val="none"/>
              </w:rPr>
            </w:pPr>
            <w:r>
              <w:rPr>
                <w:color w:val="auto"/>
                <w:sz w:val="21"/>
                <w:szCs w:val="21"/>
                <w:highlight w:val="none"/>
              </w:rPr>
              <w:t>0</w:t>
            </w:r>
          </w:p>
        </w:tc>
        <w:tc>
          <w:tcPr>
            <w:tcW w:w="2751" w:type="dxa"/>
            <w:vAlign w:val="center"/>
          </w:tcPr>
          <w:p>
            <w:pPr>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12</w:t>
            </w:r>
          </w:p>
        </w:tc>
      </w:tr>
      <w:tr>
        <w:tblPrEx>
          <w:tblBorders>
            <w:top w:val="single" w:color="000000" w:sz="8" w:space="0"/>
            <w:left w:val="none" w:color="auto" w:sz="0" w:space="0"/>
            <w:bottom w:val="single" w:color="000000" w:sz="8"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jc w:val="center"/>
        </w:trPr>
        <w:tc>
          <w:tcPr>
            <w:tcW w:w="1336" w:type="dxa"/>
            <w:vMerge w:val="restart"/>
            <w:vAlign w:val="center"/>
          </w:tcPr>
          <w:p>
            <w:pPr>
              <w:tabs>
                <w:tab w:val="left" w:pos="900"/>
              </w:tabs>
              <w:autoSpaceDE w:val="0"/>
              <w:autoSpaceDN w:val="0"/>
              <w:adjustRightInd w:val="0"/>
              <w:spacing w:line="440" w:lineRule="exact"/>
              <w:jc w:val="center"/>
              <w:rPr>
                <w:color w:val="auto"/>
                <w:sz w:val="21"/>
                <w:szCs w:val="21"/>
                <w:highlight w:val="none"/>
              </w:rPr>
            </w:pPr>
            <w:r>
              <w:rPr>
                <w:color w:val="auto"/>
                <w:sz w:val="21"/>
                <w:szCs w:val="21"/>
                <w:highlight w:val="none"/>
              </w:rPr>
              <w:t>无组织</w:t>
            </w:r>
          </w:p>
        </w:tc>
        <w:tc>
          <w:tcPr>
            <w:tcW w:w="159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color w:val="auto"/>
                <w:sz w:val="21"/>
                <w:szCs w:val="21"/>
                <w:highlight w:val="none"/>
              </w:rPr>
            </w:pPr>
            <w:r>
              <w:rPr>
                <w:rFonts w:hint="default" w:ascii="Times New Roman" w:hAnsi="Times New Roman" w:cs="Times New Roman"/>
                <w:color w:val="auto"/>
                <w:kern w:val="0"/>
                <w:sz w:val="21"/>
                <w:szCs w:val="21"/>
                <w:highlight w:val="none"/>
              </w:rPr>
              <w:t>氯化氢</w:t>
            </w:r>
          </w:p>
        </w:tc>
        <w:tc>
          <w:tcPr>
            <w:tcW w:w="1826" w:type="dxa"/>
            <w:vAlign w:val="center"/>
          </w:tcPr>
          <w:p>
            <w:pPr>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52.6</w:t>
            </w:r>
          </w:p>
        </w:tc>
        <w:tc>
          <w:tcPr>
            <w:tcW w:w="1779" w:type="dxa"/>
            <w:vAlign w:val="center"/>
          </w:tcPr>
          <w:p>
            <w:pPr>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0</w:t>
            </w:r>
          </w:p>
        </w:tc>
        <w:tc>
          <w:tcPr>
            <w:tcW w:w="2751" w:type="dxa"/>
            <w:vAlign w:val="center"/>
          </w:tcPr>
          <w:p>
            <w:pPr>
              <w:jc w:val="center"/>
              <w:rPr>
                <w:rFonts w:hint="default"/>
                <w:color w:val="auto"/>
                <w:sz w:val="21"/>
                <w:szCs w:val="21"/>
                <w:highlight w:val="none"/>
                <w:lang w:val="en-US"/>
              </w:rPr>
            </w:pPr>
            <w:r>
              <w:rPr>
                <w:rFonts w:hint="eastAsia"/>
                <w:color w:val="auto"/>
                <w:sz w:val="21"/>
                <w:szCs w:val="21"/>
                <w:highlight w:val="none"/>
                <w:lang w:val="en-US" w:eastAsia="zh-CN"/>
              </w:rPr>
              <w:t>52.6</w:t>
            </w:r>
          </w:p>
        </w:tc>
      </w:tr>
      <w:tr>
        <w:tblPrEx>
          <w:tblBorders>
            <w:top w:val="single" w:color="000000" w:sz="8" w:space="0"/>
            <w:left w:val="none" w:color="auto" w:sz="0" w:space="0"/>
            <w:bottom w:val="single" w:color="000000" w:sz="8"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jc w:val="center"/>
        </w:trPr>
        <w:tc>
          <w:tcPr>
            <w:tcW w:w="1336" w:type="dxa"/>
            <w:vMerge w:val="continue"/>
            <w:vAlign w:val="center"/>
          </w:tcPr>
          <w:p>
            <w:pPr>
              <w:tabs>
                <w:tab w:val="left" w:pos="900"/>
              </w:tabs>
              <w:autoSpaceDE w:val="0"/>
              <w:autoSpaceDN w:val="0"/>
              <w:adjustRightInd w:val="0"/>
              <w:spacing w:line="440" w:lineRule="exact"/>
              <w:jc w:val="center"/>
              <w:rPr>
                <w:color w:val="auto"/>
                <w:sz w:val="21"/>
                <w:szCs w:val="21"/>
                <w:highlight w:val="none"/>
              </w:rPr>
            </w:pPr>
          </w:p>
        </w:tc>
        <w:tc>
          <w:tcPr>
            <w:tcW w:w="159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color w:val="auto"/>
                <w:sz w:val="21"/>
                <w:szCs w:val="21"/>
                <w:highlight w:val="none"/>
              </w:rPr>
            </w:pPr>
            <w:r>
              <w:rPr>
                <w:rFonts w:hint="default" w:ascii="Times New Roman" w:hAnsi="Times New Roman" w:cs="Times New Roman"/>
                <w:color w:val="auto"/>
                <w:kern w:val="0"/>
                <w:sz w:val="21"/>
                <w:szCs w:val="21"/>
                <w:highlight w:val="none"/>
              </w:rPr>
              <w:t>硫酸雾</w:t>
            </w:r>
          </w:p>
        </w:tc>
        <w:tc>
          <w:tcPr>
            <w:tcW w:w="1826" w:type="dxa"/>
            <w:vAlign w:val="center"/>
          </w:tcPr>
          <w:p>
            <w:pPr>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11.4</w:t>
            </w:r>
          </w:p>
        </w:tc>
        <w:tc>
          <w:tcPr>
            <w:tcW w:w="1779" w:type="dxa"/>
            <w:vAlign w:val="center"/>
          </w:tcPr>
          <w:p>
            <w:pPr>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0</w:t>
            </w:r>
          </w:p>
        </w:tc>
        <w:tc>
          <w:tcPr>
            <w:tcW w:w="2751" w:type="dxa"/>
            <w:vAlign w:val="center"/>
          </w:tcPr>
          <w:p>
            <w:pPr>
              <w:jc w:val="center"/>
              <w:rPr>
                <w:rFonts w:hint="default"/>
                <w:color w:val="auto"/>
                <w:sz w:val="21"/>
                <w:szCs w:val="21"/>
                <w:highlight w:val="none"/>
                <w:lang w:val="en-US"/>
              </w:rPr>
            </w:pPr>
            <w:r>
              <w:rPr>
                <w:rFonts w:hint="eastAsia"/>
                <w:color w:val="auto"/>
                <w:sz w:val="21"/>
                <w:szCs w:val="21"/>
                <w:highlight w:val="none"/>
                <w:lang w:val="en-US" w:eastAsia="zh-CN"/>
              </w:rPr>
              <w:t>11.4</w:t>
            </w:r>
          </w:p>
        </w:tc>
      </w:tr>
      <w:tr>
        <w:tblPrEx>
          <w:tblBorders>
            <w:top w:val="single" w:color="000000" w:sz="8" w:space="0"/>
            <w:left w:val="none" w:color="auto" w:sz="0" w:space="0"/>
            <w:bottom w:val="single" w:color="000000" w:sz="8"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jc w:val="center"/>
        </w:trPr>
        <w:tc>
          <w:tcPr>
            <w:tcW w:w="1336" w:type="dxa"/>
            <w:vMerge w:val="continue"/>
            <w:vAlign w:val="center"/>
          </w:tcPr>
          <w:p>
            <w:pPr>
              <w:tabs>
                <w:tab w:val="left" w:pos="900"/>
              </w:tabs>
              <w:autoSpaceDE w:val="0"/>
              <w:autoSpaceDN w:val="0"/>
              <w:adjustRightInd w:val="0"/>
              <w:spacing w:line="440" w:lineRule="exact"/>
              <w:jc w:val="center"/>
              <w:rPr>
                <w:color w:val="auto"/>
                <w:sz w:val="21"/>
                <w:szCs w:val="21"/>
                <w:highlight w:val="none"/>
              </w:rPr>
            </w:pPr>
          </w:p>
        </w:tc>
        <w:tc>
          <w:tcPr>
            <w:tcW w:w="159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color w:val="auto"/>
                <w:sz w:val="21"/>
                <w:szCs w:val="21"/>
                <w:highlight w:val="none"/>
              </w:rPr>
            </w:pPr>
            <w:r>
              <w:rPr>
                <w:rFonts w:hint="eastAsia" w:ascii="Times New Roman" w:hAnsi="Times New Roman" w:cs="Times New Roman"/>
                <w:color w:val="auto"/>
                <w:sz w:val="21"/>
                <w:szCs w:val="21"/>
                <w:highlight w:val="none"/>
                <w:lang w:val="en-US" w:eastAsia="zh-CN"/>
              </w:rPr>
              <w:t>甲基磺酸雾</w:t>
            </w:r>
          </w:p>
        </w:tc>
        <w:tc>
          <w:tcPr>
            <w:tcW w:w="1826" w:type="dxa"/>
            <w:vAlign w:val="center"/>
          </w:tcPr>
          <w:p>
            <w:pPr>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16</w:t>
            </w:r>
          </w:p>
        </w:tc>
        <w:tc>
          <w:tcPr>
            <w:tcW w:w="1779" w:type="dxa"/>
            <w:vAlign w:val="center"/>
          </w:tcPr>
          <w:p>
            <w:pPr>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0</w:t>
            </w:r>
          </w:p>
        </w:tc>
        <w:tc>
          <w:tcPr>
            <w:tcW w:w="2751" w:type="dxa"/>
            <w:vAlign w:val="center"/>
          </w:tcPr>
          <w:p>
            <w:pPr>
              <w:jc w:val="center"/>
              <w:rPr>
                <w:rFonts w:hint="default"/>
                <w:color w:val="auto"/>
                <w:sz w:val="21"/>
                <w:szCs w:val="21"/>
                <w:highlight w:val="none"/>
                <w:lang w:val="en-US"/>
              </w:rPr>
            </w:pPr>
            <w:r>
              <w:rPr>
                <w:rFonts w:hint="eastAsia"/>
                <w:color w:val="auto"/>
                <w:sz w:val="21"/>
                <w:szCs w:val="21"/>
                <w:highlight w:val="none"/>
                <w:lang w:val="en-US" w:eastAsia="zh-CN"/>
              </w:rPr>
              <w:t>16</w:t>
            </w:r>
          </w:p>
        </w:tc>
      </w:tr>
      <w:tr>
        <w:tblPrEx>
          <w:tblBorders>
            <w:top w:val="single" w:color="000000" w:sz="8" w:space="0"/>
            <w:left w:val="none" w:color="auto" w:sz="0" w:space="0"/>
            <w:bottom w:val="single" w:color="000000" w:sz="8"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jc w:val="center"/>
        </w:trPr>
        <w:tc>
          <w:tcPr>
            <w:tcW w:w="1336" w:type="dxa"/>
            <w:vMerge w:val="continue"/>
            <w:vAlign w:val="center"/>
          </w:tcPr>
          <w:p>
            <w:pPr>
              <w:tabs>
                <w:tab w:val="left" w:pos="900"/>
              </w:tabs>
              <w:autoSpaceDE w:val="0"/>
              <w:autoSpaceDN w:val="0"/>
              <w:adjustRightInd w:val="0"/>
              <w:spacing w:line="440" w:lineRule="exact"/>
              <w:jc w:val="center"/>
              <w:rPr>
                <w:color w:val="auto"/>
                <w:sz w:val="21"/>
                <w:szCs w:val="21"/>
                <w:highlight w:val="none"/>
              </w:rPr>
            </w:pPr>
          </w:p>
        </w:tc>
        <w:tc>
          <w:tcPr>
            <w:tcW w:w="159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color w:val="auto"/>
                <w:sz w:val="21"/>
                <w:szCs w:val="21"/>
                <w:highlight w:val="none"/>
              </w:rPr>
            </w:pPr>
            <w:r>
              <w:rPr>
                <w:rFonts w:hint="default" w:ascii="Times New Roman" w:hAnsi="Times New Roman" w:cs="Times New Roman"/>
                <w:color w:val="auto"/>
                <w:sz w:val="21"/>
                <w:szCs w:val="21"/>
                <w:highlight w:val="none"/>
              </w:rPr>
              <w:t>NO</w:t>
            </w:r>
            <w:r>
              <w:rPr>
                <w:rFonts w:hint="default" w:ascii="Times New Roman" w:hAnsi="Times New Roman" w:cs="Times New Roman"/>
                <w:color w:val="auto"/>
                <w:sz w:val="21"/>
                <w:szCs w:val="21"/>
                <w:highlight w:val="none"/>
                <w:vertAlign w:val="subscript"/>
              </w:rPr>
              <w:t>x</w:t>
            </w:r>
          </w:p>
        </w:tc>
        <w:tc>
          <w:tcPr>
            <w:tcW w:w="1826" w:type="dxa"/>
            <w:vAlign w:val="center"/>
          </w:tcPr>
          <w:p>
            <w:pPr>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5.3</w:t>
            </w:r>
          </w:p>
        </w:tc>
        <w:tc>
          <w:tcPr>
            <w:tcW w:w="1779" w:type="dxa"/>
            <w:vAlign w:val="center"/>
          </w:tcPr>
          <w:p>
            <w:pPr>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0</w:t>
            </w:r>
          </w:p>
        </w:tc>
        <w:tc>
          <w:tcPr>
            <w:tcW w:w="2751" w:type="dxa"/>
            <w:vAlign w:val="center"/>
          </w:tcPr>
          <w:p>
            <w:pPr>
              <w:jc w:val="center"/>
              <w:rPr>
                <w:rFonts w:hint="default"/>
                <w:color w:val="auto"/>
                <w:sz w:val="21"/>
                <w:szCs w:val="21"/>
                <w:highlight w:val="none"/>
                <w:lang w:val="en-US"/>
              </w:rPr>
            </w:pPr>
            <w:r>
              <w:rPr>
                <w:rFonts w:hint="eastAsia"/>
                <w:color w:val="auto"/>
                <w:sz w:val="21"/>
                <w:szCs w:val="21"/>
                <w:highlight w:val="none"/>
                <w:lang w:val="en-US" w:eastAsia="zh-CN"/>
              </w:rPr>
              <w:t>5.3</w:t>
            </w:r>
          </w:p>
        </w:tc>
      </w:tr>
      <w:tr>
        <w:tblPrEx>
          <w:tblBorders>
            <w:top w:val="single" w:color="000000" w:sz="8" w:space="0"/>
            <w:left w:val="none" w:color="auto" w:sz="0" w:space="0"/>
            <w:bottom w:val="single" w:color="000000" w:sz="8"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jc w:val="center"/>
        </w:trPr>
        <w:tc>
          <w:tcPr>
            <w:tcW w:w="1336" w:type="dxa"/>
            <w:vMerge w:val="continue"/>
            <w:vAlign w:val="center"/>
          </w:tcPr>
          <w:p>
            <w:pPr>
              <w:tabs>
                <w:tab w:val="left" w:pos="900"/>
              </w:tabs>
              <w:autoSpaceDE w:val="0"/>
              <w:autoSpaceDN w:val="0"/>
              <w:adjustRightInd w:val="0"/>
              <w:spacing w:line="440" w:lineRule="exact"/>
              <w:jc w:val="center"/>
              <w:rPr>
                <w:color w:val="auto"/>
                <w:sz w:val="21"/>
                <w:szCs w:val="21"/>
                <w:highlight w:val="none"/>
              </w:rPr>
            </w:pPr>
          </w:p>
        </w:tc>
        <w:tc>
          <w:tcPr>
            <w:tcW w:w="1595" w:type="dxa"/>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铬酸雾</w:t>
            </w:r>
          </w:p>
        </w:tc>
        <w:tc>
          <w:tcPr>
            <w:tcW w:w="1826" w:type="dxa"/>
            <w:vAlign w:val="center"/>
          </w:tcPr>
          <w:p>
            <w:pPr>
              <w:jc w:val="center"/>
              <w:rPr>
                <w:rFonts w:hint="default"/>
                <w:color w:val="auto"/>
                <w:sz w:val="21"/>
                <w:szCs w:val="21"/>
                <w:highlight w:val="none"/>
                <w:lang w:val="en-US" w:eastAsia="zh-CN"/>
              </w:rPr>
            </w:pPr>
            <w:r>
              <w:rPr>
                <w:rFonts w:hint="eastAsia"/>
                <w:color w:val="auto"/>
                <w:sz w:val="21"/>
                <w:szCs w:val="21"/>
                <w:highlight w:val="none"/>
                <w:lang w:val="en-US" w:eastAsia="zh-CN"/>
              </w:rPr>
              <w:t>0.5</w:t>
            </w:r>
          </w:p>
        </w:tc>
        <w:tc>
          <w:tcPr>
            <w:tcW w:w="1779" w:type="dxa"/>
            <w:vAlign w:val="center"/>
          </w:tcPr>
          <w:p>
            <w:pPr>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0</w:t>
            </w:r>
          </w:p>
        </w:tc>
        <w:tc>
          <w:tcPr>
            <w:tcW w:w="2751" w:type="dxa"/>
            <w:vAlign w:val="center"/>
          </w:tcPr>
          <w:p>
            <w:pPr>
              <w:jc w:val="center"/>
              <w:rPr>
                <w:color w:val="auto"/>
                <w:sz w:val="21"/>
                <w:szCs w:val="21"/>
                <w:highlight w:val="none"/>
                <w:lang w:val="en-US"/>
              </w:rPr>
            </w:pPr>
            <w:r>
              <w:rPr>
                <w:rFonts w:hint="eastAsia"/>
                <w:color w:val="auto"/>
                <w:sz w:val="21"/>
                <w:szCs w:val="21"/>
                <w:highlight w:val="none"/>
                <w:lang w:val="en-US" w:eastAsia="zh-CN"/>
              </w:rPr>
              <w:t>0.5</w:t>
            </w:r>
          </w:p>
        </w:tc>
      </w:tr>
      <w:tr>
        <w:tblPrEx>
          <w:tblBorders>
            <w:top w:val="single" w:color="000000" w:sz="8" w:space="0"/>
            <w:left w:val="none" w:color="auto" w:sz="0" w:space="0"/>
            <w:bottom w:val="single" w:color="000000" w:sz="8" w:space="0"/>
            <w:right w:val="none" w:color="auto" w:sz="0" w:space="0"/>
            <w:insideH w:val="dotted" w:color="auto" w:sz="4" w:space="0"/>
            <w:insideV w:val="dotted" w:color="auto" w:sz="4" w:space="0"/>
          </w:tblBorders>
        </w:tblPrEx>
        <w:trPr>
          <w:cantSplit/>
          <w:trHeight w:val="340" w:hRule="atLeast"/>
          <w:jc w:val="center"/>
        </w:trPr>
        <w:tc>
          <w:tcPr>
            <w:tcW w:w="1336" w:type="dxa"/>
            <w:vMerge w:val="continue"/>
            <w:vAlign w:val="center"/>
          </w:tcPr>
          <w:p>
            <w:pPr>
              <w:tabs>
                <w:tab w:val="left" w:pos="900"/>
              </w:tabs>
              <w:autoSpaceDE w:val="0"/>
              <w:autoSpaceDN w:val="0"/>
              <w:adjustRightInd w:val="0"/>
              <w:spacing w:line="440" w:lineRule="exact"/>
              <w:jc w:val="center"/>
              <w:rPr>
                <w:color w:val="auto"/>
                <w:sz w:val="21"/>
                <w:szCs w:val="21"/>
                <w:highlight w:val="none"/>
              </w:rPr>
            </w:pPr>
          </w:p>
        </w:tc>
        <w:tc>
          <w:tcPr>
            <w:tcW w:w="1595" w:type="dxa"/>
            <w:vAlign w:val="center"/>
          </w:tcPr>
          <w:p>
            <w:pPr>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氨</w:t>
            </w:r>
          </w:p>
        </w:tc>
        <w:tc>
          <w:tcPr>
            <w:tcW w:w="1826" w:type="dxa"/>
            <w:vAlign w:val="center"/>
          </w:tcPr>
          <w:p>
            <w:pPr>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4</w:t>
            </w:r>
          </w:p>
        </w:tc>
        <w:tc>
          <w:tcPr>
            <w:tcW w:w="1779" w:type="dxa"/>
            <w:vAlign w:val="center"/>
          </w:tcPr>
          <w:p>
            <w:pPr>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0</w:t>
            </w:r>
          </w:p>
        </w:tc>
        <w:tc>
          <w:tcPr>
            <w:tcW w:w="2751" w:type="dxa"/>
            <w:vAlign w:val="center"/>
          </w:tcPr>
          <w:p>
            <w:pPr>
              <w:jc w:val="center"/>
              <w:rPr>
                <w:color w:val="auto"/>
                <w:sz w:val="21"/>
                <w:szCs w:val="21"/>
                <w:highlight w:val="none"/>
              </w:rPr>
            </w:pPr>
            <w:r>
              <w:rPr>
                <w:rFonts w:hint="eastAsia"/>
                <w:color w:val="auto"/>
                <w:sz w:val="21"/>
                <w:szCs w:val="21"/>
                <w:highlight w:val="none"/>
                <w:lang w:val="en-US" w:eastAsia="zh-CN"/>
              </w:rPr>
              <w:t>4</w:t>
            </w:r>
          </w:p>
        </w:tc>
      </w:tr>
    </w:tbl>
    <w:p>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2"/>
        <w:rPr>
          <w:rFonts w:ascii="黑体" w:hAnsi="黑体" w:eastAsia="黑体"/>
          <w:color w:val="auto"/>
          <w:sz w:val="24"/>
          <w:highlight w:val="none"/>
        </w:rPr>
      </w:pPr>
      <w:r>
        <w:rPr>
          <w:rFonts w:hint="eastAsia" w:ascii="黑体" w:hAnsi="黑体" w:eastAsia="黑体"/>
          <w:color w:val="auto"/>
          <w:sz w:val="24"/>
          <w:highlight w:val="none"/>
          <w:lang w:eastAsia="zh-CN"/>
        </w:rPr>
        <w:t>2.5</w:t>
      </w:r>
      <w:r>
        <w:rPr>
          <w:rFonts w:hint="eastAsia" w:ascii="黑体" w:hAnsi="黑体" w:eastAsia="黑体"/>
          <w:color w:val="auto"/>
          <w:sz w:val="24"/>
          <w:highlight w:val="none"/>
        </w:rPr>
        <w:t>.</w:t>
      </w:r>
      <w:r>
        <w:rPr>
          <w:rFonts w:hint="eastAsia" w:ascii="黑体" w:hAnsi="黑体" w:eastAsia="黑体" w:cs="Times New Roman"/>
          <w:color w:val="auto"/>
          <w:sz w:val="24"/>
          <w:highlight w:val="none"/>
          <w:lang w:val="en-US" w:eastAsia="zh-CN"/>
        </w:rPr>
        <w:t xml:space="preserve">3 </w:t>
      </w:r>
      <w:r>
        <w:rPr>
          <w:rFonts w:hint="eastAsia" w:ascii="黑体" w:hAnsi="黑体" w:eastAsia="黑体" w:cs="Times New Roman"/>
          <w:color w:val="auto"/>
          <w:sz w:val="24"/>
          <w:highlight w:val="none"/>
        </w:rPr>
        <w:t>噪声</w:t>
      </w:r>
    </w:p>
    <w:p>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项目主要噪声设备有生产线、风机等，主要噪声设备的噪声级约在70dB(A)～80dB(A)之间。</w:t>
      </w:r>
    </w:p>
    <w:p>
      <w:pPr>
        <w:snapToGrid w:val="0"/>
        <w:spacing w:line="360" w:lineRule="auto"/>
        <w:ind w:firstLine="480" w:firstLineChars="200"/>
        <w:rPr>
          <w:color w:val="auto"/>
          <w:sz w:val="24"/>
          <w:highlight w:val="none"/>
        </w:rPr>
      </w:pPr>
      <w:r>
        <w:rPr>
          <w:color w:val="auto"/>
          <w:sz w:val="24"/>
          <w:highlight w:val="none"/>
        </w:rPr>
        <w:t>该项目的主要噪声设备、源强及其治理措施情况详见表</w:t>
      </w:r>
      <w:r>
        <w:rPr>
          <w:rFonts w:hint="eastAsia"/>
          <w:color w:val="auto"/>
          <w:sz w:val="24"/>
          <w:highlight w:val="none"/>
        </w:rPr>
        <w:t>2.</w:t>
      </w:r>
      <w:r>
        <w:rPr>
          <w:rFonts w:hint="eastAsia"/>
          <w:color w:val="auto"/>
          <w:sz w:val="24"/>
          <w:highlight w:val="none"/>
          <w:lang w:val="en-US" w:eastAsia="zh-CN"/>
        </w:rPr>
        <w:t>5</w:t>
      </w:r>
      <w:r>
        <w:rPr>
          <w:color w:val="auto"/>
          <w:sz w:val="24"/>
          <w:highlight w:val="none"/>
        </w:rPr>
        <w:t>-</w:t>
      </w:r>
      <w:r>
        <w:rPr>
          <w:rFonts w:hint="eastAsia"/>
          <w:color w:val="auto"/>
          <w:sz w:val="24"/>
          <w:highlight w:val="none"/>
          <w:lang w:val="en-US" w:eastAsia="zh-CN"/>
        </w:rPr>
        <w:t>9</w:t>
      </w:r>
      <w:r>
        <w:rPr>
          <w:color w:val="auto"/>
          <w:sz w:val="24"/>
          <w:highlight w:val="none"/>
        </w:rPr>
        <w:t>。</w:t>
      </w:r>
    </w:p>
    <w:p>
      <w:pPr>
        <w:pStyle w:val="30"/>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outlineLvl w:val="9"/>
        <w:rPr>
          <w:rFonts w:eastAsia="黑体"/>
          <w:bCs/>
          <w:color w:val="auto"/>
          <w:sz w:val="24"/>
          <w:szCs w:val="24"/>
          <w:highlight w:val="none"/>
        </w:rPr>
      </w:pPr>
      <w:r>
        <w:rPr>
          <w:rFonts w:eastAsia="黑体"/>
          <w:bCs/>
          <w:color w:val="auto"/>
          <w:sz w:val="24"/>
          <w:szCs w:val="24"/>
          <w:highlight w:val="none"/>
        </w:rPr>
        <w:t>表</w:t>
      </w:r>
      <w:r>
        <w:rPr>
          <w:rFonts w:hint="eastAsia" w:eastAsia="黑体"/>
          <w:bCs/>
          <w:color w:val="auto"/>
          <w:sz w:val="24"/>
          <w:szCs w:val="24"/>
          <w:highlight w:val="none"/>
        </w:rPr>
        <w:t>2.</w:t>
      </w:r>
      <w:r>
        <w:rPr>
          <w:rFonts w:hint="eastAsia" w:eastAsia="黑体"/>
          <w:bCs/>
          <w:color w:val="auto"/>
          <w:sz w:val="24"/>
          <w:szCs w:val="24"/>
          <w:highlight w:val="none"/>
          <w:lang w:val="en-US" w:eastAsia="zh-CN"/>
        </w:rPr>
        <w:t>5</w:t>
      </w:r>
      <w:r>
        <w:rPr>
          <w:rFonts w:eastAsia="黑体"/>
          <w:bCs/>
          <w:color w:val="auto"/>
          <w:sz w:val="24"/>
          <w:szCs w:val="24"/>
          <w:highlight w:val="none"/>
        </w:rPr>
        <w:t>-</w:t>
      </w:r>
      <w:r>
        <w:rPr>
          <w:rFonts w:hint="eastAsia" w:eastAsia="黑体"/>
          <w:bCs/>
          <w:color w:val="auto"/>
          <w:sz w:val="24"/>
          <w:szCs w:val="24"/>
          <w:highlight w:val="none"/>
          <w:lang w:val="en-US" w:eastAsia="zh-CN"/>
        </w:rPr>
        <w:t xml:space="preserve">9 </w:t>
      </w:r>
      <w:r>
        <w:rPr>
          <w:rFonts w:eastAsia="黑体"/>
          <w:bCs/>
          <w:color w:val="auto"/>
          <w:sz w:val="24"/>
          <w:szCs w:val="24"/>
          <w:highlight w:val="none"/>
        </w:rPr>
        <w:t xml:space="preserve"> 噪声设备一览表      单位：dB(A)</w:t>
      </w:r>
    </w:p>
    <w:tbl>
      <w:tblPr>
        <w:tblStyle w:val="36"/>
        <w:tblW w:w="9230" w:type="dxa"/>
        <w:jc w:val="center"/>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618"/>
        <w:gridCol w:w="938"/>
        <w:gridCol w:w="1084"/>
        <w:gridCol w:w="2211"/>
        <w:gridCol w:w="1114"/>
        <w:gridCol w:w="2265"/>
      </w:tblGrid>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jc w:val="center"/>
        </w:trPr>
        <w:tc>
          <w:tcPr>
            <w:tcW w:w="1618" w:type="dxa"/>
            <w:tcBorders>
              <w:tl2br w:val="nil"/>
              <w:tr2bl w:val="nil"/>
            </w:tcBorders>
            <w:noWrap w:val="0"/>
            <w:vAlign w:val="center"/>
          </w:tcPr>
          <w:p>
            <w:pPr>
              <w:spacing w:line="300" w:lineRule="exact"/>
              <w:jc w:val="center"/>
              <w:rPr>
                <w:b/>
                <w:color w:val="auto"/>
                <w:szCs w:val="21"/>
                <w:highlight w:val="none"/>
              </w:rPr>
            </w:pPr>
            <w:r>
              <w:rPr>
                <w:b/>
                <w:color w:val="auto"/>
                <w:szCs w:val="21"/>
                <w:highlight w:val="none"/>
              </w:rPr>
              <w:t>名称</w:t>
            </w:r>
          </w:p>
        </w:tc>
        <w:tc>
          <w:tcPr>
            <w:tcW w:w="938" w:type="dxa"/>
            <w:tcBorders>
              <w:tl2br w:val="nil"/>
              <w:tr2bl w:val="nil"/>
            </w:tcBorders>
            <w:noWrap w:val="0"/>
            <w:vAlign w:val="center"/>
          </w:tcPr>
          <w:p>
            <w:pPr>
              <w:spacing w:line="300" w:lineRule="exact"/>
              <w:jc w:val="center"/>
              <w:rPr>
                <w:b/>
                <w:color w:val="auto"/>
                <w:szCs w:val="21"/>
                <w:highlight w:val="none"/>
              </w:rPr>
            </w:pPr>
            <w:r>
              <w:rPr>
                <w:b/>
                <w:color w:val="auto"/>
                <w:szCs w:val="21"/>
                <w:highlight w:val="none"/>
              </w:rPr>
              <w:t>测距r0</w:t>
            </w:r>
          </w:p>
        </w:tc>
        <w:tc>
          <w:tcPr>
            <w:tcW w:w="1084" w:type="dxa"/>
            <w:tcBorders>
              <w:tl2br w:val="nil"/>
              <w:tr2bl w:val="nil"/>
            </w:tcBorders>
            <w:noWrap w:val="0"/>
            <w:vAlign w:val="center"/>
          </w:tcPr>
          <w:p>
            <w:pPr>
              <w:spacing w:line="300" w:lineRule="exact"/>
              <w:jc w:val="center"/>
              <w:rPr>
                <w:b/>
                <w:color w:val="auto"/>
                <w:szCs w:val="21"/>
                <w:highlight w:val="none"/>
              </w:rPr>
            </w:pPr>
            <w:r>
              <w:rPr>
                <w:b/>
                <w:color w:val="auto"/>
                <w:szCs w:val="21"/>
                <w:highlight w:val="none"/>
              </w:rPr>
              <w:t>声压级</w:t>
            </w:r>
          </w:p>
          <w:p>
            <w:pPr>
              <w:spacing w:line="300" w:lineRule="exact"/>
              <w:jc w:val="center"/>
              <w:rPr>
                <w:b/>
                <w:color w:val="auto"/>
                <w:szCs w:val="21"/>
                <w:highlight w:val="none"/>
              </w:rPr>
            </w:pPr>
            <w:r>
              <w:rPr>
                <w:b/>
                <w:color w:val="auto"/>
                <w:szCs w:val="21"/>
                <w:highlight w:val="none"/>
              </w:rPr>
              <w:t>dB(A)</w:t>
            </w:r>
          </w:p>
        </w:tc>
        <w:tc>
          <w:tcPr>
            <w:tcW w:w="2211" w:type="dxa"/>
            <w:tcBorders>
              <w:tl2br w:val="nil"/>
              <w:tr2bl w:val="nil"/>
            </w:tcBorders>
            <w:noWrap w:val="0"/>
            <w:vAlign w:val="center"/>
          </w:tcPr>
          <w:p>
            <w:pPr>
              <w:spacing w:line="300" w:lineRule="exact"/>
              <w:jc w:val="center"/>
              <w:rPr>
                <w:b/>
                <w:color w:val="auto"/>
                <w:szCs w:val="21"/>
                <w:highlight w:val="none"/>
              </w:rPr>
            </w:pPr>
            <w:r>
              <w:rPr>
                <w:b/>
                <w:color w:val="auto"/>
                <w:szCs w:val="21"/>
                <w:highlight w:val="none"/>
              </w:rPr>
              <w:t>治理措施</w:t>
            </w:r>
          </w:p>
        </w:tc>
        <w:tc>
          <w:tcPr>
            <w:tcW w:w="1114" w:type="dxa"/>
            <w:tcBorders>
              <w:tl2br w:val="nil"/>
              <w:tr2bl w:val="nil"/>
            </w:tcBorders>
            <w:noWrap w:val="0"/>
            <w:vAlign w:val="center"/>
          </w:tcPr>
          <w:p>
            <w:pPr>
              <w:spacing w:line="300" w:lineRule="exact"/>
              <w:jc w:val="center"/>
              <w:rPr>
                <w:rFonts w:hint="eastAsia" w:eastAsia="宋体"/>
                <w:b/>
                <w:color w:val="auto"/>
                <w:szCs w:val="21"/>
                <w:highlight w:val="none"/>
                <w:lang w:eastAsia="zh-CN"/>
              </w:rPr>
            </w:pPr>
            <w:r>
              <w:rPr>
                <w:b/>
                <w:color w:val="auto"/>
                <w:szCs w:val="21"/>
                <w:highlight w:val="none"/>
              </w:rPr>
              <w:t>数量</w:t>
            </w:r>
            <w:r>
              <w:rPr>
                <w:rFonts w:hint="eastAsia"/>
                <w:b/>
                <w:color w:val="auto"/>
                <w:szCs w:val="21"/>
                <w:highlight w:val="none"/>
                <w:lang w:eastAsia="zh-CN"/>
              </w:rPr>
              <w:t>(</w:t>
            </w:r>
            <w:r>
              <w:rPr>
                <w:b/>
                <w:color w:val="auto"/>
                <w:szCs w:val="21"/>
                <w:highlight w:val="none"/>
              </w:rPr>
              <w:t>台</w:t>
            </w:r>
            <w:r>
              <w:rPr>
                <w:rFonts w:hint="eastAsia"/>
                <w:b/>
                <w:color w:val="auto"/>
                <w:szCs w:val="21"/>
                <w:highlight w:val="none"/>
                <w:lang w:eastAsia="zh-CN"/>
              </w:rPr>
              <w:t>)</w:t>
            </w:r>
          </w:p>
        </w:tc>
        <w:tc>
          <w:tcPr>
            <w:tcW w:w="2265" w:type="dxa"/>
            <w:tcBorders>
              <w:tl2br w:val="nil"/>
              <w:tr2bl w:val="nil"/>
            </w:tcBorders>
            <w:noWrap w:val="0"/>
            <w:vAlign w:val="center"/>
          </w:tcPr>
          <w:p>
            <w:pPr>
              <w:spacing w:line="300" w:lineRule="exact"/>
              <w:jc w:val="center"/>
              <w:rPr>
                <w:b/>
                <w:color w:val="auto"/>
                <w:szCs w:val="21"/>
                <w:highlight w:val="none"/>
              </w:rPr>
            </w:pPr>
            <w:r>
              <w:rPr>
                <w:b/>
                <w:color w:val="auto"/>
                <w:szCs w:val="21"/>
                <w:highlight w:val="none"/>
              </w:rPr>
              <w:t>位置</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63" w:hRule="atLeast"/>
          <w:jc w:val="center"/>
        </w:trPr>
        <w:tc>
          <w:tcPr>
            <w:tcW w:w="1618" w:type="dxa"/>
            <w:tcBorders>
              <w:tl2br w:val="nil"/>
              <w:tr2bl w:val="nil"/>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outlineLvl w:val="9"/>
              <w:rPr>
                <w:color w:val="auto"/>
                <w:kern w:val="0"/>
                <w:sz w:val="21"/>
                <w:szCs w:val="21"/>
                <w:highlight w:val="none"/>
              </w:rPr>
            </w:pPr>
            <w:r>
              <w:rPr>
                <w:color w:val="auto"/>
                <w:kern w:val="0"/>
                <w:sz w:val="21"/>
                <w:szCs w:val="21"/>
                <w:highlight w:val="none"/>
              </w:rPr>
              <w:t>吹干机</w:t>
            </w:r>
          </w:p>
        </w:tc>
        <w:tc>
          <w:tcPr>
            <w:tcW w:w="938" w:type="dxa"/>
            <w:tcBorders>
              <w:tl2br w:val="nil"/>
              <w:tr2bl w:val="nil"/>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outlineLvl w:val="9"/>
              <w:rPr>
                <w:color w:val="auto"/>
                <w:kern w:val="0"/>
                <w:sz w:val="21"/>
                <w:szCs w:val="21"/>
                <w:highlight w:val="none"/>
              </w:rPr>
            </w:pPr>
            <w:r>
              <w:rPr>
                <w:color w:val="auto"/>
                <w:kern w:val="0"/>
                <w:sz w:val="21"/>
                <w:szCs w:val="21"/>
                <w:highlight w:val="none"/>
              </w:rPr>
              <w:t>1m</w:t>
            </w:r>
          </w:p>
        </w:tc>
        <w:tc>
          <w:tcPr>
            <w:tcW w:w="1084" w:type="dxa"/>
            <w:tcBorders>
              <w:tl2br w:val="nil"/>
              <w:tr2bl w:val="nil"/>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outlineLvl w:val="9"/>
              <w:rPr>
                <w:color w:val="auto"/>
                <w:kern w:val="0"/>
                <w:sz w:val="21"/>
                <w:szCs w:val="21"/>
                <w:highlight w:val="none"/>
              </w:rPr>
            </w:pPr>
            <w:r>
              <w:rPr>
                <w:color w:val="auto"/>
                <w:kern w:val="0"/>
                <w:sz w:val="21"/>
                <w:szCs w:val="21"/>
                <w:highlight w:val="none"/>
              </w:rPr>
              <w:t>70~75</w:t>
            </w:r>
          </w:p>
        </w:tc>
        <w:tc>
          <w:tcPr>
            <w:tcW w:w="2211" w:type="dxa"/>
            <w:tcBorders>
              <w:tl2br w:val="nil"/>
              <w:tr2bl w:val="nil"/>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outlineLvl w:val="9"/>
              <w:rPr>
                <w:color w:val="auto"/>
                <w:kern w:val="0"/>
                <w:sz w:val="21"/>
                <w:szCs w:val="21"/>
                <w:highlight w:val="none"/>
              </w:rPr>
            </w:pPr>
            <w:r>
              <w:rPr>
                <w:color w:val="auto"/>
                <w:kern w:val="0"/>
                <w:sz w:val="21"/>
                <w:szCs w:val="21"/>
                <w:highlight w:val="none"/>
              </w:rPr>
              <w:t>减振</w:t>
            </w:r>
          </w:p>
        </w:tc>
        <w:tc>
          <w:tcPr>
            <w:tcW w:w="1114" w:type="dxa"/>
            <w:tcBorders>
              <w:tl2br w:val="nil"/>
              <w:tr2bl w:val="nil"/>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outlineLvl w:val="9"/>
              <w:rPr>
                <w:rFonts w:hint="eastAsia" w:eastAsia="宋体"/>
                <w:color w:val="auto"/>
                <w:kern w:val="0"/>
                <w:sz w:val="21"/>
                <w:szCs w:val="21"/>
                <w:highlight w:val="none"/>
                <w:lang w:eastAsia="zh-CN"/>
              </w:rPr>
            </w:pPr>
            <w:r>
              <w:rPr>
                <w:rFonts w:hint="eastAsia"/>
                <w:color w:val="auto"/>
                <w:kern w:val="0"/>
                <w:sz w:val="21"/>
                <w:szCs w:val="21"/>
                <w:highlight w:val="none"/>
                <w:lang w:val="en-US" w:eastAsia="zh-CN"/>
              </w:rPr>
              <w:t>1</w:t>
            </w:r>
          </w:p>
        </w:tc>
        <w:tc>
          <w:tcPr>
            <w:tcW w:w="2265" w:type="dxa"/>
            <w:tcBorders>
              <w:tl2br w:val="nil"/>
              <w:tr2bl w:val="nil"/>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outlineLvl w:val="9"/>
              <w:rPr>
                <w:color w:val="auto"/>
                <w:kern w:val="0"/>
                <w:sz w:val="21"/>
                <w:szCs w:val="21"/>
                <w:highlight w:val="none"/>
              </w:rPr>
            </w:pPr>
            <w:r>
              <w:rPr>
                <w:color w:val="auto"/>
                <w:kern w:val="0"/>
                <w:sz w:val="21"/>
                <w:szCs w:val="21"/>
                <w:highlight w:val="none"/>
              </w:rPr>
              <w:t>车间内，间歇运行</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63" w:hRule="atLeast"/>
          <w:jc w:val="center"/>
        </w:trPr>
        <w:tc>
          <w:tcPr>
            <w:tcW w:w="1618" w:type="dxa"/>
            <w:tcBorders>
              <w:tl2br w:val="nil"/>
              <w:tr2bl w:val="nil"/>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outlineLvl w:val="9"/>
              <w:rPr>
                <w:color w:val="auto"/>
                <w:kern w:val="0"/>
                <w:sz w:val="21"/>
                <w:szCs w:val="21"/>
                <w:highlight w:val="none"/>
              </w:rPr>
            </w:pPr>
            <w:r>
              <w:rPr>
                <w:color w:val="auto"/>
                <w:kern w:val="0"/>
                <w:sz w:val="21"/>
                <w:szCs w:val="21"/>
                <w:highlight w:val="none"/>
              </w:rPr>
              <w:t>甩干机</w:t>
            </w:r>
          </w:p>
        </w:tc>
        <w:tc>
          <w:tcPr>
            <w:tcW w:w="938" w:type="dxa"/>
            <w:tcBorders>
              <w:tl2br w:val="nil"/>
              <w:tr2bl w:val="nil"/>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outlineLvl w:val="9"/>
              <w:rPr>
                <w:color w:val="auto"/>
                <w:kern w:val="0"/>
                <w:sz w:val="21"/>
                <w:szCs w:val="21"/>
                <w:highlight w:val="none"/>
              </w:rPr>
            </w:pPr>
            <w:r>
              <w:rPr>
                <w:color w:val="auto"/>
                <w:kern w:val="0"/>
                <w:sz w:val="21"/>
                <w:szCs w:val="21"/>
                <w:highlight w:val="none"/>
              </w:rPr>
              <w:t>1m</w:t>
            </w:r>
          </w:p>
        </w:tc>
        <w:tc>
          <w:tcPr>
            <w:tcW w:w="1084" w:type="dxa"/>
            <w:tcBorders>
              <w:tl2br w:val="nil"/>
              <w:tr2bl w:val="nil"/>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outlineLvl w:val="9"/>
              <w:rPr>
                <w:color w:val="auto"/>
                <w:kern w:val="0"/>
                <w:sz w:val="21"/>
                <w:szCs w:val="21"/>
                <w:highlight w:val="none"/>
              </w:rPr>
            </w:pPr>
            <w:r>
              <w:rPr>
                <w:color w:val="auto"/>
                <w:kern w:val="0"/>
                <w:sz w:val="21"/>
                <w:szCs w:val="21"/>
                <w:highlight w:val="none"/>
              </w:rPr>
              <w:t>70~75</w:t>
            </w:r>
          </w:p>
        </w:tc>
        <w:tc>
          <w:tcPr>
            <w:tcW w:w="2211" w:type="dxa"/>
            <w:tcBorders>
              <w:tl2br w:val="nil"/>
              <w:tr2bl w:val="nil"/>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outlineLvl w:val="9"/>
              <w:rPr>
                <w:color w:val="auto"/>
                <w:kern w:val="0"/>
                <w:sz w:val="21"/>
                <w:szCs w:val="21"/>
                <w:highlight w:val="none"/>
              </w:rPr>
            </w:pPr>
            <w:r>
              <w:rPr>
                <w:color w:val="auto"/>
                <w:kern w:val="0"/>
                <w:sz w:val="21"/>
                <w:szCs w:val="21"/>
                <w:highlight w:val="none"/>
              </w:rPr>
              <w:t>减振</w:t>
            </w:r>
          </w:p>
        </w:tc>
        <w:tc>
          <w:tcPr>
            <w:tcW w:w="1114" w:type="dxa"/>
            <w:tcBorders>
              <w:tl2br w:val="nil"/>
              <w:tr2bl w:val="nil"/>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outlineLvl w:val="9"/>
              <w:rPr>
                <w:rFonts w:hint="eastAsia" w:eastAsia="宋体"/>
                <w:color w:val="auto"/>
                <w:kern w:val="0"/>
                <w:sz w:val="21"/>
                <w:szCs w:val="21"/>
                <w:highlight w:val="none"/>
                <w:lang w:eastAsia="zh-CN"/>
              </w:rPr>
            </w:pPr>
            <w:r>
              <w:rPr>
                <w:rFonts w:hint="eastAsia"/>
                <w:color w:val="auto"/>
                <w:kern w:val="0"/>
                <w:sz w:val="21"/>
                <w:szCs w:val="21"/>
                <w:highlight w:val="none"/>
                <w:lang w:val="en-US" w:eastAsia="zh-CN"/>
              </w:rPr>
              <w:t>5</w:t>
            </w:r>
          </w:p>
        </w:tc>
        <w:tc>
          <w:tcPr>
            <w:tcW w:w="2265" w:type="dxa"/>
            <w:tcBorders>
              <w:tl2br w:val="nil"/>
              <w:tr2bl w:val="nil"/>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outlineLvl w:val="9"/>
              <w:rPr>
                <w:color w:val="auto"/>
                <w:kern w:val="0"/>
                <w:sz w:val="21"/>
                <w:szCs w:val="21"/>
                <w:highlight w:val="none"/>
              </w:rPr>
            </w:pPr>
            <w:r>
              <w:rPr>
                <w:color w:val="auto"/>
                <w:kern w:val="0"/>
                <w:sz w:val="21"/>
                <w:szCs w:val="21"/>
                <w:highlight w:val="none"/>
              </w:rPr>
              <w:t>车间内，间歇运行</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63" w:hRule="atLeast"/>
          <w:jc w:val="center"/>
        </w:trPr>
        <w:tc>
          <w:tcPr>
            <w:tcW w:w="1618" w:type="dxa"/>
            <w:tcBorders>
              <w:tl2br w:val="nil"/>
              <w:tr2bl w:val="nil"/>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outlineLvl w:val="9"/>
              <w:rPr>
                <w:color w:val="auto"/>
                <w:kern w:val="0"/>
                <w:sz w:val="21"/>
                <w:szCs w:val="21"/>
                <w:highlight w:val="none"/>
              </w:rPr>
            </w:pPr>
            <w:r>
              <w:rPr>
                <w:rFonts w:hint="eastAsia"/>
                <w:color w:val="auto"/>
                <w:kern w:val="0"/>
                <w:sz w:val="21"/>
                <w:szCs w:val="21"/>
                <w:highlight w:val="none"/>
                <w:lang w:val="en-US" w:eastAsia="zh-CN"/>
              </w:rPr>
              <w:t>引</w:t>
            </w:r>
            <w:r>
              <w:rPr>
                <w:color w:val="auto"/>
                <w:kern w:val="0"/>
                <w:sz w:val="21"/>
                <w:szCs w:val="21"/>
                <w:highlight w:val="none"/>
              </w:rPr>
              <w:t>风机</w:t>
            </w:r>
          </w:p>
        </w:tc>
        <w:tc>
          <w:tcPr>
            <w:tcW w:w="938" w:type="dxa"/>
            <w:tcBorders>
              <w:tl2br w:val="nil"/>
              <w:tr2bl w:val="nil"/>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outlineLvl w:val="9"/>
              <w:rPr>
                <w:color w:val="auto"/>
                <w:kern w:val="0"/>
                <w:sz w:val="21"/>
                <w:szCs w:val="21"/>
                <w:highlight w:val="none"/>
              </w:rPr>
            </w:pPr>
            <w:r>
              <w:rPr>
                <w:color w:val="auto"/>
                <w:kern w:val="0"/>
                <w:sz w:val="21"/>
                <w:szCs w:val="21"/>
                <w:highlight w:val="none"/>
              </w:rPr>
              <w:t>1m</w:t>
            </w:r>
          </w:p>
        </w:tc>
        <w:tc>
          <w:tcPr>
            <w:tcW w:w="1084" w:type="dxa"/>
            <w:tcBorders>
              <w:tl2br w:val="nil"/>
              <w:tr2bl w:val="nil"/>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outlineLvl w:val="9"/>
              <w:rPr>
                <w:color w:val="auto"/>
                <w:kern w:val="0"/>
                <w:sz w:val="21"/>
                <w:szCs w:val="21"/>
                <w:highlight w:val="none"/>
              </w:rPr>
            </w:pPr>
            <w:r>
              <w:rPr>
                <w:color w:val="auto"/>
                <w:kern w:val="0"/>
                <w:sz w:val="21"/>
                <w:szCs w:val="21"/>
                <w:highlight w:val="none"/>
              </w:rPr>
              <w:t>75~80</w:t>
            </w:r>
          </w:p>
        </w:tc>
        <w:tc>
          <w:tcPr>
            <w:tcW w:w="2211" w:type="dxa"/>
            <w:tcBorders>
              <w:tl2br w:val="nil"/>
              <w:tr2bl w:val="nil"/>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outlineLvl w:val="9"/>
              <w:rPr>
                <w:color w:val="auto"/>
                <w:kern w:val="0"/>
                <w:sz w:val="21"/>
                <w:szCs w:val="21"/>
                <w:highlight w:val="none"/>
              </w:rPr>
            </w:pPr>
            <w:r>
              <w:rPr>
                <w:color w:val="auto"/>
                <w:kern w:val="0"/>
                <w:sz w:val="21"/>
                <w:szCs w:val="21"/>
                <w:highlight w:val="none"/>
              </w:rPr>
              <w:t>隔声、减振、消音</w:t>
            </w:r>
          </w:p>
        </w:tc>
        <w:tc>
          <w:tcPr>
            <w:tcW w:w="1114" w:type="dxa"/>
            <w:tcBorders>
              <w:tl2br w:val="nil"/>
              <w:tr2bl w:val="nil"/>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outlineLvl w:val="9"/>
              <w:rPr>
                <w:rFonts w:hint="eastAsia" w:eastAsia="宋体"/>
                <w:color w:val="auto"/>
                <w:kern w:val="0"/>
                <w:sz w:val="21"/>
                <w:szCs w:val="21"/>
                <w:highlight w:val="none"/>
                <w:lang w:eastAsia="zh-CN"/>
              </w:rPr>
            </w:pPr>
            <w:r>
              <w:rPr>
                <w:rFonts w:hint="eastAsia"/>
                <w:color w:val="auto"/>
                <w:kern w:val="0"/>
                <w:sz w:val="21"/>
                <w:szCs w:val="21"/>
                <w:highlight w:val="none"/>
                <w:lang w:val="en-US" w:eastAsia="zh-CN"/>
              </w:rPr>
              <w:t>7</w:t>
            </w:r>
          </w:p>
        </w:tc>
        <w:tc>
          <w:tcPr>
            <w:tcW w:w="2265" w:type="dxa"/>
            <w:tcBorders>
              <w:tl2br w:val="nil"/>
              <w:tr2bl w:val="nil"/>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outlineLvl w:val="9"/>
              <w:rPr>
                <w:color w:val="auto"/>
                <w:kern w:val="0"/>
                <w:sz w:val="21"/>
                <w:szCs w:val="21"/>
                <w:highlight w:val="none"/>
              </w:rPr>
            </w:pPr>
            <w:r>
              <w:rPr>
                <w:color w:val="auto"/>
                <w:kern w:val="0"/>
                <w:sz w:val="21"/>
                <w:szCs w:val="21"/>
                <w:highlight w:val="none"/>
              </w:rPr>
              <w:t>车间外屋顶，连续运行</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63" w:hRule="atLeast"/>
          <w:jc w:val="center"/>
        </w:trPr>
        <w:tc>
          <w:tcPr>
            <w:tcW w:w="1618" w:type="dxa"/>
            <w:tcBorders>
              <w:tl2br w:val="nil"/>
              <w:tr2bl w:val="nil"/>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outlineLvl w:val="9"/>
              <w:rPr>
                <w:color w:val="auto"/>
                <w:kern w:val="0"/>
                <w:sz w:val="21"/>
                <w:szCs w:val="21"/>
                <w:highlight w:val="none"/>
              </w:rPr>
            </w:pPr>
            <w:r>
              <w:rPr>
                <w:color w:val="auto"/>
                <w:kern w:val="0"/>
                <w:sz w:val="21"/>
                <w:szCs w:val="21"/>
                <w:highlight w:val="none"/>
              </w:rPr>
              <w:t>整流器</w:t>
            </w:r>
          </w:p>
        </w:tc>
        <w:tc>
          <w:tcPr>
            <w:tcW w:w="938" w:type="dxa"/>
            <w:tcBorders>
              <w:tl2br w:val="nil"/>
              <w:tr2bl w:val="nil"/>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outlineLvl w:val="9"/>
              <w:rPr>
                <w:color w:val="auto"/>
                <w:kern w:val="0"/>
                <w:sz w:val="21"/>
                <w:szCs w:val="21"/>
                <w:highlight w:val="none"/>
              </w:rPr>
            </w:pPr>
            <w:r>
              <w:rPr>
                <w:color w:val="auto"/>
                <w:kern w:val="0"/>
                <w:sz w:val="21"/>
                <w:szCs w:val="21"/>
                <w:highlight w:val="none"/>
              </w:rPr>
              <w:t>1m</w:t>
            </w:r>
          </w:p>
        </w:tc>
        <w:tc>
          <w:tcPr>
            <w:tcW w:w="1084" w:type="dxa"/>
            <w:tcBorders>
              <w:tl2br w:val="nil"/>
              <w:tr2bl w:val="nil"/>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outlineLvl w:val="9"/>
              <w:rPr>
                <w:color w:val="auto"/>
                <w:kern w:val="0"/>
                <w:sz w:val="21"/>
                <w:szCs w:val="21"/>
                <w:highlight w:val="none"/>
              </w:rPr>
            </w:pPr>
            <w:r>
              <w:rPr>
                <w:color w:val="auto"/>
                <w:kern w:val="0"/>
                <w:sz w:val="21"/>
                <w:szCs w:val="21"/>
                <w:highlight w:val="none"/>
              </w:rPr>
              <w:t>70~75</w:t>
            </w:r>
          </w:p>
        </w:tc>
        <w:tc>
          <w:tcPr>
            <w:tcW w:w="2211" w:type="dxa"/>
            <w:tcBorders>
              <w:tl2br w:val="nil"/>
              <w:tr2bl w:val="nil"/>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outlineLvl w:val="9"/>
              <w:rPr>
                <w:color w:val="auto"/>
                <w:kern w:val="0"/>
                <w:sz w:val="21"/>
                <w:szCs w:val="21"/>
                <w:highlight w:val="none"/>
              </w:rPr>
            </w:pPr>
            <w:r>
              <w:rPr>
                <w:color w:val="auto"/>
                <w:kern w:val="0"/>
                <w:sz w:val="21"/>
                <w:szCs w:val="21"/>
                <w:highlight w:val="none"/>
              </w:rPr>
              <w:t>隔声、减振</w:t>
            </w:r>
          </w:p>
        </w:tc>
        <w:tc>
          <w:tcPr>
            <w:tcW w:w="1114" w:type="dxa"/>
            <w:tcBorders>
              <w:tl2br w:val="nil"/>
              <w:tr2bl w:val="nil"/>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outlineLvl w:val="9"/>
              <w:rPr>
                <w:rFonts w:hint="eastAsia" w:eastAsia="宋体"/>
                <w:color w:val="auto"/>
                <w:kern w:val="0"/>
                <w:sz w:val="21"/>
                <w:szCs w:val="21"/>
                <w:highlight w:val="none"/>
                <w:lang w:val="en-US" w:eastAsia="zh-CN"/>
              </w:rPr>
            </w:pPr>
            <w:r>
              <w:rPr>
                <w:rFonts w:hint="eastAsia"/>
                <w:color w:val="auto"/>
                <w:kern w:val="0"/>
                <w:sz w:val="21"/>
                <w:szCs w:val="21"/>
                <w:highlight w:val="none"/>
                <w:lang w:val="en-US" w:eastAsia="zh-CN"/>
              </w:rPr>
              <w:t>36</w:t>
            </w:r>
          </w:p>
        </w:tc>
        <w:tc>
          <w:tcPr>
            <w:tcW w:w="2265" w:type="dxa"/>
            <w:tcBorders>
              <w:tl2br w:val="nil"/>
              <w:tr2bl w:val="nil"/>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outlineLvl w:val="9"/>
              <w:rPr>
                <w:color w:val="auto"/>
                <w:kern w:val="0"/>
                <w:sz w:val="21"/>
                <w:szCs w:val="21"/>
                <w:highlight w:val="none"/>
              </w:rPr>
            </w:pPr>
            <w:r>
              <w:rPr>
                <w:color w:val="auto"/>
                <w:kern w:val="0"/>
                <w:sz w:val="21"/>
                <w:szCs w:val="21"/>
                <w:highlight w:val="none"/>
              </w:rPr>
              <w:t>车间内，连续运行</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63" w:hRule="atLeast"/>
          <w:jc w:val="center"/>
        </w:trPr>
        <w:tc>
          <w:tcPr>
            <w:tcW w:w="1618" w:type="dxa"/>
            <w:tcBorders>
              <w:tl2br w:val="nil"/>
              <w:tr2bl w:val="nil"/>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outlineLvl w:val="9"/>
              <w:rPr>
                <w:color w:val="auto"/>
                <w:kern w:val="0"/>
                <w:sz w:val="21"/>
                <w:szCs w:val="21"/>
                <w:highlight w:val="none"/>
              </w:rPr>
            </w:pPr>
            <w:r>
              <w:rPr>
                <w:color w:val="auto"/>
                <w:kern w:val="0"/>
                <w:sz w:val="21"/>
                <w:szCs w:val="21"/>
                <w:highlight w:val="none"/>
              </w:rPr>
              <w:t>超声清洗机</w:t>
            </w:r>
          </w:p>
        </w:tc>
        <w:tc>
          <w:tcPr>
            <w:tcW w:w="938" w:type="dxa"/>
            <w:tcBorders>
              <w:tl2br w:val="nil"/>
              <w:tr2bl w:val="nil"/>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outlineLvl w:val="9"/>
              <w:rPr>
                <w:color w:val="auto"/>
                <w:kern w:val="0"/>
                <w:sz w:val="21"/>
                <w:szCs w:val="21"/>
                <w:highlight w:val="none"/>
              </w:rPr>
            </w:pPr>
            <w:r>
              <w:rPr>
                <w:color w:val="auto"/>
                <w:kern w:val="0"/>
                <w:sz w:val="21"/>
                <w:szCs w:val="21"/>
                <w:highlight w:val="none"/>
              </w:rPr>
              <w:t>1m</w:t>
            </w:r>
          </w:p>
        </w:tc>
        <w:tc>
          <w:tcPr>
            <w:tcW w:w="1084" w:type="dxa"/>
            <w:tcBorders>
              <w:tl2br w:val="nil"/>
              <w:tr2bl w:val="nil"/>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outlineLvl w:val="9"/>
              <w:rPr>
                <w:color w:val="auto"/>
                <w:kern w:val="0"/>
                <w:sz w:val="21"/>
                <w:szCs w:val="21"/>
                <w:highlight w:val="none"/>
              </w:rPr>
            </w:pPr>
            <w:r>
              <w:rPr>
                <w:color w:val="auto"/>
                <w:kern w:val="0"/>
                <w:sz w:val="21"/>
                <w:szCs w:val="21"/>
                <w:highlight w:val="none"/>
              </w:rPr>
              <w:t>75~80</w:t>
            </w:r>
          </w:p>
        </w:tc>
        <w:tc>
          <w:tcPr>
            <w:tcW w:w="2211" w:type="dxa"/>
            <w:tcBorders>
              <w:tl2br w:val="nil"/>
              <w:tr2bl w:val="nil"/>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outlineLvl w:val="9"/>
              <w:rPr>
                <w:color w:val="auto"/>
                <w:kern w:val="0"/>
                <w:sz w:val="21"/>
                <w:szCs w:val="21"/>
                <w:highlight w:val="none"/>
              </w:rPr>
            </w:pPr>
            <w:r>
              <w:rPr>
                <w:color w:val="auto"/>
                <w:kern w:val="0"/>
                <w:sz w:val="21"/>
                <w:szCs w:val="21"/>
                <w:highlight w:val="none"/>
              </w:rPr>
              <w:t>隔声</w:t>
            </w:r>
          </w:p>
        </w:tc>
        <w:tc>
          <w:tcPr>
            <w:tcW w:w="1114" w:type="dxa"/>
            <w:tcBorders>
              <w:tl2br w:val="nil"/>
              <w:tr2bl w:val="nil"/>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outlineLvl w:val="9"/>
              <w:rPr>
                <w:rFonts w:hint="eastAsia" w:eastAsia="宋体"/>
                <w:color w:val="auto"/>
                <w:kern w:val="0"/>
                <w:sz w:val="21"/>
                <w:szCs w:val="21"/>
                <w:highlight w:val="none"/>
                <w:lang w:eastAsia="zh-CN"/>
              </w:rPr>
            </w:pPr>
            <w:r>
              <w:rPr>
                <w:rFonts w:hint="eastAsia"/>
                <w:color w:val="auto"/>
                <w:kern w:val="0"/>
                <w:sz w:val="21"/>
                <w:szCs w:val="21"/>
                <w:highlight w:val="none"/>
                <w:lang w:val="en-US" w:eastAsia="zh-CN"/>
              </w:rPr>
              <w:t>3</w:t>
            </w:r>
          </w:p>
        </w:tc>
        <w:tc>
          <w:tcPr>
            <w:tcW w:w="2265" w:type="dxa"/>
            <w:tcBorders>
              <w:tl2br w:val="nil"/>
              <w:tr2bl w:val="nil"/>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outlineLvl w:val="9"/>
              <w:rPr>
                <w:color w:val="auto"/>
                <w:kern w:val="0"/>
                <w:sz w:val="21"/>
                <w:szCs w:val="21"/>
                <w:highlight w:val="none"/>
              </w:rPr>
            </w:pPr>
            <w:r>
              <w:rPr>
                <w:color w:val="auto"/>
                <w:kern w:val="0"/>
                <w:sz w:val="21"/>
                <w:szCs w:val="21"/>
                <w:highlight w:val="none"/>
              </w:rPr>
              <w:t>车间内，间歇运行</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63" w:hRule="atLeast"/>
          <w:jc w:val="center"/>
        </w:trPr>
        <w:tc>
          <w:tcPr>
            <w:tcW w:w="1618" w:type="dxa"/>
            <w:tcBorders>
              <w:tl2br w:val="nil"/>
              <w:tr2bl w:val="nil"/>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outlineLvl w:val="9"/>
              <w:rPr>
                <w:rFonts w:hint="eastAsia"/>
                <w:color w:val="auto"/>
                <w:kern w:val="0"/>
                <w:sz w:val="21"/>
                <w:szCs w:val="21"/>
                <w:highlight w:val="none"/>
                <w:lang w:val="en-US" w:eastAsia="zh-CN"/>
              </w:rPr>
            </w:pPr>
            <w:r>
              <w:rPr>
                <w:rFonts w:hint="default" w:ascii="Times New Roman" w:hAnsi="Times New Roman" w:cs="Times New Roman"/>
                <w:color w:val="auto"/>
                <w:kern w:val="0"/>
                <w:sz w:val="21"/>
                <w:szCs w:val="21"/>
                <w:highlight w:val="none"/>
              </w:rPr>
              <w:t>水刀机</w:t>
            </w:r>
          </w:p>
        </w:tc>
        <w:tc>
          <w:tcPr>
            <w:tcW w:w="938" w:type="dxa"/>
            <w:tcBorders>
              <w:tl2br w:val="nil"/>
              <w:tr2bl w:val="nil"/>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outlineLvl w:val="9"/>
              <w:rPr>
                <w:rFonts w:hint="eastAsia" w:eastAsia="宋体"/>
                <w:color w:val="auto"/>
                <w:kern w:val="0"/>
                <w:sz w:val="21"/>
                <w:szCs w:val="21"/>
                <w:highlight w:val="none"/>
                <w:lang w:val="en-US" w:eastAsia="zh-CN"/>
              </w:rPr>
            </w:pPr>
            <w:r>
              <w:rPr>
                <w:rFonts w:hint="eastAsia"/>
                <w:color w:val="auto"/>
                <w:kern w:val="0"/>
                <w:sz w:val="21"/>
                <w:szCs w:val="21"/>
                <w:highlight w:val="none"/>
                <w:lang w:val="en-US" w:eastAsia="zh-CN"/>
              </w:rPr>
              <w:t>1m</w:t>
            </w:r>
          </w:p>
        </w:tc>
        <w:tc>
          <w:tcPr>
            <w:tcW w:w="1084" w:type="dxa"/>
            <w:tcBorders>
              <w:tl2br w:val="nil"/>
              <w:tr2bl w:val="nil"/>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outlineLvl w:val="9"/>
              <w:rPr>
                <w:color w:val="auto"/>
                <w:kern w:val="0"/>
                <w:sz w:val="21"/>
                <w:szCs w:val="21"/>
                <w:highlight w:val="none"/>
              </w:rPr>
            </w:pPr>
            <w:r>
              <w:rPr>
                <w:color w:val="auto"/>
                <w:kern w:val="0"/>
                <w:sz w:val="21"/>
                <w:szCs w:val="21"/>
                <w:highlight w:val="none"/>
              </w:rPr>
              <w:t>75~80</w:t>
            </w:r>
          </w:p>
        </w:tc>
        <w:tc>
          <w:tcPr>
            <w:tcW w:w="2211" w:type="dxa"/>
            <w:tcBorders>
              <w:tl2br w:val="nil"/>
              <w:tr2bl w:val="nil"/>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outlineLvl w:val="9"/>
              <w:rPr>
                <w:color w:val="auto"/>
                <w:kern w:val="0"/>
                <w:sz w:val="21"/>
                <w:szCs w:val="21"/>
                <w:highlight w:val="none"/>
              </w:rPr>
            </w:pPr>
            <w:r>
              <w:rPr>
                <w:color w:val="auto"/>
                <w:kern w:val="0"/>
                <w:sz w:val="21"/>
                <w:szCs w:val="21"/>
                <w:highlight w:val="none"/>
              </w:rPr>
              <w:t>隔声</w:t>
            </w:r>
          </w:p>
        </w:tc>
        <w:tc>
          <w:tcPr>
            <w:tcW w:w="1114" w:type="dxa"/>
            <w:tcBorders>
              <w:tl2br w:val="nil"/>
              <w:tr2bl w:val="nil"/>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outlineLvl w:val="9"/>
              <w:rPr>
                <w:rFonts w:hint="eastAsia"/>
                <w:color w:val="auto"/>
                <w:kern w:val="0"/>
                <w:sz w:val="21"/>
                <w:szCs w:val="21"/>
                <w:highlight w:val="none"/>
                <w:lang w:val="en-US" w:eastAsia="zh-CN"/>
              </w:rPr>
            </w:pPr>
            <w:r>
              <w:rPr>
                <w:rFonts w:hint="eastAsia"/>
                <w:color w:val="auto"/>
                <w:kern w:val="0"/>
                <w:sz w:val="21"/>
                <w:szCs w:val="21"/>
                <w:highlight w:val="none"/>
                <w:lang w:val="en-US" w:eastAsia="zh-CN"/>
              </w:rPr>
              <w:t>3</w:t>
            </w:r>
          </w:p>
        </w:tc>
        <w:tc>
          <w:tcPr>
            <w:tcW w:w="2265" w:type="dxa"/>
            <w:tcBorders>
              <w:tl2br w:val="nil"/>
              <w:tr2bl w:val="nil"/>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outlineLvl w:val="9"/>
              <w:rPr>
                <w:color w:val="auto"/>
                <w:kern w:val="0"/>
                <w:sz w:val="21"/>
                <w:szCs w:val="21"/>
                <w:highlight w:val="none"/>
              </w:rPr>
            </w:pPr>
            <w:r>
              <w:rPr>
                <w:color w:val="auto"/>
                <w:kern w:val="0"/>
                <w:sz w:val="21"/>
                <w:szCs w:val="21"/>
                <w:highlight w:val="none"/>
              </w:rPr>
              <w:t>车间内，间歇运行</w:t>
            </w:r>
          </w:p>
        </w:tc>
      </w:tr>
    </w:tbl>
    <w:p>
      <w:pPr>
        <w:adjustRightInd w:val="0"/>
        <w:snapToGrid w:val="0"/>
        <w:spacing w:line="360" w:lineRule="auto"/>
        <w:ind w:firstLine="480" w:firstLineChars="200"/>
        <w:rPr>
          <w:color w:val="auto"/>
          <w:sz w:val="24"/>
          <w:highlight w:val="none"/>
        </w:rPr>
      </w:pPr>
      <w:r>
        <w:rPr>
          <w:rFonts w:hint="eastAsia"/>
          <w:color w:val="auto"/>
          <w:sz w:val="24"/>
          <w:highlight w:val="none"/>
        </w:rPr>
        <w:t>青岛皓宸环境卫生监测有限公司于201</w:t>
      </w:r>
      <w:r>
        <w:rPr>
          <w:rFonts w:hint="eastAsia"/>
          <w:color w:val="auto"/>
          <w:sz w:val="24"/>
          <w:highlight w:val="none"/>
          <w:lang w:val="en-US" w:eastAsia="zh-CN"/>
        </w:rPr>
        <w:t>9</w:t>
      </w:r>
      <w:r>
        <w:rPr>
          <w:rFonts w:hint="eastAsia"/>
          <w:color w:val="auto"/>
          <w:sz w:val="24"/>
          <w:highlight w:val="none"/>
        </w:rPr>
        <w:t>年</w:t>
      </w:r>
      <w:r>
        <w:rPr>
          <w:rFonts w:hint="eastAsia"/>
          <w:color w:val="auto"/>
          <w:sz w:val="24"/>
          <w:highlight w:val="none"/>
          <w:lang w:val="en-US" w:eastAsia="zh-CN"/>
        </w:rPr>
        <w:t>9月</w:t>
      </w:r>
      <w:r>
        <w:rPr>
          <w:rFonts w:hint="eastAsia"/>
          <w:color w:val="auto"/>
          <w:sz w:val="24"/>
          <w:highlight w:val="none"/>
        </w:rPr>
        <w:t>1</w:t>
      </w:r>
      <w:r>
        <w:rPr>
          <w:rFonts w:hint="eastAsia"/>
          <w:color w:val="auto"/>
          <w:sz w:val="24"/>
          <w:highlight w:val="none"/>
          <w:lang w:val="en-US" w:eastAsia="zh-CN"/>
        </w:rPr>
        <w:t>4</w:t>
      </w:r>
      <w:r>
        <w:rPr>
          <w:rFonts w:hint="eastAsia"/>
          <w:color w:val="auto"/>
          <w:sz w:val="24"/>
          <w:highlight w:val="none"/>
        </w:rPr>
        <w:t>日，</w:t>
      </w:r>
      <w:r>
        <w:rPr>
          <w:rFonts w:hint="eastAsia"/>
          <w:color w:val="auto"/>
          <w:sz w:val="24"/>
          <w:highlight w:val="none"/>
          <w:lang w:val="en-US" w:eastAsia="zh-CN"/>
        </w:rPr>
        <w:t>于项目所在园区</w:t>
      </w:r>
      <w:r>
        <w:rPr>
          <w:rFonts w:hint="eastAsia"/>
          <w:color w:val="auto"/>
          <w:sz w:val="24"/>
          <w:highlight w:val="none"/>
        </w:rPr>
        <w:t>东、南、西、北厂界外1m各布设一个点位，监测结果见</w:t>
      </w:r>
      <w:r>
        <w:rPr>
          <w:rFonts w:hint="eastAsia"/>
          <w:color w:val="auto"/>
          <w:sz w:val="24"/>
          <w:highlight w:val="none"/>
        </w:rPr>
        <w:t>表</w:t>
      </w:r>
      <w:r>
        <w:rPr>
          <w:rFonts w:hint="eastAsia"/>
          <w:color w:val="auto"/>
          <w:sz w:val="24"/>
          <w:highlight w:val="none"/>
          <w:lang w:eastAsia="zh-CN"/>
        </w:rPr>
        <w:t>2.5</w:t>
      </w:r>
      <w:r>
        <w:rPr>
          <w:rFonts w:hint="eastAsia"/>
          <w:color w:val="auto"/>
          <w:sz w:val="24"/>
          <w:highlight w:val="none"/>
        </w:rPr>
        <w:t>-</w:t>
      </w:r>
      <w:r>
        <w:rPr>
          <w:rFonts w:hint="eastAsia"/>
          <w:color w:val="auto"/>
          <w:sz w:val="24"/>
          <w:highlight w:val="none"/>
          <w:lang w:val="en-US" w:eastAsia="zh-CN"/>
        </w:rPr>
        <w:t>10</w:t>
      </w:r>
      <w:r>
        <w:rPr>
          <w:rFonts w:hint="eastAsia"/>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eastAsia="黑体"/>
          <w:color w:val="auto"/>
          <w:sz w:val="24"/>
          <w:szCs w:val="24"/>
          <w:highlight w:val="none"/>
        </w:rPr>
      </w:pPr>
      <w:r>
        <w:rPr>
          <w:rFonts w:eastAsia="黑体"/>
          <w:color w:val="auto"/>
          <w:sz w:val="24"/>
          <w:szCs w:val="24"/>
          <w:highlight w:val="none"/>
        </w:rPr>
        <w:t>表</w:t>
      </w:r>
      <w:r>
        <w:rPr>
          <w:rFonts w:hint="eastAsia" w:eastAsia="黑体"/>
          <w:color w:val="auto"/>
          <w:sz w:val="24"/>
          <w:szCs w:val="24"/>
          <w:highlight w:val="none"/>
          <w:lang w:eastAsia="zh-CN"/>
        </w:rPr>
        <w:t>2.5</w:t>
      </w:r>
      <w:r>
        <w:rPr>
          <w:rFonts w:eastAsia="黑体"/>
          <w:color w:val="auto"/>
          <w:sz w:val="24"/>
          <w:szCs w:val="24"/>
          <w:highlight w:val="none"/>
        </w:rPr>
        <w:t>-</w:t>
      </w:r>
      <w:r>
        <w:rPr>
          <w:rFonts w:hint="eastAsia" w:eastAsia="黑体"/>
          <w:color w:val="auto"/>
          <w:sz w:val="24"/>
          <w:szCs w:val="24"/>
          <w:highlight w:val="none"/>
          <w:lang w:val="en-US" w:eastAsia="zh-CN"/>
        </w:rPr>
        <w:t xml:space="preserve">10 </w:t>
      </w:r>
      <w:r>
        <w:rPr>
          <w:rFonts w:eastAsia="黑体"/>
          <w:color w:val="auto"/>
          <w:sz w:val="24"/>
          <w:szCs w:val="24"/>
          <w:highlight w:val="none"/>
        </w:rPr>
        <w:t xml:space="preserve"> 厂界噪声监测结果一览表</w:t>
      </w:r>
      <w:r>
        <w:rPr>
          <w:rFonts w:hint="eastAsia" w:eastAsia="黑体"/>
          <w:color w:val="auto"/>
          <w:sz w:val="24"/>
          <w:szCs w:val="24"/>
          <w:highlight w:val="none"/>
        </w:rPr>
        <w:t xml:space="preserve">   单位：dB(A)</w:t>
      </w:r>
    </w:p>
    <w:tbl>
      <w:tblPr>
        <w:tblStyle w:val="36"/>
        <w:tblW w:w="9231" w:type="dxa"/>
        <w:jc w:val="center"/>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154"/>
        <w:gridCol w:w="806"/>
        <w:gridCol w:w="1455"/>
        <w:gridCol w:w="1455"/>
        <w:gridCol w:w="1455"/>
        <w:gridCol w:w="1455"/>
        <w:gridCol w:w="1451"/>
      </w:tblGrid>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jc w:val="center"/>
        </w:trPr>
        <w:tc>
          <w:tcPr>
            <w:tcW w:w="1960" w:type="dxa"/>
            <w:gridSpan w:val="2"/>
            <w:vAlign w:val="center"/>
          </w:tcPr>
          <w:p>
            <w:pPr>
              <w:jc w:val="center"/>
              <w:rPr>
                <w:color w:val="auto"/>
                <w:szCs w:val="21"/>
                <w:highlight w:val="none"/>
              </w:rPr>
            </w:pPr>
            <w:r>
              <w:rPr>
                <w:rFonts w:hint="eastAsia"/>
                <w:color w:val="auto"/>
                <w:szCs w:val="21"/>
                <w:highlight w:val="none"/>
              </w:rPr>
              <w:t>监测时间</w:t>
            </w:r>
          </w:p>
        </w:tc>
        <w:tc>
          <w:tcPr>
            <w:tcW w:w="1455" w:type="dxa"/>
            <w:vAlign w:val="center"/>
          </w:tcPr>
          <w:p>
            <w:pPr>
              <w:widowControl/>
              <w:jc w:val="center"/>
              <w:textAlignment w:val="center"/>
              <w:rPr>
                <w:rFonts w:eastAsia="等线"/>
                <w:color w:val="auto"/>
                <w:kern w:val="0"/>
                <w:szCs w:val="21"/>
                <w:highlight w:val="none"/>
                <w:lang w:bidi="ar"/>
              </w:rPr>
            </w:pPr>
            <w:r>
              <w:rPr>
                <w:color w:val="auto"/>
                <w:szCs w:val="21"/>
                <w:highlight w:val="none"/>
              </w:rPr>
              <w:t>1#东厂界</w:t>
            </w:r>
          </w:p>
        </w:tc>
        <w:tc>
          <w:tcPr>
            <w:tcW w:w="1455" w:type="dxa"/>
            <w:vAlign w:val="center"/>
          </w:tcPr>
          <w:p>
            <w:pPr>
              <w:widowControl/>
              <w:jc w:val="center"/>
              <w:textAlignment w:val="center"/>
              <w:rPr>
                <w:rFonts w:eastAsia="等线"/>
                <w:color w:val="auto"/>
                <w:kern w:val="0"/>
                <w:szCs w:val="21"/>
                <w:highlight w:val="none"/>
                <w:lang w:bidi="ar"/>
              </w:rPr>
            </w:pPr>
            <w:r>
              <w:rPr>
                <w:color w:val="auto"/>
                <w:highlight w:val="none"/>
              </w:rPr>
              <w:t>2#南厂界</w:t>
            </w:r>
          </w:p>
        </w:tc>
        <w:tc>
          <w:tcPr>
            <w:tcW w:w="1455" w:type="dxa"/>
            <w:vAlign w:val="center"/>
          </w:tcPr>
          <w:p>
            <w:pPr>
              <w:widowControl/>
              <w:jc w:val="center"/>
              <w:textAlignment w:val="center"/>
              <w:rPr>
                <w:rFonts w:eastAsia="等线"/>
                <w:color w:val="auto"/>
                <w:kern w:val="0"/>
                <w:szCs w:val="21"/>
                <w:highlight w:val="none"/>
                <w:lang w:bidi="ar"/>
              </w:rPr>
            </w:pPr>
            <w:r>
              <w:rPr>
                <w:color w:val="auto"/>
                <w:highlight w:val="none"/>
              </w:rPr>
              <w:t>3#西厂界</w:t>
            </w:r>
          </w:p>
        </w:tc>
        <w:tc>
          <w:tcPr>
            <w:tcW w:w="1455" w:type="dxa"/>
            <w:vAlign w:val="center"/>
          </w:tcPr>
          <w:p>
            <w:pPr>
              <w:widowControl/>
              <w:jc w:val="center"/>
              <w:textAlignment w:val="center"/>
              <w:rPr>
                <w:rFonts w:eastAsia="等线"/>
                <w:color w:val="auto"/>
                <w:kern w:val="0"/>
                <w:szCs w:val="21"/>
                <w:highlight w:val="none"/>
                <w:lang w:bidi="ar"/>
              </w:rPr>
            </w:pPr>
            <w:r>
              <w:rPr>
                <w:color w:val="auto"/>
                <w:highlight w:val="none"/>
              </w:rPr>
              <w:t>4#北厂界</w:t>
            </w:r>
          </w:p>
        </w:tc>
        <w:tc>
          <w:tcPr>
            <w:tcW w:w="1451" w:type="dxa"/>
            <w:vAlign w:val="center"/>
          </w:tcPr>
          <w:p>
            <w:pPr>
              <w:widowControl/>
              <w:jc w:val="center"/>
              <w:textAlignment w:val="center"/>
              <w:rPr>
                <w:color w:val="auto"/>
                <w:highlight w:val="none"/>
              </w:rPr>
            </w:pPr>
            <w:r>
              <w:rPr>
                <w:rFonts w:hint="eastAsia"/>
                <w:color w:val="auto"/>
                <w:highlight w:val="none"/>
              </w:rPr>
              <w:t>标准值</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jc w:val="center"/>
        </w:trPr>
        <w:tc>
          <w:tcPr>
            <w:tcW w:w="1154" w:type="dxa"/>
            <w:vMerge w:val="restart"/>
            <w:vAlign w:val="center"/>
          </w:tcPr>
          <w:p>
            <w:pPr>
              <w:jc w:val="center"/>
              <w:rPr>
                <w:rFonts w:hint="eastAsia" w:eastAsia="宋体"/>
                <w:color w:val="auto"/>
                <w:szCs w:val="21"/>
                <w:highlight w:val="none"/>
                <w:lang w:eastAsia="zh-CN"/>
              </w:rPr>
            </w:pPr>
            <w:r>
              <w:rPr>
                <w:rFonts w:hint="eastAsia"/>
                <w:color w:val="auto"/>
                <w:szCs w:val="21"/>
                <w:highlight w:val="none"/>
              </w:rPr>
              <w:t>201</w:t>
            </w:r>
            <w:r>
              <w:rPr>
                <w:rFonts w:hint="eastAsia"/>
                <w:color w:val="auto"/>
                <w:szCs w:val="21"/>
                <w:highlight w:val="none"/>
                <w:lang w:val="en-US" w:eastAsia="zh-CN"/>
              </w:rPr>
              <w:t>9</w:t>
            </w:r>
            <w:r>
              <w:rPr>
                <w:rFonts w:hint="eastAsia"/>
                <w:color w:val="auto"/>
                <w:szCs w:val="21"/>
                <w:highlight w:val="none"/>
              </w:rPr>
              <w:t>.</w:t>
            </w:r>
            <w:r>
              <w:rPr>
                <w:rFonts w:hint="eastAsia"/>
                <w:color w:val="auto"/>
                <w:szCs w:val="21"/>
                <w:highlight w:val="none"/>
                <w:lang w:val="en-US" w:eastAsia="zh-CN"/>
              </w:rPr>
              <w:t>9</w:t>
            </w:r>
            <w:r>
              <w:rPr>
                <w:rFonts w:hint="eastAsia"/>
                <w:color w:val="auto"/>
                <w:szCs w:val="21"/>
                <w:highlight w:val="none"/>
              </w:rPr>
              <w:t>.1</w:t>
            </w:r>
            <w:r>
              <w:rPr>
                <w:rFonts w:hint="eastAsia"/>
                <w:color w:val="auto"/>
                <w:szCs w:val="21"/>
                <w:highlight w:val="none"/>
                <w:lang w:val="en-US" w:eastAsia="zh-CN"/>
              </w:rPr>
              <w:t>4</w:t>
            </w:r>
          </w:p>
        </w:tc>
        <w:tc>
          <w:tcPr>
            <w:tcW w:w="806" w:type="dxa"/>
            <w:vAlign w:val="center"/>
          </w:tcPr>
          <w:p>
            <w:pPr>
              <w:jc w:val="center"/>
              <w:rPr>
                <w:color w:val="auto"/>
                <w:szCs w:val="21"/>
                <w:highlight w:val="none"/>
              </w:rPr>
            </w:pPr>
            <w:r>
              <w:rPr>
                <w:color w:val="auto"/>
                <w:szCs w:val="21"/>
                <w:highlight w:val="none"/>
              </w:rPr>
              <w:t>昼间</w:t>
            </w:r>
          </w:p>
        </w:tc>
        <w:tc>
          <w:tcPr>
            <w:tcW w:w="1455" w:type="dxa"/>
            <w:vAlign w:val="center"/>
          </w:tcPr>
          <w:p>
            <w:pPr>
              <w:widowControl/>
              <w:jc w:val="center"/>
              <w:textAlignment w:val="center"/>
              <w:rPr>
                <w:rFonts w:hint="eastAsia" w:eastAsia="等线"/>
                <w:color w:val="auto"/>
                <w:szCs w:val="21"/>
                <w:highlight w:val="none"/>
                <w:lang w:val="en-US" w:eastAsia="zh-CN"/>
              </w:rPr>
            </w:pPr>
            <w:r>
              <w:rPr>
                <w:rFonts w:eastAsia="等线"/>
                <w:color w:val="auto"/>
                <w:kern w:val="0"/>
                <w:szCs w:val="21"/>
                <w:highlight w:val="none"/>
                <w:lang w:bidi="ar"/>
              </w:rPr>
              <w:t>5</w:t>
            </w:r>
            <w:r>
              <w:rPr>
                <w:rFonts w:hint="eastAsia" w:eastAsia="等线"/>
                <w:color w:val="auto"/>
                <w:kern w:val="0"/>
                <w:szCs w:val="21"/>
                <w:highlight w:val="none"/>
                <w:lang w:val="en-US" w:eastAsia="zh-CN" w:bidi="ar"/>
              </w:rPr>
              <w:t>5.3</w:t>
            </w:r>
          </w:p>
        </w:tc>
        <w:tc>
          <w:tcPr>
            <w:tcW w:w="1455" w:type="dxa"/>
            <w:vAlign w:val="center"/>
          </w:tcPr>
          <w:p>
            <w:pPr>
              <w:widowControl/>
              <w:jc w:val="center"/>
              <w:textAlignment w:val="center"/>
              <w:rPr>
                <w:rFonts w:hint="eastAsia" w:eastAsia="宋体"/>
                <w:color w:val="auto"/>
                <w:szCs w:val="21"/>
                <w:highlight w:val="none"/>
                <w:lang w:val="en-US" w:eastAsia="zh-CN"/>
              </w:rPr>
            </w:pPr>
            <w:r>
              <w:rPr>
                <w:rFonts w:hint="eastAsia" w:eastAsia="等线"/>
                <w:color w:val="auto"/>
                <w:kern w:val="0"/>
                <w:szCs w:val="21"/>
                <w:highlight w:val="none"/>
                <w:lang w:val="en-US" w:eastAsia="zh-CN" w:bidi="ar"/>
              </w:rPr>
              <w:t>59.7</w:t>
            </w:r>
          </w:p>
        </w:tc>
        <w:tc>
          <w:tcPr>
            <w:tcW w:w="1455" w:type="dxa"/>
            <w:vAlign w:val="center"/>
          </w:tcPr>
          <w:p>
            <w:pPr>
              <w:widowControl/>
              <w:jc w:val="center"/>
              <w:textAlignment w:val="center"/>
              <w:rPr>
                <w:rFonts w:hint="eastAsia" w:eastAsia="等线"/>
                <w:color w:val="auto"/>
                <w:szCs w:val="21"/>
                <w:highlight w:val="none"/>
                <w:lang w:val="en-US" w:eastAsia="zh-CN"/>
              </w:rPr>
            </w:pPr>
            <w:r>
              <w:rPr>
                <w:rFonts w:eastAsia="等线"/>
                <w:color w:val="auto"/>
                <w:kern w:val="0"/>
                <w:szCs w:val="21"/>
                <w:highlight w:val="none"/>
                <w:lang w:bidi="ar"/>
              </w:rPr>
              <w:t>5</w:t>
            </w:r>
            <w:r>
              <w:rPr>
                <w:rFonts w:hint="eastAsia" w:eastAsia="等线"/>
                <w:color w:val="auto"/>
                <w:kern w:val="0"/>
                <w:szCs w:val="21"/>
                <w:highlight w:val="none"/>
                <w:lang w:val="en-US" w:eastAsia="zh-CN" w:bidi="ar"/>
              </w:rPr>
              <w:t>3.2</w:t>
            </w:r>
          </w:p>
        </w:tc>
        <w:tc>
          <w:tcPr>
            <w:tcW w:w="1455" w:type="dxa"/>
            <w:vAlign w:val="center"/>
          </w:tcPr>
          <w:p>
            <w:pPr>
              <w:widowControl/>
              <w:jc w:val="center"/>
              <w:textAlignment w:val="center"/>
              <w:rPr>
                <w:rFonts w:hint="eastAsia" w:eastAsia="等线"/>
                <w:color w:val="auto"/>
                <w:szCs w:val="21"/>
                <w:highlight w:val="none"/>
                <w:lang w:val="en-US" w:eastAsia="zh-CN"/>
              </w:rPr>
            </w:pPr>
            <w:r>
              <w:rPr>
                <w:rFonts w:eastAsia="等线"/>
                <w:color w:val="auto"/>
                <w:kern w:val="0"/>
                <w:szCs w:val="21"/>
                <w:highlight w:val="none"/>
                <w:lang w:bidi="ar"/>
              </w:rPr>
              <w:t>5</w:t>
            </w:r>
            <w:r>
              <w:rPr>
                <w:rFonts w:hint="eastAsia" w:eastAsia="等线"/>
                <w:color w:val="auto"/>
                <w:kern w:val="0"/>
                <w:szCs w:val="21"/>
                <w:highlight w:val="none"/>
                <w:lang w:val="en-US" w:eastAsia="zh-CN" w:bidi="ar"/>
              </w:rPr>
              <w:t>3.4</w:t>
            </w:r>
          </w:p>
        </w:tc>
        <w:tc>
          <w:tcPr>
            <w:tcW w:w="1451" w:type="dxa"/>
            <w:vAlign w:val="center"/>
          </w:tcPr>
          <w:p>
            <w:pPr>
              <w:widowControl/>
              <w:jc w:val="center"/>
              <w:textAlignment w:val="center"/>
              <w:rPr>
                <w:rFonts w:eastAsia="等线"/>
                <w:color w:val="auto"/>
                <w:kern w:val="0"/>
                <w:szCs w:val="21"/>
                <w:highlight w:val="none"/>
                <w:lang w:bidi="ar"/>
              </w:rPr>
            </w:pPr>
            <w:r>
              <w:rPr>
                <w:rFonts w:hint="eastAsia" w:eastAsia="等线"/>
                <w:color w:val="auto"/>
                <w:kern w:val="0"/>
                <w:szCs w:val="21"/>
                <w:highlight w:val="none"/>
                <w:lang w:bidi="ar"/>
              </w:rPr>
              <w:t>65</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jc w:val="center"/>
        </w:trPr>
        <w:tc>
          <w:tcPr>
            <w:tcW w:w="1154" w:type="dxa"/>
            <w:vMerge w:val="continue"/>
            <w:vAlign w:val="center"/>
          </w:tcPr>
          <w:p>
            <w:pPr>
              <w:jc w:val="center"/>
              <w:rPr>
                <w:color w:val="auto"/>
                <w:szCs w:val="21"/>
                <w:highlight w:val="none"/>
              </w:rPr>
            </w:pPr>
          </w:p>
        </w:tc>
        <w:tc>
          <w:tcPr>
            <w:tcW w:w="806" w:type="dxa"/>
            <w:vAlign w:val="center"/>
          </w:tcPr>
          <w:p>
            <w:pPr>
              <w:jc w:val="center"/>
              <w:rPr>
                <w:color w:val="auto"/>
                <w:szCs w:val="21"/>
                <w:highlight w:val="none"/>
              </w:rPr>
            </w:pPr>
            <w:r>
              <w:rPr>
                <w:color w:val="auto"/>
                <w:szCs w:val="21"/>
                <w:highlight w:val="none"/>
              </w:rPr>
              <w:t>夜间</w:t>
            </w:r>
          </w:p>
        </w:tc>
        <w:tc>
          <w:tcPr>
            <w:tcW w:w="1455" w:type="dxa"/>
            <w:vAlign w:val="center"/>
          </w:tcPr>
          <w:p>
            <w:pPr>
              <w:widowControl/>
              <w:jc w:val="center"/>
              <w:textAlignment w:val="center"/>
              <w:rPr>
                <w:rFonts w:hint="eastAsia" w:eastAsia="等线"/>
                <w:color w:val="auto"/>
                <w:szCs w:val="21"/>
                <w:highlight w:val="none"/>
                <w:lang w:val="en-US" w:eastAsia="zh-CN"/>
              </w:rPr>
            </w:pPr>
            <w:r>
              <w:rPr>
                <w:rFonts w:eastAsia="等线"/>
                <w:color w:val="auto"/>
                <w:kern w:val="0"/>
                <w:szCs w:val="21"/>
                <w:highlight w:val="none"/>
                <w:lang w:bidi="ar"/>
              </w:rPr>
              <w:t>4</w:t>
            </w:r>
            <w:r>
              <w:rPr>
                <w:rFonts w:hint="eastAsia" w:eastAsia="等线"/>
                <w:color w:val="auto"/>
                <w:kern w:val="0"/>
                <w:szCs w:val="21"/>
                <w:highlight w:val="none"/>
                <w:lang w:val="en-US" w:eastAsia="zh-CN" w:bidi="ar"/>
              </w:rPr>
              <w:t>4.7</w:t>
            </w:r>
          </w:p>
        </w:tc>
        <w:tc>
          <w:tcPr>
            <w:tcW w:w="1455" w:type="dxa"/>
            <w:vAlign w:val="center"/>
          </w:tcPr>
          <w:p>
            <w:pPr>
              <w:widowControl/>
              <w:jc w:val="center"/>
              <w:textAlignment w:val="center"/>
              <w:rPr>
                <w:color w:val="auto"/>
                <w:szCs w:val="21"/>
                <w:highlight w:val="none"/>
              </w:rPr>
            </w:pPr>
            <w:r>
              <w:rPr>
                <w:rFonts w:hint="eastAsia" w:eastAsia="等线"/>
                <w:color w:val="auto"/>
                <w:kern w:val="0"/>
                <w:szCs w:val="21"/>
                <w:highlight w:val="none"/>
                <w:lang w:val="en-US" w:eastAsia="zh-CN" w:bidi="ar"/>
              </w:rPr>
              <w:t>48.6</w:t>
            </w:r>
          </w:p>
        </w:tc>
        <w:tc>
          <w:tcPr>
            <w:tcW w:w="1455" w:type="dxa"/>
            <w:vAlign w:val="center"/>
          </w:tcPr>
          <w:p>
            <w:pPr>
              <w:widowControl/>
              <w:jc w:val="center"/>
              <w:textAlignment w:val="center"/>
              <w:rPr>
                <w:rFonts w:hint="eastAsia" w:eastAsia="等线"/>
                <w:color w:val="auto"/>
                <w:szCs w:val="21"/>
                <w:highlight w:val="none"/>
                <w:lang w:eastAsia="zh-CN"/>
              </w:rPr>
            </w:pPr>
            <w:r>
              <w:rPr>
                <w:rFonts w:eastAsia="等线"/>
                <w:color w:val="auto"/>
                <w:kern w:val="0"/>
                <w:szCs w:val="21"/>
                <w:highlight w:val="none"/>
                <w:lang w:bidi="ar"/>
              </w:rPr>
              <w:t>43.</w:t>
            </w:r>
            <w:r>
              <w:rPr>
                <w:rFonts w:hint="eastAsia" w:eastAsia="等线"/>
                <w:color w:val="auto"/>
                <w:kern w:val="0"/>
                <w:szCs w:val="21"/>
                <w:highlight w:val="none"/>
                <w:lang w:val="en-US" w:eastAsia="zh-CN" w:bidi="ar"/>
              </w:rPr>
              <w:t>1</w:t>
            </w:r>
          </w:p>
        </w:tc>
        <w:tc>
          <w:tcPr>
            <w:tcW w:w="1455" w:type="dxa"/>
            <w:vAlign w:val="center"/>
          </w:tcPr>
          <w:p>
            <w:pPr>
              <w:widowControl/>
              <w:jc w:val="center"/>
              <w:textAlignment w:val="center"/>
              <w:rPr>
                <w:rFonts w:hint="eastAsia" w:eastAsia="等线"/>
                <w:color w:val="auto"/>
                <w:szCs w:val="21"/>
                <w:highlight w:val="none"/>
                <w:lang w:val="en-US" w:eastAsia="zh-CN"/>
              </w:rPr>
            </w:pPr>
            <w:r>
              <w:rPr>
                <w:rFonts w:eastAsia="等线"/>
                <w:color w:val="auto"/>
                <w:kern w:val="0"/>
                <w:szCs w:val="21"/>
                <w:highlight w:val="none"/>
                <w:lang w:bidi="ar"/>
              </w:rPr>
              <w:t>4</w:t>
            </w:r>
            <w:r>
              <w:rPr>
                <w:rFonts w:hint="eastAsia" w:eastAsia="等线"/>
                <w:color w:val="auto"/>
                <w:kern w:val="0"/>
                <w:szCs w:val="21"/>
                <w:highlight w:val="none"/>
                <w:lang w:val="en-US" w:eastAsia="zh-CN" w:bidi="ar"/>
              </w:rPr>
              <w:t>3.1</w:t>
            </w:r>
          </w:p>
        </w:tc>
        <w:tc>
          <w:tcPr>
            <w:tcW w:w="1451" w:type="dxa"/>
            <w:vAlign w:val="center"/>
          </w:tcPr>
          <w:p>
            <w:pPr>
              <w:widowControl/>
              <w:jc w:val="center"/>
              <w:textAlignment w:val="center"/>
              <w:rPr>
                <w:rFonts w:eastAsia="等线"/>
                <w:color w:val="auto"/>
                <w:kern w:val="0"/>
                <w:szCs w:val="21"/>
                <w:highlight w:val="none"/>
                <w:lang w:bidi="ar"/>
              </w:rPr>
            </w:pPr>
            <w:r>
              <w:rPr>
                <w:rFonts w:hint="eastAsia" w:eastAsia="等线"/>
                <w:color w:val="auto"/>
                <w:kern w:val="0"/>
                <w:szCs w:val="21"/>
                <w:highlight w:val="none"/>
                <w:lang w:bidi="ar"/>
              </w:rPr>
              <w:t>55</w:t>
            </w:r>
          </w:p>
        </w:tc>
      </w:tr>
    </w:tbl>
    <w:p>
      <w:pPr>
        <w:adjustRightInd w:val="0"/>
        <w:snapToGrid w:val="0"/>
        <w:spacing w:line="360" w:lineRule="auto"/>
        <w:ind w:firstLine="480" w:firstLineChars="200"/>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根据</w:t>
      </w:r>
      <w:r>
        <w:rPr>
          <w:rFonts w:hint="eastAsia" w:asciiTheme="minorEastAsia" w:hAnsiTheme="minorEastAsia" w:eastAsiaTheme="minorEastAsia"/>
          <w:color w:val="auto"/>
          <w:sz w:val="24"/>
          <w:highlight w:val="none"/>
          <w:lang w:val="en-US" w:eastAsia="zh-CN"/>
        </w:rPr>
        <w:t>上</w:t>
      </w:r>
      <w:r>
        <w:rPr>
          <w:rFonts w:eastAsiaTheme="minorEastAsia"/>
          <w:color w:val="auto"/>
          <w:sz w:val="24"/>
          <w:highlight w:val="none"/>
        </w:rPr>
        <w:t>表显示，</w:t>
      </w:r>
      <w:r>
        <w:rPr>
          <w:rFonts w:hint="eastAsia" w:eastAsiaTheme="minorEastAsia"/>
          <w:color w:val="auto"/>
          <w:sz w:val="24"/>
          <w:highlight w:val="none"/>
          <w:lang w:val="en-US" w:eastAsia="zh-CN"/>
        </w:rPr>
        <w:t>项目所在</w:t>
      </w:r>
      <w:r>
        <w:rPr>
          <w:rFonts w:hint="eastAsia" w:eastAsiaTheme="minorEastAsia"/>
          <w:color w:val="auto"/>
          <w:sz w:val="24"/>
          <w:highlight w:val="none"/>
          <w:lang w:eastAsia="zh-CN"/>
        </w:rPr>
        <w:t>园区</w:t>
      </w:r>
      <w:r>
        <w:rPr>
          <w:rFonts w:eastAsiaTheme="minorEastAsia"/>
          <w:color w:val="auto"/>
          <w:sz w:val="24"/>
          <w:highlight w:val="none"/>
        </w:rPr>
        <w:t>厂界噪声满足《工业企业厂界环境噪声排放标准》(GB12348-2008)中</w:t>
      </w:r>
      <w:r>
        <w:rPr>
          <w:rFonts w:hint="eastAsia" w:eastAsiaTheme="minorEastAsia"/>
          <w:color w:val="auto"/>
          <w:sz w:val="24"/>
          <w:highlight w:val="none"/>
        </w:rPr>
        <w:t>3</w:t>
      </w:r>
      <w:r>
        <w:rPr>
          <w:rFonts w:eastAsiaTheme="minorEastAsia"/>
          <w:color w:val="auto"/>
          <w:sz w:val="24"/>
          <w:highlight w:val="none"/>
        </w:rPr>
        <w:t>类标</w:t>
      </w:r>
      <w:r>
        <w:rPr>
          <w:rFonts w:hint="eastAsia" w:asciiTheme="minorEastAsia" w:hAnsiTheme="minorEastAsia" w:eastAsiaTheme="minorEastAsia"/>
          <w:color w:val="auto"/>
          <w:sz w:val="24"/>
          <w:highlight w:val="none"/>
        </w:rPr>
        <w:t>准要求。</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2"/>
        <w:rPr>
          <w:rFonts w:ascii="黑体" w:hAnsi="黑体" w:eastAsia="黑体"/>
          <w:color w:val="auto"/>
          <w:sz w:val="24"/>
          <w:highlight w:val="none"/>
        </w:rPr>
      </w:pPr>
      <w:r>
        <w:rPr>
          <w:rFonts w:hint="eastAsia" w:ascii="黑体" w:hAnsi="黑体" w:eastAsia="黑体"/>
          <w:color w:val="auto"/>
          <w:sz w:val="24"/>
          <w:highlight w:val="none"/>
          <w:lang w:eastAsia="zh-CN"/>
        </w:rPr>
        <w:t>2.5</w:t>
      </w:r>
      <w:r>
        <w:rPr>
          <w:rFonts w:hint="eastAsia" w:ascii="黑体" w:hAnsi="黑体" w:eastAsia="黑体"/>
          <w:color w:val="auto"/>
          <w:sz w:val="24"/>
          <w:highlight w:val="none"/>
        </w:rPr>
        <w:t>.</w:t>
      </w:r>
      <w:r>
        <w:rPr>
          <w:rFonts w:hint="eastAsia" w:ascii="黑体" w:hAnsi="黑体" w:eastAsia="黑体" w:cs="Times New Roman"/>
          <w:color w:val="auto"/>
          <w:sz w:val="24"/>
          <w:highlight w:val="none"/>
          <w:lang w:val="en-US" w:eastAsia="zh-CN"/>
        </w:rPr>
        <w:t xml:space="preserve">4 </w:t>
      </w:r>
      <w:r>
        <w:rPr>
          <w:rFonts w:hint="eastAsia" w:ascii="黑体" w:hAnsi="黑体" w:eastAsia="黑体"/>
          <w:color w:val="auto"/>
          <w:sz w:val="24"/>
          <w:highlight w:val="none"/>
        </w:rPr>
        <w:t>固体废物</w:t>
      </w:r>
    </w:p>
    <w:p>
      <w:pPr>
        <w:snapToGrid w:val="0"/>
        <w:spacing w:line="360" w:lineRule="auto"/>
        <w:ind w:firstLine="480" w:firstLineChars="200"/>
        <w:rPr>
          <w:rFonts w:hint="eastAsia"/>
          <w:color w:val="auto"/>
          <w:sz w:val="24"/>
          <w:highlight w:val="none"/>
        </w:rPr>
      </w:pPr>
      <w:r>
        <w:rPr>
          <w:rFonts w:hint="eastAsia"/>
          <w:color w:val="auto"/>
          <w:sz w:val="24"/>
          <w:highlight w:val="none"/>
        </w:rPr>
        <w:t>根据建设单位提供，项目电镀、封闭等工序废液仅是工件带出，生产时需定期补充，过滤后循环使用，不需要完全报废更换。</w:t>
      </w:r>
    </w:p>
    <w:p>
      <w:pPr>
        <w:snapToGrid w:val="0"/>
        <w:spacing w:line="360" w:lineRule="auto"/>
        <w:ind w:firstLine="480" w:firstLineChars="200"/>
        <w:rPr>
          <w:rFonts w:hint="eastAsia"/>
          <w:color w:val="auto"/>
          <w:sz w:val="24"/>
          <w:highlight w:val="none"/>
        </w:rPr>
      </w:pPr>
      <w:r>
        <w:rPr>
          <w:rFonts w:hint="eastAsia"/>
          <w:color w:val="auto"/>
          <w:sz w:val="24"/>
          <w:highlight w:val="none"/>
        </w:rPr>
        <w:t>实际电镀生产中，零件镀层损耗的金属离子会在阳极溶解过程得到补充，除光亮剂等成分之外，其他成分只是带出损耗。另由于槽体设有过滤机，产生的沉淀物被即时滤掉去除。正常情况下电镀溶液可长期使用不报废。另由于镀液价值较高，误操作等特殊情况产生重大故障时，生产厂家也会采取各种措施恢复作业性能。因此，电镀行业生产过程基本不产生电镀废液。</w:t>
      </w:r>
    </w:p>
    <w:p>
      <w:pPr>
        <w:snapToGrid w:val="0"/>
        <w:spacing w:line="360" w:lineRule="auto"/>
        <w:ind w:firstLine="480" w:firstLineChars="200"/>
        <w:rPr>
          <w:rFonts w:hint="eastAsia"/>
          <w:color w:val="auto"/>
          <w:sz w:val="24"/>
          <w:highlight w:val="none"/>
        </w:rPr>
      </w:pPr>
      <w:r>
        <w:rPr>
          <w:rFonts w:hint="eastAsia"/>
          <w:color w:val="auto"/>
          <w:sz w:val="24"/>
          <w:highlight w:val="none"/>
        </w:rPr>
        <w:t>封闭工序，也是仅进行槽体损耗补充，不进行完全报废更换。</w:t>
      </w:r>
    </w:p>
    <w:p>
      <w:pPr>
        <w:snapToGrid w:val="0"/>
        <w:spacing w:line="360" w:lineRule="auto"/>
        <w:ind w:firstLine="480" w:firstLineChars="200"/>
        <w:rPr>
          <w:rFonts w:hint="eastAsia"/>
          <w:color w:val="auto"/>
          <w:sz w:val="24"/>
          <w:highlight w:val="none"/>
        </w:rPr>
      </w:pPr>
      <w:r>
        <w:rPr>
          <w:rFonts w:hint="eastAsia"/>
          <w:color w:val="auto"/>
          <w:sz w:val="24"/>
          <w:highlight w:val="none"/>
        </w:rPr>
        <w:t>生产中，需定期更换的主要为废酸碱液、废钝化液。</w:t>
      </w:r>
    </w:p>
    <w:p>
      <w:pPr>
        <w:snapToGrid w:val="0"/>
        <w:spacing w:line="360" w:lineRule="auto"/>
        <w:ind w:firstLine="480" w:firstLineChars="200"/>
        <w:rPr>
          <w:rFonts w:hint="eastAsia"/>
          <w:color w:val="auto"/>
          <w:sz w:val="24"/>
          <w:highlight w:val="none"/>
        </w:rPr>
      </w:pPr>
      <w:r>
        <w:rPr>
          <w:rFonts w:hint="eastAsia"/>
          <w:color w:val="auto"/>
          <w:sz w:val="24"/>
          <w:highlight w:val="none"/>
          <w:lang w:val="en-US" w:eastAsia="zh-CN"/>
        </w:rPr>
        <w:t>(1)</w:t>
      </w:r>
      <w:r>
        <w:rPr>
          <w:rFonts w:hint="eastAsia"/>
          <w:color w:val="auto"/>
          <w:sz w:val="24"/>
          <w:highlight w:val="none"/>
        </w:rPr>
        <w:t>废酸碱液</w:t>
      </w:r>
      <w:r>
        <w:rPr>
          <w:rFonts w:hint="eastAsia"/>
          <w:color w:val="auto"/>
          <w:sz w:val="24"/>
          <w:highlight w:val="none"/>
          <w:lang w:eastAsia="zh-CN"/>
        </w:rPr>
        <w:t>：</w:t>
      </w:r>
      <w:r>
        <w:rPr>
          <w:rFonts w:hint="eastAsia"/>
          <w:color w:val="auto"/>
          <w:sz w:val="24"/>
          <w:highlight w:val="none"/>
        </w:rPr>
        <w:t>生产时的废酸碱液</w:t>
      </w:r>
      <w:r>
        <w:rPr>
          <w:rFonts w:hint="eastAsia"/>
          <w:color w:val="auto"/>
          <w:sz w:val="24"/>
          <w:highlight w:val="none"/>
        </w:rPr>
        <w:t>，产生量约</w:t>
      </w:r>
      <w:r>
        <w:rPr>
          <w:rFonts w:hint="eastAsia"/>
          <w:color w:val="auto"/>
          <w:sz w:val="24"/>
          <w:highlight w:val="none"/>
          <w:lang w:val="en-US" w:eastAsia="zh-CN"/>
        </w:rPr>
        <w:t>18</w:t>
      </w:r>
      <w:r>
        <w:rPr>
          <w:rFonts w:hint="eastAsia"/>
          <w:color w:val="auto"/>
          <w:sz w:val="24"/>
          <w:highlight w:val="none"/>
        </w:rPr>
        <w:t>t/a，为危险废物</w:t>
      </w:r>
      <w:r>
        <w:rPr>
          <w:rFonts w:hint="eastAsia"/>
          <w:color w:val="auto"/>
          <w:sz w:val="24"/>
          <w:highlight w:val="none"/>
          <w:lang w:eastAsia="zh-CN"/>
        </w:rPr>
        <w:t>(</w:t>
      </w:r>
      <w:r>
        <w:rPr>
          <w:rFonts w:hint="eastAsia"/>
          <w:color w:val="auto"/>
          <w:sz w:val="24"/>
          <w:highlight w:val="none"/>
        </w:rPr>
        <w:t>HW17-336-064-17、HW12-900-253-12</w:t>
      </w:r>
      <w:r>
        <w:rPr>
          <w:rFonts w:hint="eastAsia"/>
          <w:color w:val="auto"/>
          <w:sz w:val="24"/>
          <w:highlight w:val="none"/>
          <w:lang w:eastAsia="zh-CN"/>
        </w:rPr>
        <w:t>)</w:t>
      </w:r>
      <w:r>
        <w:rPr>
          <w:rFonts w:hint="eastAsia"/>
          <w:color w:val="auto"/>
          <w:sz w:val="24"/>
          <w:highlight w:val="none"/>
        </w:rPr>
        <w:t>，收集盛装于专门容器中，车间设危废</w:t>
      </w:r>
      <w:r>
        <w:rPr>
          <w:rFonts w:hint="eastAsia"/>
          <w:color w:val="auto"/>
          <w:sz w:val="24"/>
          <w:highlight w:val="none"/>
        </w:rPr>
        <w:t>暂存间，定期交由</w:t>
      </w:r>
      <w:r>
        <w:rPr>
          <w:rFonts w:hint="eastAsia"/>
          <w:color w:val="auto"/>
          <w:sz w:val="24"/>
          <w:highlight w:val="none"/>
          <w:lang w:eastAsia="zh-CN"/>
        </w:rPr>
        <w:t>电镀工业园</w:t>
      </w:r>
      <w:r>
        <w:rPr>
          <w:rFonts w:hint="eastAsia"/>
          <w:color w:val="auto"/>
          <w:sz w:val="24"/>
          <w:highlight w:val="none"/>
        </w:rPr>
        <w:t>，废酸碱液交由</w:t>
      </w:r>
      <w:r>
        <w:rPr>
          <w:rFonts w:hint="eastAsia"/>
          <w:color w:val="auto"/>
          <w:sz w:val="24"/>
          <w:highlight w:val="none"/>
          <w:lang w:val="en-US" w:eastAsia="zh-CN"/>
        </w:rPr>
        <w:t>园区</w:t>
      </w:r>
      <w:r>
        <w:rPr>
          <w:rFonts w:hint="eastAsia"/>
          <w:color w:val="auto"/>
          <w:sz w:val="24"/>
          <w:highlight w:val="none"/>
        </w:rPr>
        <w:t>后，由</w:t>
      </w:r>
      <w:r>
        <w:rPr>
          <w:rFonts w:hint="eastAsia"/>
          <w:color w:val="auto"/>
          <w:sz w:val="24"/>
          <w:highlight w:val="none"/>
          <w:lang w:val="en-US" w:eastAsia="zh-CN"/>
        </w:rPr>
        <w:t>园区</w:t>
      </w:r>
      <w:r>
        <w:rPr>
          <w:rFonts w:hint="eastAsia"/>
          <w:color w:val="auto"/>
          <w:sz w:val="24"/>
          <w:highlight w:val="none"/>
        </w:rPr>
        <w:t>分批少量注入污水处理系统处理，不再作为危废委外处置。</w:t>
      </w:r>
    </w:p>
    <w:p>
      <w:pPr>
        <w:snapToGrid w:val="0"/>
        <w:spacing w:line="360" w:lineRule="auto"/>
        <w:ind w:firstLine="480" w:firstLineChars="200"/>
        <w:rPr>
          <w:rFonts w:hint="eastAsia"/>
          <w:color w:val="auto"/>
          <w:sz w:val="24"/>
          <w:highlight w:val="none"/>
        </w:rPr>
      </w:pPr>
      <w:r>
        <w:rPr>
          <w:rFonts w:hint="eastAsia"/>
          <w:color w:val="auto"/>
          <w:sz w:val="24"/>
          <w:highlight w:val="none"/>
          <w:lang w:val="en-US" w:eastAsia="zh-CN"/>
        </w:rPr>
        <w:t>(2)</w:t>
      </w:r>
      <w:r>
        <w:rPr>
          <w:rFonts w:hint="eastAsia"/>
          <w:color w:val="auto"/>
          <w:sz w:val="24"/>
          <w:highlight w:val="none"/>
        </w:rPr>
        <w:t>废过滤芯/槽渣</w:t>
      </w:r>
      <w:r>
        <w:rPr>
          <w:rFonts w:hint="eastAsia"/>
          <w:color w:val="auto"/>
          <w:sz w:val="24"/>
          <w:highlight w:val="none"/>
          <w:lang w:eastAsia="zh-CN"/>
        </w:rPr>
        <w:t>：</w:t>
      </w:r>
      <w:r>
        <w:rPr>
          <w:rFonts w:hint="eastAsia"/>
          <w:color w:val="auto"/>
          <w:sz w:val="24"/>
          <w:highlight w:val="none"/>
        </w:rPr>
        <w:t>槽液过滤装置产生的废弃滤芯及槽液滤</w:t>
      </w:r>
      <w:r>
        <w:rPr>
          <w:rFonts w:hint="eastAsia"/>
          <w:color w:val="auto"/>
          <w:sz w:val="24"/>
          <w:highlight w:val="none"/>
        </w:rPr>
        <w:t>渣约</w:t>
      </w:r>
      <w:r>
        <w:rPr>
          <w:rFonts w:hint="eastAsia"/>
          <w:color w:val="auto"/>
          <w:sz w:val="24"/>
          <w:highlight w:val="none"/>
          <w:lang w:val="en-US" w:eastAsia="zh-CN"/>
        </w:rPr>
        <w:t>10</w:t>
      </w:r>
      <w:r>
        <w:rPr>
          <w:rFonts w:hint="eastAsia"/>
          <w:color w:val="auto"/>
          <w:sz w:val="24"/>
          <w:highlight w:val="none"/>
        </w:rPr>
        <w:t>t/a，平均</w:t>
      </w:r>
      <w:r>
        <w:rPr>
          <w:rFonts w:hint="eastAsia"/>
          <w:color w:val="auto"/>
          <w:sz w:val="24"/>
          <w:highlight w:val="none"/>
        </w:rPr>
        <w:t>每半年更换一次，属于危险废物</w:t>
      </w:r>
      <w:r>
        <w:rPr>
          <w:rFonts w:hint="eastAsia"/>
          <w:color w:val="auto"/>
          <w:sz w:val="24"/>
          <w:highlight w:val="none"/>
          <w:lang w:eastAsia="zh-CN"/>
        </w:rPr>
        <w:t>(</w:t>
      </w:r>
      <w:r>
        <w:rPr>
          <w:rFonts w:hint="eastAsia"/>
          <w:color w:val="auto"/>
          <w:sz w:val="24"/>
          <w:highlight w:val="none"/>
        </w:rPr>
        <w:t>HW17-336-052/05</w:t>
      </w:r>
      <w:r>
        <w:rPr>
          <w:rFonts w:hint="eastAsia"/>
          <w:color w:val="auto"/>
          <w:sz w:val="24"/>
          <w:highlight w:val="none"/>
          <w:lang w:val="en-US" w:eastAsia="zh-CN"/>
        </w:rPr>
        <w:t>5</w:t>
      </w:r>
      <w:r>
        <w:rPr>
          <w:rFonts w:hint="eastAsia"/>
          <w:color w:val="auto"/>
          <w:sz w:val="24"/>
          <w:highlight w:val="none"/>
        </w:rPr>
        <w:t>/</w:t>
      </w:r>
      <w:r>
        <w:rPr>
          <w:rFonts w:hint="eastAsia"/>
          <w:color w:val="auto"/>
          <w:sz w:val="24"/>
          <w:highlight w:val="none"/>
          <w:lang w:val="en-US" w:eastAsia="zh-CN"/>
        </w:rPr>
        <w:t>056/058/059/</w:t>
      </w:r>
      <w:r>
        <w:rPr>
          <w:rFonts w:hint="eastAsia"/>
          <w:color w:val="auto"/>
          <w:sz w:val="24"/>
          <w:highlight w:val="none"/>
        </w:rPr>
        <w:t>062/063/064/069-17</w:t>
      </w:r>
      <w:r>
        <w:rPr>
          <w:rFonts w:hint="eastAsia"/>
          <w:color w:val="auto"/>
          <w:sz w:val="24"/>
          <w:highlight w:val="none"/>
          <w:lang w:eastAsia="zh-CN"/>
        </w:rPr>
        <w:t>)</w:t>
      </w:r>
      <w:r>
        <w:rPr>
          <w:rFonts w:hint="eastAsia"/>
          <w:color w:val="auto"/>
          <w:sz w:val="24"/>
          <w:highlight w:val="none"/>
        </w:rPr>
        <w:t>，暂存于车间危废暂存间，定期送至</w:t>
      </w:r>
      <w:r>
        <w:rPr>
          <w:rFonts w:hint="eastAsia"/>
          <w:color w:val="auto"/>
          <w:sz w:val="24"/>
          <w:highlight w:val="none"/>
          <w:lang w:val="en-US" w:eastAsia="zh-CN"/>
        </w:rPr>
        <w:t>园区</w:t>
      </w:r>
      <w:r>
        <w:rPr>
          <w:rFonts w:hint="eastAsia"/>
          <w:color w:val="auto"/>
          <w:sz w:val="24"/>
          <w:highlight w:val="none"/>
        </w:rPr>
        <w:t>危废暂存间储存，由</w:t>
      </w:r>
      <w:r>
        <w:rPr>
          <w:rFonts w:hint="eastAsia"/>
          <w:color w:val="auto"/>
          <w:sz w:val="24"/>
          <w:highlight w:val="none"/>
          <w:lang w:val="en-US" w:eastAsia="zh-CN"/>
        </w:rPr>
        <w:t>园区</w:t>
      </w:r>
      <w:r>
        <w:rPr>
          <w:rFonts w:hint="eastAsia"/>
          <w:color w:val="auto"/>
          <w:sz w:val="24"/>
          <w:highlight w:val="none"/>
        </w:rPr>
        <w:t>统一委托有资质单位进行无害化处理。</w:t>
      </w:r>
    </w:p>
    <w:p>
      <w:pPr>
        <w:snapToGrid w:val="0"/>
        <w:spacing w:line="360" w:lineRule="auto"/>
        <w:ind w:firstLine="480" w:firstLineChars="200"/>
        <w:rPr>
          <w:rFonts w:hint="eastAsia"/>
          <w:color w:val="auto"/>
          <w:sz w:val="24"/>
          <w:highlight w:val="none"/>
        </w:rPr>
      </w:pPr>
      <w:r>
        <w:rPr>
          <w:rFonts w:hint="eastAsia"/>
          <w:color w:val="auto"/>
          <w:sz w:val="24"/>
          <w:highlight w:val="none"/>
          <w:lang w:val="en-US" w:eastAsia="zh-CN"/>
        </w:rPr>
        <w:t>(3)</w:t>
      </w:r>
      <w:r>
        <w:rPr>
          <w:rFonts w:hint="eastAsia"/>
          <w:color w:val="auto"/>
          <w:sz w:val="24"/>
          <w:highlight w:val="none"/>
        </w:rPr>
        <w:t>废</w:t>
      </w:r>
      <w:r>
        <w:rPr>
          <w:rFonts w:hint="eastAsia"/>
          <w:color w:val="auto"/>
          <w:sz w:val="24"/>
          <w:highlight w:val="none"/>
          <w:lang w:val="en-US" w:eastAsia="zh-CN"/>
        </w:rPr>
        <w:t>胶</w:t>
      </w:r>
      <w:r>
        <w:rPr>
          <w:rFonts w:hint="eastAsia"/>
          <w:color w:val="auto"/>
          <w:sz w:val="24"/>
          <w:highlight w:val="none"/>
          <w:lang w:eastAsia="zh-CN"/>
        </w:rPr>
        <w:t>：</w:t>
      </w:r>
      <w:r>
        <w:rPr>
          <w:rFonts w:hint="eastAsia"/>
          <w:color w:val="auto"/>
          <w:sz w:val="24"/>
          <w:highlight w:val="none"/>
        </w:rPr>
        <w:t>生产中，</w:t>
      </w:r>
      <w:r>
        <w:rPr>
          <w:rFonts w:hint="eastAsia"/>
          <w:color w:val="auto"/>
          <w:sz w:val="24"/>
          <w:highlight w:val="none"/>
          <w:lang w:val="en-US" w:eastAsia="zh-CN"/>
        </w:rPr>
        <w:t>镀锡前处理水刀刮下来的废胶</w:t>
      </w:r>
      <w:r>
        <w:rPr>
          <w:rFonts w:hint="eastAsia"/>
          <w:color w:val="auto"/>
          <w:sz w:val="24"/>
          <w:highlight w:val="none"/>
        </w:rPr>
        <w:t>产生量约</w:t>
      </w:r>
      <w:r>
        <w:rPr>
          <w:rFonts w:hint="eastAsia"/>
          <w:color w:val="auto"/>
          <w:sz w:val="24"/>
          <w:highlight w:val="none"/>
          <w:lang w:val="en-US" w:eastAsia="zh-CN"/>
        </w:rPr>
        <w:t>0.2</w:t>
      </w:r>
      <w:r>
        <w:rPr>
          <w:rFonts w:hint="eastAsia"/>
          <w:color w:val="auto"/>
          <w:sz w:val="24"/>
          <w:highlight w:val="none"/>
        </w:rPr>
        <w:t>t/a，</w:t>
      </w:r>
      <w:r>
        <w:rPr>
          <w:rFonts w:hint="eastAsia"/>
          <w:color w:val="auto"/>
          <w:sz w:val="24"/>
          <w:highlight w:val="none"/>
          <w:lang w:val="en-US" w:eastAsia="zh-CN"/>
        </w:rPr>
        <w:t>一般固废，外售综合利用</w:t>
      </w:r>
      <w:r>
        <w:rPr>
          <w:rFonts w:hint="eastAsia"/>
          <w:color w:val="auto"/>
          <w:sz w:val="24"/>
          <w:highlight w:val="none"/>
        </w:rPr>
        <w:t>。</w:t>
      </w:r>
    </w:p>
    <w:p>
      <w:pPr>
        <w:snapToGrid w:val="0"/>
        <w:spacing w:line="360" w:lineRule="auto"/>
        <w:ind w:firstLine="480" w:firstLineChars="200"/>
        <w:rPr>
          <w:rFonts w:hint="eastAsia"/>
          <w:color w:val="auto"/>
          <w:sz w:val="24"/>
          <w:highlight w:val="none"/>
        </w:rPr>
      </w:pPr>
      <w:r>
        <w:rPr>
          <w:rFonts w:hint="eastAsia"/>
          <w:color w:val="auto"/>
          <w:sz w:val="24"/>
          <w:highlight w:val="none"/>
          <w:lang w:val="en-US" w:eastAsia="zh-CN"/>
        </w:rPr>
        <w:t>(4)</w:t>
      </w:r>
      <w:r>
        <w:rPr>
          <w:rFonts w:hint="eastAsia"/>
          <w:color w:val="auto"/>
          <w:sz w:val="24"/>
          <w:highlight w:val="none"/>
        </w:rPr>
        <w:t>废化工原料包装物</w:t>
      </w:r>
      <w:r>
        <w:rPr>
          <w:rFonts w:hint="eastAsia"/>
          <w:color w:val="auto"/>
          <w:sz w:val="24"/>
          <w:highlight w:val="none"/>
          <w:lang w:eastAsia="zh-CN"/>
        </w:rPr>
        <w:t>：</w:t>
      </w:r>
      <w:r>
        <w:rPr>
          <w:rFonts w:hint="eastAsia"/>
          <w:color w:val="auto"/>
          <w:sz w:val="24"/>
          <w:highlight w:val="none"/>
        </w:rPr>
        <w:t>残留化学品的液态原料如酸类包装瓶、桶，固态原料内包装袋等，产生</w:t>
      </w:r>
      <w:r>
        <w:rPr>
          <w:rFonts w:hint="eastAsia"/>
          <w:color w:val="auto"/>
          <w:sz w:val="24"/>
          <w:highlight w:val="none"/>
        </w:rPr>
        <w:t>量约0.5t/a，其中包装瓶、桶，属于《国家危险废物名录》</w:t>
      </w:r>
      <w:r>
        <w:rPr>
          <w:rFonts w:hint="eastAsia"/>
          <w:color w:val="auto"/>
          <w:sz w:val="24"/>
          <w:highlight w:val="none"/>
          <w:lang w:eastAsia="zh-CN"/>
        </w:rPr>
        <w:t>(</w:t>
      </w:r>
      <w:r>
        <w:rPr>
          <w:rFonts w:hint="eastAsia"/>
          <w:color w:val="auto"/>
          <w:sz w:val="24"/>
          <w:highlight w:val="none"/>
        </w:rPr>
        <w:t>2016</w:t>
      </w:r>
      <w:r>
        <w:rPr>
          <w:rFonts w:hint="eastAsia"/>
          <w:color w:val="auto"/>
          <w:sz w:val="24"/>
          <w:highlight w:val="none"/>
          <w:lang w:eastAsia="zh-CN"/>
        </w:rPr>
        <w:t>)</w:t>
      </w:r>
      <w:r>
        <w:rPr>
          <w:rFonts w:hint="eastAsia"/>
          <w:color w:val="auto"/>
          <w:sz w:val="24"/>
          <w:highlight w:val="none"/>
        </w:rPr>
        <w:t>中HW49-900-041-49含有或沾染毒</w:t>
      </w:r>
      <w:r>
        <w:rPr>
          <w:rFonts w:hint="eastAsia"/>
          <w:color w:val="auto"/>
          <w:sz w:val="24"/>
          <w:highlight w:val="none"/>
        </w:rPr>
        <w:t>性、感染性危险废物的废弃包装物、容器，作为危废委托处置。废化工原料包装物暂存于车间危废暂存间，定期送至</w:t>
      </w:r>
      <w:r>
        <w:rPr>
          <w:rFonts w:hint="eastAsia"/>
          <w:color w:val="auto"/>
          <w:sz w:val="24"/>
          <w:highlight w:val="none"/>
          <w:lang w:val="en-US" w:eastAsia="zh-CN"/>
        </w:rPr>
        <w:t>园区</w:t>
      </w:r>
      <w:r>
        <w:rPr>
          <w:rFonts w:hint="eastAsia"/>
          <w:color w:val="auto"/>
          <w:sz w:val="24"/>
          <w:highlight w:val="none"/>
        </w:rPr>
        <w:t>危废暂存间储存，由</w:t>
      </w:r>
      <w:r>
        <w:rPr>
          <w:rFonts w:hint="eastAsia"/>
          <w:color w:val="auto"/>
          <w:sz w:val="24"/>
          <w:highlight w:val="none"/>
          <w:lang w:val="en-US" w:eastAsia="zh-CN"/>
        </w:rPr>
        <w:t>园区</w:t>
      </w:r>
      <w:r>
        <w:rPr>
          <w:rFonts w:hint="eastAsia"/>
          <w:color w:val="auto"/>
          <w:sz w:val="24"/>
          <w:highlight w:val="none"/>
        </w:rPr>
        <w:t>统一委托有资质单位进行无害化处理。</w:t>
      </w:r>
    </w:p>
    <w:p>
      <w:pPr>
        <w:adjustRightInd w:val="0"/>
        <w:snapToGrid w:val="0"/>
        <w:spacing w:line="360" w:lineRule="auto"/>
        <w:ind w:firstLine="480" w:firstLineChars="200"/>
        <w:rPr>
          <w:color w:val="auto"/>
          <w:sz w:val="24"/>
          <w:highlight w:val="none"/>
        </w:rPr>
      </w:pPr>
      <w:r>
        <w:rPr>
          <w:rFonts w:hint="eastAsia"/>
          <w:color w:val="auto"/>
          <w:sz w:val="24"/>
          <w:highlight w:val="none"/>
          <w:lang w:val="en-US" w:eastAsia="zh-CN"/>
        </w:rPr>
        <w:t>(5)</w:t>
      </w:r>
      <w:r>
        <w:rPr>
          <w:rFonts w:hint="eastAsia"/>
          <w:color w:val="auto"/>
          <w:sz w:val="24"/>
          <w:highlight w:val="none"/>
        </w:rPr>
        <w:t>生活垃圾</w:t>
      </w:r>
      <w:r>
        <w:rPr>
          <w:rFonts w:hint="eastAsia"/>
          <w:color w:val="auto"/>
          <w:sz w:val="24"/>
          <w:highlight w:val="none"/>
          <w:lang w:eastAsia="zh-CN"/>
        </w:rPr>
        <w:t>：</w:t>
      </w:r>
      <w:r>
        <w:rPr>
          <w:rFonts w:hint="eastAsia"/>
          <w:color w:val="auto"/>
          <w:sz w:val="24"/>
          <w:highlight w:val="none"/>
        </w:rPr>
        <w:t>项目定员</w:t>
      </w:r>
      <w:r>
        <w:rPr>
          <w:rFonts w:hint="eastAsia"/>
          <w:color w:val="auto"/>
          <w:sz w:val="24"/>
          <w:highlight w:val="none"/>
          <w:lang w:val="en-US" w:eastAsia="zh-CN"/>
        </w:rPr>
        <w:t>50</w:t>
      </w:r>
      <w:r>
        <w:rPr>
          <w:rFonts w:hint="eastAsia"/>
          <w:color w:val="auto"/>
          <w:sz w:val="24"/>
          <w:highlight w:val="none"/>
        </w:rPr>
        <w:t>人，按每人每天产生生活垃圾0.5kg计，年产生活垃圾约</w:t>
      </w:r>
      <w:r>
        <w:rPr>
          <w:rFonts w:hint="eastAsia"/>
          <w:color w:val="auto"/>
          <w:sz w:val="24"/>
          <w:highlight w:val="none"/>
          <w:lang w:val="en-US" w:eastAsia="zh-CN"/>
        </w:rPr>
        <w:t>7.5</w:t>
      </w:r>
      <w:r>
        <w:rPr>
          <w:rFonts w:hint="eastAsia"/>
          <w:color w:val="auto"/>
          <w:sz w:val="24"/>
          <w:highlight w:val="none"/>
        </w:rPr>
        <w:t>t，由环卫部门定期清运</w:t>
      </w:r>
      <w:r>
        <w:rPr>
          <w:color w:val="auto"/>
          <w:sz w:val="24"/>
          <w:highlight w:val="none"/>
        </w:rPr>
        <w:t>。</w:t>
      </w:r>
    </w:p>
    <w:p>
      <w:pPr>
        <w:adjustRightInd w:val="0"/>
        <w:snapToGrid w:val="0"/>
        <w:spacing w:line="360" w:lineRule="auto"/>
        <w:ind w:firstLine="480" w:firstLineChars="200"/>
        <w:rPr>
          <w:color w:val="auto"/>
          <w:highlight w:val="none"/>
        </w:rPr>
      </w:pPr>
      <w:r>
        <w:rPr>
          <w:color w:val="auto"/>
          <w:sz w:val="24"/>
          <w:highlight w:val="none"/>
        </w:rPr>
        <w:t>综上，</w:t>
      </w:r>
      <w:r>
        <w:rPr>
          <w:rFonts w:hint="eastAsia"/>
          <w:color w:val="auto"/>
          <w:sz w:val="24"/>
          <w:highlight w:val="none"/>
          <w:lang w:val="en-US" w:eastAsia="zh-CN"/>
        </w:rPr>
        <w:t>实际生产过程中，</w:t>
      </w:r>
      <w:r>
        <w:rPr>
          <w:rFonts w:ascii="宋体" w:hAnsi="宋体"/>
          <w:color w:val="auto"/>
          <w:sz w:val="24"/>
          <w:highlight w:val="none"/>
        </w:rPr>
        <w:t>项目固体废物产排放情况见表</w:t>
      </w:r>
      <w:r>
        <w:rPr>
          <w:rFonts w:hint="eastAsia"/>
          <w:color w:val="auto"/>
          <w:sz w:val="24"/>
          <w:highlight w:val="none"/>
          <w:lang w:eastAsia="zh-CN"/>
        </w:rPr>
        <w:t>2.5</w:t>
      </w:r>
      <w:r>
        <w:rPr>
          <w:color w:val="auto"/>
          <w:sz w:val="24"/>
          <w:highlight w:val="none"/>
        </w:rPr>
        <w:t>-</w:t>
      </w:r>
      <w:r>
        <w:rPr>
          <w:rFonts w:hint="eastAsia"/>
          <w:color w:val="auto"/>
          <w:sz w:val="24"/>
          <w:highlight w:val="none"/>
          <w:lang w:val="en-US" w:eastAsia="zh-CN"/>
        </w:rPr>
        <w:t>11</w:t>
      </w:r>
      <w:r>
        <w:rPr>
          <w:rFonts w:hint="eastAsia" w:ascii="宋体" w:hAnsi="宋体"/>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eastAsia="黑体"/>
          <w:color w:val="auto"/>
          <w:sz w:val="24"/>
          <w:szCs w:val="24"/>
          <w:highlight w:val="none"/>
        </w:rPr>
      </w:pPr>
      <w:r>
        <w:rPr>
          <w:rFonts w:eastAsia="黑体"/>
          <w:color w:val="auto"/>
          <w:sz w:val="24"/>
          <w:szCs w:val="24"/>
          <w:highlight w:val="none"/>
        </w:rPr>
        <w:t>表</w:t>
      </w:r>
      <w:r>
        <w:rPr>
          <w:rFonts w:hint="eastAsia" w:eastAsia="黑体"/>
          <w:color w:val="auto"/>
          <w:sz w:val="24"/>
          <w:szCs w:val="24"/>
          <w:highlight w:val="none"/>
          <w:lang w:eastAsia="zh-CN"/>
        </w:rPr>
        <w:t>2.5</w:t>
      </w:r>
      <w:r>
        <w:rPr>
          <w:rFonts w:eastAsia="黑体"/>
          <w:color w:val="auto"/>
          <w:sz w:val="24"/>
          <w:szCs w:val="24"/>
          <w:highlight w:val="none"/>
        </w:rPr>
        <w:t>-</w:t>
      </w:r>
      <w:r>
        <w:rPr>
          <w:rFonts w:hint="eastAsia" w:eastAsia="黑体"/>
          <w:color w:val="auto"/>
          <w:sz w:val="24"/>
          <w:szCs w:val="24"/>
          <w:highlight w:val="none"/>
          <w:lang w:val="en-US" w:eastAsia="zh-CN"/>
        </w:rPr>
        <w:t xml:space="preserve">11 </w:t>
      </w:r>
      <w:r>
        <w:rPr>
          <w:rFonts w:eastAsia="黑体"/>
          <w:color w:val="auto"/>
          <w:sz w:val="24"/>
          <w:szCs w:val="24"/>
          <w:highlight w:val="none"/>
        </w:rPr>
        <w:t xml:space="preserve"> 项目固体废物产排放情况</w:t>
      </w:r>
    </w:p>
    <w:tbl>
      <w:tblPr>
        <w:tblStyle w:val="36"/>
        <w:tblW w:w="9230" w:type="dxa"/>
        <w:jc w:val="center"/>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675"/>
        <w:gridCol w:w="1276"/>
        <w:gridCol w:w="1117"/>
        <w:gridCol w:w="303"/>
        <w:gridCol w:w="1842"/>
        <w:gridCol w:w="764"/>
        <w:gridCol w:w="3253"/>
      </w:tblGrid>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675" w:type="dxa"/>
            <w:vAlign w:val="center"/>
          </w:tcPr>
          <w:p>
            <w:pPr>
              <w:jc w:val="center"/>
              <w:rPr>
                <w:b/>
                <w:color w:val="auto"/>
                <w:szCs w:val="21"/>
                <w:highlight w:val="none"/>
              </w:rPr>
            </w:pPr>
            <w:r>
              <w:rPr>
                <w:b/>
                <w:color w:val="auto"/>
                <w:szCs w:val="21"/>
                <w:highlight w:val="none"/>
              </w:rPr>
              <w:t>序号</w:t>
            </w:r>
          </w:p>
        </w:tc>
        <w:tc>
          <w:tcPr>
            <w:tcW w:w="1276" w:type="dxa"/>
            <w:vAlign w:val="center"/>
          </w:tcPr>
          <w:p>
            <w:pPr>
              <w:jc w:val="center"/>
              <w:rPr>
                <w:b/>
                <w:color w:val="auto"/>
                <w:szCs w:val="21"/>
                <w:highlight w:val="none"/>
              </w:rPr>
            </w:pPr>
            <w:r>
              <w:rPr>
                <w:b/>
                <w:color w:val="auto"/>
                <w:szCs w:val="21"/>
                <w:highlight w:val="none"/>
              </w:rPr>
              <w:t>固废名称</w:t>
            </w:r>
          </w:p>
        </w:tc>
        <w:tc>
          <w:tcPr>
            <w:tcW w:w="1420" w:type="dxa"/>
            <w:gridSpan w:val="2"/>
            <w:vAlign w:val="center"/>
          </w:tcPr>
          <w:p>
            <w:pPr>
              <w:jc w:val="center"/>
              <w:rPr>
                <w:b/>
                <w:color w:val="auto"/>
                <w:szCs w:val="21"/>
                <w:highlight w:val="none"/>
              </w:rPr>
            </w:pPr>
            <w:r>
              <w:rPr>
                <w:b/>
                <w:color w:val="auto"/>
                <w:szCs w:val="21"/>
                <w:highlight w:val="none"/>
              </w:rPr>
              <w:t>主要污染物</w:t>
            </w:r>
          </w:p>
        </w:tc>
        <w:tc>
          <w:tcPr>
            <w:tcW w:w="1842" w:type="dxa"/>
            <w:vAlign w:val="center"/>
          </w:tcPr>
          <w:p>
            <w:pPr>
              <w:jc w:val="center"/>
              <w:rPr>
                <w:b/>
                <w:color w:val="auto"/>
                <w:szCs w:val="21"/>
                <w:highlight w:val="none"/>
              </w:rPr>
            </w:pPr>
            <w:r>
              <w:rPr>
                <w:b/>
                <w:color w:val="auto"/>
                <w:szCs w:val="21"/>
                <w:highlight w:val="none"/>
              </w:rPr>
              <w:t>分类</w:t>
            </w:r>
          </w:p>
        </w:tc>
        <w:tc>
          <w:tcPr>
            <w:tcW w:w="764" w:type="dxa"/>
            <w:tcMar>
              <w:left w:w="0" w:type="dxa"/>
              <w:right w:w="0" w:type="dxa"/>
            </w:tcMar>
            <w:vAlign w:val="center"/>
          </w:tcPr>
          <w:p>
            <w:pPr>
              <w:jc w:val="center"/>
              <w:rPr>
                <w:b/>
                <w:color w:val="auto"/>
                <w:szCs w:val="21"/>
                <w:highlight w:val="none"/>
              </w:rPr>
            </w:pPr>
            <w:r>
              <w:rPr>
                <w:b/>
                <w:color w:val="auto"/>
                <w:szCs w:val="21"/>
                <w:highlight w:val="none"/>
              </w:rPr>
              <w:t>产生量(t/a)</w:t>
            </w:r>
          </w:p>
        </w:tc>
        <w:tc>
          <w:tcPr>
            <w:tcW w:w="3253" w:type="dxa"/>
            <w:vAlign w:val="center"/>
          </w:tcPr>
          <w:p>
            <w:pPr>
              <w:jc w:val="center"/>
              <w:rPr>
                <w:b/>
                <w:color w:val="auto"/>
                <w:szCs w:val="21"/>
                <w:highlight w:val="none"/>
              </w:rPr>
            </w:pPr>
            <w:r>
              <w:rPr>
                <w:b/>
                <w:color w:val="auto"/>
                <w:szCs w:val="21"/>
                <w:highlight w:val="none"/>
              </w:rPr>
              <w:t>处置方式</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909" w:hRule="atLeast"/>
          <w:jc w:val="center"/>
        </w:trPr>
        <w:tc>
          <w:tcPr>
            <w:tcW w:w="675" w:type="dxa"/>
            <w:vAlign w:val="center"/>
          </w:tcPr>
          <w:p>
            <w:pPr>
              <w:jc w:val="center"/>
              <w:rPr>
                <w:color w:val="auto"/>
                <w:szCs w:val="21"/>
                <w:highlight w:val="none"/>
              </w:rPr>
            </w:pPr>
            <w:r>
              <w:rPr>
                <w:color w:val="auto"/>
                <w:szCs w:val="21"/>
                <w:highlight w:val="none"/>
              </w:rPr>
              <w:t>1</w:t>
            </w:r>
          </w:p>
        </w:tc>
        <w:tc>
          <w:tcPr>
            <w:tcW w:w="1276" w:type="dxa"/>
            <w:vAlign w:val="center"/>
          </w:tcPr>
          <w:p>
            <w:pPr>
              <w:spacing w:line="300" w:lineRule="exact"/>
              <w:jc w:val="center"/>
              <w:rPr>
                <w:rFonts w:hint="eastAsia"/>
                <w:color w:val="auto"/>
                <w:szCs w:val="21"/>
                <w:highlight w:val="none"/>
              </w:rPr>
            </w:pPr>
            <w:r>
              <w:rPr>
                <w:color w:val="auto"/>
                <w:szCs w:val="21"/>
                <w:highlight w:val="none"/>
              </w:rPr>
              <w:t>废酸碱液</w:t>
            </w:r>
          </w:p>
        </w:tc>
        <w:tc>
          <w:tcPr>
            <w:tcW w:w="1420" w:type="dxa"/>
            <w:gridSpan w:val="2"/>
            <w:vAlign w:val="center"/>
          </w:tcPr>
          <w:p>
            <w:pPr>
              <w:spacing w:line="300" w:lineRule="exact"/>
              <w:jc w:val="center"/>
              <w:rPr>
                <w:color w:val="auto"/>
                <w:szCs w:val="21"/>
                <w:highlight w:val="none"/>
              </w:rPr>
            </w:pPr>
            <w:r>
              <w:rPr>
                <w:color w:val="auto"/>
                <w:szCs w:val="21"/>
                <w:highlight w:val="none"/>
              </w:rPr>
              <w:t>含有酸、碱、</w:t>
            </w:r>
            <w:r>
              <w:rPr>
                <w:rFonts w:hint="eastAsia"/>
                <w:color w:val="auto"/>
                <w:szCs w:val="21"/>
                <w:highlight w:val="none"/>
                <w:lang w:val="en-US" w:eastAsia="zh-CN"/>
              </w:rPr>
              <w:t>银</w:t>
            </w:r>
            <w:r>
              <w:rPr>
                <w:color w:val="auto"/>
                <w:szCs w:val="21"/>
                <w:highlight w:val="none"/>
              </w:rPr>
              <w:t>类等</w:t>
            </w:r>
          </w:p>
        </w:tc>
        <w:tc>
          <w:tcPr>
            <w:tcW w:w="1842" w:type="dxa"/>
            <w:vAlign w:val="center"/>
          </w:tcPr>
          <w:p>
            <w:pPr>
              <w:spacing w:line="300" w:lineRule="exact"/>
              <w:jc w:val="center"/>
              <w:rPr>
                <w:color w:val="auto"/>
                <w:szCs w:val="21"/>
                <w:highlight w:val="none"/>
              </w:rPr>
            </w:pPr>
            <w:r>
              <w:rPr>
                <w:color w:val="auto"/>
                <w:szCs w:val="21"/>
                <w:highlight w:val="none"/>
              </w:rPr>
              <w:t>HW17-336-064-17</w:t>
            </w:r>
          </w:p>
        </w:tc>
        <w:tc>
          <w:tcPr>
            <w:tcW w:w="764"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18</w:t>
            </w:r>
          </w:p>
        </w:tc>
        <w:tc>
          <w:tcPr>
            <w:tcW w:w="3253" w:type="dxa"/>
            <w:vAlign w:val="center"/>
          </w:tcPr>
          <w:p>
            <w:pPr>
              <w:pStyle w:val="44"/>
              <w:jc w:val="both"/>
              <w:rPr>
                <w:rFonts w:ascii="Times New Roman" w:cs="Times New Roman"/>
                <w:color w:val="auto"/>
                <w:sz w:val="21"/>
                <w:szCs w:val="21"/>
                <w:highlight w:val="none"/>
              </w:rPr>
            </w:pPr>
            <w:r>
              <w:rPr>
                <w:rFonts w:hint="eastAsia" w:ascii="Times New Roman" w:cs="Times New Roman"/>
                <w:color w:val="auto"/>
                <w:sz w:val="21"/>
                <w:szCs w:val="21"/>
                <w:highlight w:val="none"/>
              </w:rPr>
              <w:t>废液收集盛装于专门容器中，定期交由</w:t>
            </w:r>
            <w:r>
              <w:rPr>
                <w:rFonts w:hint="eastAsia" w:ascii="Times New Roman" w:cs="Times New Roman"/>
                <w:color w:val="auto"/>
                <w:sz w:val="21"/>
                <w:szCs w:val="21"/>
                <w:highlight w:val="none"/>
                <w:lang w:val="en-US" w:eastAsia="zh-CN"/>
              </w:rPr>
              <w:t>园区</w:t>
            </w:r>
            <w:r>
              <w:rPr>
                <w:rFonts w:hint="eastAsia" w:ascii="Times New Roman" w:cs="Times New Roman"/>
                <w:color w:val="auto"/>
                <w:sz w:val="21"/>
                <w:szCs w:val="21"/>
                <w:highlight w:val="none"/>
              </w:rPr>
              <w:t>，分批少量投加至污水处理系统中</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275" w:hRule="atLeast"/>
          <w:jc w:val="center"/>
        </w:trPr>
        <w:tc>
          <w:tcPr>
            <w:tcW w:w="675" w:type="dxa"/>
            <w:vAlign w:val="center"/>
          </w:tcPr>
          <w:p>
            <w:pPr>
              <w:spacing w:line="300" w:lineRule="exact"/>
              <w:jc w:val="center"/>
              <w:rPr>
                <w:rFonts w:hint="eastAsia" w:eastAsia="宋体"/>
                <w:color w:val="auto"/>
                <w:szCs w:val="21"/>
                <w:highlight w:val="none"/>
                <w:lang w:val="en-US" w:eastAsia="zh-CN"/>
              </w:rPr>
            </w:pPr>
            <w:r>
              <w:rPr>
                <w:rFonts w:hint="eastAsia"/>
                <w:color w:val="auto"/>
                <w:szCs w:val="21"/>
                <w:highlight w:val="none"/>
                <w:lang w:val="en-US" w:eastAsia="zh-CN"/>
              </w:rPr>
              <w:t>2</w:t>
            </w:r>
          </w:p>
        </w:tc>
        <w:tc>
          <w:tcPr>
            <w:tcW w:w="1276" w:type="dxa"/>
            <w:vAlign w:val="center"/>
          </w:tcPr>
          <w:p>
            <w:pPr>
              <w:spacing w:line="300" w:lineRule="exact"/>
              <w:jc w:val="center"/>
              <w:rPr>
                <w:color w:val="auto"/>
                <w:szCs w:val="21"/>
                <w:highlight w:val="none"/>
              </w:rPr>
            </w:pPr>
            <w:r>
              <w:rPr>
                <w:color w:val="auto"/>
                <w:szCs w:val="21"/>
                <w:highlight w:val="none"/>
              </w:rPr>
              <w:t>废弃滤芯/滤渣</w:t>
            </w:r>
          </w:p>
        </w:tc>
        <w:tc>
          <w:tcPr>
            <w:tcW w:w="1420" w:type="dxa"/>
            <w:gridSpan w:val="2"/>
            <w:vAlign w:val="center"/>
          </w:tcPr>
          <w:p>
            <w:pPr>
              <w:jc w:val="center"/>
              <w:rPr>
                <w:color w:val="auto"/>
                <w:szCs w:val="21"/>
                <w:highlight w:val="none"/>
              </w:rPr>
            </w:pPr>
            <w:r>
              <w:rPr>
                <w:color w:val="auto"/>
                <w:szCs w:val="21"/>
                <w:highlight w:val="none"/>
              </w:rPr>
              <w:t>含</w:t>
            </w:r>
            <w:r>
              <w:rPr>
                <w:color w:val="auto"/>
                <w:szCs w:val="21"/>
                <w:highlight w:val="none"/>
              </w:rPr>
              <w:t>锌、</w:t>
            </w:r>
            <w:r>
              <w:rPr>
                <w:rFonts w:hint="eastAsia"/>
                <w:color w:val="auto"/>
                <w:szCs w:val="21"/>
                <w:highlight w:val="none"/>
              </w:rPr>
              <w:t>铜、镍</w:t>
            </w:r>
            <w:r>
              <w:rPr>
                <w:color w:val="auto"/>
                <w:szCs w:val="21"/>
                <w:highlight w:val="none"/>
              </w:rPr>
              <w:t>铬</w:t>
            </w:r>
            <w:r>
              <w:rPr>
                <w:color w:val="auto"/>
                <w:szCs w:val="21"/>
                <w:highlight w:val="none"/>
              </w:rPr>
              <w:t>、酸、碱、油类等</w:t>
            </w:r>
          </w:p>
        </w:tc>
        <w:tc>
          <w:tcPr>
            <w:tcW w:w="1842" w:type="dxa"/>
            <w:vAlign w:val="center"/>
          </w:tcPr>
          <w:p>
            <w:pPr>
              <w:jc w:val="center"/>
              <w:rPr>
                <w:color w:val="auto"/>
                <w:szCs w:val="21"/>
                <w:highlight w:val="none"/>
              </w:rPr>
            </w:pPr>
            <w:r>
              <w:rPr>
                <w:rFonts w:hint="eastAsia"/>
                <w:color w:val="auto"/>
                <w:szCs w:val="21"/>
                <w:highlight w:val="none"/>
              </w:rPr>
              <w:t>HW17-336-052/055/056/058/059/062/063/064/069-17</w:t>
            </w:r>
          </w:p>
        </w:tc>
        <w:tc>
          <w:tcPr>
            <w:tcW w:w="764" w:type="dxa"/>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10</w:t>
            </w:r>
          </w:p>
        </w:tc>
        <w:tc>
          <w:tcPr>
            <w:tcW w:w="3253" w:type="dxa"/>
            <w:vAlign w:val="center"/>
          </w:tcPr>
          <w:p>
            <w:pPr>
              <w:pStyle w:val="44"/>
              <w:jc w:val="both"/>
              <w:rPr>
                <w:rFonts w:ascii="Times New Roman" w:cs="Times New Roman"/>
                <w:color w:val="auto"/>
                <w:sz w:val="21"/>
                <w:szCs w:val="21"/>
                <w:highlight w:val="none"/>
              </w:rPr>
            </w:pPr>
            <w:r>
              <w:rPr>
                <w:rFonts w:ascii="Times New Roman" w:cs="Times New Roman"/>
                <w:color w:val="auto"/>
                <w:sz w:val="21"/>
                <w:szCs w:val="21"/>
                <w:highlight w:val="none"/>
              </w:rPr>
              <w:t>收集盛装于专门容器中，定期交由</w:t>
            </w:r>
            <w:r>
              <w:rPr>
                <w:rFonts w:hint="eastAsia" w:ascii="Times New Roman" w:cs="Times New Roman"/>
                <w:color w:val="auto"/>
                <w:sz w:val="21"/>
                <w:szCs w:val="21"/>
                <w:highlight w:val="none"/>
                <w:lang w:eastAsia="zh-CN"/>
              </w:rPr>
              <w:t>园区</w:t>
            </w:r>
            <w:r>
              <w:rPr>
                <w:rFonts w:ascii="Times New Roman" w:cs="Times New Roman"/>
                <w:color w:val="auto"/>
                <w:sz w:val="21"/>
                <w:szCs w:val="21"/>
                <w:highlight w:val="none"/>
              </w:rPr>
              <w:t>，暂存于</w:t>
            </w:r>
            <w:r>
              <w:rPr>
                <w:rFonts w:hint="eastAsia" w:ascii="Times New Roman" w:cs="Times New Roman"/>
                <w:color w:val="auto"/>
                <w:sz w:val="21"/>
                <w:szCs w:val="21"/>
                <w:highlight w:val="none"/>
                <w:lang w:eastAsia="zh-CN"/>
              </w:rPr>
              <w:t>园区</w:t>
            </w:r>
            <w:r>
              <w:rPr>
                <w:rFonts w:ascii="Times New Roman" w:cs="Times New Roman"/>
                <w:color w:val="auto"/>
                <w:sz w:val="21"/>
                <w:szCs w:val="21"/>
                <w:highlight w:val="none"/>
              </w:rPr>
              <w:t>危废暂存间，由</w:t>
            </w:r>
            <w:r>
              <w:rPr>
                <w:rFonts w:hint="eastAsia" w:ascii="Times New Roman" w:cs="Times New Roman"/>
                <w:color w:val="auto"/>
                <w:sz w:val="21"/>
                <w:szCs w:val="21"/>
                <w:highlight w:val="none"/>
                <w:lang w:eastAsia="zh-CN"/>
              </w:rPr>
              <w:t>园区</w:t>
            </w:r>
            <w:r>
              <w:rPr>
                <w:rFonts w:ascii="Times New Roman" w:cs="Times New Roman"/>
                <w:color w:val="auto"/>
                <w:sz w:val="21"/>
                <w:szCs w:val="21"/>
                <w:highlight w:val="none"/>
              </w:rPr>
              <w:t>统一委托有资质单位处置。</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675" w:type="dxa"/>
            <w:vAlign w:val="center"/>
          </w:tcPr>
          <w:p>
            <w:pPr>
              <w:jc w:val="center"/>
              <w:rPr>
                <w:color w:val="auto"/>
                <w:szCs w:val="21"/>
                <w:highlight w:val="none"/>
              </w:rPr>
            </w:pPr>
            <w:r>
              <w:rPr>
                <w:color w:val="auto"/>
                <w:szCs w:val="21"/>
                <w:highlight w:val="none"/>
              </w:rPr>
              <w:t>3</w:t>
            </w:r>
          </w:p>
        </w:tc>
        <w:tc>
          <w:tcPr>
            <w:tcW w:w="1276" w:type="dxa"/>
            <w:vAlign w:val="center"/>
          </w:tcPr>
          <w:p>
            <w:pPr>
              <w:jc w:val="center"/>
              <w:rPr>
                <w:color w:val="auto"/>
                <w:szCs w:val="21"/>
                <w:highlight w:val="none"/>
              </w:rPr>
            </w:pPr>
          </w:p>
          <w:p>
            <w:pPr>
              <w:jc w:val="center"/>
              <w:rPr>
                <w:color w:val="auto"/>
                <w:szCs w:val="21"/>
                <w:highlight w:val="none"/>
              </w:rPr>
            </w:pPr>
            <w:r>
              <w:rPr>
                <w:snapToGrid w:val="0"/>
                <w:color w:val="auto"/>
                <w:kern w:val="18"/>
                <w:szCs w:val="21"/>
                <w:highlight w:val="none"/>
              </w:rPr>
              <w:t>化工原料包装物</w:t>
            </w:r>
          </w:p>
        </w:tc>
        <w:tc>
          <w:tcPr>
            <w:tcW w:w="1420" w:type="dxa"/>
            <w:gridSpan w:val="2"/>
            <w:vAlign w:val="center"/>
          </w:tcPr>
          <w:p>
            <w:pPr>
              <w:jc w:val="center"/>
              <w:rPr>
                <w:color w:val="auto"/>
                <w:szCs w:val="21"/>
                <w:highlight w:val="none"/>
              </w:rPr>
            </w:pPr>
            <w:r>
              <w:rPr>
                <w:color w:val="auto"/>
                <w:szCs w:val="21"/>
                <w:highlight w:val="none"/>
              </w:rPr>
              <w:t>化学品</w:t>
            </w:r>
          </w:p>
        </w:tc>
        <w:tc>
          <w:tcPr>
            <w:tcW w:w="1842" w:type="dxa"/>
            <w:vAlign w:val="center"/>
          </w:tcPr>
          <w:p>
            <w:pPr>
              <w:jc w:val="center"/>
              <w:rPr>
                <w:color w:val="auto"/>
                <w:szCs w:val="21"/>
                <w:highlight w:val="none"/>
              </w:rPr>
            </w:pPr>
            <w:r>
              <w:rPr>
                <w:color w:val="auto"/>
                <w:szCs w:val="21"/>
                <w:highlight w:val="none"/>
              </w:rPr>
              <w:t>HW49-900-041-49</w:t>
            </w:r>
          </w:p>
        </w:tc>
        <w:tc>
          <w:tcPr>
            <w:tcW w:w="764" w:type="dxa"/>
            <w:vAlign w:val="center"/>
          </w:tcPr>
          <w:p>
            <w:pPr>
              <w:jc w:val="center"/>
              <w:rPr>
                <w:color w:val="auto"/>
                <w:szCs w:val="21"/>
                <w:highlight w:val="none"/>
              </w:rPr>
            </w:pPr>
            <w:r>
              <w:rPr>
                <w:rFonts w:hint="eastAsia"/>
                <w:color w:val="auto"/>
                <w:szCs w:val="21"/>
                <w:highlight w:val="none"/>
              </w:rPr>
              <w:t>0.5</w:t>
            </w:r>
          </w:p>
        </w:tc>
        <w:tc>
          <w:tcPr>
            <w:tcW w:w="3253" w:type="dxa"/>
          </w:tcPr>
          <w:p>
            <w:pPr>
              <w:pStyle w:val="44"/>
              <w:jc w:val="both"/>
              <w:rPr>
                <w:rFonts w:ascii="Times New Roman" w:cs="Times New Roman"/>
                <w:color w:val="auto"/>
                <w:sz w:val="21"/>
                <w:szCs w:val="21"/>
                <w:highlight w:val="none"/>
              </w:rPr>
            </w:pPr>
            <w:r>
              <w:rPr>
                <w:rFonts w:ascii="Times New Roman" w:cs="Times New Roman"/>
                <w:color w:val="auto"/>
                <w:sz w:val="21"/>
                <w:szCs w:val="21"/>
                <w:highlight w:val="none"/>
              </w:rPr>
              <w:t>送至</w:t>
            </w:r>
            <w:r>
              <w:rPr>
                <w:rFonts w:hint="eastAsia" w:ascii="Times New Roman" w:cs="Times New Roman"/>
                <w:color w:val="auto"/>
                <w:sz w:val="21"/>
                <w:szCs w:val="21"/>
                <w:highlight w:val="none"/>
                <w:lang w:eastAsia="zh-CN"/>
              </w:rPr>
              <w:t>园区</w:t>
            </w:r>
            <w:r>
              <w:rPr>
                <w:rFonts w:ascii="Times New Roman" w:cs="Times New Roman"/>
                <w:color w:val="auto"/>
                <w:sz w:val="21"/>
                <w:szCs w:val="21"/>
                <w:highlight w:val="none"/>
              </w:rPr>
              <w:t>危废暂存间储存，定期由</w:t>
            </w:r>
            <w:r>
              <w:rPr>
                <w:rFonts w:hint="eastAsia" w:ascii="Times New Roman" w:cs="Times New Roman"/>
                <w:color w:val="auto"/>
                <w:sz w:val="21"/>
                <w:szCs w:val="21"/>
                <w:highlight w:val="none"/>
                <w:lang w:eastAsia="zh-CN"/>
              </w:rPr>
              <w:t>园区</w:t>
            </w:r>
            <w:r>
              <w:rPr>
                <w:rFonts w:ascii="Times New Roman" w:cs="Times New Roman"/>
                <w:color w:val="auto"/>
                <w:sz w:val="21"/>
                <w:szCs w:val="21"/>
                <w:highlight w:val="none"/>
              </w:rPr>
              <w:t>统一委托有资质单位处置。</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5213" w:type="dxa"/>
            <w:gridSpan w:val="5"/>
            <w:vAlign w:val="center"/>
          </w:tcPr>
          <w:p>
            <w:pPr>
              <w:jc w:val="center"/>
              <w:rPr>
                <w:color w:val="auto"/>
                <w:szCs w:val="21"/>
                <w:highlight w:val="none"/>
              </w:rPr>
            </w:pPr>
            <w:r>
              <w:rPr>
                <w:color w:val="auto"/>
                <w:szCs w:val="21"/>
                <w:highlight w:val="none"/>
              </w:rPr>
              <w:t>合计</w:t>
            </w:r>
          </w:p>
        </w:tc>
        <w:tc>
          <w:tcPr>
            <w:tcW w:w="764"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28.5</w:t>
            </w:r>
          </w:p>
        </w:tc>
        <w:tc>
          <w:tcPr>
            <w:tcW w:w="3253"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675"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4</w:t>
            </w:r>
          </w:p>
        </w:tc>
        <w:tc>
          <w:tcPr>
            <w:tcW w:w="2393" w:type="dxa"/>
            <w:gridSpan w:val="2"/>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废胶</w:t>
            </w:r>
          </w:p>
        </w:tc>
        <w:tc>
          <w:tcPr>
            <w:tcW w:w="2145" w:type="dxa"/>
            <w:gridSpan w:val="2"/>
            <w:vMerge w:val="restart"/>
            <w:vAlign w:val="center"/>
          </w:tcPr>
          <w:p>
            <w:pPr>
              <w:jc w:val="center"/>
              <w:rPr>
                <w:color w:val="auto"/>
                <w:szCs w:val="21"/>
                <w:highlight w:val="none"/>
              </w:rPr>
            </w:pPr>
            <w:r>
              <w:rPr>
                <w:color w:val="auto"/>
                <w:szCs w:val="21"/>
                <w:highlight w:val="none"/>
              </w:rPr>
              <w:t>一般废物</w:t>
            </w:r>
          </w:p>
        </w:tc>
        <w:tc>
          <w:tcPr>
            <w:tcW w:w="764" w:type="dxa"/>
            <w:vAlign w:val="center"/>
          </w:tcPr>
          <w:p>
            <w:pPr>
              <w:jc w:val="center"/>
              <w:rPr>
                <w:rFonts w:hint="eastAsia"/>
                <w:color w:val="auto"/>
                <w:szCs w:val="21"/>
                <w:highlight w:val="none"/>
              </w:rPr>
            </w:pPr>
            <w:r>
              <w:rPr>
                <w:rFonts w:hint="eastAsia"/>
                <w:color w:val="auto"/>
                <w:szCs w:val="21"/>
                <w:highlight w:val="none"/>
                <w:lang w:val="en-US" w:eastAsia="zh-CN"/>
              </w:rPr>
              <w:t>0.2</w:t>
            </w:r>
          </w:p>
        </w:tc>
        <w:tc>
          <w:tcPr>
            <w:tcW w:w="3253" w:type="dxa"/>
            <w:vAlign w:val="center"/>
          </w:tcPr>
          <w:p>
            <w:pPr>
              <w:jc w:val="left"/>
              <w:rPr>
                <w:rFonts w:hint="eastAsia" w:eastAsia="宋体"/>
                <w:color w:val="auto"/>
                <w:szCs w:val="21"/>
                <w:highlight w:val="none"/>
                <w:lang w:val="en-US" w:eastAsia="zh-CN"/>
              </w:rPr>
            </w:pPr>
            <w:r>
              <w:rPr>
                <w:rFonts w:hint="eastAsia"/>
                <w:color w:val="auto"/>
                <w:szCs w:val="21"/>
                <w:highlight w:val="none"/>
                <w:lang w:val="en-US" w:eastAsia="zh-CN"/>
              </w:rPr>
              <w:t>外售综合利用</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675" w:type="dxa"/>
            <w:vAlign w:val="center"/>
          </w:tcPr>
          <w:p>
            <w:pPr>
              <w:jc w:val="center"/>
              <w:rPr>
                <w:rFonts w:hint="eastAsia" w:eastAsia="宋体"/>
                <w:color w:val="auto"/>
                <w:szCs w:val="21"/>
                <w:highlight w:val="none"/>
                <w:lang w:eastAsia="zh-CN"/>
              </w:rPr>
            </w:pPr>
            <w:r>
              <w:rPr>
                <w:rFonts w:hint="eastAsia"/>
                <w:color w:val="auto"/>
                <w:szCs w:val="21"/>
                <w:highlight w:val="none"/>
                <w:lang w:val="en-US" w:eastAsia="zh-CN"/>
              </w:rPr>
              <w:t>5</w:t>
            </w:r>
          </w:p>
        </w:tc>
        <w:tc>
          <w:tcPr>
            <w:tcW w:w="2393" w:type="dxa"/>
            <w:gridSpan w:val="2"/>
            <w:vAlign w:val="center"/>
          </w:tcPr>
          <w:p>
            <w:pPr>
              <w:jc w:val="center"/>
              <w:rPr>
                <w:color w:val="auto"/>
                <w:szCs w:val="21"/>
                <w:highlight w:val="none"/>
              </w:rPr>
            </w:pPr>
            <w:r>
              <w:rPr>
                <w:color w:val="auto"/>
                <w:szCs w:val="21"/>
                <w:highlight w:val="none"/>
              </w:rPr>
              <w:t>生活垃圾</w:t>
            </w:r>
          </w:p>
        </w:tc>
        <w:tc>
          <w:tcPr>
            <w:tcW w:w="2145" w:type="dxa"/>
            <w:gridSpan w:val="2"/>
            <w:vMerge w:val="continue"/>
            <w:vAlign w:val="center"/>
          </w:tcPr>
          <w:p>
            <w:pPr>
              <w:jc w:val="center"/>
              <w:rPr>
                <w:color w:val="auto"/>
                <w:szCs w:val="21"/>
                <w:highlight w:val="none"/>
              </w:rPr>
            </w:pPr>
          </w:p>
        </w:tc>
        <w:tc>
          <w:tcPr>
            <w:tcW w:w="764"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7.5</w:t>
            </w:r>
          </w:p>
        </w:tc>
        <w:tc>
          <w:tcPr>
            <w:tcW w:w="3253" w:type="dxa"/>
            <w:vAlign w:val="center"/>
          </w:tcPr>
          <w:p>
            <w:pPr>
              <w:jc w:val="left"/>
              <w:rPr>
                <w:color w:val="auto"/>
                <w:szCs w:val="21"/>
                <w:highlight w:val="none"/>
              </w:rPr>
            </w:pPr>
            <w:r>
              <w:rPr>
                <w:color w:val="auto"/>
                <w:szCs w:val="21"/>
                <w:highlight w:val="none"/>
              </w:rPr>
              <w:t>环卫部门收集处理</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5213" w:type="dxa"/>
            <w:gridSpan w:val="5"/>
            <w:vAlign w:val="center"/>
          </w:tcPr>
          <w:p>
            <w:pPr>
              <w:jc w:val="center"/>
              <w:rPr>
                <w:color w:val="auto"/>
                <w:szCs w:val="21"/>
                <w:highlight w:val="none"/>
              </w:rPr>
            </w:pPr>
            <w:r>
              <w:rPr>
                <w:color w:val="auto"/>
                <w:szCs w:val="21"/>
                <w:highlight w:val="none"/>
              </w:rPr>
              <w:t>合计</w:t>
            </w:r>
          </w:p>
        </w:tc>
        <w:tc>
          <w:tcPr>
            <w:tcW w:w="764"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7.7</w:t>
            </w:r>
          </w:p>
        </w:tc>
        <w:tc>
          <w:tcPr>
            <w:tcW w:w="3253" w:type="dxa"/>
            <w:vAlign w:val="center"/>
          </w:tcPr>
          <w:p>
            <w:pPr>
              <w:jc w:val="center"/>
              <w:rPr>
                <w:color w:val="auto"/>
                <w:szCs w:val="21"/>
                <w:highlight w:val="none"/>
              </w:rPr>
            </w:pPr>
            <w:r>
              <w:rPr>
                <w:color w:val="auto"/>
                <w:szCs w:val="21"/>
                <w:highlight w:val="none"/>
              </w:rPr>
              <w:t>/</w:t>
            </w:r>
          </w:p>
        </w:tc>
      </w:tr>
    </w:tbl>
    <w:p>
      <w:pPr>
        <w:adjustRightInd w:val="0"/>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采取以上措施后，本项目产生的固废可得到有效处置，对周围环境影响较小</w:t>
      </w:r>
      <w:r>
        <w:rPr>
          <w:rFonts w:hint="eastAsia" w:ascii="宋体" w:hAnsi="宋体"/>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2"/>
        <w:rPr>
          <w:rFonts w:eastAsia="黑体"/>
          <w:color w:val="auto"/>
          <w:sz w:val="24"/>
          <w:highlight w:val="none"/>
        </w:rPr>
      </w:pPr>
      <w:r>
        <w:rPr>
          <w:rFonts w:hint="eastAsia" w:eastAsia="黑体"/>
          <w:color w:val="auto"/>
          <w:sz w:val="24"/>
          <w:highlight w:val="none"/>
          <w:lang w:eastAsia="zh-CN"/>
        </w:rPr>
        <w:t>2.5</w:t>
      </w:r>
      <w:r>
        <w:rPr>
          <w:rFonts w:hint="eastAsia" w:eastAsia="黑体"/>
          <w:color w:val="auto"/>
          <w:sz w:val="24"/>
          <w:highlight w:val="none"/>
          <w:lang w:val="en-US" w:eastAsia="zh-CN"/>
        </w:rPr>
        <w:t>.5</w:t>
      </w:r>
      <w:r>
        <w:rPr>
          <w:rFonts w:eastAsia="黑体"/>
          <w:color w:val="auto"/>
          <w:sz w:val="24"/>
          <w:highlight w:val="none"/>
        </w:rPr>
        <w:t>全厂</w:t>
      </w:r>
      <w:r>
        <w:rPr>
          <w:rFonts w:hint="eastAsia" w:eastAsia="黑体"/>
          <w:color w:val="auto"/>
          <w:sz w:val="24"/>
          <w:highlight w:val="none"/>
        </w:rPr>
        <w:t>“三废”</w:t>
      </w:r>
      <w:r>
        <w:rPr>
          <w:rFonts w:eastAsia="黑体"/>
          <w:color w:val="auto"/>
          <w:sz w:val="24"/>
          <w:highlight w:val="none"/>
        </w:rPr>
        <w:t>污染物产排放汇总</w:t>
      </w:r>
    </w:p>
    <w:p>
      <w:pPr>
        <w:adjustRightInd w:val="0"/>
        <w:snapToGrid w:val="0"/>
        <w:spacing w:line="360" w:lineRule="auto"/>
        <w:ind w:firstLine="480" w:firstLineChars="200"/>
        <w:rPr>
          <w:rFonts w:eastAsiaTheme="minorEastAsia"/>
          <w:color w:val="auto"/>
          <w:sz w:val="24"/>
          <w:highlight w:val="none"/>
        </w:rPr>
      </w:pPr>
      <w:r>
        <w:rPr>
          <w:rFonts w:eastAsiaTheme="minorEastAsia"/>
          <w:color w:val="auto"/>
          <w:sz w:val="24"/>
          <w:highlight w:val="none"/>
        </w:rPr>
        <w:t>全厂</w:t>
      </w:r>
      <w:r>
        <w:rPr>
          <w:rFonts w:hint="eastAsia" w:eastAsiaTheme="minorEastAsia"/>
          <w:color w:val="auto"/>
          <w:sz w:val="24"/>
          <w:highlight w:val="none"/>
        </w:rPr>
        <w:t>“三废”污染物产排放情况见表</w:t>
      </w:r>
      <w:r>
        <w:rPr>
          <w:rFonts w:hint="eastAsia" w:eastAsiaTheme="minorEastAsia"/>
          <w:color w:val="auto"/>
          <w:sz w:val="24"/>
          <w:highlight w:val="none"/>
          <w:lang w:eastAsia="zh-CN"/>
        </w:rPr>
        <w:t>2.5</w:t>
      </w:r>
      <w:r>
        <w:rPr>
          <w:rFonts w:hint="eastAsia" w:eastAsiaTheme="minorEastAsia"/>
          <w:color w:val="auto"/>
          <w:sz w:val="24"/>
          <w:highlight w:val="none"/>
        </w:rPr>
        <w:t>-1</w:t>
      </w:r>
      <w:r>
        <w:rPr>
          <w:rFonts w:hint="eastAsia" w:eastAsiaTheme="minorEastAsia"/>
          <w:color w:val="auto"/>
          <w:sz w:val="24"/>
          <w:highlight w:val="none"/>
          <w:lang w:val="en-US" w:eastAsia="zh-CN"/>
        </w:rPr>
        <w:t>2</w:t>
      </w:r>
      <w:r>
        <w:rPr>
          <w:rFonts w:hint="eastAsia" w:eastAsiaTheme="minorEastAsia"/>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eastAsia="黑体"/>
          <w:color w:val="auto"/>
          <w:sz w:val="24"/>
          <w:szCs w:val="24"/>
          <w:highlight w:val="none"/>
        </w:rPr>
      </w:pPr>
      <w:r>
        <w:rPr>
          <w:rFonts w:eastAsia="黑体"/>
          <w:color w:val="auto"/>
          <w:sz w:val="24"/>
          <w:szCs w:val="24"/>
          <w:highlight w:val="none"/>
        </w:rPr>
        <w:t>表</w:t>
      </w:r>
      <w:r>
        <w:rPr>
          <w:rFonts w:hint="eastAsia" w:eastAsia="黑体"/>
          <w:color w:val="auto"/>
          <w:sz w:val="24"/>
          <w:szCs w:val="24"/>
          <w:highlight w:val="none"/>
          <w:lang w:eastAsia="zh-CN"/>
        </w:rPr>
        <w:t>2.5</w:t>
      </w:r>
      <w:r>
        <w:rPr>
          <w:rFonts w:eastAsia="黑体"/>
          <w:color w:val="auto"/>
          <w:sz w:val="24"/>
          <w:szCs w:val="24"/>
          <w:highlight w:val="none"/>
        </w:rPr>
        <w:t>-</w:t>
      </w:r>
      <w:r>
        <w:rPr>
          <w:rFonts w:hint="eastAsia" w:eastAsia="黑体"/>
          <w:color w:val="auto"/>
          <w:sz w:val="24"/>
          <w:szCs w:val="24"/>
          <w:highlight w:val="none"/>
        </w:rPr>
        <w:t>1</w:t>
      </w:r>
      <w:r>
        <w:rPr>
          <w:rFonts w:hint="eastAsia" w:eastAsia="黑体"/>
          <w:color w:val="auto"/>
          <w:sz w:val="24"/>
          <w:szCs w:val="24"/>
          <w:highlight w:val="none"/>
          <w:lang w:val="en-US" w:eastAsia="zh-CN"/>
        </w:rPr>
        <w:t xml:space="preserve">2 </w:t>
      </w:r>
      <w:r>
        <w:rPr>
          <w:rFonts w:eastAsia="黑体"/>
          <w:color w:val="auto"/>
          <w:sz w:val="24"/>
          <w:szCs w:val="24"/>
          <w:highlight w:val="none"/>
        </w:rPr>
        <w:t xml:space="preserve"> 全厂“三废”污染物产排放一览表</w:t>
      </w:r>
      <w:r>
        <w:rPr>
          <w:rFonts w:hint="eastAsia" w:eastAsia="黑体"/>
          <w:color w:val="auto"/>
          <w:sz w:val="24"/>
          <w:szCs w:val="24"/>
          <w:highlight w:val="none"/>
        </w:rPr>
        <w:t xml:space="preserve">      </w:t>
      </w:r>
      <w:r>
        <w:rPr>
          <w:rFonts w:eastAsia="黑体"/>
          <w:color w:val="auto"/>
          <w:sz w:val="24"/>
          <w:szCs w:val="24"/>
          <w:highlight w:val="none"/>
        </w:rPr>
        <w:t>单位：t/a</w:t>
      </w:r>
    </w:p>
    <w:tbl>
      <w:tblPr>
        <w:tblStyle w:val="36"/>
        <w:tblW w:w="9287" w:type="dxa"/>
        <w:jc w:val="center"/>
        <w:tblBorders>
          <w:top w:val="single" w:color="000000" w:sz="8" w:space="0"/>
          <w:left w:val="none" w:color="auto" w:sz="0" w:space="0"/>
          <w:bottom w:val="single" w:color="000000" w:sz="8"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336"/>
        <w:gridCol w:w="1780"/>
        <w:gridCol w:w="2052"/>
        <w:gridCol w:w="2052"/>
        <w:gridCol w:w="2067"/>
      </w:tblGrid>
      <w:tr>
        <w:tblPrEx>
          <w:tblBorders>
            <w:top w:val="single" w:color="000000" w:sz="8" w:space="0"/>
            <w:left w:val="none" w:color="auto" w:sz="0" w:space="0"/>
            <w:bottom w:val="single" w:color="000000" w:sz="8"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jc w:val="center"/>
        </w:trPr>
        <w:tc>
          <w:tcPr>
            <w:tcW w:w="1336" w:type="dxa"/>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类别</w:t>
            </w:r>
          </w:p>
        </w:tc>
        <w:tc>
          <w:tcPr>
            <w:tcW w:w="1780" w:type="dxa"/>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污染名称</w:t>
            </w:r>
          </w:p>
        </w:tc>
        <w:tc>
          <w:tcPr>
            <w:tcW w:w="2052" w:type="dxa"/>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产生量</w:t>
            </w:r>
          </w:p>
        </w:tc>
        <w:tc>
          <w:tcPr>
            <w:tcW w:w="2052" w:type="dxa"/>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消减量</w:t>
            </w:r>
          </w:p>
        </w:tc>
        <w:tc>
          <w:tcPr>
            <w:tcW w:w="2067" w:type="dxa"/>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排放量</w:t>
            </w:r>
          </w:p>
        </w:tc>
      </w:tr>
      <w:tr>
        <w:tblPrEx>
          <w:tblBorders>
            <w:top w:val="single" w:color="000000" w:sz="8" w:space="0"/>
            <w:left w:val="none" w:color="auto" w:sz="0" w:space="0"/>
            <w:bottom w:val="single" w:color="000000" w:sz="8"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jc w:val="center"/>
        </w:trPr>
        <w:tc>
          <w:tcPr>
            <w:tcW w:w="1336" w:type="dxa"/>
            <w:vMerge w:val="restart"/>
            <w:vAlign w:val="center"/>
          </w:tcPr>
          <w:p>
            <w:pPr>
              <w:pStyle w:val="44"/>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废水</w:t>
            </w:r>
          </w:p>
        </w:tc>
        <w:tc>
          <w:tcPr>
            <w:tcW w:w="1780" w:type="dxa"/>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废水量(万m</w:t>
            </w:r>
            <w:r>
              <w:rPr>
                <w:rFonts w:hint="default" w:ascii="Times New Roman" w:hAnsi="Times New Roman" w:cs="Times New Roman"/>
                <w:color w:val="auto"/>
                <w:szCs w:val="21"/>
                <w:highlight w:val="none"/>
                <w:vertAlign w:val="superscript"/>
              </w:rPr>
              <w:t>3</w:t>
            </w:r>
            <w:r>
              <w:rPr>
                <w:rFonts w:hint="default" w:ascii="Times New Roman" w:hAnsi="Times New Roman" w:cs="Times New Roman"/>
                <w:color w:val="auto"/>
                <w:szCs w:val="21"/>
                <w:highlight w:val="none"/>
              </w:rPr>
              <w:t>/a)</w:t>
            </w:r>
          </w:p>
        </w:tc>
        <w:tc>
          <w:tcPr>
            <w:tcW w:w="2052" w:type="dxa"/>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1.20735</w:t>
            </w:r>
          </w:p>
        </w:tc>
        <w:tc>
          <w:tcPr>
            <w:tcW w:w="2052" w:type="dxa"/>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w:t>
            </w:r>
          </w:p>
        </w:tc>
        <w:tc>
          <w:tcPr>
            <w:tcW w:w="2067" w:type="dxa"/>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1.2073</w:t>
            </w:r>
            <w:r>
              <w:rPr>
                <w:rFonts w:hint="default" w:ascii="Times New Roman" w:hAnsi="Times New Roman" w:cs="Times New Roman"/>
                <w:color w:val="auto"/>
                <w:szCs w:val="21"/>
                <w:highlight w:val="none"/>
                <w:lang w:val="en-US" w:eastAsia="zh-CN"/>
              </w:rPr>
              <w:t>5</w:t>
            </w:r>
          </w:p>
        </w:tc>
      </w:tr>
      <w:tr>
        <w:tblPrEx>
          <w:tblBorders>
            <w:top w:val="single" w:color="000000" w:sz="8" w:space="0"/>
            <w:left w:val="none" w:color="auto" w:sz="0" w:space="0"/>
            <w:bottom w:val="single" w:color="000000" w:sz="8"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jc w:val="center"/>
        </w:trPr>
        <w:tc>
          <w:tcPr>
            <w:tcW w:w="1336" w:type="dxa"/>
            <w:vMerge w:val="continue"/>
            <w:vAlign w:val="center"/>
          </w:tcPr>
          <w:p>
            <w:pPr>
              <w:pStyle w:val="44"/>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color w:val="auto"/>
                <w:sz w:val="21"/>
                <w:szCs w:val="21"/>
                <w:highlight w:val="none"/>
              </w:rPr>
            </w:pPr>
          </w:p>
        </w:tc>
        <w:tc>
          <w:tcPr>
            <w:tcW w:w="1780" w:type="dxa"/>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pH</w:t>
            </w:r>
          </w:p>
        </w:tc>
        <w:tc>
          <w:tcPr>
            <w:tcW w:w="2052" w:type="dxa"/>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2052" w:type="dxa"/>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2067" w:type="dxa"/>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r>
      <w:tr>
        <w:tblPrEx>
          <w:tblBorders>
            <w:top w:val="single" w:color="000000" w:sz="8" w:space="0"/>
            <w:left w:val="none" w:color="auto" w:sz="0" w:space="0"/>
            <w:bottom w:val="single" w:color="000000" w:sz="8"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jc w:val="center"/>
        </w:trPr>
        <w:tc>
          <w:tcPr>
            <w:tcW w:w="1336" w:type="dxa"/>
            <w:vMerge w:val="continue"/>
            <w:vAlign w:val="center"/>
          </w:tcPr>
          <w:p>
            <w:pPr>
              <w:pStyle w:val="44"/>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color w:val="auto"/>
                <w:sz w:val="21"/>
                <w:szCs w:val="21"/>
                <w:highlight w:val="none"/>
              </w:rPr>
            </w:pPr>
          </w:p>
        </w:tc>
        <w:tc>
          <w:tcPr>
            <w:tcW w:w="1780" w:type="dxa"/>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COD</w:t>
            </w:r>
            <w:r>
              <w:rPr>
                <w:rFonts w:hint="default" w:ascii="Times New Roman" w:hAnsi="Times New Roman" w:cs="Times New Roman"/>
                <w:color w:val="auto"/>
                <w:szCs w:val="21"/>
                <w:highlight w:val="none"/>
                <w:vertAlign w:val="subscript"/>
              </w:rPr>
              <w:t>cr</w:t>
            </w:r>
            <w:r>
              <w:rPr>
                <w:rFonts w:hint="default" w:ascii="Times New Roman" w:hAnsi="Times New Roman" w:cs="Times New Roman"/>
                <w:color w:val="auto"/>
                <w:szCs w:val="21"/>
                <w:highlight w:val="none"/>
              </w:rPr>
              <w:t>(t/a)</w:t>
            </w:r>
          </w:p>
        </w:tc>
        <w:tc>
          <w:tcPr>
            <w:tcW w:w="2052" w:type="dxa"/>
            <w:vAlign w:val="bottom"/>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4.56</w:t>
            </w:r>
          </w:p>
        </w:tc>
        <w:tc>
          <w:tcPr>
            <w:tcW w:w="2052" w:type="dxa"/>
            <w:vAlign w:val="bottom"/>
          </w:tcPr>
          <w:p>
            <w:pPr>
              <w:keepNext w:val="0"/>
              <w:keepLines w:val="0"/>
              <w:pageBreakBefore w:val="0"/>
              <w:kinsoku/>
              <w:wordWrap/>
              <w:overflowPunct/>
              <w:topLinePunct w:val="0"/>
              <w:bidi w:val="0"/>
              <w:adjustRightInd w:val="0"/>
              <w:snapToGrid w:val="0"/>
              <w:spacing w:line="240" w:lineRule="auto"/>
              <w:jc w:val="center"/>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2.49</w:t>
            </w:r>
          </w:p>
        </w:tc>
        <w:tc>
          <w:tcPr>
            <w:tcW w:w="2067" w:type="dxa"/>
            <w:vAlign w:val="bottom"/>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2.07</w:t>
            </w:r>
          </w:p>
        </w:tc>
      </w:tr>
      <w:tr>
        <w:tblPrEx>
          <w:tblBorders>
            <w:top w:val="single" w:color="000000" w:sz="8" w:space="0"/>
            <w:left w:val="none" w:color="auto" w:sz="0" w:space="0"/>
            <w:bottom w:val="single" w:color="000000" w:sz="8"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jc w:val="center"/>
        </w:trPr>
        <w:tc>
          <w:tcPr>
            <w:tcW w:w="1336" w:type="dxa"/>
            <w:vMerge w:val="continue"/>
            <w:vAlign w:val="center"/>
          </w:tcPr>
          <w:p>
            <w:pPr>
              <w:pStyle w:val="44"/>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color w:val="auto"/>
                <w:sz w:val="21"/>
                <w:szCs w:val="21"/>
                <w:highlight w:val="none"/>
              </w:rPr>
            </w:pPr>
          </w:p>
        </w:tc>
        <w:tc>
          <w:tcPr>
            <w:tcW w:w="1780" w:type="dxa"/>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BOD</w:t>
            </w:r>
            <w:r>
              <w:rPr>
                <w:rFonts w:hint="eastAsia" w:cs="Times New Roman"/>
                <w:color w:val="auto"/>
                <w:szCs w:val="21"/>
                <w:highlight w:val="none"/>
                <w:vertAlign w:val="subscript"/>
                <w:lang w:val="en-US" w:eastAsia="zh-CN"/>
              </w:rPr>
              <w:t>5</w:t>
            </w:r>
            <w:r>
              <w:rPr>
                <w:rFonts w:hint="default" w:ascii="Times New Roman" w:hAnsi="Times New Roman" w:cs="Times New Roman"/>
                <w:color w:val="auto"/>
                <w:szCs w:val="21"/>
                <w:highlight w:val="none"/>
              </w:rPr>
              <w:t>(t/a)</w:t>
            </w:r>
          </w:p>
        </w:tc>
        <w:tc>
          <w:tcPr>
            <w:tcW w:w="2052" w:type="dxa"/>
            <w:vAlign w:val="bottom"/>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1.12</w:t>
            </w:r>
          </w:p>
        </w:tc>
        <w:tc>
          <w:tcPr>
            <w:tcW w:w="2052" w:type="dxa"/>
            <w:vAlign w:val="bottom"/>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0.</w:t>
            </w:r>
            <w:r>
              <w:rPr>
                <w:rFonts w:hint="eastAsia" w:cs="Times New Roman"/>
                <w:color w:val="auto"/>
                <w:szCs w:val="21"/>
                <w:highlight w:val="none"/>
                <w:lang w:val="en-US" w:eastAsia="zh-CN"/>
              </w:rPr>
              <w:t>55</w:t>
            </w:r>
          </w:p>
        </w:tc>
        <w:tc>
          <w:tcPr>
            <w:tcW w:w="2067" w:type="dxa"/>
            <w:vAlign w:val="bottom"/>
          </w:tcPr>
          <w:p>
            <w:pPr>
              <w:keepNext w:val="0"/>
              <w:keepLines w:val="0"/>
              <w:pageBreakBefore w:val="0"/>
              <w:kinsoku/>
              <w:wordWrap/>
              <w:overflowPunct/>
              <w:topLinePunct w:val="0"/>
              <w:bidi w:val="0"/>
              <w:adjustRightInd w:val="0"/>
              <w:snapToGrid w:val="0"/>
              <w:spacing w:line="240" w:lineRule="auto"/>
              <w:jc w:val="center"/>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0.57</w:t>
            </w:r>
          </w:p>
        </w:tc>
      </w:tr>
      <w:tr>
        <w:tblPrEx>
          <w:tblBorders>
            <w:top w:val="single" w:color="000000" w:sz="8" w:space="0"/>
            <w:left w:val="none" w:color="auto" w:sz="0" w:space="0"/>
            <w:bottom w:val="single" w:color="000000" w:sz="8" w:space="0"/>
            <w:right w:val="none" w:color="auto" w:sz="0" w:space="0"/>
            <w:insideH w:val="dotted" w:color="auto" w:sz="4" w:space="0"/>
            <w:insideV w:val="dotted" w:color="auto" w:sz="4" w:space="0"/>
          </w:tblBorders>
        </w:tblPrEx>
        <w:trPr>
          <w:cantSplit/>
          <w:trHeight w:val="340" w:hRule="atLeast"/>
          <w:jc w:val="center"/>
        </w:trPr>
        <w:tc>
          <w:tcPr>
            <w:tcW w:w="1336" w:type="dxa"/>
            <w:vMerge w:val="continue"/>
            <w:vAlign w:val="center"/>
          </w:tcPr>
          <w:p>
            <w:pPr>
              <w:pStyle w:val="44"/>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color w:val="auto"/>
                <w:sz w:val="21"/>
                <w:szCs w:val="21"/>
                <w:highlight w:val="none"/>
              </w:rPr>
            </w:pPr>
          </w:p>
        </w:tc>
        <w:tc>
          <w:tcPr>
            <w:tcW w:w="1780" w:type="dxa"/>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氨氮</w:t>
            </w:r>
            <w:r>
              <w:rPr>
                <w:rFonts w:hint="default" w:ascii="Times New Roman" w:hAnsi="Times New Roman" w:cs="Times New Roman"/>
                <w:color w:val="auto"/>
                <w:szCs w:val="21"/>
                <w:highlight w:val="none"/>
              </w:rPr>
              <w:t>(t/a)</w:t>
            </w:r>
          </w:p>
        </w:tc>
        <w:tc>
          <w:tcPr>
            <w:tcW w:w="2052" w:type="dxa"/>
            <w:vAlign w:val="bottom"/>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0.2</w:t>
            </w:r>
            <w:r>
              <w:rPr>
                <w:rFonts w:hint="eastAsia" w:cs="Times New Roman"/>
                <w:color w:val="auto"/>
                <w:szCs w:val="21"/>
                <w:highlight w:val="none"/>
                <w:lang w:val="en-US" w:eastAsia="zh-CN"/>
              </w:rPr>
              <w:t>24</w:t>
            </w:r>
          </w:p>
        </w:tc>
        <w:tc>
          <w:tcPr>
            <w:tcW w:w="2052" w:type="dxa"/>
            <w:vAlign w:val="bottom"/>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0.0</w:t>
            </w:r>
            <w:r>
              <w:rPr>
                <w:rFonts w:hint="eastAsia" w:cs="Times New Roman"/>
                <w:color w:val="auto"/>
                <w:szCs w:val="21"/>
                <w:highlight w:val="none"/>
                <w:lang w:val="en-US" w:eastAsia="zh-CN"/>
              </w:rPr>
              <w:t>04</w:t>
            </w:r>
          </w:p>
        </w:tc>
        <w:tc>
          <w:tcPr>
            <w:tcW w:w="2067" w:type="dxa"/>
            <w:vAlign w:val="bottom"/>
          </w:tcPr>
          <w:p>
            <w:pPr>
              <w:keepNext w:val="0"/>
              <w:keepLines w:val="0"/>
              <w:pageBreakBefore w:val="0"/>
              <w:kinsoku/>
              <w:wordWrap/>
              <w:overflowPunct/>
              <w:topLinePunct w:val="0"/>
              <w:bidi w:val="0"/>
              <w:adjustRightInd w:val="0"/>
              <w:snapToGrid w:val="0"/>
              <w:spacing w:line="240" w:lineRule="auto"/>
              <w:jc w:val="center"/>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0.22</w:t>
            </w:r>
          </w:p>
        </w:tc>
      </w:tr>
      <w:tr>
        <w:tblPrEx>
          <w:tblBorders>
            <w:top w:val="single" w:color="000000" w:sz="8" w:space="0"/>
            <w:left w:val="none" w:color="auto" w:sz="0" w:space="0"/>
            <w:bottom w:val="single" w:color="000000" w:sz="8"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jc w:val="center"/>
        </w:trPr>
        <w:tc>
          <w:tcPr>
            <w:tcW w:w="1336" w:type="dxa"/>
            <w:vMerge w:val="continue"/>
            <w:vAlign w:val="center"/>
          </w:tcPr>
          <w:p>
            <w:pPr>
              <w:pStyle w:val="44"/>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color w:val="auto"/>
                <w:sz w:val="21"/>
                <w:szCs w:val="21"/>
                <w:highlight w:val="none"/>
              </w:rPr>
            </w:pPr>
          </w:p>
        </w:tc>
        <w:tc>
          <w:tcPr>
            <w:tcW w:w="1780" w:type="dxa"/>
            <w:vAlign w:val="center"/>
          </w:tcPr>
          <w:p>
            <w:pPr>
              <w:keepNext w:val="0"/>
              <w:keepLines w:val="0"/>
              <w:pageBreakBefore w:val="0"/>
              <w:kinsoku/>
              <w:wordWrap/>
              <w:overflowPunct/>
              <w:topLinePunct w:val="0"/>
              <w:bidi w:val="0"/>
              <w:adjustRightInd w:val="0"/>
              <w:snapToGrid w:val="0"/>
              <w:spacing w:line="240" w:lineRule="auto"/>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总氮</w:t>
            </w:r>
            <w:r>
              <w:rPr>
                <w:rFonts w:hint="default" w:ascii="Times New Roman" w:hAnsi="Times New Roman" w:cs="Times New Roman"/>
                <w:color w:val="auto"/>
                <w:szCs w:val="21"/>
                <w:highlight w:val="none"/>
              </w:rPr>
              <w:t>(t/a)</w:t>
            </w:r>
          </w:p>
        </w:tc>
        <w:tc>
          <w:tcPr>
            <w:tcW w:w="2052" w:type="dxa"/>
            <w:vAlign w:val="bottom"/>
          </w:tcPr>
          <w:p>
            <w:pPr>
              <w:keepNext w:val="0"/>
              <w:keepLines w:val="0"/>
              <w:pageBreakBefore w:val="0"/>
              <w:kinsoku/>
              <w:wordWrap/>
              <w:overflowPunct/>
              <w:topLinePunct w:val="0"/>
              <w:bidi w:val="0"/>
              <w:adjustRightInd w:val="0"/>
              <w:snapToGrid w:val="0"/>
              <w:spacing w:line="240" w:lineRule="auto"/>
              <w:jc w:val="center"/>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0.67</w:t>
            </w:r>
          </w:p>
        </w:tc>
        <w:tc>
          <w:tcPr>
            <w:tcW w:w="2052" w:type="dxa"/>
            <w:vAlign w:val="bottom"/>
          </w:tcPr>
          <w:p>
            <w:pPr>
              <w:keepNext w:val="0"/>
              <w:keepLines w:val="0"/>
              <w:pageBreakBefore w:val="0"/>
              <w:kinsoku/>
              <w:wordWrap/>
              <w:overflowPunct/>
              <w:topLinePunct w:val="0"/>
              <w:bidi w:val="0"/>
              <w:adjustRightInd w:val="0"/>
              <w:snapToGrid w:val="0"/>
              <w:spacing w:line="240" w:lineRule="auto"/>
              <w:jc w:val="center"/>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0.23</w:t>
            </w:r>
          </w:p>
        </w:tc>
        <w:tc>
          <w:tcPr>
            <w:tcW w:w="2067" w:type="dxa"/>
            <w:vAlign w:val="bottom"/>
          </w:tcPr>
          <w:p>
            <w:pPr>
              <w:keepNext w:val="0"/>
              <w:keepLines w:val="0"/>
              <w:pageBreakBefore w:val="0"/>
              <w:kinsoku/>
              <w:wordWrap/>
              <w:overflowPunct/>
              <w:topLinePunct w:val="0"/>
              <w:bidi w:val="0"/>
              <w:adjustRightInd w:val="0"/>
              <w:snapToGrid w:val="0"/>
              <w:spacing w:line="240" w:lineRule="auto"/>
              <w:jc w:val="center"/>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0.44</w:t>
            </w:r>
          </w:p>
        </w:tc>
      </w:tr>
      <w:tr>
        <w:tblPrEx>
          <w:tblBorders>
            <w:top w:val="single" w:color="000000" w:sz="8" w:space="0"/>
            <w:left w:val="none" w:color="auto" w:sz="0" w:space="0"/>
            <w:bottom w:val="single" w:color="000000" w:sz="8"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jc w:val="center"/>
        </w:trPr>
        <w:tc>
          <w:tcPr>
            <w:tcW w:w="1336" w:type="dxa"/>
            <w:vMerge w:val="continue"/>
            <w:vAlign w:val="center"/>
          </w:tcPr>
          <w:p>
            <w:pPr>
              <w:pStyle w:val="44"/>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color w:val="auto"/>
                <w:sz w:val="21"/>
                <w:szCs w:val="21"/>
                <w:highlight w:val="none"/>
              </w:rPr>
            </w:pPr>
          </w:p>
        </w:tc>
        <w:tc>
          <w:tcPr>
            <w:tcW w:w="1780" w:type="dxa"/>
            <w:vAlign w:val="center"/>
          </w:tcPr>
          <w:p>
            <w:pPr>
              <w:keepNext w:val="0"/>
              <w:keepLines w:val="0"/>
              <w:pageBreakBefore w:val="0"/>
              <w:kinsoku/>
              <w:wordWrap/>
              <w:overflowPunct/>
              <w:topLinePunct w:val="0"/>
              <w:bidi w:val="0"/>
              <w:adjustRightInd w:val="0"/>
              <w:snapToGrid w:val="0"/>
              <w:spacing w:line="240" w:lineRule="auto"/>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总磷</w:t>
            </w:r>
            <w:r>
              <w:rPr>
                <w:rFonts w:hint="default" w:ascii="Times New Roman" w:hAnsi="Times New Roman" w:cs="Times New Roman"/>
                <w:color w:val="auto"/>
                <w:szCs w:val="21"/>
                <w:highlight w:val="none"/>
              </w:rPr>
              <w:t>(t/a)</w:t>
            </w:r>
          </w:p>
        </w:tc>
        <w:tc>
          <w:tcPr>
            <w:tcW w:w="2052" w:type="dxa"/>
            <w:vAlign w:val="bottom"/>
          </w:tcPr>
          <w:p>
            <w:pPr>
              <w:keepNext w:val="0"/>
              <w:keepLines w:val="0"/>
              <w:pageBreakBefore w:val="0"/>
              <w:kinsoku/>
              <w:wordWrap/>
              <w:overflowPunct/>
              <w:topLinePunct w:val="0"/>
              <w:bidi w:val="0"/>
              <w:adjustRightInd w:val="0"/>
              <w:snapToGrid w:val="0"/>
              <w:spacing w:line="240" w:lineRule="auto"/>
              <w:jc w:val="center"/>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0.077</w:t>
            </w:r>
          </w:p>
        </w:tc>
        <w:tc>
          <w:tcPr>
            <w:tcW w:w="2052" w:type="dxa"/>
            <w:vAlign w:val="bottom"/>
          </w:tcPr>
          <w:p>
            <w:pPr>
              <w:keepNext w:val="0"/>
              <w:keepLines w:val="0"/>
              <w:pageBreakBefore w:val="0"/>
              <w:kinsoku/>
              <w:wordWrap/>
              <w:overflowPunct/>
              <w:topLinePunct w:val="0"/>
              <w:bidi w:val="0"/>
              <w:adjustRightInd w:val="0"/>
              <w:snapToGrid w:val="0"/>
              <w:spacing w:line="240" w:lineRule="auto"/>
              <w:jc w:val="center"/>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0.034</w:t>
            </w:r>
          </w:p>
        </w:tc>
        <w:tc>
          <w:tcPr>
            <w:tcW w:w="2067" w:type="dxa"/>
            <w:vAlign w:val="bottom"/>
          </w:tcPr>
          <w:p>
            <w:pPr>
              <w:keepNext w:val="0"/>
              <w:keepLines w:val="0"/>
              <w:pageBreakBefore w:val="0"/>
              <w:kinsoku/>
              <w:wordWrap/>
              <w:overflowPunct/>
              <w:topLinePunct w:val="0"/>
              <w:bidi w:val="0"/>
              <w:adjustRightInd w:val="0"/>
              <w:snapToGrid w:val="0"/>
              <w:spacing w:line="240" w:lineRule="auto"/>
              <w:jc w:val="center"/>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0.043</w:t>
            </w:r>
          </w:p>
        </w:tc>
      </w:tr>
      <w:tr>
        <w:tblPrEx>
          <w:tblBorders>
            <w:top w:val="single" w:color="000000" w:sz="8" w:space="0"/>
            <w:left w:val="none" w:color="auto" w:sz="0" w:space="0"/>
            <w:bottom w:val="single" w:color="000000" w:sz="8"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jc w:val="center"/>
        </w:trPr>
        <w:tc>
          <w:tcPr>
            <w:tcW w:w="1336" w:type="dxa"/>
            <w:vMerge w:val="continue"/>
            <w:vAlign w:val="center"/>
          </w:tcPr>
          <w:p>
            <w:pPr>
              <w:pStyle w:val="44"/>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color w:val="auto"/>
                <w:sz w:val="21"/>
                <w:szCs w:val="21"/>
                <w:highlight w:val="none"/>
              </w:rPr>
            </w:pPr>
          </w:p>
        </w:tc>
        <w:tc>
          <w:tcPr>
            <w:tcW w:w="1780" w:type="dxa"/>
            <w:vAlign w:val="center"/>
          </w:tcPr>
          <w:p>
            <w:pPr>
              <w:keepNext w:val="0"/>
              <w:keepLines w:val="0"/>
              <w:pageBreakBefore w:val="0"/>
              <w:kinsoku/>
              <w:wordWrap/>
              <w:overflowPunct/>
              <w:topLinePunct w:val="0"/>
              <w:bidi w:val="0"/>
              <w:adjustRightInd w:val="0"/>
              <w:snapToGrid w:val="0"/>
              <w:spacing w:line="240" w:lineRule="auto"/>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SS</w:t>
            </w:r>
            <w:r>
              <w:rPr>
                <w:rFonts w:hint="default" w:ascii="Times New Roman" w:hAnsi="Times New Roman" w:cs="Times New Roman"/>
                <w:color w:val="auto"/>
                <w:szCs w:val="21"/>
                <w:highlight w:val="none"/>
              </w:rPr>
              <w:t>(t/a)</w:t>
            </w:r>
          </w:p>
        </w:tc>
        <w:tc>
          <w:tcPr>
            <w:tcW w:w="2052" w:type="dxa"/>
            <w:vAlign w:val="bottom"/>
          </w:tcPr>
          <w:p>
            <w:pPr>
              <w:keepNext w:val="0"/>
              <w:keepLines w:val="0"/>
              <w:pageBreakBefore w:val="0"/>
              <w:kinsoku/>
              <w:wordWrap/>
              <w:overflowPunct/>
              <w:topLinePunct w:val="0"/>
              <w:bidi w:val="0"/>
              <w:adjustRightInd w:val="0"/>
              <w:snapToGrid w:val="0"/>
              <w:spacing w:line="240" w:lineRule="auto"/>
              <w:jc w:val="center"/>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3.85</w:t>
            </w:r>
          </w:p>
        </w:tc>
        <w:tc>
          <w:tcPr>
            <w:tcW w:w="2052" w:type="dxa"/>
            <w:vAlign w:val="bottom"/>
          </w:tcPr>
          <w:p>
            <w:pPr>
              <w:keepNext w:val="0"/>
              <w:keepLines w:val="0"/>
              <w:pageBreakBefore w:val="0"/>
              <w:kinsoku/>
              <w:wordWrap/>
              <w:overflowPunct/>
              <w:topLinePunct w:val="0"/>
              <w:bidi w:val="0"/>
              <w:adjustRightInd w:val="0"/>
              <w:snapToGrid w:val="0"/>
              <w:spacing w:line="240" w:lineRule="auto"/>
              <w:jc w:val="center"/>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2.21</w:t>
            </w:r>
          </w:p>
        </w:tc>
        <w:tc>
          <w:tcPr>
            <w:tcW w:w="2067" w:type="dxa"/>
            <w:vAlign w:val="bottom"/>
          </w:tcPr>
          <w:p>
            <w:pPr>
              <w:keepNext w:val="0"/>
              <w:keepLines w:val="0"/>
              <w:pageBreakBefore w:val="0"/>
              <w:kinsoku/>
              <w:wordWrap/>
              <w:overflowPunct/>
              <w:topLinePunct w:val="0"/>
              <w:bidi w:val="0"/>
              <w:adjustRightInd w:val="0"/>
              <w:snapToGrid w:val="0"/>
              <w:spacing w:line="240" w:lineRule="auto"/>
              <w:jc w:val="center"/>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1.64</w:t>
            </w:r>
          </w:p>
        </w:tc>
      </w:tr>
      <w:tr>
        <w:tblPrEx>
          <w:tblBorders>
            <w:top w:val="single" w:color="000000" w:sz="8" w:space="0"/>
            <w:left w:val="none" w:color="auto" w:sz="0" w:space="0"/>
            <w:bottom w:val="single" w:color="000000" w:sz="8"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jc w:val="center"/>
        </w:trPr>
        <w:tc>
          <w:tcPr>
            <w:tcW w:w="1336" w:type="dxa"/>
            <w:vMerge w:val="continue"/>
            <w:vAlign w:val="center"/>
          </w:tcPr>
          <w:p>
            <w:pPr>
              <w:pStyle w:val="44"/>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color w:val="auto"/>
                <w:sz w:val="21"/>
                <w:szCs w:val="21"/>
                <w:highlight w:val="none"/>
              </w:rPr>
            </w:pPr>
          </w:p>
        </w:tc>
        <w:tc>
          <w:tcPr>
            <w:tcW w:w="1780" w:type="dxa"/>
            <w:vAlign w:val="center"/>
          </w:tcPr>
          <w:p>
            <w:pPr>
              <w:keepNext w:val="0"/>
              <w:keepLines w:val="0"/>
              <w:pageBreakBefore w:val="0"/>
              <w:kinsoku/>
              <w:wordWrap/>
              <w:overflowPunct/>
              <w:topLinePunct w:val="0"/>
              <w:bidi w:val="0"/>
              <w:adjustRightInd w:val="0"/>
              <w:snapToGrid w:val="0"/>
              <w:spacing w:line="240" w:lineRule="auto"/>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石油类</w:t>
            </w:r>
            <w:r>
              <w:rPr>
                <w:rFonts w:hint="default" w:ascii="Times New Roman" w:hAnsi="Times New Roman" w:cs="Times New Roman"/>
                <w:color w:val="auto"/>
                <w:szCs w:val="21"/>
                <w:highlight w:val="none"/>
              </w:rPr>
              <w:t>(t/a)</w:t>
            </w:r>
          </w:p>
        </w:tc>
        <w:tc>
          <w:tcPr>
            <w:tcW w:w="2052" w:type="dxa"/>
            <w:vAlign w:val="bottom"/>
          </w:tcPr>
          <w:p>
            <w:pPr>
              <w:keepNext w:val="0"/>
              <w:keepLines w:val="0"/>
              <w:pageBreakBefore w:val="0"/>
              <w:kinsoku/>
              <w:wordWrap/>
              <w:overflowPunct/>
              <w:topLinePunct w:val="0"/>
              <w:bidi w:val="0"/>
              <w:adjustRightInd w:val="0"/>
              <w:snapToGrid w:val="0"/>
              <w:spacing w:line="240" w:lineRule="auto"/>
              <w:jc w:val="center"/>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0.14</w:t>
            </w:r>
          </w:p>
        </w:tc>
        <w:tc>
          <w:tcPr>
            <w:tcW w:w="2052" w:type="dxa"/>
            <w:vAlign w:val="bottom"/>
          </w:tcPr>
          <w:p>
            <w:pPr>
              <w:keepNext w:val="0"/>
              <w:keepLines w:val="0"/>
              <w:pageBreakBefore w:val="0"/>
              <w:kinsoku/>
              <w:wordWrap/>
              <w:overflowPunct/>
              <w:topLinePunct w:val="0"/>
              <w:bidi w:val="0"/>
              <w:adjustRightInd w:val="0"/>
              <w:snapToGrid w:val="0"/>
              <w:spacing w:line="240" w:lineRule="auto"/>
              <w:jc w:val="center"/>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0.075</w:t>
            </w:r>
          </w:p>
        </w:tc>
        <w:tc>
          <w:tcPr>
            <w:tcW w:w="2067" w:type="dxa"/>
            <w:vAlign w:val="bottom"/>
          </w:tcPr>
          <w:p>
            <w:pPr>
              <w:keepNext w:val="0"/>
              <w:keepLines w:val="0"/>
              <w:pageBreakBefore w:val="0"/>
              <w:kinsoku/>
              <w:wordWrap/>
              <w:overflowPunct/>
              <w:topLinePunct w:val="0"/>
              <w:bidi w:val="0"/>
              <w:adjustRightInd w:val="0"/>
              <w:snapToGrid w:val="0"/>
              <w:spacing w:line="240" w:lineRule="auto"/>
              <w:jc w:val="center"/>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0.065</w:t>
            </w:r>
          </w:p>
        </w:tc>
      </w:tr>
      <w:tr>
        <w:tblPrEx>
          <w:tblBorders>
            <w:top w:val="single" w:color="000000" w:sz="8" w:space="0"/>
            <w:left w:val="none" w:color="auto" w:sz="0" w:space="0"/>
            <w:bottom w:val="single" w:color="000000" w:sz="8"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jc w:val="center"/>
        </w:trPr>
        <w:tc>
          <w:tcPr>
            <w:tcW w:w="1336" w:type="dxa"/>
            <w:vMerge w:val="continue"/>
            <w:vAlign w:val="center"/>
          </w:tcPr>
          <w:p>
            <w:pPr>
              <w:pStyle w:val="44"/>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color w:val="auto"/>
                <w:sz w:val="21"/>
                <w:szCs w:val="21"/>
                <w:highlight w:val="none"/>
              </w:rPr>
            </w:pPr>
          </w:p>
        </w:tc>
        <w:tc>
          <w:tcPr>
            <w:tcW w:w="1780" w:type="dxa"/>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总锌(t/a)</w:t>
            </w:r>
          </w:p>
        </w:tc>
        <w:tc>
          <w:tcPr>
            <w:tcW w:w="2052" w:type="dxa"/>
            <w:vAlign w:val="bottom"/>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0.178</w:t>
            </w:r>
          </w:p>
        </w:tc>
        <w:tc>
          <w:tcPr>
            <w:tcW w:w="2052" w:type="dxa"/>
            <w:vAlign w:val="bottom"/>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0.175</w:t>
            </w:r>
          </w:p>
        </w:tc>
        <w:tc>
          <w:tcPr>
            <w:tcW w:w="2067" w:type="dxa"/>
            <w:vAlign w:val="bottom"/>
          </w:tcPr>
          <w:p>
            <w:pPr>
              <w:keepNext w:val="0"/>
              <w:keepLines w:val="0"/>
              <w:pageBreakBefore w:val="0"/>
              <w:kinsoku/>
              <w:wordWrap/>
              <w:overflowPunct/>
              <w:topLinePunct w:val="0"/>
              <w:bidi w:val="0"/>
              <w:adjustRightInd w:val="0"/>
              <w:snapToGrid w:val="0"/>
              <w:spacing w:line="240" w:lineRule="auto"/>
              <w:jc w:val="center"/>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0.003</w:t>
            </w:r>
          </w:p>
        </w:tc>
      </w:tr>
      <w:tr>
        <w:tblPrEx>
          <w:tblBorders>
            <w:top w:val="single" w:color="000000" w:sz="8" w:space="0"/>
            <w:left w:val="none" w:color="auto" w:sz="0" w:space="0"/>
            <w:bottom w:val="single" w:color="000000" w:sz="8"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jc w:val="center"/>
        </w:trPr>
        <w:tc>
          <w:tcPr>
            <w:tcW w:w="1336" w:type="dxa"/>
            <w:vMerge w:val="continue"/>
            <w:vAlign w:val="center"/>
          </w:tcPr>
          <w:p>
            <w:pPr>
              <w:pStyle w:val="44"/>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color w:val="auto"/>
                <w:sz w:val="21"/>
                <w:szCs w:val="21"/>
                <w:highlight w:val="none"/>
              </w:rPr>
            </w:pPr>
          </w:p>
        </w:tc>
        <w:tc>
          <w:tcPr>
            <w:tcW w:w="178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总铜</w:t>
            </w:r>
            <w:r>
              <w:rPr>
                <w:rFonts w:hint="default" w:ascii="Times New Roman" w:hAnsi="Times New Roman" w:cs="Times New Roman"/>
                <w:color w:val="auto"/>
                <w:szCs w:val="21"/>
                <w:highlight w:val="none"/>
              </w:rPr>
              <w:t>(t/a)</w:t>
            </w:r>
          </w:p>
        </w:tc>
        <w:tc>
          <w:tcPr>
            <w:tcW w:w="2052" w:type="dxa"/>
            <w:vAlign w:val="bottom"/>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0.117</w:t>
            </w:r>
          </w:p>
        </w:tc>
        <w:tc>
          <w:tcPr>
            <w:tcW w:w="2052" w:type="dxa"/>
            <w:vAlign w:val="bottom"/>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0.116</w:t>
            </w:r>
          </w:p>
        </w:tc>
        <w:tc>
          <w:tcPr>
            <w:tcW w:w="2067" w:type="dxa"/>
            <w:vAlign w:val="bottom"/>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0.001</w:t>
            </w:r>
          </w:p>
        </w:tc>
      </w:tr>
      <w:tr>
        <w:tblPrEx>
          <w:tblBorders>
            <w:top w:val="single" w:color="000000" w:sz="8" w:space="0"/>
            <w:left w:val="none" w:color="auto" w:sz="0" w:space="0"/>
            <w:bottom w:val="single" w:color="000000" w:sz="8"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jc w:val="center"/>
        </w:trPr>
        <w:tc>
          <w:tcPr>
            <w:tcW w:w="1336" w:type="dxa"/>
            <w:vMerge w:val="continue"/>
            <w:vAlign w:val="center"/>
          </w:tcPr>
          <w:p>
            <w:pPr>
              <w:pStyle w:val="44"/>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color w:val="auto"/>
                <w:sz w:val="21"/>
                <w:szCs w:val="21"/>
                <w:highlight w:val="none"/>
              </w:rPr>
            </w:pPr>
          </w:p>
        </w:tc>
        <w:tc>
          <w:tcPr>
            <w:tcW w:w="178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w:t>
            </w:r>
            <w:r>
              <w:rPr>
                <w:rFonts w:hint="eastAsia" w:cs="Times New Roman"/>
                <w:color w:val="auto"/>
                <w:szCs w:val="21"/>
                <w:highlight w:val="none"/>
                <w:lang w:val="en-US" w:eastAsia="zh-CN"/>
              </w:rPr>
              <w:t>银</w:t>
            </w:r>
            <w:r>
              <w:rPr>
                <w:rFonts w:hint="default" w:ascii="Times New Roman" w:hAnsi="Times New Roman" w:cs="Times New Roman"/>
                <w:color w:val="auto"/>
                <w:szCs w:val="21"/>
                <w:highlight w:val="none"/>
              </w:rPr>
              <w:t>(t/a)</w:t>
            </w:r>
          </w:p>
        </w:tc>
        <w:tc>
          <w:tcPr>
            <w:tcW w:w="2052" w:type="dxa"/>
            <w:vAlign w:val="bottom"/>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0.00</w:t>
            </w:r>
            <w:r>
              <w:rPr>
                <w:rFonts w:hint="eastAsia" w:cs="Times New Roman"/>
                <w:color w:val="auto"/>
                <w:szCs w:val="21"/>
                <w:highlight w:val="none"/>
                <w:lang w:val="en-US" w:eastAsia="zh-CN"/>
              </w:rPr>
              <w:t>29</w:t>
            </w:r>
          </w:p>
        </w:tc>
        <w:tc>
          <w:tcPr>
            <w:tcW w:w="2052" w:type="dxa"/>
            <w:vAlign w:val="bottom"/>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color w:val="auto"/>
                <w:szCs w:val="21"/>
                <w:highlight w:val="none"/>
                <w:lang w:val="en-US" w:eastAsia="zh-CN"/>
              </w:rPr>
            </w:pPr>
            <w:r>
              <w:rPr>
                <w:rFonts w:hint="eastAsia"/>
                <w:color w:val="auto"/>
                <w:highlight w:val="none"/>
                <w:lang w:val="en-US" w:eastAsia="zh-CN"/>
              </w:rPr>
              <w:t>0</w:t>
            </w:r>
          </w:p>
        </w:tc>
        <w:tc>
          <w:tcPr>
            <w:tcW w:w="2067" w:type="dxa"/>
            <w:vAlign w:val="center"/>
          </w:tcPr>
          <w:p>
            <w:pPr>
              <w:adjustRightInd w:val="0"/>
              <w:snapToGrid w:val="0"/>
              <w:jc w:val="center"/>
              <w:rPr>
                <w:rFonts w:hint="default" w:ascii="Times New Roman" w:hAnsi="Times New Roman" w:cs="Times New Roman"/>
                <w:color w:val="auto"/>
                <w:szCs w:val="21"/>
                <w:highlight w:val="none"/>
                <w:lang w:val="en-US" w:eastAsia="zh-CN"/>
              </w:rPr>
            </w:pPr>
            <w:r>
              <w:rPr>
                <w:rFonts w:hint="eastAsia"/>
                <w:color w:val="auto"/>
                <w:highlight w:val="none"/>
                <w:lang w:val="en-US" w:eastAsia="zh-CN"/>
              </w:rPr>
              <w:t>0.0029</w:t>
            </w:r>
          </w:p>
        </w:tc>
      </w:tr>
      <w:tr>
        <w:tblPrEx>
          <w:tblBorders>
            <w:top w:val="single" w:color="000000" w:sz="8" w:space="0"/>
            <w:left w:val="none" w:color="auto" w:sz="0" w:space="0"/>
            <w:bottom w:val="single" w:color="000000" w:sz="8"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jc w:val="center"/>
        </w:trPr>
        <w:tc>
          <w:tcPr>
            <w:tcW w:w="1336" w:type="dxa"/>
            <w:vMerge w:val="continue"/>
            <w:vAlign w:val="center"/>
          </w:tcPr>
          <w:p>
            <w:pPr>
              <w:pStyle w:val="44"/>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color w:val="auto"/>
                <w:sz w:val="21"/>
                <w:szCs w:val="21"/>
                <w:highlight w:val="none"/>
              </w:rPr>
            </w:pPr>
          </w:p>
        </w:tc>
        <w:tc>
          <w:tcPr>
            <w:tcW w:w="178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总锡</w:t>
            </w:r>
            <w:r>
              <w:rPr>
                <w:rFonts w:hint="default" w:ascii="Times New Roman" w:hAnsi="Times New Roman" w:cs="Times New Roman"/>
                <w:color w:val="auto"/>
                <w:szCs w:val="21"/>
                <w:highlight w:val="none"/>
              </w:rPr>
              <w:t>(t/a)</w:t>
            </w:r>
          </w:p>
        </w:tc>
        <w:tc>
          <w:tcPr>
            <w:tcW w:w="2052" w:type="dxa"/>
            <w:vAlign w:val="bottom"/>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0.</w:t>
            </w:r>
            <w:r>
              <w:rPr>
                <w:rFonts w:hint="eastAsia" w:cs="Times New Roman"/>
                <w:color w:val="auto"/>
                <w:szCs w:val="21"/>
                <w:highlight w:val="none"/>
                <w:lang w:val="en-US" w:eastAsia="zh-CN"/>
              </w:rPr>
              <w:t>132</w:t>
            </w:r>
          </w:p>
        </w:tc>
        <w:tc>
          <w:tcPr>
            <w:tcW w:w="2052" w:type="dxa"/>
            <w:vAlign w:val="bottom"/>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0.</w:t>
            </w:r>
            <w:r>
              <w:rPr>
                <w:rFonts w:hint="eastAsia" w:cs="Times New Roman"/>
                <w:color w:val="auto"/>
                <w:szCs w:val="21"/>
                <w:highlight w:val="none"/>
                <w:lang w:val="en-US" w:eastAsia="zh-CN"/>
              </w:rPr>
              <w:t>1301</w:t>
            </w:r>
          </w:p>
        </w:tc>
        <w:tc>
          <w:tcPr>
            <w:tcW w:w="2067" w:type="dxa"/>
            <w:vAlign w:val="center"/>
          </w:tcPr>
          <w:p>
            <w:pPr>
              <w:adjustRightInd w:val="0"/>
              <w:snapToGrid w:val="0"/>
              <w:jc w:val="center"/>
              <w:rPr>
                <w:rFonts w:hint="default" w:ascii="Times New Roman" w:hAnsi="Times New Roman" w:cs="Times New Roman"/>
                <w:color w:val="auto"/>
                <w:szCs w:val="21"/>
                <w:highlight w:val="none"/>
                <w:lang w:val="en-US" w:eastAsia="zh-CN"/>
              </w:rPr>
            </w:pPr>
            <w:r>
              <w:rPr>
                <w:rFonts w:hint="eastAsia"/>
                <w:color w:val="auto"/>
                <w:highlight w:val="none"/>
                <w:lang w:val="en-US" w:eastAsia="zh-CN"/>
              </w:rPr>
              <w:t>0.0019</w:t>
            </w:r>
          </w:p>
        </w:tc>
      </w:tr>
      <w:tr>
        <w:tblPrEx>
          <w:tblBorders>
            <w:top w:val="single" w:color="000000" w:sz="8" w:space="0"/>
            <w:left w:val="none" w:color="auto" w:sz="0" w:space="0"/>
            <w:bottom w:val="single" w:color="000000" w:sz="8"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jc w:val="center"/>
        </w:trPr>
        <w:tc>
          <w:tcPr>
            <w:tcW w:w="1336" w:type="dxa"/>
            <w:vMerge w:val="continue"/>
            <w:vAlign w:val="center"/>
          </w:tcPr>
          <w:p>
            <w:pPr>
              <w:pStyle w:val="44"/>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color w:val="auto"/>
                <w:sz w:val="21"/>
                <w:szCs w:val="21"/>
                <w:highlight w:val="none"/>
              </w:rPr>
            </w:pPr>
          </w:p>
        </w:tc>
        <w:tc>
          <w:tcPr>
            <w:tcW w:w="1780" w:type="dxa"/>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总镍</w:t>
            </w:r>
            <w:r>
              <w:rPr>
                <w:rFonts w:hint="default" w:ascii="Times New Roman" w:hAnsi="Times New Roman" w:cs="Times New Roman"/>
                <w:color w:val="auto"/>
                <w:szCs w:val="21"/>
                <w:highlight w:val="none"/>
              </w:rPr>
              <w:t>(t/a)</w:t>
            </w:r>
          </w:p>
        </w:tc>
        <w:tc>
          <w:tcPr>
            <w:tcW w:w="2052" w:type="dxa"/>
            <w:vAlign w:val="bottom"/>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0.014</w:t>
            </w:r>
          </w:p>
        </w:tc>
        <w:tc>
          <w:tcPr>
            <w:tcW w:w="2052" w:type="dxa"/>
            <w:vAlign w:val="bottom"/>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0.01395</w:t>
            </w:r>
          </w:p>
        </w:tc>
        <w:tc>
          <w:tcPr>
            <w:tcW w:w="2067" w:type="dxa"/>
            <w:vAlign w:val="bottom"/>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0.00005</w:t>
            </w:r>
          </w:p>
        </w:tc>
      </w:tr>
      <w:tr>
        <w:tblPrEx>
          <w:tblBorders>
            <w:top w:val="single" w:color="000000" w:sz="8" w:space="0"/>
            <w:left w:val="none" w:color="auto" w:sz="0" w:space="0"/>
            <w:bottom w:val="single" w:color="000000" w:sz="8"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jc w:val="center"/>
        </w:trPr>
        <w:tc>
          <w:tcPr>
            <w:tcW w:w="1336" w:type="dxa"/>
            <w:vMerge w:val="continue"/>
            <w:vAlign w:val="center"/>
          </w:tcPr>
          <w:p>
            <w:pPr>
              <w:pStyle w:val="44"/>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color w:val="auto"/>
                <w:sz w:val="21"/>
                <w:szCs w:val="21"/>
                <w:highlight w:val="none"/>
              </w:rPr>
            </w:pPr>
          </w:p>
        </w:tc>
        <w:tc>
          <w:tcPr>
            <w:tcW w:w="1780" w:type="dxa"/>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总铬(t/a)</w:t>
            </w:r>
          </w:p>
        </w:tc>
        <w:tc>
          <w:tcPr>
            <w:tcW w:w="2052" w:type="dxa"/>
            <w:vAlign w:val="bottom"/>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0.106</w:t>
            </w:r>
          </w:p>
        </w:tc>
        <w:tc>
          <w:tcPr>
            <w:tcW w:w="2052" w:type="dxa"/>
            <w:vAlign w:val="bottom"/>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0.1056</w:t>
            </w:r>
          </w:p>
        </w:tc>
        <w:tc>
          <w:tcPr>
            <w:tcW w:w="2067" w:type="dxa"/>
            <w:vAlign w:val="bottom"/>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0.0004</w:t>
            </w:r>
          </w:p>
        </w:tc>
      </w:tr>
      <w:tr>
        <w:tblPrEx>
          <w:tblBorders>
            <w:top w:val="single" w:color="000000" w:sz="8" w:space="0"/>
            <w:left w:val="none" w:color="auto" w:sz="0" w:space="0"/>
            <w:bottom w:val="single" w:color="000000" w:sz="8"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jc w:val="center"/>
        </w:trPr>
        <w:tc>
          <w:tcPr>
            <w:tcW w:w="1336" w:type="dxa"/>
            <w:vMerge w:val="continue"/>
            <w:vAlign w:val="center"/>
          </w:tcPr>
          <w:p>
            <w:pPr>
              <w:pStyle w:val="44"/>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color w:val="auto"/>
                <w:sz w:val="21"/>
                <w:szCs w:val="21"/>
                <w:highlight w:val="none"/>
              </w:rPr>
            </w:pPr>
          </w:p>
        </w:tc>
        <w:tc>
          <w:tcPr>
            <w:tcW w:w="1780" w:type="dxa"/>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六价铬(t/a)</w:t>
            </w:r>
          </w:p>
        </w:tc>
        <w:tc>
          <w:tcPr>
            <w:tcW w:w="2052" w:type="dxa"/>
            <w:vAlign w:val="bottom"/>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0.031</w:t>
            </w:r>
          </w:p>
        </w:tc>
        <w:tc>
          <w:tcPr>
            <w:tcW w:w="2052" w:type="dxa"/>
            <w:vAlign w:val="bottom"/>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0.03086</w:t>
            </w:r>
          </w:p>
        </w:tc>
        <w:tc>
          <w:tcPr>
            <w:tcW w:w="2067" w:type="dxa"/>
            <w:vAlign w:val="bottom"/>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0.00014</w:t>
            </w:r>
          </w:p>
        </w:tc>
      </w:tr>
      <w:tr>
        <w:tblPrEx>
          <w:tblBorders>
            <w:top w:val="single" w:color="000000" w:sz="8" w:space="0"/>
            <w:left w:val="none" w:color="auto" w:sz="0" w:space="0"/>
            <w:bottom w:val="single" w:color="000000" w:sz="8"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jc w:val="center"/>
        </w:trPr>
        <w:tc>
          <w:tcPr>
            <w:tcW w:w="1336" w:type="dxa"/>
            <w:vMerge w:val="restart"/>
            <w:vAlign w:val="center"/>
          </w:tcPr>
          <w:p>
            <w:pPr>
              <w:pStyle w:val="44"/>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废气</w:t>
            </w:r>
          </w:p>
        </w:tc>
        <w:tc>
          <w:tcPr>
            <w:tcW w:w="1780" w:type="dxa"/>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废气量(万m</w:t>
            </w:r>
            <w:r>
              <w:rPr>
                <w:rFonts w:hint="default" w:ascii="Times New Roman" w:hAnsi="Times New Roman" w:cs="Times New Roman"/>
                <w:color w:val="auto"/>
                <w:szCs w:val="21"/>
                <w:highlight w:val="none"/>
                <w:vertAlign w:val="superscript"/>
              </w:rPr>
              <w:t>3</w:t>
            </w:r>
            <w:r>
              <w:rPr>
                <w:rFonts w:hint="default" w:ascii="Times New Roman" w:hAnsi="Times New Roman" w:cs="Times New Roman"/>
                <w:color w:val="auto"/>
                <w:szCs w:val="21"/>
                <w:highlight w:val="none"/>
              </w:rPr>
              <w:t>/a)</w:t>
            </w:r>
          </w:p>
        </w:tc>
        <w:tc>
          <w:tcPr>
            <w:tcW w:w="2052" w:type="dxa"/>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w:t>
            </w:r>
            <w:r>
              <w:rPr>
                <w:rFonts w:hint="eastAsia" w:cs="Times New Roman"/>
                <w:color w:val="auto"/>
                <w:szCs w:val="21"/>
                <w:highlight w:val="none"/>
                <w:lang w:val="en-US" w:eastAsia="zh-CN"/>
              </w:rPr>
              <w:t>3800</w:t>
            </w:r>
          </w:p>
        </w:tc>
        <w:tc>
          <w:tcPr>
            <w:tcW w:w="2052" w:type="dxa"/>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w:t>
            </w:r>
          </w:p>
        </w:tc>
        <w:tc>
          <w:tcPr>
            <w:tcW w:w="2067" w:type="dxa"/>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w:t>
            </w:r>
            <w:r>
              <w:rPr>
                <w:rFonts w:hint="eastAsia" w:cs="Times New Roman"/>
                <w:color w:val="auto"/>
                <w:szCs w:val="21"/>
                <w:highlight w:val="none"/>
                <w:lang w:val="en-US" w:eastAsia="zh-CN"/>
              </w:rPr>
              <w:t>3800</w:t>
            </w:r>
          </w:p>
        </w:tc>
      </w:tr>
      <w:tr>
        <w:tblPrEx>
          <w:tblBorders>
            <w:top w:val="single" w:color="000000" w:sz="8" w:space="0"/>
            <w:left w:val="none" w:color="auto" w:sz="0" w:space="0"/>
            <w:bottom w:val="single" w:color="000000" w:sz="8"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jc w:val="center"/>
        </w:trPr>
        <w:tc>
          <w:tcPr>
            <w:tcW w:w="1336" w:type="dxa"/>
            <w:vMerge w:val="continue"/>
            <w:vAlign w:val="center"/>
          </w:tcPr>
          <w:p>
            <w:pPr>
              <w:keepNext w:val="0"/>
              <w:keepLines w:val="0"/>
              <w:pageBreakBefore w:val="0"/>
              <w:tabs>
                <w:tab w:val="left" w:pos="900"/>
              </w:tabs>
              <w:kinsoku/>
              <w:wordWrap/>
              <w:overflowPunct/>
              <w:topLinePunct w:val="0"/>
              <w:autoSpaceDE w:val="0"/>
              <w:autoSpaceDN w:val="0"/>
              <w:bidi w:val="0"/>
              <w:adjustRightInd w:val="0"/>
              <w:snapToGrid w:val="0"/>
              <w:spacing w:line="240" w:lineRule="auto"/>
              <w:jc w:val="center"/>
              <w:rPr>
                <w:rFonts w:hint="default" w:ascii="Times New Roman" w:hAnsi="Times New Roman" w:cs="Times New Roman"/>
                <w:color w:val="auto"/>
                <w:szCs w:val="21"/>
                <w:highlight w:val="none"/>
              </w:rPr>
            </w:pPr>
          </w:p>
        </w:tc>
        <w:tc>
          <w:tcPr>
            <w:tcW w:w="178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zCs w:val="21"/>
                <w:highlight w:val="none"/>
              </w:rPr>
            </w:pPr>
            <w:r>
              <w:rPr>
                <w:rFonts w:hint="default" w:ascii="Times New Roman" w:hAnsi="Times New Roman" w:cs="Times New Roman"/>
                <w:color w:val="auto"/>
                <w:kern w:val="0"/>
                <w:sz w:val="21"/>
                <w:szCs w:val="21"/>
                <w:highlight w:val="none"/>
              </w:rPr>
              <w:t>氯化氢</w:t>
            </w:r>
            <w:r>
              <w:rPr>
                <w:rFonts w:hint="default" w:ascii="Times New Roman" w:hAnsi="Times New Roman" w:cs="Times New Roman"/>
                <w:color w:val="auto"/>
                <w:szCs w:val="21"/>
                <w:highlight w:val="none"/>
              </w:rPr>
              <w:t>(</w:t>
            </w:r>
            <w:r>
              <w:rPr>
                <w:rFonts w:hint="eastAsia" w:cs="Times New Roman"/>
                <w:color w:val="auto"/>
                <w:szCs w:val="21"/>
                <w:highlight w:val="none"/>
                <w:lang w:val="en-US" w:eastAsia="zh-CN"/>
              </w:rPr>
              <w:t>t</w:t>
            </w:r>
            <w:r>
              <w:rPr>
                <w:rFonts w:hint="default" w:ascii="Times New Roman" w:hAnsi="Times New Roman" w:cs="Times New Roman"/>
                <w:color w:val="auto"/>
                <w:szCs w:val="21"/>
                <w:highlight w:val="none"/>
              </w:rPr>
              <w:t>/a)</w:t>
            </w:r>
          </w:p>
        </w:tc>
        <w:tc>
          <w:tcPr>
            <w:tcW w:w="2052"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bottom"/>
              <w:rPr>
                <w:rFonts w:hint="default" w:ascii="Times New Roman" w:hAnsi="Times New Roman" w:eastAsia="宋体" w:cs="Times New Roman"/>
                <w:color w:val="auto"/>
                <w:sz w:val="21"/>
                <w:szCs w:val="21"/>
                <w:highlight w:val="none"/>
                <w:lang w:val="en-US" w:eastAsia="zh-CN"/>
              </w:rPr>
            </w:pPr>
            <w:r>
              <w:rPr>
                <w:rFonts w:hint="eastAsia" w:cs="Times New Roman"/>
                <w:i w:val="0"/>
                <w:color w:val="auto"/>
                <w:kern w:val="0"/>
                <w:sz w:val="21"/>
                <w:szCs w:val="21"/>
                <w:highlight w:val="none"/>
                <w:u w:val="none"/>
                <w:lang w:val="en-US" w:eastAsia="zh-CN" w:bidi="ar"/>
              </w:rPr>
              <w:t>0.528</w:t>
            </w:r>
          </w:p>
        </w:tc>
        <w:tc>
          <w:tcPr>
            <w:tcW w:w="2052"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bottom"/>
              <w:rPr>
                <w:rFonts w:hint="default" w:ascii="Times New Roman" w:hAnsi="Times New Roman" w:cs="Times New Roman"/>
                <w:color w:val="auto"/>
                <w:sz w:val="21"/>
                <w:szCs w:val="21"/>
                <w:highlight w:val="none"/>
                <w:lang w:val="en-US"/>
              </w:rPr>
            </w:pPr>
            <w:r>
              <w:rPr>
                <w:rFonts w:hint="eastAsia" w:cs="Times New Roman"/>
                <w:i w:val="0"/>
                <w:color w:val="auto"/>
                <w:kern w:val="0"/>
                <w:sz w:val="21"/>
                <w:szCs w:val="21"/>
                <w:highlight w:val="none"/>
                <w:u w:val="none"/>
                <w:lang w:val="en-US" w:eastAsia="zh-CN" w:bidi="ar"/>
              </w:rPr>
              <w:t>0.427</w:t>
            </w:r>
          </w:p>
        </w:tc>
        <w:tc>
          <w:tcPr>
            <w:tcW w:w="2067"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bottom"/>
              <w:rPr>
                <w:rFonts w:hint="default" w:ascii="Times New Roman" w:hAnsi="Times New Roman" w:cs="Times New Roman"/>
                <w:color w:val="auto"/>
                <w:sz w:val="21"/>
                <w:szCs w:val="21"/>
                <w:highlight w:val="none"/>
                <w:lang w:val="en-US"/>
              </w:rPr>
            </w:pPr>
            <w:r>
              <w:rPr>
                <w:rFonts w:hint="eastAsia" w:cs="Times New Roman"/>
                <w:i w:val="0"/>
                <w:color w:val="auto"/>
                <w:kern w:val="0"/>
                <w:sz w:val="21"/>
                <w:szCs w:val="21"/>
                <w:highlight w:val="none"/>
                <w:u w:val="none"/>
                <w:lang w:val="en-US" w:eastAsia="zh-CN" w:bidi="ar"/>
              </w:rPr>
              <w:t>0.101</w:t>
            </w:r>
          </w:p>
        </w:tc>
      </w:tr>
      <w:tr>
        <w:tblPrEx>
          <w:tblBorders>
            <w:top w:val="single" w:color="000000" w:sz="8" w:space="0"/>
            <w:left w:val="none" w:color="auto" w:sz="0" w:space="0"/>
            <w:bottom w:val="single" w:color="000000" w:sz="8"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jc w:val="center"/>
        </w:trPr>
        <w:tc>
          <w:tcPr>
            <w:tcW w:w="1336" w:type="dxa"/>
            <w:vMerge w:val="continue"/>
            <w:vAlign w:val="center"/>
          </w:tcPr>
          <w:p>
            <w:pPr>
              <w:keepNext w:val="0"/>
              <w:keepLines w:val="0"/>
              <w:pageBreakBefore w:val="0"/>
              <w:tabs>
                <w:tab w:val="left" w:pos="900"/>
              </w:tabs>
              <w:kinsoku/>
              <w:wordWrap/>
              <w:overflowPunct/>
              <w:topLinePunct w:val="0"/>
              <w:autoSpaceDE w:val="0"/>
              <w:autoSpaceDN w:val="0"/>
              <w:bidi w:val="0"/>
              <w:adjustRightInd w:val="0"/>
              <w:snapToGrid w:val="0"/>
              <w:spacing w:line="240" w:lineRule="auto"/>
              <w:jc w:val="center"/>
              <w:rPr>
                <w:rFonts w:hint="default" w:ascii="Times New Roman" w:hAnsi="Times New Roman" w:cs="Times New Roman"/>
                <w:color w:val="auto"/>
                <w:szCs w:val="21"/>
                <w:highlight w:val="none"/>
              </w:rPr>
            </w:pPr>
          </w:p>
        </w:tc>
        <w:tc>
          <w:tcPr>
            <w:tcW w:w="178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zCs w:val="21"/>
                <w:highlight w:val="none"/>
              </w:rPr>
            </w:pPr>
            <w:r>
              <w:rPr>
                <w:rFonts w:hint="default" w:ascii="Times New Roman" w:hAnsi="Times New Roman" w:cs="Times New Roman"/>
                <w:color w:val="auto"/>
                <w:kern w:val="0"/>
                <w:sz w:val="21"/>
                <w:szCs w:val="21"/>
                <w:highlight w:val="none"/>
              </w:rPr>
              <w:t>硫酸雾</w:t>
            </w:r>
            <w:r>
              <w:rPr>
                <w:rFonts w:hint="default" w:ascii="Times New Roman" w:hAnsi="Times New Roman" w:cs="Times New Roman"/>
                <w:color w:val="auto"/>
                <w:szCs w:val="21"/>
                <w:highlight w:val="none"/>
              </w:rPr>
              <w:t>(</w:t>
            </w:r>
            <w:r>
              <w:rPr>
                <w:rFonts w:hint="eastAsia" w:cs="Times New Roman"/>
                <w:color w:val="auto"/>
                <w:szCs w:val="21"/>
                <w:highlight w:val="none"/>
                <w:lang w:val="en-US" w:eastAsia="zh-CN"/>
              </w:rPr>
              <w:t>t</w:t>
            </w:r>
            <w:r>
              <w:rPr>
                <w:rFonts w:hint="default" w:ascii="Times New Roman" w:hAnsi="Times New Roman" w:cs="Times New Roman"/>
                <w:color w:val="auto"/>
                <w:szCs w:val="21"/>
                <w:highlight w:val="none"/>
              </w:rPr>
              <w:t>/a)</w:t>
            </w:r>
          </w:p>
        </w:tc>
        <w:tc>
          <w:tcPr>
            <w:tcW w:w="2052"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bottom"/>
              <w:rPr>
                <w:rFonts w:hint="default" w:ascii="Times New Roman" w:hAnsi="Times New Roman" w:cs="Times New Roman"/>
                <w:color w:val="auto"/>
                <w:sz w:val="21"/>
                <w:szCs w:val="21"/>
                <w:highlight w:val="none"/>
                <w:lang w:val="en-US"/>
              </w:rPr>
            </w:pPr>
            <w:r>
              <w:rPr>
                <w:rFonts w:hint="eastAsia" w:cs="Times New Roman"/>
                <w:i w:val="0"/>
                <w:color w:val="auto"/>
                <w:kern w:val="0"/>
                <w:sz w:val="21"/>
                <w:szCs w:val="21"/>
                <w:highlight w:val="none"/>
                <w:u w:val="none"/>
                <w:lang w:val="en-US" w:eastAsia="zh-CN" w:bidi="ar"/>
              </w:rPr>
              <w:t>0.108</w:t>
            </w:r>
          </w:p>
        </w:tc>
        <w:tc>
          <w:tcPr>
            <w:tcW w:w="2052"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bottom"/>
              <w:rPr>
                <w:rFonts w:hint="default" w:ascii="Times New Roman" w:hAnsi="Times New Roman" w:cs="Times New Roman"/>
                <w:color w:val="auto"/>
                <w:sz w:val="21"/>
                <w:szCs w:val="21"/>
                <w:highlight w:val="none"/>
                <w:lang w:val="en-US"/>
              </w:rPr>
            </w:pPr>
            <w:r>
              <w:rPr>
                <w:rFonts w:hint="eastAsia" w:cs="Times New Roman"/>
                <w:i w:val="0"/>
                <w:color w:val="auto"/>
                <w:kern w:val="0"/>
                <w:sz w:val="21"/>
                <w:szCs w:val="21"/>
                <w:highlight w:val="none"/>
                <w:u w:val="none"/>
                <w:lang w:val="en-US" w:eastAsia="zh-CN" w:bidi="ar"/>
              </w:rPr>
              <w:t>0.087</w:t>
            </w:r>
          </w:p>
        </w:tc>
        <w:tc>
          <w:tcPr>
            <w:tcW w:w="2067"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bottom"/>
              <w:rPr>
                <w:rFonts w:hint="default" w:ascii="Times New Roman" w:hAnsi="Times New Roman" w:cs="Times New Roman"/>
                <w:color w:val="auto"/>
                <w:sz w:val="21"/>
                <w:szCs w:val="21"/>
                <w:highlight w:val="none"/>
                <w:lang w:val="en-US"/>
              </w:rPr>
            </w:pPr>
            <w:r>
              <w:rPr>
                <w:rFonts w:hint="eastAsia" w:cs="Times New Roman"/>
                <w:i w:val="0"/>
                <w:color w:val="auto"/>
                <w:kern w:val="0"/>
                <w:sz w:val="21"/>
                <w:szCs w:val="21"/>
                <w:highlight w:val="none"/>
                <w:u w:val="none"/>
                <w:lang w:val="en-US" w:eastAsia="zh-CN" w:bidi="ar"/>
              </w:rPr>
              <w:t>0.021</w:t>
            </w:r>
          </w:p>
        </w:tc>
      </w:tr>
      <w:tr>
        <w:tblPrEx>
          <w:tblBorders>
            <w:top w:val="single" w:color="000000" w:sz="8" w:space="0"/>
            <w:left w:val="none" w:color="auto" w:sz="0" w:space="0"/>
            <w:bottom w:val="single" w:color="000000" w:sz="8"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jc w:val="center"/>
        </w:trPr>
        <w:tc>
          <w:tcPr>
            <w:tcW w:w="1336" w:type="dxa"/>
            <w:vMerge w:val="continue"/>
            <w:vAlign w:val="center"/>
          </w:tcPr>
          <w:p>
            <w:pPr>
              <w:keepNext w:val="0"/>
              <w:keepLines w:val="0"/>
              <w:pageBreakBefore w:val="0"/>
              <w:tabs>
                <w:tab w:val="left" w:pos="900"/>
              </w:tabs>
              <w:kinsoku/>
              <w:wordWrap/>
              <w:overflowPunct/>
              <w:topLinePunct w:val="0"/>
              <w:autoSpaceDE w:val="0"/>
              <w:autoSpaceDN w:val="0"/>
              <w:bidi w:val="0"/>
              <w:adjustRightInd w:val="0"/>
              <w:snapToGrid w:val="0"/>
              <w:spacing w:line="240" w:lineRule="auto"/>
              <w:jc w:val="center"/>
              <w:rPr>
                <w:rFonts w:hint="default" w:ascii="Times New Roman" w:hAnsi="Times New Roman" w:cs="Times New Roman"/>
                <w:color w:val="auto"/>
                <w:szCs w:val="21"/>
                <w:highlight w:val="none"/>
              </w:rPr>
            </w:pPr>
          </w:p>
        </w:tc>
        <w:tc>
          <w:tcPr>
            <w:tcW w:w="178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zCs w:val="21"/>
                <w:highlight w:val="none"/>
              </w:rPr>
            </w:pPr>
            <w:r>
              <w:rPr>
                <w:rFonts w:hint="default" w:ascii="Times New Roman" w:hAnsi="Times New Roman" w:cs="Times New Roman"/>
                <w:color w:val="auto"/>
                <w:sz w:val="21"/>
                <w:szCs w:val="21"/>
                <w:highlight w:val="none"/>
                <w:lang w:val="en-US" w:eastAsia="zh-CN"/>
              </w:rPr>
              <w:t>甲基磺酸雾</w:t>
            </w:r>
            <w:r>
              <w:rPr>
                <w:rFonts w:hint="default" w:ascii="Times New Roman" w:hAnsi="Times New Roman" w:cs="Times New Roman"/>
                <w:color w:val="auto"/>
                <w:szCs w:val="21"/>
                <w:highlight w:val="none"/>
              </w:rPr>
              <w:t>(</w:t>
            </w:r>
            <w:r>
              <w:rPr>
                <w:rFonts w:hint="eastAsia" w:cs="Times New Roman"/>
                <w:color w:val="auto"/>
                <w:szCs w:val="21"/>
                <w:highlight w:val="none"/>
                <w:lang w:val="en-US" w:eastAsia="zh-CN"/>
              </w:rPr>
              <w:t>t</w:t>
            </w:r>
            <w:r>
              <w:rPr>
                <w:rFonts w:hint="default" w:ascii="Times New Roman" w:hAnsi="Times New Roman" w:cs="Times New Roman"/>
                <w:color w:val="auto"/>
                <w:szCs w:val="21"/>
                <w:highlight w:val="none"/>
              </w:rPr>
              <w:t>/a)</w:t>
            </w:r>
          </w:p>
        </w:tc>
        <w:tc>
          <w:tcPr>
            <w:tcW w:w="2052"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bottom"/>
              <w:rPr>
                <w:rFonts w:hint="default" w:ascii="Times New Roman" w:hAnsi="Times New Roman" w:cs="Times New Roman"/>
                <w:color w:val="auto"/>
                <w:sz w:val="21"/>
                <w:szCs w:val="21"/>
                <w:highlight w:val="none"/>
                <w:lang w:val="en-US"/>
              </w:rPr>
            </w:pPr>
            <w:r>
              <w:rPr>
                <w:rFonts w:hint="eastAsia" w:cs="Times New Roman"/>
                <w:i w:val="0"/>
                <w:color w:val="auto"/>
                <w:kern w:val="0"/>
                <w:sz w:val="21"/>
                <w:szCs w:val="21"/>
                <w:highlight w:val="none"/>
                <w:u w:val="none"/>
                <w:lang w:val="en-US" w:eastAsia="zh-CN" w:bidi="ar"/>
              </w:rPr>
              <w:t>0.156</w:t>
            </w:r>
          </w:p>
        </w:tc>
        <w:tc>
          <w:tcPr>
            <w:tcW w:w="2052"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bottom"/>
              <w:rPr>
                <w:rFonts w:hint="default" w:ascii="Times New Roman" w:hAnsi="Times New Roman" w:cs="Times New Roman"/>
                <w:color w:val="auto"/>
                <w:sz w:val="21"/>
                <w:szCs w:val="21"/>
                <w:highlight w:val="none"/>
                <w:lang w:val="en-US"/>
              </w:rPr>
            </w:pPr>
            <w:r>
              <w:rPr>
                <w:rFonts w:hint="eastAsia" w:cs="Times New Roman"/>
                <w:i w:val="0"/>
                <w:color w:val="auto"/>
                <w:kern w:val="0"/>
                <w:sz w:val="21"/>
                <w:szCs w:val="21"/>
                <w:highlight w:val="none"/>
                <w:u w:val="none"/>
                <w:lang w:val="en-US" w:eastAsia="zh-CN" w:bidi="ar"/>
              </w:rPr>
              <w:t>0.126</w:t>
            </w:r>
          </w:p>
        </w:tc>
        <w:tc>
          <w:tcPr>
            <w:tcW w:w="2067"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bottom"/>
              <w:rPr>
                <w:rFonts w:hint="default" w:ascii="Times New Roman" w:hAnsi="Times New Roman" w:cs="Times New Roman"/>
                <w:color w:val="auto"/>
                <w:sz w:val="21"/>
                <w:szCs w:val="21"/>
                <w:highlight w:val="none"/>
                <w:lang w:val="en-US"/>
              </w:rPr>
            </w:pPr>
            <w:r>
              <w:rPr>
                <w:rFonts w:hint="eastAsia" w:cs="Times New Roman"/>
                <w:i w:val="0"/>
                <w:color w:val="auto"/>
                <w:kern w:val="0"/>
                <w:sz w:val="21"/>
                <w:szCs w:val="21"/>
                <w:highlight w:val="none"/>
                <w:u w:val="none"/>
                <w:lang w:val="en-US" w:eastAsia="zh-CN" w:bidi="ar"/>
              </w:rPr>
              <w:t>0.03</w:t>
            </w:r>
          </w:p>
        </w:tc>
      </w:tr>
      <w:tr>
        <w:tblPrEx>
          <w:tblBorders>
            <w:top w:val="single" w:color="000000" w:sz="8" w:space="0"/>
            <w:left w:val="none" w:color="auto" w:sz="0" w:space="0"/>
            <w:bottom w:val="single" w:color="000000" w:sz="8"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jc w:val="center"/>
        </w:trPr>
        <w:tc>
          <w:tcPr>
            <w:tcW w:w="1336" w:type="dxa"/>
            <w:vMerge w:val="continue"/>
            <w:vAlign w:val="center"/>
          </w:tcPr>
          <w:p>
            <w:pPr>
              <w:keepNext w:val="0"/>
              <w:keepLines w:val="0"/>
              <w:pageBreakBefore w:val="0"/>
              <w:tabs>
                <w:tab w:val="left" w:pos="900"/>
              </w:tabs>
              <w:kinsoku/>
              <w:wordWrap/>
              <w:overflowPunct/>
              <w:topLinePunct w:val="0"/>
              <w:autoSpaceDE w:val="0"/>
              <w:autoSpaceDN w:val="0"/>
              <w:bidi w:val="0"/>
              <w:adjustRightInd w:val="0"/>
              <w:snapToGrid w:val="0"/>
              <w:spacing w:line="240" w:lineRule="auto"/>
              <w:jc w:val="center"/>
              <w:rPr>
                <w:rFonts w:hint="default" w:ascii="Times New Roman" w:hAnsi="Times New Roman" w:cs="Times New Roman"/>
                <w:color w:val="auto"/>
                <w:szCs w:val="21"/>
                <w:highlight w:val="none"/>
              </w:rPr>
            </w:pPr>
          </w:p>
        </w:tc>
        <w:tc>
          <w:tcPr>
            <w:tcW w:w="178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zCs w:val="21"/>
                <w:highlight w:val="none"/>
              </w:rPr>
            </w:pPr>
            <w:r>
              <w:rPr>
                <w:rFonts w:hint="default" w:ascii="Times New Roman" w:hAnsi="Times New Roman" w:cs="Times New Roman"/>
                <w:color w:val="auto"/>
                <w:kern w:val="0"/>
                <w:sz w:val="21"/>
                <w:szCs w:val="21"/>
                <w:highlight w:val="none"/>
              </w:rPr>
              <w:t>铬酸雾</w:t>
            </w:r>
            <w:r>
              <w:rPr>
                <w:rFonts w:hint="default" w:ascii="Times New Roman" w:hAnsi="Times New Roman" w:cs="Times New Roman"/>
                <w:color w:val="auto"/>
                <w:szCs w:val="21"/>
                <w:highlight w:val="none"/>
              </w:rPr>
              <w:t>(</w:t>
            </w:r>
            <w:r>
              <w:rPr>
                <w:rFonts w:hint="eastAsia" w:cs="Times New Roman"/>
                <w:color w:val="auto"/>
                <w:szCs w:val="21"/>
                <w:highlight w:val="none"/>
                <w:lang w:val="en-US" w:eastAsia="zh-CN"/>
              </w:rPr>
              <w:t>t</w:t>
            </w:r>
            <w:r>
              <w:rPr>
                <w:rFonts w:hint="default" w:ascii="Times New Roman" w:hAnsi="Times New Roman" w:cs="Times New Roman"/>
                <w:color w:val="auto"/>
                <w:szCs w:val="21"/>
                <w:highlight w:val="none"/>
              </w:rPr>
              <w:t>/a)</w:t>
            </w:r>
          </w:p>
        </w:tc>
        <w:tc>
          <w:tcPr>
            <w:tcW w:w="2052"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bottom"/>
              <w:rPr>
                <w:rFonts w:hint="default" w:ascii="Times New Roman" w:hAnsi="Times New Roman" w:cs="Times New Roman"/>
                <w:color w:val="auto"/>
                <w:sz w:val="21"/>
                <w:szCs w:val="21"/>
                <w:highlight w:val="none"/>
                <w:lang w:val="en-US"/>
              </w:rPr>
            </w:pPr>
            <w:r>
              <w:rPr>
                <w:rFonts w:hint="eastAsia" w:cs="Times New Roman"/>
                <w:i w:val="0"/>
                <w:color w:val="auto"/>
                <w:kern w:val="0"/>
                <w:sz w:val="21"/>
                <w:szCs w:val="21"/>
                <w:highlight w:val="none"/>
                <w:u w:val="none"/>
                <w:lang w:val="en-US" w:eastAsia="zh-CN" w:bidi="ar"/>
              </w:rPr>
              <w:t>0.0054</w:t>
            </w:r>
          </w:p>
        </w:tc>
        <w:tc>
          <w:tcPr>
            <w:tcW w:w="2052"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bottom"/>
              <w:rPr>
                <w:rFonts w:hint="default" w:ascii="Times New Roman" w:hAnsi="Times New Roman" w:cs="Times New Roman"/>
                <w:color w:val="auto"/>
                <w:sz w:val="21"/>
                <w:szCs w:val="21"/>
                <w:highlight w:val="none"/>
                <w:lang w:val="en-US"/>
              </w:rPr>
            </w:pPr>
            <w:r>
              <w:rPr>
                <w:rFonts w:hint="eastAsia" w:cs="Times New Roman"/>
                <w:i w:val="0"/>
                <w:color w:val="auto"/>
                <w:kern w:val="0"/>
                <w:sz w:val="21"/>
                <w:szCs w:val="21"/>
                <w:highlight w:val="none"/>
                <w:u w:val="none"/>
                <w:lang w:val="en-US" w:eastAsia="zh-CN" w:bidi="ar"/>
              </w:rPr>
              <w:t>0.0044</w:t>
            </w:r>
          </w:p>
        </w:tc>
        <w:tc>
          <w:tcPr>
            <w:tcW w:w="2067"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bottom"/>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0.001</w:t>
            </w:r>
          </w:p>
        </w:tc>
      </w:tr>
      <w:tr>
        <w:tblPrEx>
          <w:tblBorders>
            <w:top w:val="single" w:color="000000" w:sz="8" w:space="0"/>
            <w:left w:val="none" w:color="auto" w:sz="0" w:space="0"/>
            <w:bottom w:val="single" w:color="000000" w:sz="8"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jc w:val="center"/>
        </w:trPr>
        <w:tc>
          <w:tcPr>
            <w:tcW w:w="1336" w:type="dxa"/>
            <w:vMerge w:val="continue"/>
            <w:vAlign w:val="center"/>
          </w:tcPr>
          <w:p>
            <w:pPr>
              <w:keepNext w:val="0"/>
              <w:keepLines w:val="0"/>
              <w:pageBreakBefore w:val="0"/>
              <w:tabs>
                <w:tab w:val="left" w:pos="900"/>
              </w:tabs>
              <w:kinsoku/>
              <w:wordWrap/>
              <w:overflowPunct/>
              <w:topLinePunct w:val="0"/>
              <w:autoSpaceDE w:val="0"/>
              <w:autoSpaceDN w:val="0"/>
              <w:bidi w:val="0"/>
              <w:adjustRightInd w:val="0"/>
              <w:snapToGrid w:val="0"/>
              <w:spacing w:line="240" w:lineRule="auto"/>
              <w:jc w:val="center"/>
              <w:rPr>
                <w:rFonts w:hint="default" w:ascii="Times New Roman" w:hAnsi="Times New Roman" w:cs="Times New Roman"/>
                <w:color w:val="auto"/>
                <w:szCs w:val="21"/>
                <w:highlight w:val="none"/>
              </w:rPr>
            </w:pPr>
          </w:p>
        </w:tc>
        <w:tc>
          <w:tcPr>
            <w:tcW w:w="178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zCs w:val="21"/>
                <w:highlight w:val="none"/>
              </w:rPr>
            </w:pPr>
            <w:r>
              <w:rPr>
                <w:rFonts w:hint="default" w:ascii="Times New Roman" w:hAnsi="Times New Roman" w:cs="Times New Roman"/>
                <w:color w:val="auto"/>
                <w:sz w:val="21"/>
                <w:szCs w:val="21"/>
                <w:highlight w:val="none"/>
                <w:lang w:val="en-US" w:eastAsia="zh-CN"/>
              </w:rPr>
              <w:t>氨</w:t>
            </w:r>
            <w:r>
              <w:rPr>
                <w:rFonts w:hint="default" w:ascii="Times New Roman" w:hAnsi="Times New Roman" w:cs="Times New Roman"/>
                <w:color w:val="auto"/>
                <w:szCs w:val="21"/>
                <w:highlight w:val="none"/>
              </w:rPr>
              <w:t>(</w:t>
            </w:r>
            <w:r>
              <w:rPr>
                <w:rFonts w:hint="eastAsia" w:cs="Times New Roman"/>
                <w:color w:val="auto"/>
                <w:szCs w:val="21"/>
                <w:highlight w:val="none"/>
                <w:lang w:val="en-US" w:eastAsia="zh-CN"/>
              </w:rPr>
              <w:t>t</w:t>
            </w:r>
            <w:r>
              <w:rPr>
                <w:rFonts w:hint="default" w:ascii="Times New Roman" w:hAnsi="Times New Roman" w:cs="Times New Roman"/>
                <w:color w:val="auto"/>
                <w:szCs w:val="21"/>
                <w:highlight w:val="none"/>
              </w:rPr>
              <w:t>/a)</w:t>
            </w:r>
          </w:p>
        </w:tc>
        <w:tc>
          <w:tcPr>
            <w:tcW w:w="2052"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bottom"/>
              <w:rPr>
                <w:rFonts w:hint="default" w:ascii="Times New Roman" w:hAnsi="Times New Roman" w:cs="Times New Roman"/>
                <w:color w:val="auto"/>
                <w:sz w:val="21"/>
                <w:szCs w:val="21"/>
                <w:highlight w:val="none"/>
                <w:lang w:val="en-US"/>
              </w:rPr>
            </w:pPr>
            <w:r>
              <w:rPr>
                <w:rFonts w:hint="eastAsia" w:cs="Times New Roman"/>
                <w:i w:val="0"/>
                <w:color w:val="auto"/>
                <w:kern w:val="0"/>
                <w:sz w:val="21"/>
                <w:szCs w:val="21"/>
                <w:highlight w:val="none"/>
                <w:u w:val="none"/>
                <w:lang w:val="en-US" w:eastAsia="zh-CN" w:bidi="ar"/>
              </w:rPr>
              <w:t>0.039</w:t>
            </w:r>
          </w:p>
        </w:tc>
        <w:tc>
          <w:tcPr>
            <w:tcW w:w="2052"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bottom"/>
              <w:rPr>
                <w:rFonts w:hint="default" w:ascii="Times New Roman" w:hAnsi="Times New Roman" w:cs="Times New Roman"/>
                <w:color w:val="auto"/>
                <w:sz w:val="21"/>
                <w:szCs w:val="21"/>
                <w:highlight w:val="none"/>
                <w:lang w:val="en-US"/>
              </w:rPr>
            </w:pPr>
            <w:r>
              <w:rPr>
                <w:rFonts w:hint="eastAsia" w:cs="Times New Roman"/>
                <w:i w:val="0"/>
                <w:color w:val="auto"/>
                <w:kern w:val="0"/>
                <w:sz w:val="21"/>
                <w:szCs w:val="21"/>
                <w:highlight w:val="none"/>
                <w:u w:val="none"/>
                <w:lang w:val="en-US" w:eastAsia="zh-CN" w:bidi="ar"/>
              </w:rPr>
              <w:t>0.032</w:t>
            </w:r>
          </w:p>
        </w:tc>
        <w:tc>
          <w:tcPr>
            <w:tcW w:w="2067"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bottom"/>
              <w:rPr>
                <w:rFonts w:hint="default" w:ascii="Times New Roman" w:hAnsi="Times New Roman" w:cs="Times New Roman"/>
                <w:color w:val="auto"/>
                <w:sz w:val="21"/>
                <w:szCs w:val="21"/>
                <w:highlight w:val="none"/>
                <w:lang w:val="en-US"/>
              </w:rPr>
            </w:pPr>
            <w:r>
              <w:rPr>
                <w:rFonts w:hint="eastAsia" w:cs="Times New Roman"/>
                <w:i w:val="0"/>
                <w:color w:val="auto"/>
                <w:kern w:val="0"/>
                <w:sz w:val="21"/>
                <w:szCs w:val="21"/>
                <w:highlight w:val="none"/>
                <w:u w:val="none"/>
                <w:lang w:val="en-US" w:eastAsia="zh-CN" w:bidi="ar"/>
              </w:rPr>
              <w:t>0.007</w:t>
            </w:r>
          </w:p>
        </w:tc>
      </w:tr>
      <w:tr>
        <w:tblPrEx>
          <w:tblBorders>
            <w:top w:val="single" w:color="000000" w:sz="8" w:space="0"/>
            <w:left w:val="none" w:color="auto" w:sz="0" w:space="0"/>
            <w:bottom w:val="single" w:color="000000" w:sz="8"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jc w:val="center"/>
        </w:trPr>
        <w:tc>
          <w:tcPr>
            <w:tcW w:w="1336" w:type="dxa"/>
            <w:vMerge w:val="continue"/>
            <w:vAlign w:val="center"/>
          </w:tcPr>
          <w:p>
            <w:pPr>
              <w:keepNext w:val="0"/>
              <w:keepLines w:val="0"/>
              <w:pageBreakBefore w:val="0"/>
              <w:tabs>
                <w:tab w:val="left" w:pos="900"/>
              </w:tabs>
              <w:kinsoku/>
              <w:wordWrap/>
              <w:overflowPunct/>
              <w:topLinePunct w:val="0"/>
              <w:autoSpaceDE w:val="0"/>
              <w:autoSpaceDN w:val="0"/>
              <w:bidi w:val="0"/>
              <w:adjustRightInd w:val="0"/>
              <w:snapToGrid w:val="0"/>
              <w:spacing w:line="240" w:lineRule="auto"/>
              <w:jc w:val="center"/>
              <w:rPr>
                <w:rFonts w:hint="default" w:ascii="Times New Roman" w:hAnsi="Times New Roman" w:cs="Times New Roman"/>
                <w:color w:val="auto"/>
                <w:szCs w:val="21"/>
                <w:highlight w:val="none"/>
              </w:rPr>
            </w:pPr>
          </w:p>
        </w:tc>
        <w:tc>
          <w:tcPr>
            <w:tcW w:w="178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rPr>
              <w:t>NO</w:t>
            </w:r>
            <w:r>
              <w:rPr>
                <w:rFonts w:hint="default" w:ascii="Times New Roman" w:hAnsi="Times New Roman" w:cs="Times New Roman"/>
                <w:color w:val="auto"/>
                <w:sz w:val="21"/>
                <w:szCs w:val="21"/>
                <w:highlight w:val="none"/>
                <w:vertAlign w:val="subscript"/>
              </w:rPr>
              <w:t>x</w:t>
            </w:r>
            <w:r>
              <w:rPr>
                <w:rFonts w:hint="default" w:ascii="Times New Roman" w:hAnsi="Times New Roman" w:cs="Times New Roman"/>
                <w:color w:val="auto"/>
                <w:szCs w:val="21"/>
                <w:highlight w:val="none"/>
              </w:rPr>
              <w:t>(</w:t>
            </w:r>
            <w:r>
              <w:rPr>
                <w:rFonts w:hint="eastAsia" w:cs="Times New Roman"/>
                <w:color w:val="auto"/>
                <w:szCs w:val="21"/>
                <w:highlight w:val="none"/>
                <w:lang w:val="en-US" w:eastAsia="zh-CN"/>
              </w:rPr>
              <w:t>t</w:t>
            </w:r>
            <w:r>
              <w:rPr>
                <w:rFonts w:hint="default" w:ascii="Times New Roman" w:hAnsi="Times New Roman" w:cs="Times New Roman"/>
                <w:color w:val="auto"/>
                <w:szCs w:val="21"/>
                <w:highlight w:val="none"/>
              </w:rPr>
              <w:t>/a)</w:t>
            </w:r>
          </w:p>
        </w:tc>
        <w:tc>
          <w:tcPr>
            <w:tcW w:w="2052"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bottom"/>
              <w:rPr>
                <w:rFonts w:hint="default" w:ascii="Times New Roman" w:hAnsi="Times New Roman" w:cs="Times New Roman"/>
                <w:color w:val="auto"/>
                <w:sz w:val="21"/>
                <w:szCs w:val="21"/>
                <w:highlight w:val="none"/>
                <w:lang w:val="en-US"/>
              </w:rPr>
            </w:pPr>
            <w:r>
              <w:rPr>
                <w:rFonts w:hint="eastAsia" w:cs="Times New Roman"/>
                <w:i w:val="0"/>
                <w:color w:val="auto"/>
                <w:kern w:val="0"/>
                <w:sz w:val="21"/>
                <w:szCs w:val="21"/>
                <w:highlight w:val="none"/>
                <w:u w:val="none"/>
                <w:lang w:val="en-US" w:eastAsia="zh-CN" w:bidi="ar"/>
              </w:rPr>
              <w:t>0.238</w:t>
            </w:r>
          </w:p>
        </w:tc>
        <w:tc>
          <w:tcPr>
            <w:tcW w:w="2052"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bottom"/>
              <w:rPr>
                <w:rFonts w:hint="default" w:ascii="Times New Roman" w:hAnsi="Times New Roman" w:cs="Times New Roman"/>
                <w:color w:val="auto"/>
                <w:sz w:val="21"/>
                <w:szCs w:val="21"/>
                <w:highlight w:val="none"/>
                <w:lang w:val="en-US"/>
              </w:rPr>
            </w:pPr>
            <w:r>
              <w:rPr>
                <w:rFonts w:hint="eastAsia" w:cs="Times New Roman"/>
                <w:i w:val="0"/>
                <w:color w:val="auto"/>
                <w:kern w:val="0"/>
                <w:sz w:val="21"/>
                <w:szCs w:val="21"/>
                <w:highlight w:val="none"/>
                <w:u w:val="none"/>
                <w:lang w:val="en-US" w:eastAsia="zh-CN" w:bidi="ar"/>
              </w:rPr>
              <w:t>0.017</w:t>
            </w:r>
          </w:p>
        </w:tc>
        <w:tc>
          <w:tcPr>
            <w:tcW w:w="2067"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bottom"/>
              <w:rPr>
                <w:rFonts w:hint="default" w:ascii="Times New Roman" w:hAnsi="Times New Roman" w:cs="Times New Roman"/>
                <w:color w:val="auto"/>
                <w:sz w:val="21"/>
                <w:szCs w:val="21"/>
                <w:highlight w:val="none"/>
                <w:lang w:val="en-US"/>
              </w:rPr>
            </w:pPr>
            <w:r>
              <w:rPr>
                <w:rFonts w:hint="eastAsia" w:cs="Times New Roman"/>
                <w:i w:val="0"/>
                <w:color w:val="auto"/>
                <w:kern w:val="0"/>
                <w:sz w:val="21"/>
                <w:szCs w:val="21"/>
                <w:highlight w:val="none"/>
                <w:u w:val="none"/>
                <w:lang w:val="en-US" w:eastAsia="zh-CN" w:bidi="ar"/>
              </w:rPr>
              <w:t>0.221</w:t>
            </w:r>
          </w:p>
        </w:tc>
      </w:tr>
      <w:tr>
        <w:tblPrEx>
          <w:tblBorders>
            <w:top w:val="single" w:color="000000" w:sz="8" w:space="0"/>
            <w:left w:val="none" w:color="auto" w:sz="0" w:space="0"/>
            <w:bottom w:val="single" w:color="000000" w:sz="8"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jc w:val="center"/>
        </w:trPr>
        <w:tc>
          <w:tcPr>
            <w:tcW w:w="1336" w:type="dxa"/>
            <w:vMerge w:val="continue"/>
            <w:vAlign w:val="center"/>
          </w:tcPr>
          <w:p>
            <w:pPr>
              <w:keepNext w:val="0"/>
              <w:keepLines w:val="0"/>
              <w:pageBreakBefore w:val="0"/>
              <w:tabs>
                <w:tab w:val="left" w:pos="900"/>
              </w:tabs>
              <w:kinsoku/>
              <w:wordWrap/>
              <w:overflowPunct/>
              <w:topLinePunct w:val="0"/>
              <w:autoSpaceDE w:val="0"/>
              <w:autoSpaceDN w:val="0"/>
              <w:bidi w:val="0"/>
              <w:adjustRightInd w:val="0"/>
              <w:snapToGrid w:val="0"/>
              <w:spacing w:line="240" w:lineRule="auto"/>
              <w:jc w:val="center"/>
              <w:rPr>
                <w:rFonts w:hint="default" w:ascii="Times New Roman" w:hAnsi="Times New Roman" w:cs="Times New Roman"/>
                <w:color w:val="auto"/>
                <w:szCs w:val="21"/>
                <w:highlight w:val="none"/>
              </w:rPr>
            </w:pPr>
          </w:p>
        </w:tc>
        <w:tc>
          <w:tcPr>
            <w:tcW w:w="178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SO</w:t>
            </w:r>
            <w:r>
              <w:rPr>
                <w:rFonts w:hint="default" w:ascii="Times New Roman" w:hAnsi="Times New Roman" w:cs="Times New Roman"/>
                <w:color w:val="auto"/>
                <w:sz w:val="21"/>
                <w:szCs w:val="21"/>
                <w:highlight w:val="none"/>
                <w:vertAlign w:val="subscript"/>
                <w:lang w:val="en-US" w:eastAsia="zh-CN"/>
              </w:rPr>
              <w:t>2</w:t>
            </w:r>
            <w:r>
              <w:rPr>
                <w:rFonts w:hint="default" w:ascii="Times New Roman" w:hAnsi="Times New Roman" w:cs="Times New Roman"/>
                <w:color w:val="auto"/>
                <w:szCs w:val="21"/>
                <w:highlight w:val="none"/>
              </w:rPr>
              <w:t>(</w:t>
            </w:r>
            <w:r>
              <w:rPr>
                <w:rFonts w:hint="eastAsia" w:cs="Times New Roman"/>
                <w:color w:val="auto"/>
                <w:szCs w:val="21"/>
                <w:highlight w:val="none"/>
                <w:lang w:val="en-US" w:eastAsia="zh-CN"/>
              </w:rPr>
              <w:t>t</w:t>
            </w:r>
            <w:r>
              <w:rPr>
                <w:rFonts w:hint="default" w:ascii="Times New Roman" w:hAnsi="Times New Roman" w:cs="Times New Roman"/>
                <w:color w:val="auto"/>
                <w:szCs w:val="21"/>
                <w:highlight w:val="none"/>
              </w:rPr>
              <w:t>/a)</w:t>
            </w:r>
          </w:p>
        </w:tc>
        <w:tc>
          <w:tcPr>
            <w:tcW w:w="2052"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bottom"/>
              <w:rPr>
                <w:rFonts w:hint="default" w:ascii="Times New Roman" w:hAnsi="Times New Roman" w:cs="Times New Roman"/>
                <w:color w:val="auto"/>
                <w:szCs w:val="21"/>
                <w:highlight w:val="none"/>
                <w:lang w:val="en-US"/>
              </w:rPr>
            </w:pPr>
            <w:r>
              <w:rPr>
                <w:rFonts w:hint="eastAsia" w:cs="Times New Roman"/>
                <w:i w:val="0"/>
                <w:color w:val="auto"/>
                <w:kern w:val="0"/>
                <w:sz w:val="20"/>
                <w:szCs w:val="20"/>
                <w:highlight w:val="none"/>
                <w:u w:val="none"/>
                <w:lang w:val="en-US" w:eastAsia="zh-CN" w:bidi="ar"/>
              </w:rPr>
              <w:t>0.041</w:t>
            </w:r>
          </w:p>
        </w:tc>
        <w:tc>
          <w:tcPr>
            <w:tcW w:w="2052"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bottom"/>
              <w:rPr>
                <w:rFonts w:hint="default" w:ascii="Times New Roman" w:hAnsi="Times New Roman" w:cs="Times New Roman"/>
                <w:color w:val="auto"/>
                <w:szCs w:val="21"/>
                <w:highlight w:val="none"/>
              </w:rPr>
            </w:pPr>
            <w:r>
              <w:rPr>
                <w:rFonts w:hint="default" w:ascii="Times New Roman" w:hAnsi="Times New Roman" w:eastAsia="宋体" w:cs="Times New Roman"/>
                <w:i w:val="0"/>
                <w:color w:val="auto"/>
                <w:kern w:val="0"/>
                <w:sz w:val="20"/>
                <w:szCs w:val="20"/>
                <w:highlight w:val="none"/>
                <w:u w:val="none"/>
                <w:lang w:val="en-US" w:eastAsia="zh-CN" w:bidi="ar"/>
              </w:rPr>
              <w:t>0</w:t>
            </w:r>
          </w:p>
        </w:tc>
        <w:tc>
          <w:tcPr>
            <w:tcW w:w="2067"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bottom"/>
              <w:rPr>
                <w:rFonts w:hint="default" w:ascii="Times New Roman" w:hAnsi="Times New Roman" w:cs="Times New Roman"/>
                <w:color w:val="auto"/>
                <w:szCs w:val="21"/>
                <w:highlight w:val="none"/>
              </w:rPr>
            </w:pPr>
            <w:r>
              <w:rPr>
                <w:rFonts w:hint="eastAsia" w:cs="Times New Roman"/>
                <w:i w:val="0"/>
                <w:color w:val="auto"/>
                <w:kern w:val="0"/>
                <w:sz w:val="20"/>
                <w:szCs w:val="20"/>
                <w:highlight w:val="none"/>
                <w:u w:val="none"/>
                <w:lang w:val="en-US" w:eastAsia="zh-CN" w:bidi="ar"/>
              </w:rPr>
              <w:t>0.041</w:t>
            </w:r>
          </w:p>
        </w:tc>
      </w:tr>
      <w:tr>
        <w:tblPrEx>
          <w:tblBorders>
            <w:top w:val="single" w:color="000000" w:sz="8" w:space="0"/>
            <w:left w:val="none" w:color="auto" w:sz="0" w:space="0"/>
            <w:bottom w:val="single" w:color="000000" w:sz="8"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jc w:val="center"/>
        </w:trPr>
        <w:tc>
          <w:tcPr>
            <w:tcW w:w="1336" w:type="dxa"/>
            <w:vMerge w:val="continue"/>
            <w:vAlign w:val="center"/>
          </w:tcPr>
          <w:p>
            <w:pPr>
              <w:keepNext w:val="0"/>
              <w:keepLines w:val="0"/>
              <w:pageBreakBefore w:val="0"/>
              <w:tabs>
                <w:tab w:val="left" w:pos="900"/>
              </w:tabs>
              <w:kinsoku/>
              <w:wordWrap/>
              <w:overflowPunct/>
              <w:topLinePunct w:val="0"/>
              <w:autoSpaceDE w:val="0"/>
              <w:autoSpaceDN w:val="0"/>
              <w:bidi w:val="0"/>
              <w:adjustRightInd w:val="0"/>
              <w:snapToGrid w:val="0"/>
              <w:spacing w:line="240" w:lineRule="auto"/>
              <w:jc w:val="center"/>
              <w:rPr>
                <w:rFonts w:hint="default" w:ascii="Times New Roman" w:hAnsi="Times New Roman" w:cs="Times New Roman"/>
                <w:color w:val="auto"/>
                <w:szCs w:val="21"/>
                <w:highlight w:val="none"/>
              </w:rPr>
            </w:pPr>
          </w:p>
        </w:tc>
        <w:tc>
          <w:tcPr>
            <w:tcW w:w="1780" w:type="dxa"/>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颗粒物</w:t>
            </w:r>
            <w:r>
              <w:rPr>
                <w:rFonts w:hint="default" w:ascii="Times New Roman" w:hAnsi="Times New Roman" w:cs="Times New Roman"/>
                <w:color w:val="auto"/>
                <w:szCs w:val="21"/>
                <w:highlight w:val="none"/>
              </w:rPr>
              <w:t>(</w:t>
            </w:r>
            <w:r>
              <w:rPr>
                <w:rFonts w:hint="eastAsia" w:cs="Times New Roman"/>
                <w:color w:val="auto"/>
                <w:szCs w:val="21"/>
                <w:highlight w:val="none"/>
                <w:lang w:val="en-US" w:eastAsia="zh-CN"/>
              </w:rPr>
              <w:t>t</w:t>
            </w:r>
            <w:r>
              <w:rPr>
                <w:rFonts w:hint="default" w:ascii="Times New Roman" w:hAnsi="Times New Roman" w:cs="Times New Roman"/>
                <w:color w:val="auto"/>
                <w:szCs w:val="21"/>
                <w:highlight w:val="none"/>
              </w:rPr>
              <w:t>/a)</w:t>
            </w:r>
          </w:p>
        </w:tc>
        <w:tc>
          <w:tcPr>
            <w:tcW w:w="2052"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bottom"/>
              <w:rPr>
                <w:rFonts w:hint="default" w:ascii="Times New Roman" w:hAnsi="Times New Roman" w:cs="Times New Roman"/>
                <w:color w:val="auto"/>
                <w:szCs w:val="21"/>
                <w:highlight w:val="none"/>
                <w:lang w:val="en-US"/>
              </w:rPr>
            </w:pPr>
            <w:r>
              <w:rPr>
                <w:rFonts w:hint="eastAsia" w:cs="Times New Roman"/>
                <w:i w:val="0"/>
                <w:color w:val="auto"/>
                <w:kern w:val="0"/>
                <w:sz w:val="20"/>
                <w:szCs w:val="20"/>
                <w:highlight w:val="none"/>
                <w:u w:val="none"/>
                <w:lang w:val="en-US" w:eastAsia="zh-CN" w:bidi="ar"/>
              </w:rPr>
              <w:t>0.015</w:t>
            </w:r>
          </w:p>
        </w:tc>
        <w:tc>
          <w:tcPr>
            <w:tcW w:w="2052"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bottom"/>
              <w:rPr>
                <w:rFonts w:hint="default" w:ascii="Times New Roman" w:hAnsi="Times New Roman" w:cs="Times New Roman"/>
                <w:color w:val="auto"/>
                <w:szCs w:val="21"/>
                <w:highlight w:val="none"/>
              </w:rPr>
            </w:pPr>
            <w:r>
              <w:rPr>
                <w:rFonts w:hint="default" w:ascii="Times New Roman" w:hAnsi="Times New Roman" w:eastAsia="宋体" w:cs="Times New Roman"/>
                <w:i w:val="0"/>
                <w:color w:val="auto"/>
                <w:kern w:val="0"/>
                <w:sz w:val="20"/>
                <w:szCs w:val="20"/>
                <w:highlight w:val="none"/>
                <w:u w:val="none"/>
                <w:lang w:val="en-US" w:eastAsia="zh-CN" w:bidi="ar"/>
              </w:rPr>
              <w:t>0</w:t>
            </w:r>
          </w:p>
        </w:tc>
        <w:tc>
          <w:tcPr>
            <w:tcW w:w="2067" w:type="dxa"/>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bottom"/>
              <w:rPr>
                <w:rFonts w:hint="default" w:ascii="Times New Roman" w:hAnsi="Times New Roman" w:cs="Times New Roman"/>
                <w:color w:val="auto"/>
                <w:szCs w:val="21"/>
                <w:highlight w:val="none"/>
                <w:lang w:val="en-US"/>
              </w:rPr>
            </w:pPr>
            <w:r>
              <w:rPr>
                <w:rFonts w:hint="eastAsia" w:cs="Times New Roman"/>
                <w:i w:val="0"/>
                <w:color w:val="auto"/>
                <w:kern w:val="0"/>
                <w:sz w:val="20"/>
                <w:szCs w:val="20"/>
                <w:highlight w:val="none"/>
                <w:u w:val="none"/>
                <w:lang w:val="en-US" w:eastAsia="zh-CN" w:bidi="ar"/>
              </w:rPr>
              <w:t>0.015</w:t>
            </w:r>
          </w:p>
        </w:tc>
      </w:tr>
      <w:tr>
        <w:tblPrEx>
          <w:tblBorders>
            <w:top w:val="single" w:color="000000" w:sz="8" w:space="0"/>
            <w:left w:val="none" w:color="auto" w:sz="0" w:space="0"/>
            <w:bottom w:val="single" w:color="000000" w:sz="8"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jc w:val="center"/>
        </w:trPr>
        <w:tc>
          <w:tcPr>
            <w:tcW w:w="1336" w:type="dxa"/>
            <w:vMerge w:val="restart"/>
            <w:vAlign w:val="center"/>
          </w:tcPr>
          <w:p>
            <w:pPr>
              <w:keepNext w:val="0"/>
              <w:keepLines w:val="0"/>
              <w:pageBreakBefore w:val="0"/>
              <w:tabs>
                <w:tab w:val="left" w:pos="900"/>
              </w:tabs>
              <w:kinsoku/>
              <w:wordWrap/>
              <w:overflowPunct/>
              <w:topLinePunct w:val="0"/>
              <w:autoSpaceDE w:val="0"/>
              <w:autoSpaceDN w:val="0"/>
              <w:bidi w:val="0"/>
              <w:adjustRightInd w:val="0"/>
              <w:snapToGrid w:val="0"/>
              <w:spacing w:line="24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固废</w:t>
            </w:r>
          </w:p>
        </w:tc>
        <w:tc>
          <w:tcPr>
            <w:tcW w:w="1780" w:type="dxa"/>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危险废物(t/a)</w:t>
            </w:r>
          </w:p>
        </w:tc>
        <w:tc>
          <w:tcPr>
            <w:tcW w:w="2052" w:type="dxa"/>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28.5</w:t>
            </w:r>
          </w:p>
        </w:tc>
        <w:tc>
          <w:tcPr>
            <w:tcW w:w="2052" w:type="dxa"/>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28.5</w:t>
            </w:r>
          </w:p>
        </w:tc>
        <w:tc>
          <w:tcPr>
            <w:tcW w:w="2067" w:type="dxa"/>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w:t>
            </w:r>
          </w:p>
        </w:tc>
      </w:tr>
      <w:tr>
        <w:tblPrEx>
          <w:tblBorders>
            <w:top w:val="single" w:color="000000" w:sz="8" w:space="0"/>
            <w:left w:val="none" w:color="auto" w:sz="0" w:space="0"/>
            <w:bottom w:val="single" w:color="000000" w:sz="8"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jc w:val="center"/>
        </w:trPr>
        <w:tc>
          <w:tcPr>
            <w:tcW w:w="1336" w:type="dxa"/>
            <w:vMerge w:val="continue"/>
            <w:vAlign w:val="center"/>
          </w:tcPr>
          <w:p>
            <w:pPr>
              <w:keepNext w:val="0"/>
              <w:keepLines w:val="0"/>
              <w:pageBreakBefore w:val="0"/>
              <w:tabs>
                <w:tab w:val="left" w:pos="900"/>
              </w:tabs>
              <w:kinsoku/>
              <w:wordWrap/>
              <w:overflowPunct/>
              <w:topLinePunct w:val="0"/>
              <w:autoSpaceDE w:val="0"/>
              <w:autoSpaceDN w:val="0"/>
              <w:bidi w:val="0"/>
              <w:adjustRightInd w:val="0"/>
              <w:snapToGrid w:val="0"/>
              <w:spacing w:line="240" w:lineRule="auto"/>
              <w:jc w:val="center"/>
              <w:rPr>
                <w:rFonts w:hint="default" w:ascii="Times New Roman" w:hAnsi="Times New Roman" w:cs="Times New Roman"/>
                <w:color w:val="auto"/>
                <w:szCs w:val="21"/>
                <w:highlight w:val="none"/>
              </w:rPr>
            </w:pPr>
          </w:p>
        </w:tc>
        <w:tc>
          <w:tcPr>
            <w:tcW w:w="1780" w:type="dxa"/>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一般固废</w:t>
            </w:r>
            <w:r>
              <w:rPr>
                <w:rFonts w:hint="default" w:ascii="Times New Roman" w:hAnsi="Times New Roman" w:cs="Times New Roman"/>
                <w:color w:val="auto"/>
                <w:szCs w:val="21"/>
                <w:highlight w:val="none"/>
              </w:rPr>
              <w:t>(t/a)</w:t>
            </w:r>
          </w:p>
        </w:tc>
        <w:tc>
          <w:tcPr>
            <w:tcW w:w="2052" w:type="dxa"/>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0.2</w:t>
            </w:r>
          </w:p>
        </w:tc>
        <w:tc>
          <w:tcPr>
            <w:tcW w:w="2052" w:type="dxa"/>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0.2</w:t>
            </w:r>
          </w:p>
        </w:tc>
        <w:tc>
          <w:tcPr>
            <w:tcW w:w="2067" w:type="dxa"/>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0</w:t>
            </w:r>
          </w:p>
        </w:tc>
      </w:tr>
      <w:tr>
        <w:tblPrEx>
          <w:tblBorders>
            <w:top w:val="single" w:color="000000" w:sz="8" w:space="0"/>
            <w:left w:val="none" w:color="auto" w:sz="0" w:space="0"/>
            <w:bottom w:val="single" w:color="000000" w:sz="8" w:space="0"/>
            <w:right w:val="none" w:color="auto" w:sz="0" w:space="0"/>
            <w:insideH w:val="dotted" w:color="auto" w:sz="4" w:space="0"/>
            <w:insideV w:val="dotted" w:color="auto" w:sz="4" w:space="0"/>
          </w:tblBorders>
        </w:tblPrEx>
        <w:trPr>
          <w:cantSplit/>
          <w:trHeight w:val="340" w:hRule="atLeast"/>
          <w:jc w:val="center"/>
        </w:trPr>
        <w:tc>
          <w:tcPr>
            <w:tcW w:w="1336" w:type="dxa"/>
            <w:vMerge w:val="continue"/>
            <w:vAlign w:val="center"/>
          </w:tcPr>
          <w:p>
            <w:pPr>
              <w:keepNext w:val="0"/>
              <w:keepLines w:val="0"/>
              <w:pageBreakBefore w:val="0"/>
              <w:tabs>
                <w:tab w:val="left" w:pos="900"/>
              </w:tabs>
              <w:kinsoku/>
              <w:wordWrap/>
              <w:overflowPunct/>
              <w:topLinePunct w:val="0"/>
              <w:autoSpaceDE w:val="0"/>
              <w:autoSpaceDN w:val="0"/>
              <w:bidi w:val="0"/>
              <w:adjustRightInd w:val="0"/>
              <w:snapToGrid w:val="0"/>
              <w:spacing w:line="240" w:lineRule="auto"/>
              <w:jc w:val="center"/>
              <w:rPr>
                <w:rFonts w:hint="default" w:ascii="Times New Roman" w:hAnsi="Times New Roman" w:cs="Times New Roman"/>
                <w:color w:val="auto"/>
                <w:szCs w:val="21"/>
                <w:highlight w:val="none"/>
              </w:rPr>
            </w:pPr>
          </w:p>
        </w:tc>
        <w:tc>
          <w:tcPr>
            <w:tcW w:w="1780" w:type="dxa"/>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生活垃圾(t/a)</w:t>
            </w:r>
          </w:p>
        </w:tc>
        <w:tc>
          <w:tcPr>
            <w:tcW w:w="2052" w:type="dxa"/>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7</w:t>
            </w:r>
            <w:r>
              <w:rPr>
                <w:rFonts w:hint="default" w:ascii="Times New Roman" w:hAnsi="Times New Roman" w:cs="Times New Roman"/>
                <w:color w:val="auto"/>
                <w:szCs w:val="21"/>
                <w:highlight w:val="none"/>
              </w:rPr>
              <w:t>.5</w:t>
            </w:r>
          </w:p>
        </w:tc>
        <w:tc>
          <w:tcPr>
            <w:tcW w:w="2052" w:type="dxa"/>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7</w:t>
            </w:r>
            <w:r>
              <w:rPr>
                <w:rFonts w:hint="default" w:ascii="Times New Roman" w:hAnsi="Times New Roman" w:cs="Times New Roman"/>
                <w:color w:val="auto"/>
                <w:szCs w:val="21"/>
                <w:highlight w:val="none"/>
              </w:rPr>
              <w:t>.5</w:t>
            </w:r>
          </w:p>
        </w:tc>
        <w:tc>
          <w:tcPr>
            <w:tcW w:w="2067" w:type="dxa"/>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w:t>
            </w:r>
          </w:p>
        </w:tc>
      </w:tr>
    </w:tbl>
    <w:p>
      <w:pPr>
        <w:adjustRightInd w:val="0"/>
        <w:snapToGrid w:val="0"/>
        <w:spacing w:line="360" w:lineRule="auto"/>
        <w:rPr>
          <w:rFonts w:eastAsiaTheme="minorEastAsia"/>
          <w:color w:val="auto"/>
          <w:sz w:val="24"/>
          <w:highlight w:val="none"/>
        </w:rPr>
      </w:pPr>
    </w:p>
    <w:p>
      <w:pPr>
        <w:adjustRightInd w:val="0"/>
        <w:snapToGrid w:val="0"/>
        <w:spacing w:line="360" w:lineRule="auto"/>
        <w:ind w:firstLine="480" w:firstLineChars="200"/>
        <w:rPr>
          <w:rFonts w:eastAsiaTheme="minorEastAsia"/>
          <w:color w:val="auto"/>
          <w:sz w:val="24"/>
          <w:highlight w:val="none"/>
        </w:rPr>
      </w:pPr>
    </w:p>
    <w:p>
      <w:pPr>
        <w:pStyle w:val="5"/>
        <w:numPr>
          <w:ilvl w:val="0"/>
          <w:numId w:val="14"/>
        </w:numPr>
        <w:tabs>
          <w:tab w:val="left" w:pos="360"/>
          <w:tab w:val="clear" w:pos="432"/>
        </w:tabs>
        <w:adjustRightInd w:val="0"/>
        <w:snapToGrid w:val="0"/>
        <w:spacing w:before="0" w:after="0" w:line="360" w:lineRule="auto"/>
        <w:rPr>
          <w:rFonts w:eastAsia="黑体"/>
          <w:b w:val="0"/>
          <w:bCs w:val="0"/>
          <w:color w:val="auto"/>
          <w:sz w:val="28"/>
          <w:szCs w:val="28"/>
          <w:highlight w:val="none"/>
        </w:rPr>
        <w:sectPr>
          <w:pgSz w:w="11906" w:h="16838"/>
          <w:pgMar w:top="1418" w:right="1418" w:bottom="1418" w:left="1474" w:header="851" w:footer="992" w:gutter="0"/>
          <w:pgBorders>
            <w:top w:val="none" w:sz="0" w:space="0"/>
            <w:left w:val="none" w:sz="0" w:space="0"/>
            <w:bottom w:val="none" w:sz="0" w:space="0"/>
            <w:right w:val="none" w:sz="0" w:space="0"/>
          </w:pgBorders>
          <w:pgNumType w:fmt="decimal"/>
          <w:cols w:space="425" w:num="1"/>
          <w:docGrid w:linePitch="312" w:charSpace="0"/>
        </w:sectPr>
      </w:pPr>
      <w:bookmarkStart w:id="75" w:name="_Toc519063297"/>
    </w:p>
    <w:p>
      <w:pPr>
        <w:pStyle w:val="5"/>
        <w:numPr>
          <w:ilvl w:val="0"/>
          <w:numId w:val="14"/>
        </w:numPr>
        <w:tabs>
          <w:tab w:val="left" w:pos="360"/>
          <w:tab w:val="clear" w:pos="432"/>
        </w:tabs>
        <w:adjustRightInd w:val="0"/>
        <w:snapToGrid w:val="0"/>
        <w:spacing w:before="0" w:after="0" w:line="360" w:lineRule="auto"/>
        <w:rPr>
          <w:rFonts w:eastAsia="黑体"/>
          <w:b w:val="0"/>
          <w:bCs w:val="0"/>
          <w:color w:val="auto"/>
          <w:sz w:val="28"/>
          <w:szCs w:val="28"/>
          <w:highlight w:val="none"/>
        </w:rPr>
      </w:pPr>
      <w:bookmarkStart w:id="76" w:name="_Toc530655598"/>
      <w:bookmarkStart w:id="77" w:name="_Toc8583"/>
      <w:r>
        <w:rPr>
          <w:rFonts w:hint="eastAsia" w:eastAsia="黑体"/>
          <w:b w:val="0"/>
          <w:bCs w:val="0"/>
          <w:color w:val="auto"/>
          <w:sz w:val="28"/>
          <w:szCs w:val="28"/>
          <w:highlight w:val="none"/>
        </w:rPr>
        <w:t>区域环境</w:t>
      </w:r>
      <w:r>
        <w:rPr>
          <w:rFonts w:eastAsia="黑体"/>
          <w:b w:val="0"/>
          <w:bCs w:val="0"/>
          <w:color w:val="auto"/>
          <w:sz w:val="28"/>
          <w:szCs w:val="28"/>
          <w:highlight w:val="none"/>
        </w:rPr>
        <w:t>变化评价</w:t>
      </w:r>
      <w:bookmarkEnd w:id="75"/>
      <w:bookmarkEnd w:id="76"/>
      <w:bookmarkEnd w:id="77"/>
    </w:p>
    <w:p>
      <w:pPr>
        <w:pStyle w:val="6"/>
        <w:numPr>
          <w:ilvl w:val="0"/>
          <w:numId w:val="0"/>
        </w:numPr>
        <w:tabs>
          <w:tab w:val="left" w:pos="540"/>
          <w:tab w:val="left" w:pos="720"/>
        </w:tabs>
        <w:adjustRightInd w:val="0"/>
        <w:snapToGrid w:val="0"/>
        <w:spacing w:before="0" w:after="0" w:line="360" w:lineRule="auto"/>
        <w:rPr>
          <w:rFonts w:ascii="Times New Roman" w:hAnsi="Times New Roman"/>
          <w:b w:val="0"/>
          <w:bCs w:val="0"/>
          <w:color w:val="auto"/>
          <w:sz w:val="24"/>
          <w:szCs w:val="24"/>
          <w:highlight w:val="none"/>
          <w:lang w:val="zh-CN"/>
        </w:rPr>
      </w:pPr>
      <w:bookmarkStart w:id="78" w:name="_Toc519063298"/>
      <w:bookmarkStart w:id="79" w:name="_Toc396207027"/>
      <w:bookmarkStart w:id="80" w:name="_Toc530655599"/>
      <w:bookmarkStart w:id="81" w:name="_Toc257792370"/>
      <w:bookmarkStart w:id="82" w:name="_Toc27040"/>
      <w:bookmarkStart w:id="83" w:name="_Toc360778973"/>
      <w:r>
        <w:rPr>
          <w:rFonts w:hint="eastAsia" w:ascii="Times New Roman" w:hAnsi="Times New Roman"/>
          <w:b w:val="0"/>
          <w:bCs w:val="0"/>
          <w:color w:val="auto"/>
          <w:sz w:val="24"/>
          <w:szCs w:val="24"/>
          <w:highlight w:val="none"/>
          <w:lang w:val="zh-CN"/>
        </w:rPr>
        <w:t xml:space="preserve">3.1 </w:t>
      </w:r>
      <w:r>
        <w:rPr>
          <w:rFonts w:ascii="Times New Roman" w:hAnsi="Times New Roman"/>
          <w:b w:val="0"/>
          <w:bCs w:val="0"/>
          <w:color w:val="auto"/>
          <w:sz w:val="24"/>
          <w:szCs w:val="24"/>
          <w:highlight w:val="none"/>
          <w:lang w:val="zh-CN"/>
        </w:rPr>
        <w:t>自然环境概况</w:t>
      </w:r>
      <w:bookmarkEnd w:id="78"/>
      <w:bookmarkEnd w:id="79"/>
      <w:bookmarkEnd w:id="80"/>
      <w:bookmarkEnd w:id="81"/>
      <w:bookmarkEnd w:id="82"/>
      <w:bookmarkEnd w:id="83"/>
    </w:p>
    <w:p>
      <w:pPr>
        <w:pStyle w:val="7"/>
        <w:numPr>
          <w:ilvl w:val="0"/>
          <w:numId w:val="0"/>
        </w:numPr>
        <w:tabs>
          <w:tab w:val="left" w:pos="903"/>
        </w:tabs>
        <w:adjustRightInd w:val="0"/>
        <w:snapToGrid w:val="0"/>
        <w:spacing w:before="0" w:after="0" w:line="360" w:lineRule="auto"/>
        <w:jc w:val="left"/>
        <w:rPr>
          <w:rFonts w:eastAsia="黑体"/>
          <w:b w:val="0"/>
          <w:color w:val="auto"/>
          <w:sz w:val="24"/>
          <w:szCs w:val="24"/>
          <w:highlight w:val="none"/>
        </w:rPr>
      </w:pPr>
      <w:bookmarkStart w:id="84" w:name="_Toc257792371"/>
      <w:r>
        <w:rPr>
          <w:rFonts w:eastAsia="黑体"/>
          <w:b w:val="0"/>
          <w:color w:val="auto"/>
          <w:sz w:val="24"/>
          <w:szCs w:val="24"/>
          <w:highlight w:val="none"/>
        </w:rPr>
        <w:t>3.1.1 地理位置</w:t>
      </w:r>
      <w:bookmarkEnd w:id="84"/>
    </w:p>
    <w:p>
      <w:pPr>
        <w:adjustRightInd w:val="0"/>
        <w:snapToGrid w:val="0"/>
        <w:spacing w:line="360" w:lineRule="auto"/>
        <w:ind w:firstLine="480" w:firstLineChars="200"/>
        <w:rPr>
          <w:color w:val="auto"/>
          <w:sz w:val="24"/>
          <w:highlight w:val="none"/>
        </w:rPr>
      </w:pPr>
      <w:r>
        <w:rPr>
          <w:rFonts w:hint="eastAsia"/>
          <w:color w:val="auto"/>
          <w:sz w:val="24"/>
          <w:highlight w:val="none"/>
          <w:lang w:eastAsia="zh-CN"/>
        </w:rPr>
        <w:t>西海岸新</w:t>
      </w:r>
      <w:r>
        <w:rPr>
          <w:color w:val="auto"/>
          <w:sz w:val="24"/>
          <w:highlight w:val="none"/>
        </w:rPr>
        <w:t>区位于青岛市</w:t>
      </w:r>
      <w:r>
        <w:rPr>
          <w:color w:val="auto"/>
          <w:highlight w:val="none"/>
        </w:rPr>
        <w:fldChar w:fldCharType="begin"/>
      </w:r>
      <w:r>
        <w:rPr>
          <w:color w:val="auto"/>
          <w:highlight w:val="none"/>
        </w:rPr>
        <w:instrText xml:space="preserve"> HYPERLINK "http://baike.baidu.com/view/49745.htm" \t "_blank" </w:instrText>
      </w:r>
      <w:r>
        <w:rPr>
          <w:color w:val="auto"/>
          <w:highlight w:val="none"/>
        </w:rPr>
        <w:fldChar w:fldCharType="separate"/>
      </w:r>
      <w:r>
        <w:rPr>
          <w:rStyle w:val="42"/>
          <w:color w:val="auto"/>
          <w:sz w:val="24"/>
          <w:highlight w:val="none"/>
          <w:u w:val="none"/>
        </w:rPr>
        <w:t>胶州</w:t>
      </w:r>
      <w:r>
        <w:rPr>
          <w:rStyle w:val="42"/>
          <w:color w:val="auto"/>
          <w:sz w:val="24"/>
          <w:highlight w:val="none"/>
          <w:u w:val="none"/>
        </w:rPr>
        <w:fldChar w:fldCharType="end"/>
      </w:r>
      <w:r>
        <w:rPr>
          <w:color w:val="auto"/>
          <w:sz w:val="24"/>
          <w:highlight w:val="none"/>
        </w:rPr>
        <w:t>湾西海岸，东经119°30′</w:t>
      </w:r>
      <w:r>
        <w:rPr>
          <w:rFonts w:hint="eastAsia"/>
          <w:color w:val="auto"/>
          <w:sz w:val="24"/>
          <w:highlight w:val="none"/>
        </w:rPr>
        <w:t>-</w:t>
      </w:r>
      <w:r>
        <w:rPr>
          <w:color w:val="auto"/>
          <w:sz w:val="24"/>
          <w:highlight w:val="none"/>
        </w:rPr>
        <w:t>120°18′，北纬35°</w:t>
      </w:r>
      <w:r>
        <w:rPr>
          <w:rFonts w:hint="eastAsia"/>
          <w:color w:val="auto"/>
          <w:sz w:val="24"/>
          <w:highlight w:val="none"/>
        </w:rPr>
        <w:t>35</w:t>
      </w:r>
      <w:r>
        <w:rPr>
          <w:color w:val="auto"/>
          <w:sz w:val="24"/>
          <w:highlight w:val="none"/>
        </w:rPr>
        <w:t>′</w:t>
      </w:r>
      <w:r>
        <w:rPr>
          <w:rFonts w:hint="eastAsia"/>
          <w:color w:val="auto"/>
          <w:sz w:val="24"/>
          <w:highlight w:val="none"/>
        </w:rPr>
        <w:t>-</w:t>
      </w:r>
      <w:r>
        <w:rPr>
          <w:color w:val="auto"/>
          <w:sz w:val="24"/>
          <w:highlight w:val="none"/>
        </w:rPr>
        <w:t>36°0</w:t>
      </w:r>
      <w:r>
        <w:rPr>
          <w:rFonts w:hint="eastAsia"/>
          <w:color w:val="auto"/>
          <w:sz w:val="24"/>
          <w:highlight w:val="none"/>
        </w:rPr>
        <w:t>8</w:t>
      </w:r>
      <w:r>
        <w:rPr>
          <w:color w:val="auto"/>
          <w:sz w:val="24"/>
          <w:highlight w:val="none"/>
        </w:rPr>
        <w:t>′</w:t>
      </w:r>
      <w:r>
        <w:rPr>
          <w:rFonts w:hint="eastAsia"/>
          <w:color w:val="auto"/>
          <w:sz w:val="24"/>
          <w:highlight w:val="none"/>
        </w:rPr>
        <w:t>。</w:t>
      </w:r>
      <w:r>
        <w:rPr>
          <w:color w:val="auto"/>
          <w:sz w:val="24"/>
          <w:highlight w:val="none"/>
        </w:rPr>
        <w:t>2012年12月1日按照国务院的批复，撤销青岛市黄岛区、县级胶南市，设立新的青岛市黄岛区，以原青岛市黄岛区、县级胶南市的行政区域为新的黄岛区的行政区域</w:t>
      </w:r>
      <w:r>
        <w:rPr>
          <w:rFonts w:hint="eastAsia"/>
          <w:color w:val="auto"/>
          <w:sz w:val="24"/>
          <w:highlight w:val="none"/>
        </w:rPr>
        <w:t>。2014年6月3日经国务院批复同意设立青岛西海岸新区，包括黄岛区全部行政区域，即青岛市经济技术开发区和原胶南市全部行政区域，其中陆域面积约2096平方公里、海域面积约5000平方公里。</w:t>
      </w:r>
    </w:p>
    <w:p>
      <w:pPr>
        <w:adjustRightInd w:val="0"/>
        <w:snapToGrid w:val="0"/>
        <w:spacing w:line="360" w:lineRule="auto"/>
        <w:ind w:firstLine="480" w:firstLineChars="200"/>
        <w:rPr>
          <w:color w:val="auto"/>
          <w:sz w:val="24"/>
          <w:highlight w:val="none"/>
        </w:rPr>
      </w:pPr>
      <w:r>
        <w:rPr>
          <w:rFonts w:hint="eastAsia"/>
          <w:color w:val="auto"/>
          <w:sz w:val="24"/>
          <w:highlight w:val="none"/>
        </w:rPr>
        <w:t>青岛源润宏防腐精饰科技有限公司位于</w:t>
      </w:r>
      <w:r>
        <w:rPr>
          <w:rFonts w:hint="eastAsia"/>
          <w:color w:val="auto"/>
          <w:sz w:val="24"/>
          <w:highlight w:val="none"/>
          <w:lang w:eastAsia="zh-CN"/>
        </w:rPr>
        <w:t>青岛西海岸新区</w:t>
      </w:r>
      <w:r>
        <w:rPr>
          <w:rFonts w:hint="eastAsia"/>
          <w:color w:val="auto"/>
          <w:sz w:val="24"/>
          <w:highlight w:val="none"/>
        </w:rPr>
        <w:t>黄河东路139号青岛经济技术开发区电镀工业园内，区域</w:t>
      </w:r>
      <w:r>
        <w:rPr>
          <w:color w:val="auto"/>
          <w:sz w:val="24"/>
          <w:highlight w:val="none"/>
        </w:rPr>
        <w:t>内道路、供水、供电、供热</w:t>
      </w:r>
      <w:r>
        <w:rPr>
          <w:rFonts w:hint="eastAsia"/>
          <w:color w:val="auto"/>
          <w:sz w:val="24"/>
          <w:highlight w:val="none"/>
        </w:rPr>
        <w:t>、排水等配套</w:t>
      </w:r>
      <w:r>
        <w:rPr>
          <w:color w:val="auto"/>
          <w:sz w:val="24"/>
          <w:highlight w:val="none"/>
        </w:rPr>
        <w:t>设施完善</w:t>
      </w:r>
      <w:r>
        <w:rPr>
          <w:rFonts w:hint="eastAsia"/>
          <w:color w:val="auto"/>
          <w:sz w:val="24"/>
          <w:highlight w:val="none"/>
        </w:rPr>
        <w:t>。</w:t>
      </w:r>
    </w:p>
    <w:p>
      <w:pPr>
        <w:pStyle w:val="7"/>
        <w:numPr>
          <w:ilvl w:val="0"/>
          <w:numId w:val="0"/>
        </w:numPr>
        <w:tabs>
          <w:tab w:val="left" w:pos="903"/>
        </w:tabs>
        <w:adjustRightInd w:val="0"/>
        <w:snapToGrid w:val="0"/>
        <w:spacing w:before="0" w:after="0" w:line="360" w:lineRule="auto"/>
        <w:jc w:val="left"/>
        <w:rPr>
          <w:rFonts w:eastAsia="黑体"/>
          <w:b w:val="0"/>
          <w:color w:val="auto"/>
          <w:sz w:val="24"/>
          <w:szCs w:val="24"/>
          <w:highlight w:val="none"/>
        </w:rPr>
      </w:pPr>
      <w:r>
        <w:rPr>
          <w:rFonts w:hint="eastAsia" w:eastAsia="黑体"/>
          <w:b w:val="0"/>
          <w:color w:val="auto"/>
          <w:sz w:val="24"/>
          <w:szCs w:val="24"/>
          <w:highlight w:val="none"/>
        </w:rPr>
        <w:t>3.1.2 地形地貌</w:t>
      </w:r>
    </w:p>
    <w:p>
      <w:pPr>
        <w:adjustRightInd w:val="0"/>
        <w:snapToGrid w:val="0"/>
        <w:spacing w:line="360" w:lineRule="auto"/>
        <w:ind w:firstLine="480" w:firstLineChars="200"/>
        <w:rPr>
          <w:rFonts w:hint="eastAsia"/>
          <w:color w:val="auto"/>
          <w:kern w:val="0"/>
          <w:sz w:val="24"/>
          <w:highlight w:val="none"/>
        </w:rPr>
      </w:pPr>
      <w:r>
        <w:rPr>
          <w:rFonts w:hint="eastAsia"/>
          <w:color w:val="auto"/>
          <w:kern w:val="0"/>
          <w:sz w:val="24"/>
          <w:highlight w:val="none"/>
          <w:lang w:eastAsia="zh-CN"/>
        </w:rPr>
        <w:t>西海岸新区</w:t>
      </w:r>
      <w:r>
        <w:rPr>
          <w:rFonts w:hint="eastAsia"/>
          <w:color w:val="auto"/>
          <w:kern w:val="0"/>
          <w:sz w:val="24"/>
          <w:highlight w:val="none"/>
        </w:rPr>
        <w:t>位于胶州湾的西侧海域，地形特征是西部高、东部较低，呈丘陵状，</w:t>
      </w:r>
    </w:p>
    <w:p>
      <w:pPr>
        <w:adjustRightInd w:val="0"/>
        <w:snapToGrid w:val="0"/>
        <w:spacing w:line="360" w:lineRule="auto"/>
        <w:ind w:firstLine="480" w:firstLineChars="200"/>
        <w:rPr>
          <w:rFonts w:hint="eastAsia"/>
          <w:color w:val="auto"/>
          <w:kern w:val="0"/>
          <w:sz w:val="24"/>
          <w:highlight w:val="none"/>
        </w:rPr>
      </w:pPr>
      <w:r>
        <w:rPr>
          <w:rFonts w:hint="eastAsia"/>
          <w:color w:val="auto"/>
          <w:kern w:val="0"/>
          <w:sz w:val="24"/>
          <w:highlight w:val="none"/>
        </w:rPr>
        <w:t>全区地形起伏较小。地质构造简单，地震活动微弱，区域稳定性好，区域内部分地段基岩裸露，部分基岩埋深较浅，可做天然地基，地基稳定性良好，区域内存在软岩脉并且软岩脉与围岩的风化差异大。</w:t>
      </w:r>
    </w:p>
    <w:p>
      <w:pPr>
        <w:adjustRightInd w:val="0"/>
        <w:snapToGrid w:val="0"/>
        <w:spacing w:line="360" w:lineRule="auto"/>
        <w:ind w:firstLine="480" w:firstLineChars="200"/>
        <w:rPr>
          <w:rFonts w:hint="eastAsia"/>
          <w:color w:val="auto"/>
          <w:kern w:val="0"/>
          <w:sz w:val="24"/>
          <w:highlight w:val="none"/>
        </w:rPr>
      </w:pPr>
      <w:r>
        <w:rPr>
          <w:rFonts w:hint="eastAsia"/>
          <w:color w:val="auto"/>
          <w:kern w:val="0"/>
          <w:sz w:val="24"/>
          <w:highlight w:val="none"/>
          <w:lang w:eastAsia="zh-CN"/>
        </w:rPr>
        <w:t>西海岸</w:t>
      </w:r>
      <w:r>
        <w:rPr>
          <w:rFonts w:hint="eastAsia"/>
          <w:color w:val="auto"/>
          <w:kern w:val="0"/>
          <w:sz w:val="24"/>
          <w:highlight w:val="none"/>
        </w:rPr>
        <w:t>区位于鲁中大断裂以东，属于鲁东地盾区，从地层结构看，下元古界胶南群的片岩，片麻岩、燕山晚期侵入岩等，主要分布在小珠山山麓，中生界白垩系青山组砂岩、砂砾岩、夹粉砂岩、页岩，分布于薛家岛办事处东部、北部及黄岛东北部。</w:t>
      </w:r>
    </w:p>
    <w:p>
      <w:pPr>
        <w:adjustRightInd w:val="0"/>
        <w:snapToGrid w:val="0"/>
        <w:spacing w:line="360" w:lineRule="auto"/>
        <w:ind w:firstLine="480" w:firstLineChars="200"/>
        <w:rPr>
          <w:color w:val="auto"/>
          <w:sz w:val="24"/>
          <w:highlight w:val="none"/>
        </w:rPr>
      </w:pPr>
      <w:r>
        <w:rPr>
          <w:rFonts w:hint="eastAsia"/>
          <w:color w:val="auto"/>
          <w:kern w:val="0"/>
          <w:sz w:val="24"/>
          <w:highlight w:val="none"/>
        </w:rPr>
        <w:t>项目所在区域范围内地壳稳定性良好，未发现有明显活动的断裂构造，场区内无不良工程地质现象存在，从勘察资料分析，本场区内的地基土分布均匀，层位稳定，中粗砂、粉质粘土互层为主，局部存在粗砂夹层，该区域内属相对稳定的地质体</w:t>
      </w:r>
      <w:r>
        <w:rPr>
          <w:color w:val="auto"/>
          <w:sz w:val="24"/>
          <w:highlight w:val="none"/>
        </w:rPr>
        <w:t>。</w:t>
      </w:r>
    </w:p>
    <w:p>
      <w:pPr>
        <w:pStyle w:val="7"/>
        <w:numPr>
          <w:ilvl w:val="0"/>
          <w:numId w:val="0"/>
        </w:numPr>
        <w:tabs>
          <w:tab w:val="left" w:pos="903"/>
        </w:tabs>
        <w:adjustRightInd w:val="0"/>
        <w:snapToGrid w:val="0"/>
        <w:spacing w:before="0" w:after="0" w:line="360" w:lineRule="auto"/>
        <w:jc w:val="left"/>
        <w:rPr>
          <w:rFonts w:eastAsia="黑体"/>
          <w:b w:val="0"/>
          <w:color w:val="auto"/>
          <w:sz w:val="24"/>
          <w:szCs w:val="24"/>
          <w:highlight w:val="none"/>
        </w:rPr>
      </w:pPr>
      <w:bookmarkStart w:id="85" w:name="_Toc257792373"/>
      <w:r>
        <w:rPr>
          <w:rFonts w:hint="eastAsia" w:eastAsia="黑体"/>
          <w:b w:val="0"/>
          <w:color w:val="auto"/>
          <w:sz w:val="24"/>
          <w:szCs w:val="24"/>
          <w:highlight w:val="none"/>
        </w:rPr>
        <w:t xml:space="preserve">3.1.2 </w:t>
      </w:r>
      <w:r>
        <w:rPr>
          <w:rFonts w:eastAsia="黑体"/>
          <w:b w:val="0"/>
          <w:color w:val="auto"/>
          <w:sz w:val="24"/>
          <w:szCs w:val="24"/>
          <w:highlight w:val="none"/>
        </w:rPr>
        <w:t>气候气象</w:t>
      </w:r>
      <w:bookmarkEnd w:id="85"/>
    </w:p>
    <w:p>
      <w:pPr>
        <w:snapToGrid w:val="0"/>
        <w:spacing w:line="360" w:lineRule="auto"/>
        <w:ind w:firstLine="480" w:firstLineChars="200"/>
        <w:rPr>
          <w:color w:val="auto"/>
          <w:kern w:val="0"/>
          <w:sz w:val="24"/>
          <w:highlight w:val="none"/>
        </w:rPr>
      </w:pPr>
      <w:bookmarkStart w:id="86" w:name="_Toc257792374"/>
      <w:r>
        <w:rPr>
          <w:rFonts w:hint="eastAsia"/>
          <w:color w:val="auto"/>
          <w:kern w:val="0"/>
          <w:sz w:val="24"/>
          <w:highlight w:val="none"/>
          <w:lang w:eastAsia="zh-CN"/>
        </w:rPr>
        <w:t>西海岸新区</w:t>
      </w:r>
      <w:r>
        <w:rPr>
          <w:color w:val="auto"/>
          <w:kern w:val="0"/>
          <w:sz w:val="24"/>
          <w:highlight w:val="none"/>
        </w:rPr>
        <w:t>地处沿海，位于山东半岛中东部地区，为海洋性季风气候，气温较低，年降雨量适中，夏季凉爽而潮湿，冬季寒冷而湿润，四季分明，无霜期202天，年日照2447.1小时。年降水量750~900毫米，年平均降水798.3毫米，年降水日数83~97天，气温≥10℃期间，年降水量约540~800毫米，。平均暴雨日数2~4天，一日最大降水量达130~470毫米，局部在470毫米以上，年平均湿度在70%以上，为全省相对湿度高值区。</w:t>
      </w:r>
    </w:p>
    <w:p>
      <w:pPr>
        <w:adjustRightInd w:val="0"/>
        <w:snapToGrid w:val="0"/>
        <w:spacing w:line="360" w:lineRule="auto"/>
        <w:ind w:firstLine="480" w:firstLineChars="200"/>
        <w:rPr>
          <w:color w:val="auto"/>
          <w:sz w:val="24"/>
          <w:highlight w:val="none"/>
        </w:rPr>
      </w:pPr>
      <w:r>
        <w:rPr>
          <w:rFonts w:hint="eastAsia"/>
          <w:color w:val="auto"/>
          <w:kern w:val="0"/>
          <w:sz w:val="24"/>
          <w:highlight w:val="none"/>
          <w:lang w:eastAsia="zh-CN"/>
        </w:rPr>
        <w:t>西海岸新区</w:t>
      </w:r>
      <w:r>
        <w:rPr>
          <w:color w:val="auto"/>
          <w:kern w:val="0"/>
          <w:sz w:val="24"/>
          <w:highlight w:val="none"/>
        </w:rPr>
        <w:t>地处北温带季风区域内，暖温带半湿润大陆性气候，空气湿润，雨量充沛，温度适中，四季分明，有明显的海洋气候特点，具有春寒、夏凉、秋爽、冬暖的气候特征，是天然的避暑胜地。年平均气温12.5°C；夏季平均气温23°；最热的7月份平均气温25°C；最冷的1月份平均气温1.3°C；平均降雨量696.6mm；年无霜期平均为200天；风速平均2.8m/s，年平均瞬时风力大于8级天数为71天，以东南风为主导风向</w:t>
      </w:r>
      <w:r>
        <w:rPr>
          <w:color w:val="auto"/>
          <w:sz w:val="24"/>
          <w:highlight w:val="none"/>
        </w:rPr>
        <w:t>。</w:t>
      </w:r>
    </w:p>
    <w:bookmarkEnd w:id="86"/>
    <w:p>
      <w:pPr>
        <w:pStyle w:val="7"/>
        <w:numPr>
          <w:ilvl w:val="0"/>
          <w:numId w:val="0"/>
        </w:numPr>
        <w:tabs>
          <w:tab w:val="left" w:pos="903"/>
        </w:tabs>
        <w:adjustRightInd w:val="0"/>
        <w:snapToGrid w:val="0"/>
        <w:spacing w:before="0" w:after="0" w:line="360" w:lineRule="auto"/>
        <w:jc w:val="left"/>
        <w:rPr>
          <w:rFonts w:hint="eastAsia" w:eastAsia="黑体"/>
          <w:b w:val="0"/>
          <w:color w:val="auto"/>
          <w:sz w:val="24"/>
          <w:szCs w:val="24"/>
          <w:highlight w:val="none"/>
          <w:lang w:eastAsia="zh-CN"/>
        </w:rPr>
      </w:pPr>
      <w:r>
        <w:rPr>
          <w:rFonts w:hint="eastAsia" w:eastAsia="黑体"/>
          <w:b w:val="0"/>
          <w:color w:val="auto"/>
          <w:sz w:val="24"/>
          <w:szCs w:val="24"/>
          <w:highlight w:val="none"/>
        </w:rPr>
        <w:t xml:space="preserve">3.1.3 </w:t>
      </w:r>
      <w:r>
        <w:rPr>
          <w:rFonts w:hint="eastAsia" w:eastAsia="黑体"/>
          <w:b w:val="0"/>
          <w:color w:val="auto"/>
          <w:sz w:val="24"/>
          <w:szCs w:val="24"/>
          <w:highlight w:val="none"/>
          <w:lang w:eastAsia="zh-CN"/>
        </w:rPr>
        <w:t>水文状况</w:t>
      </w:r>
    </w:p>
    <w:p>
      <w:pPr>
        <w:autoSpaceDE w:val="0"/>
        <w:autoSpaceDN w:val="0"/>
        <w:spacing w:line="360" w:lineRule="auto"/>
        <w:ind w:firstLine="480" w:firstLineChars="200"/>
        <w:jc w:val="left"/>
        <w:rPr>
          <w:rFonts w:ascii="Times New Roman" w:eastAsia="宋体"/>
          <w:color w:val="auto"/>
          <w:sz w:val="24"/>
          <w:highlight w:val="none"/>
        </w:rPr>
      </w:pPr>
      <w:r>
        <w:rPr>
          <w:rFonts w:hint="eastAsia" w:ascii="Times New Roman" w:eastAsia="宋体"/>
          <w:color w:val="auto"/>
          <w:sz w:val="24"/>
          <w:highlight w:val="none"/>
        </w:rPr>
        <w:t>西海岸新区属于严重缺水城区，降雨分布不均，年内变化较大，地表蓄水条件差，调蓄能力小。多年平均降水量</w:t>
      </w:r>
      <w:r>
        <w:rPr>
          <w:rFonts w:ascii="Times New Roman" w:eastAsia="宋体"/>
          <w:color w:val="auto"/>
          <w:sz w:val="24"/>
          <w:highlight w:val="none"/>
        </w:rPr>
        <w:t>775.6mm</w:t>
      </w:r>
      <w:r>
        <w:rPr>
          <w:rFonts w:hint="eastAsia" w:ascii="Times New Roman" w:eastAsia="宋体"/>
          <w:color w:val="auto"/>
          <w:sz w:val="24"/>
          <w:highlight w:val="none"/>
        </w:rPr>
        <w:t>，平均蒸发量则为</w:t>
      </w:r>
      <w:r>
        <w:rPr>
          <w:rFonts w:ascii="Times New Roman" w:eastAsia="宋体"/>
          <w:color w:val="auto"/>
          <w:sz w:val="24"/>
          <w:highlight w:val="none"/>
        </w:rPr>
        <w:t>1472.6mm</w:t>
      </w:r>
      <w:r>
        <w:rPr>
          <w:rFonts w:hint="eastAsia" w:ascii="Times New Roman" w:eastAsia="宋体"/>
          <w:color w:val="auto"/>
          <w:sz w:val="24"/>
          <w:highlight w:val="none"/>
        </w:rPr>
        <w:t>，多年平均水资源总量为</w:t>
      </w:r>
      <w:r>
        <w:rPr>
          <w:rFonts w:ascii="Times New Roman" w:eastAsia="宋体"/>
          <w:color w:val="auto"/>
          <w:sz w:val="24"/>
          <w:highlight w:val="none"/>
        </w:rPr>
        <w:t>5746.19</w:t>
      </w:r>
      <w:r>
        <w:rPr>
          <w:rFonts w:hint="eastAsia" w:ascii="Times New Roman" w:eastAsia="宋体"/>
          <w:color w:val="auto"/>
          <w:sz w:val="24"/>
          <w:highlight w:val="none"/>
        </w:rPr>
        <w:t>×</w:t>
      </w:r>
      <w:r>
        <w:rPr>
          <w:rFonts w:ascii="Times New Roman" w:eastAsia="宋体"/>
          <w:color w:val="auto"/>
          <w:sz w:val="24"/>
          <w:highlight w:val="none"/>
        </w:rPr>
        <w:t>104m</w:t>
      </w:r>
      <w:r>
        <w:rPr>
          <w:rFonts w:ascii="Times New Roman" w:eastAsia="宋体"/>
          <w:color w:val="auto"/>
          <w:sz w:val="24"/>
          <w:highlight w:val="none"/>
          <w:vertAlign w:val="superscript"/>
        </w:rPr>
        <w:t>3</w:t>
      </w:r>
      <w:r>
        <w:rPr>
          <w:rFonts w:hint="eastAsia" w:ascii="Times New Roman" w:eastAsia="宋体"/>
          <w:color w:val="auto"/>
          <w:sz w:val="24"/>
          <w:highlight w:val="none"/>
        </w:rPr>
        <w:t>，多年平均水资源模数为</w:t>
      </w:r>
      <w:r>
        <w:rPr>
          <w:rFonts w:ascii="Times New Roman" w:eastAsia="宋体"/>
          <w:color w:val="auto"/>
          <w:sz w:val="24"/>
          <w:highlight w:val="none"/>
        </w:rPr>
        <w:t>20.5</w:t>
      </w:r>
      <w:r>
        <w:rPr>
          <w:rFonts w:hint="eastAsia" w:ascii="Times New Roman" w:eastAsia="宋体"/>
          <w:color w:val="auto"/>
          <w:sz w:val="24"/>
          <w:highlight w:val="none"/>
        </w:rPr>
        <w:t>×</w:t>
      </w:r>
      <w:r>
        <w:rPr>
          <w:rFonts w:ascii="Times New Roman" w:eastAsia="宋体"/>
          <w:color w:val="auto"/>
          <w:sz w:val="24"/>
          <w:highlight w:val="none"/>
        </w:rPr>
        <w:t>104m</w:t>
      </w:r>
      <w:r>
        <w:rPr>
          <w:rFonts w:ascii="Times New Roman" w:eastAsia="宋体"/>
          <w:color w:val="auto"/>
          <w:sz w:val="24"/>
          <w:highlight w:val="none"/>
          <w:vertAlign w:val="superscript"/>
        </w:rPr>
        <w:t>3</w:t>
      </w:r>
      <w:r>
        <w:rPr>
          <w:rFonts w:hint="eastAsia" w:ascii="Times New Roman" w:eastAsia="宋体"/>
          <w:color w:val="auto"/>
          <w:sz w:val="24"/>
          <w:highlight w:val="none"/>
        </w:rPr>
        <w:t>。</w:t>
      </w:r>
    </w:p>
    <w:p>
      <w:pPr>
        <w:tabs>
          <w:tab w:val="left" w:pos="1080"/>
        </w:tabs>
        <w:adjustRightInd w:val="0"/>
        <w:snapToGrid w:val="0"/>
        <w:spacing w:line="360" w:lineRule="auto"/>
        <w:ind w:firstLine="480" w:firstLineChars="200"/>
        <w:rPr>
          <w:color w:val="auto"/>
          <w:sz w:val="24"/>
          <w:highlight w:val="none"/>
        </w:rPr>
      </w:pPr>
      <w:r>
        <w:rPr>
          <w:rFonts w:hint="eastAsia" w:ascii="Times New Roman" w:eastAsia="宋体"/>
          <w:color w:val="auto"/>
          <w:sz w:val="24"/>
          <w:highlight w:val="none"/>
        </w:rPr>
        <w:t>西海岸新区河流属东南沿海水系，均为季节性河流。因境内山水相连，形成了源短流急，单独直接入海的特点。较大的河流有辛安前河、辛安后河、南辛安河等</w:t>
      </w:r>
      <w:r>
        <w:rPr>
          <w:rFonts w:ascii="Times New Roman" w:eastAsia="宋体"/>
          <w:color w:val="auto"/>
          <w:sz w:val="24"/>
          <w:highlight w:val="none"/>
        </w:rPr>
        <w:t xml:space="preserve">11 </w:t>
      </w:r>
      <w:r>
        <w:rPr>
          <w:rFonts w:hint="eastAsia" w:ascii="Times New Roman" w:eastAsia="宋体"/>
          <w:color w:val="auto"/>
          <w:sz w:val="24"/>
          <w:highlight w:val="none"/>
        </w:rPr>
        <w:t>条河流；河流总长</w:t>
      </w:r>
      <w:r>
        <w:rPr>
          <w:rFonts w:ascii="Times New Roman" w:eastAsia="宋体"/>
          <w:color w:val="auto"/>
          <w:sz w:val="24"/>
          <w:highlight w:val="none"/>
        </w:rPr>
        <w:t>34km</w:t>
      </w:r>
      <w:r>
        <w:rPr>
          <w:rFonts w:hint="eastAsia" w:ascii="Times New Roman" w:eastAsia="宋体"/>
          <w:color w:val="auto"/>
          <w:sz w:val="24"/>
          <w:highlight w:val="none"/>
        </w:rPr>
        <w:t>，流域面积</w:t>
      </w:r>
      <w:r>
        <w:rPr>
          <w:rFonts w:ascii="Times New Roman" w:eastAsia="宋体"/>
          <w:color w:val="auto"/>
          <w:sz w:val="24"/>
          <w:highlight w:val="none"/>
        </w:rPr>
        <w:t>83.2km2</w:t>
      </w:r>
      <w:r>
        <w:rPr>
          <w:rFonts w:hint="eastAsia" w:ascii="Times New Roman" w:eastAsia="宋体"/>
          <w:color w:val="auto"/>
          <w:sz w:val="24"/>
          <w:highlight w:val="none"/>
        </w:rPr>
        <w:t>。区内拦蓄水利工程有：中型水库一座，小</w:t>
      </w:r>
      <w:r>
        <w:rPr>
          <w:rFonts w:hint="eastAsia"/>
          <w:color w:val="auto"/>
          <w:sz w:val="24"/>
          <w:highlight w:val="none"/>
          <w:lang w:eastAsia="zh-CN"/>
        </w:rPr>
        <w:t>(</w:t>
      </w:r>
      <w:r>
        <w:rPr>
          <w:rFonts w:hint="eastAsia" w:ascii="Times New Roman" w:eastAsia="宋体"/>
          <w:color w:val="auto"/>
          <w:sz w:val="24"/>
          <w:highlight w:val="none"/>
        </w:rPr>
        <w:t>一</w:t>
      </w:r>
      <w:r>
        <w:rPr>
          <w:rFonts w:hint="eastAsia"/>
          <w:color w:val="auto"/>
          <w:sz w:val="24"/>
          <w:highlight w:val="none"/>
          <w:lang w:eastAsia="zh-CN"/>
        </w:rPr>
        <w:t>)</w:t>
      </w:r>
      <w:r>
        <w:rPr>
          <w:rFonts w:hint="eastAsia" w:ascii="Times New Roman" w:eastAsia="宋体"/>
          <w:color w:val="auto"/>
          <w:sz w:val="24"/>
          <w:highlight w:val="none"/>
        </w:rPr>
        <w:t>型水库</w:t>
      </w:r>
      <w:r>
        <w:rPr>
          <w:rFonts w:ascii="Times New Roman" w:eastAsia="宋体"/>
          <w:color w:val="auto"/>
          <w:sz w:val="24"/>
          <w:highlight w:val="none"/>
        </w:rPr>
        <w:t xml:space="preserve">7 </w:t>
      </w:r>
      <w:r>
        <w:rPr>
          <w:rFonts w:hint="eastAsia" w:ascii="Times New Roman" w:eastAsia="宋体"/>
          <w:color w:val="auto"/>
          <w:sz w:val="24"/>
          <w:highlight w:val="none"/>
        </w:rPr>
        <w:t>座，小</w:t>
      </w:r>
      <w:r>
        <w:rPr>
          <w:rFonts w:hint="eastAsia"/>
          <w:color w:val="auto"/>
          <w:sz w:val="24"/>
          <w:highlight w:val="none"/>
          <w:lang w:eastAsia="zh-CN"/>
        </w:rPr>
        <w:t>(</w:t>
      </w:r>
      <w:r>
        <w:rPr>
          <w:rFonts w:hint="eastAsia" w:ascii="Times New Roman" w:eastAsia="宋体"/>
          <w:color w:val="auto"/>
          <w:sz w:val="24"/>
          <w:highlight w:val="none"/>
        </w:rPr>
        <w:t>二</w:t>
      </w:r>
      <w:r>
        <w:rPr>
          <w:rFonts w:hint="eastAsia"/>
          <w:color w:val="auto"/>
          <w:sz w:val="24"/>
          <w:highlight w:val="none"/>
          <w:lang w:eastAsia="zh-CN"/>
        </w:rPr>
        <w:t>)</w:t>
      </w:r>
      <w:r>
        <w:rPr>
          <w:rFonts w:hint="eastAsia" w:ascii="Times New Roman" w:eastAsia="宋体"/>
          <w:color w:val="auto"/>
          <w:sz w:val="24"/>
          <w:highlight w:val="none"/>
        </w:rPr>
        <w:t>型水库</w:t>
      </w:r>
      <w:r>
        <w:rPr>
          <w:rFonts w:ascii="Times New Roman" w:eastAsia="宋体"/>
          <w:color w:val="auto"/>
          <w:sz w:val="24"/>
          <w:highlight w:val="none"/>
        </w:rPr>
        <w:t xml:space="preserve">21 </w:t>
      </w:r>
      <w:r>
        <w:rPr>
          <w:rFonts w:hint="eastAsia" w:ascii="Times New Roman" w:eastAsia="宋体"/>
          <w:color w:val="auto"/>
          <w:sz w:val="24"/>
          <w:highlight w:val="none"/>
        </w:rPr>
        <w:t>座，拦河闸</w:t>
      </w:r>
      <w:r>
        <w:rPr>
          <w:rFonts w:ascii="Times New Roman" w:eastAsia="宋体"/>
          <w:color w:val="auto"/>
          <w:sz w:val="24"/>
          <w:highlight w:val="none"/>
        </w:rPr>
        <w:t xml:space="preserve">20 </w:t>
      </w:r>
      <w:r>
        <w:rPr>
          <w:rFonts w:hint="eastAsia" w:ascii="Times New Roman" w:eastAsia="宋体"/>
          <w:color w:val="auto"/>
          <w:sz w:val="24"/>
          <w:highlight w:val="none"/>
        </w:rPr>
        <w:t>座，塘坝</w:t>
      </w:r>
      <w:r>
        <w:rPr>
          <w:rFonts w:ascii="Times New Roman" w:eastAsia="宋体"/>
          <w:color w:val="auto"/>
          <w:sz w:val="24"/>
          <w:highlight w:val="none"/>
        </w:rPr>
        <w:t>147</w:t>
      </w:r>
      <w:r>
        <w:rPr>
          <w:rFonts w:hint="eastAsia" w:ascii="Times New Roman" w:eastAsia="宋体"/>
          <w:color w:val="auto"/>
          <w:sz w:val="24"/>
          <w:highlight w:val="none"/>
        </w:rPr>
        <w:t>座，总蓄水能力达</w:t>
      </w:r>
      <w:r>
        <w:rPr>
          <w:rFonts w:ascii="Times New Roman" w:eastAsia="宋体"/>
          <w:color w:val="auto"/>
          <w:sz w:val="24"/>
          <w:highlight w:val="none"/>
        </w:rPr>
        <w:t>2346.4</w:t>
      </w:r>
      <w:r>
        <w:rPr>
          <w:rFonts w:hint="eastAsia" w:ascii="Times New Roman" w:eastAsia="宋体"/>
          <w:color w:val="auto"/>
          <w:sz w:val="24"/>
          <w:highlight w:val="none"/>
        </w:rPr>
        <w:t>×</w:t>
      </w:r>
      <w:r>
        <w:rPr>
          <w:rFonts w:ascii="Times New Roman" w:eastAsia="宋体"/>
          <w:color w:val="auto"/>
          <w:sz w:val="24"/>
          <w:highlight w:val="none"/>
        </w:rPr>
        <w:t>104m</w:t>
      </w:r>
      <w:r>
        <w:rPr>
          <w:rFonts w:ascii="Times New Roman" w:eastAsia="宋体"/>
          <w:color w:val="auto"/>
          <w:sz w:val="24"/>
          <w:highlight w:val="none"/>
          <w:vertAlign w:val="superscript"/>
        </w:rPr>
        <w:t>3</w:t>
      </w:r>
      <w:r>
        <w:rPr>
          <w:rFonts w:hint="eastAsia" w:ascii="Times New Roman" w:eastAsia="宋体"/>
          <w:color w:val="auto"/>
          <w:sz w:val="24"/>
          <w:highlight w:val="none"/>
        </w:rPr>
        <w:t>，年平均拦蓄水量</w:t>
      </w:r>
      <w:r>
        <w:rPr>
          <w:rFonts w:ascii="Times New Roman" w:eastAsia="宋体"/>
          <w:color w:val="auto"/>
          <w:sz w:val="24"/>
          <w:highlight w:val="none"/>
        </w:rPr>
        <w:t>605</w:t>
      </w:r>
      <w:r>
        <w:rPr>
          <w:rFonts w:hint="eastAsia" w:ascii="Times New Roman" w:eastAsia="宋体"/>
          <w:color w:val="auto"/>
          <w:sz w:val="24"/>
          <w:highlight w:val="none"/>
        </w:rPr>
        <w:t>×</w:t>
      </w:r>
      <w:r>
        <w:rPr>
          <w:rFonts w:ascii="Times New Roman" w:eastAsia="宋体"/>
          <w:color w:val="auto"/>
          <w:sz w:val="24"/>
          <w:highlight w:val="none"/>
        </w:rPr>
        <w:t>104m</w:t>
      </w:r>
      <w:r>
        <w:rPr>
          <w:rFonts w:ascii="Times New Roman" w:eastAsia="宋体"/>
          <w:color w:val="auto"/>
          <w:sz w:val="24"/>
          <w:highlight w:val="none"/>
          <w:vertAlign w:val="superscript"/>
        </w:rPr>
        <w:t>3</w:t>
      </w:r>
      <w:r>
        <w:rPr>
          <w:color w:val="auto"/>
          <w:sz w:val="24"/>
          <w:highlight w:val="none"/>
        </w:rPr>
        <w:t>。</w:t>
      </w:r>
    </w:p>
    <w:p>
      <w:pPr>
        <w:pStyle w:val="7"/>
        <w:numPr>
          <w:ilvl w:val="0"/>
          <w:numId w:val="0"/>
        </w:numPr>
        <w:tabs>
          <w:tab w:val="left" w:pos="903"/>
        </w:tabs>
        <w:adjustRightInd w:val="0"/>
        <w:snapToGrid w:val="0"/>
        <w:spacing w:before="0" w:after="0" w:line="360" w:lineRule="auto"/>
        <w:jc w:val="left"/>
        <w:rPr>
          <w:rFonts w:hint="eastAsia" w:eastAsia="黑体"/>
          <w:b w:val="0"/>
          <w:color w:val="auto"/>
          <w:sz w:val="24"/>
          <w:szCs w:val="24"/>
          <w:highlight w:val="none"/>
          <w:lang w:eastAsia="zh-CN"/>
        </w:rPr>
      </w:pPr>
      <w:bookmarkStart w:id="87" w:name="_Toc257792375"/>
      <w:r>
        <w:rPr>
          <w:rFonts w:hint="eastAsia" w:eastAsia="黑体"/>
          <w:b w:val="0"/>
          <w:color w:val="auto"/>
          <w:sz w:val="24"/>
          <w:szCs w:val="24"/>
          <w:highlight w:val="none"/>
        </w:rPr>
        <w:t xml:space="preserve">3.1.4 </w:t>
      </w:r>
      <w:r>
        <w:rPr>
          <w:rFonts w:hint="eastAsia" w:eastAsia="黑体"/>
          <w:b w:val="0"/>
          <w:color w:val="auto"/>
          <w:sz w:val="24"/>
          <w:szCs w:val="24"/>
          <w:highlight w:val="none"/>
          <w:lang w:eastAsia="zh-CN"/>
        </w:rPr>
        <w:t>胶州湾</w:t>
      </w:r>
      <w:r>
        <w:rPr>
          <w:rFonts w:eastAsia="黑体"/>
          <w:b w:val="0"/>
          <w:color w:val="auto"/>
          <w:sz w:val="24"/>
          <w:szCs w:val="24"/>
          <w:highlight w:val="none"/>
        </w:rPr>
        <w:t>海域</w:t>
      </w:r>
      <w:bookmarkEnd w:id="87"/>
      <w:r>
        <w:rPr>
          <w:rFonts w:hint="eastAsia" w:eastAsia="黑体"/>
          <w:b w:val="0"/>
          <w:color w:val="auto"/>
          <w:sz w:val="24"/>
          <w:szCs w:val="24"/>
          <w:highlight w:val="none"/>
          <w:lang w:eastAsia="zh-CN"/>
        </w:rPr>
        <w:t>特征</w:t>
      </w:r>
    </w:p>
    <w:p>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胶州湾属于青岛市内湾，其东西最大宽度为25km，南北最大跨距为32km，湾口最狭处仅3km，总水域面积390km</w:t>
      </w:r>
      <w:r>
        <w:rPr>
          <w:rFonts w:hint="eastAsia"/>
          <w:color w:val="auto"/>
          <w:sz w:val="24"/>
          <w:highlight w:val="none"/>
          <w:vertAlign w:val="superscript"/>
        </w:rPr>
        <w:t>2</w:t>
      </w:r>
      <w:r>
        <w:rPr>
          <w:rFonts w:hint="eastAsia"/>
          <w:color w:val="auto"/>
          <w:sz w:val="24"/>
          <w:highlight w:val="none"/>
        </w:rPr>
        <w:t>，浅海滩涂131km2。湾内潮汐为正规半日浅海潮，最高潮位5.36m，最低潮位-0.62m，平均高潮位3.77m，平均低潮位1.00m，每个太阳日(24时48分)有两次高潮和两次低潮。潮差为1.9~3.5m，大潮差发生于朔或望(上弦或下弦)日后2~3天。8月份的潮位比1月份的潮位一般高出0.5m。潮汐周期约为12小时25分钟，涨潮时间短，落潮时间长，两者相差约1小时10分。百年一遇高潮位3.08m，百年一遇低潮位-3.31m。</w:t>
      </w:r>
    </w:p>
    <w:p>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每日涨落潮各两次，潮流基本上为往复流，但因为湾内地形复杂，湾内水体的水动力条件亦比较复杂。从总体上看，湾内中、南部水体交换活跃，紫荆能力强；东北部和</w:t>
      </w:r>
    </w:p>
    <w:p>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西北部水体交换滞缓，自净能力较弱。湾口狭窄，封闭性好，底质以泥沙为主，浅海区坡度小，适于开发利用，故湾内水域浅海养殖和滩涂养殖业较发达。</w:t>
      </w:r>
    </w:p>
    <w:p>
      <w:pPr>
        <w:adjustRightInd w:val="0"/>
        <w:snapToGrid w:val="0"/>
        <w:spacing w:line="360" w:lineRule="auto"/>
        <w:ind w:firstLine="480" w:firstLineChars="200"/>
        <w:rPr>
          <w:color w:val="auto"/>
          <w:sz w:val="24"/>
          <w:highlight w:val="none"/>
        </w:rPr>
      </w:pPr>
      <w:r>
        <w:rPr>
          <w:rFonts w:hint="eastAsia"/>
          <w:color w:val="auto"/>
          <w:sz w:val="24"/>
          <w:highlight w:val="none"/>
        </w:rPr>
        <w:t>胶州湾内的侵蚀地貌主要有三类，一类为侵蚀深槽延伸方向为 NNE、N、NW，以沧口水道最典型，二类为侵蚀洼地，在中沙礁西北及黄岛和团岛之间分布，水深在30m~40m 之间；第三类水下侵蚀岩礁和平台系在沿岸区。堆积地貌有潮流砂脊，分布在潮流水道两侧，水下堆积平原分布在近岸浅水地带，以西部海区最典型。水下浅滩则分布在湾北部和黄岛前湾以及海两湾内</w:t>
      </w:r>
      <w:r>
        <w:rPr>
          <w:color w:val="auto"/>
          <w:sz w:val="24"/>
          <w:highlight w:val="none"/>
        </w:rPr>
        <w:t>。</w:t>
      </w:r>
    </w:p>
    <w:p>
      <w:pPr>
        <w:pStyle w:val="7"/>
        <w:numPr>
          <w:ilvl w:val="0"/>
          <w:numId w:val="0"/>
        </w:numPr>
        <w:tabs>
          <w:tab w:val="left" w:pos="903"/>
        </w:tabs>
        <w:adjustRightInd w:val="0"/>
        <w:snapToGrid w:val="0"/>
        <w:spacing w:before="0" w:after="0" w:line="360" w:lineRule="auto"/>
        <w:jc w:val="left"/>
        <w:rPr>
          <w:rFonts w:hint="eastAsia" w:eastAsia="黑体"/>
          <w:b w:val="0"/>
          <w:color w:val="auto"/>
          <w:sz w:val="24"/>
          <w:szCs w:val="24"/>
          <w:highlight w:val="none"/>
          <w:lang w:eastAsia="zh-CN"/>
        </w:rPr>
      </w:pPr>
      <w:r>
        <w:rPr>
          <w:rFonts w:hint="eastAsia" w:eastAsia="黑体"/>
          <w:b w:val="0"/>
          <w:color w:val="auto"/>
          <w:sz w:val="24"/>
          <w:szCs w:val="24"/>
          <w:highlight w:val="none"/>
        </w:rPr>
        <w:t xml:space="preserve">3.1.5 </w:t>
      </w:r>
      <w:r>
        <w:rPr>
          <w:rFonts w:hint="eastAsia" w:eastAsia="黑体"/>
          <w:b w:val="0"/>
          <w:color w:val="auto"/>
          <w:sz w:val="24"/>
          <w:szCs w:val="24"/>
          <w:highlight w:val="none"/>
          <w:lang w:eastAsia="zh-CN"/>
        </w:rPr>
        <w:t>土壤及生态环境</w:t>
      </w:r>
    </w:p>
    <w:p>
      <w:pPr>
        <w:adjustRightInd/>
        <w:snapToGrid/>
        <w:spacing w:line="360" w:lineRule="auto"/>
        <w:ind w:firstLine="480" w:firstLineChars="200"/>
        <w:rPr>
          <w:rFonts w:ascii="Times New Roman" w:eastAsia="宋体"/>
          <w:color w:val="auto"/>
          <w:sz w:val="24"/>
          <w:highlight w:val="none"/>
        </w:rPr>
      </w:pPr>
      <w:r>
        <w:rPr>
          <w:rFonts w:ascii="Times New Roman" w:eastAsia="宋体"/>
          <w:color w:val="auto"/>
          <w:sz w:val="24"/>
          <w:highlight w:val="none"/>
        </w:rPr>
        <w:t>境内多为棕壤土和潮土两类，分布规律为由高处到低处，依次为棕壤性土、棕壤、潮棕壤，土体随地形的起伏由高处到低处逐渐增厚。</w:t>
      </w:r>
    </w:p>
    <w:p>
      <w:pPr>
        <w:adjustRightInd w:val="0"/>
        <w:snapToGrid w:val="0"/>
        <w:spacing w:line="360" w:lineRule="auto"/>
        <w:ind w:firstLine="480" w:firstLineChars="200"/>
        <w:rPr>
          <w:color w:val="auto"/>
          <w:sz w:val="24"/>
          <w:highlight w:val="none"/>
        </w:rPr>
      </w:pPr>
      <w:r>
        <w:rPr>
          <w:rFonts w:ascii="Times New Roman" w:eastAsia="宋体"/>
          <w:color w:val="auto"/>
          <w:sz w:val="24"/>
          <w:highlight w:val="none"/>
        </w:rPr>
        <w:t>青岛西海岸新区地处温带，气候属于温带季风性气候区，其植被区系多属温带植物。主要落叶乔木有毛白杨、枰柳、小叶扬、旱柳、榆树等，常绿乔木有侧柏、赤松、黑松等，灌木主要有枸桔、酸枣、柽柳、荆条、卫矛等，藤本林木主要有葛藤、枸杞、金银花、地锦等</w:t>
      </w:r>
      <w:r>
        <w:rPr>
          <w:color w:val="auto"/>
          <w:sz w:val="24"/>
          <w:highlight w:val="none"/>
        </w:rPr>
        <w:t>。</w:t>
      </w:r>
    </w:p>
    <w:p>
      <w:pPr>
        <w:adjustRightInd w:val="0"/>
        <w:snapToGrid w:val="0"/>
        <w:spacing w:line="360" w:lineRule="auto"/>
        <w:outlineLvl w:val="1"/>
        <w:rPr>
          <w:rFonts w:hint="eastAsia" w:eastAsia="黑体"/>
          <w:color w:val="auto"/>
          <w:sz w:val="24"/>
          <w:highlight w:val="none"/>
          <w:lang w:val="en-US" w:eastAsia="zh-CN"/>
        </w:rPr>
      </w:pPr>
      <w:bookmarkStart w:id="88" w:name="_Toc30963"/>
      <w:bookmarkStart w:id="89" w:name="_Toc530655600"/>
      <w:r>
        <w:rPr>
          <w:rFonts w:hint="eastAsia" w:eastAsia="黑体"/>
          <w:color w:val="auto"/>
          <w:sz w:val="24"/>
          <w:highlight w:val="none"/>
        </w:rPr>
        <w:t>3.2</w:t>
      </w:r>
      <w:r>
        <w:rPr>
          <w:rFonts w:eastAsia="黑体"/>
          <w:color w:val="auto"/>
          <w:sz w:val="24"/>
          <w:highlight w:val="none"/>
        </w:rPr>
        <w:t>项目与</w:t>
      </w:r>
      <w:r>
        <w:rPr>
          <w:rFonts w:hint="eastAsia" w:eastAsia="黑体"/>
          <w:color w:val="auto"/>
          <w:sz w:val="24"/>
          <w:highlight w:val="none"/>
          <w:lang w:val="en-US" w:eastAsia="zh-CN"/>
        </w:rPr>
        <w:t>相关法规、文件符合性分析</w:t>
      </w:r>
      <w:bookmarkEnd w:id="88"/>
    </w:p>
    <w:p>
      <w:pPr>
        <w:pStyle w:val="7"/>
        <w:numPr>
          <w:ilvl w:val="0"/>
          <w:numId w:val="0"/>
        </w:numPr>
        <w:tabs>
          <w:tab w:val="left" w:pos="903"/>
        </w:tabs>
        <w:adjustRightInd w:val="0"/>
        <w:snapToGrid w:val="0"/>
        <w:spacing w:before="0" w:after="0" w:line="360" w:lineRule="auto"/>
        <w:jc w:val="left"/>
        <w:rPr>
          <w:rFonts w:hint="eastAsia" w:ascii="Times New Roman" w:hAnsi="Times New Roman" w:eastAsia="黑体" w:cs="Times New Roman"/>
          <w:b w:val="0"/>
          <w:color w:val="auto"/>
          <w:sz w:val="24"/>
          <w:szCs w:val="24"/>
          <w:highlight w:val="none"/>
          <w:lang w:eastAsia="zh-CN"/>
        </w:rPr>
      </w:pPr>
      <w:r>
        <w:rPr>
          <w:rFonts w:hint="eastAsia" w:ascii="Times New Roman" w:hAnsi="Times New Roman" w:eastAsia="黑体" w:cs="Times New Roman"/>
          <w:b w:val="0"/>
          <w:color w:val="auto"/>
          <w:sz w:val="24"/>
          <w:szCs w:val="24"/>
          <w:highlight w:val="none"/>
          <w:lang w:val="en-US" w:eastAsia="zh-CN"/>
        </w:rPr>
        <w:t>3.2.1</w:t>
      </w:r>
      <w:r>
        <w:rPr>
          <w:rFonts w:hint="eastAsia" w:ascii="Times New Roman" w:hAnsi="Times New Roman" w:eastAsia="黑体" w:cs="Times New Roman"/>
          <w:b w:val="0"/>
          <w:color w:val="auto"/>
          <w:sz w:val="24"/>
          <w:szCs w:val="24"/>
          <w:highlight w:val="none"/>
          <w:lang w:eastAsia="zh-CN"/>
        </w:rPr>
        <w:t>《山东省生态保护红线规划(2016-2020年)》符合性分析</w:t>
      </w:r>
      <w:bookmarkEnd w:id="89"/>
    </w:p>
    <w:p>
      <w:pPr>
        <w:adjustRightInd w:val="0"/>
        <w:snapToGrid w:val="0"/>
        <w:spacing w:line="360" w:lineRule="auto"/>
        <w:ind w:firstLine="480" w:firstLineChars="200"/>
        <w:rPr>
          <w:color w:val="auto"/>
          <w:sz w:val="24"/>
          <w:highlight w:val="none"/>
        </w:rPr>
      </w:pPr>
      <w:r>
        <w:rPr>
          <w:color w:val="auto"/>
          <w:sz w:val="24"/>
          <w:highlight w:val="none"/>
        </w:rPr>
        <w:t>根据《山东省生态保护红线规划(2016-20</w:t>
      </w:r>
      <w:r>
        <w:rPr>
          <w:rFonts w:hint="eastAsia"/>
          <w:color w:val="auto"/>
          <w:sz w:val="24"/>
          <w:highlight w:val="none"/>
        </w:rPr>
        <w:t>20年)图集》，该项目用地与各生态保护红线范围相对位置关系见附图</w:t>
      </w:r>
      <w:r>
        <w:rPr>
          <w:rFonts w:hint="eastAsia"/>
          <w:color w:val="auto"/>
          <w:sz w:val="24"/>
          <w:highlight w:val="none"/>
          <w:lang w:val="en-US" w:eastAsia="zh-CN"/>
        </w:rPr>
        <w:t>6</w:t>
      </w:r>
      <w:r>
        <w:rPr>
          <w:rFonts w:hint="eastAsia"/>
          <w:color w:val="auto"/>
          <w:sz w:val="24"/>
          <w:highlight w:val="none"/>
        </w:rPr>
        <w:t>。由附图可知，项目所在位置不在生态保护红线范围内，不违反《山东省生态保护红线规划(2016-2020年)》相关规定。</w:t>
      </w:r>
    </w:p>
    <w:p>
      <w:pPr>
        <w:pStyle w:val="7"/>
        <w:numPr>
          <w:ilvl w:val="0"/>
          <w:numId w:val="0"/>
        </w:numPr>
        <w:tabs>
          <w:tab w:val="left" w:pos="903"/>
        </w:tabs>
        <w:adjustRightInd w:val="0"/>
        <w:snapToGrid w:val="0"/>
        <w:spacing w:before="0" w:after="0" w:line="360" w:lineRule="auto"/>
        <w:jc w:val="left"/>
        <w:rPr>
          <w:rFonts w:hint="eastAsia" w:ascii="Times New Roman" w:hAnsi="Times New Roman" w:eastAsia="黑体" w:cs="Times New Roman"/>
          <w:b w:val="0"/>
          <w:color w:val="auto"/>
          <w:sz w:val="24"/>
          <w:szCs w:val="24"/>
          <w:highlight w:val="none"/>
          <w:lang w:val="en-US" w:eastAsia="zh-CN"/>
        </w:rPr>
      </w:pPr>
      <w:bookmarkStart w:id="90" w:name="_Toc530655601"/>
      <w:r>
        <w:rPr>
          <w:rFonts w:hint="eastAsia" w:ascii="Times New Roman" w:hAnsi="Times New Roman" w:eastAsia="黑体" w:cs="Times New Roman"/>
          <w:b w:val="0"/>
          <w:color w:val="auto"/>
          <w:sz w:val="24"/>
          <w:szCs w:val="24"/>
          <w:highlight w:val="none"/>
          <w:lang w:val="en-US" w:eastAsia="zh-CN"/>
        </w:rPr>
        <w:t>3.2.2“三线一单”的符合性分析</w:t>
      </w:r>
      <w:bookmarkEnd w:id="90"/>
    </w:p>
    <w:p>
      <w:pPr>
        <w:adjustRightInd w:val="0"/>
        <w:snapToGrid w:val="0"/>
        <w:spacing w:line="360" w:lineRule="auto"/>
        <w:ind w:firstLine="480" w:firstLineChars="200"/>
        <w:rPr>
          <w:rFonts w:hint="eastAsia" w:ascii="微软雅黑" w:hAnsi="微软雅黑" w:cs="宋体"/>
          <w:color w:val="auto"/>
          <w:kern w:val="0"/>
          <w:sz w:val="24"/>
          <w:highlight w:val="none"/>
          <w:shd w:val="clear" w:color="auto" w:fill="FFFFFF"/>
        </w:rPr>
      </w:pPr>
      <w:r>
        <w:rPr>
          <w:rFonts w:hint="eastAsia"/>
          <w:color w:val="auto"/>
          <w:sz w:val="24"/>
          <w:highlight w:val="none"/>
        </w:rPr>
        <w:t>项目与“三线一单”符合性分析见表3.3-1。</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eastAsia="黑体"/>
          <w:color w:val="auto"/>
          <w:sz w:val="24"/>
          <w:szCs w:val="24"/>
          <w:highlight w:val="none"/>
        </w:rPr>
      </w:pPr>
      <w:r>
        <w:rPr>
          <w:rFonts w:eastAsia="黑体"/>
          <w:color w:val="auto"/>
          <w:sz w:val="24"/>
          <w:szCs w:val="24"/>
          <w:highlight w:val="none"/>
        </w:rPr>
        <w:t>表</w:t>
      </w:r>
      <w:r>
        <w:rPr>
          <w:rFonts w:hint="eastAsia" w:eastAsia="黑体"/>
          <w:color w:val="auto"/>
          <w:sz w:val="24"/>
          <w:szCs w:val="24"/>
          <w:highlight w:val="none"/>
        </w:rPr>
        <w:t>3.3</w:t>
      </w:r>
      <w:r>
        <w:rPr>
          <w:rFonts w:eastAsia="黑体"/>
          <w:color w:val="auto"/>
          <w:sz w:val="24"/>
          <w:szCs w:val="24"/>
          <w:highlight w:val="none"/>
        </w:rPr>
        <w:t>-</w:t>
      </w:r>
      <w:r>
        <w:rPr>
          <w:rFonts w:hint="eastAsia" w:eastAsia="黑体"/>
          <w:color w:val="auto"/>
          <w:sz w:val="24"/>
          <w:szCs w:val="24"/>
          <w:highlight w:val="none"/>
        </w:rPr>
        <w:t>1</w:t>
      </w:r>
      <w:r>
        <w:rPr>
          <w:rFonts w:eastAsia="黑体"/>
          <w:color w:val="auto"/>
          <w:sz w:val="24"/>
          <w:szCs w:val="24"/>
          <w:highlight w:val="none"/>
        </w:rPr>
        <w:t xml:space="preserve">  “三线一单”符合性分析</w:t>
      </w:r>
    </w:p>
    <w:tbl>
      <w:tblPr>
        <w:tblStyle w:val="36"/>
        <w:tblW w:w="9286" w:type="dxa"/>
        <w:tblInd w:w="0" w:type="dxa"/>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081"/>
        <w:gridCol w:w="6562"/>
        <w:gridCol w:w="1643"/>
      </w:tblGrid>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081" w:type="dxa"/>
            <w:vAlign w:val="center"/>
          </w:tcPr>
          <w:p>
            <w:pPr>
              <w:pStyle w:val="35"/>
              <w:spacing w:after="0"/>
              <w:ind w:left="0" w:leftChars="0" w:firstLine="0" w:firstLineChars="0"/>
              <w:jc w:val="center"/>
              <w:rPr>
                <w:b/>
                <w:bCs/>
                <w:color w:val="auto"/>
                <w:szCs w:val="21"/>
                <w:highlight w:val="none"/>
              </w:rPr>
            </w:pPr>
            <w:r>
              <w:rPr>
                <w:rFonts w:hint="eastAsia"/>
                <w:b/>
                <w:bCs/>
                <w:color w:val="auto"/>
                <w:szCs w:val="21"/>
                <w:highlight w:val="none"/>
              </w:rPr>
              <w:t>内容</w:t>
            </w:r>
          </w:p>
        </w:tc>
        <w:tc>
          <w:tcPr>
            <w:tcW w:w="6562" w:type="dxa"/>
            <w:vAlign w:val="center"/>
          </w:tcPr>
          <w:p>
            <w:pPr>
              <w:pStyle w:val="35"/>
              <w:spacing w:after="0"/>
              <w:ind w:left="0" w:leftChars="0" w:firstLine="0" w:firstLineChars="0"/>
              <w:jc w:val="center"/>
              <w:rPr>
                <w:b/>
                <w:bCs/>
                <w:color w:val="auto"/>
                <w:szCs w:val="21"/>
                <w:highlight w:val="none"/>
              </w:rPr>
            </w:pPr>
            <w:r>
              <w:rPr>
                <w:rFonts w:hint="eastAsia"/>
                <w:b/>
                <w:bCs/>
                <w:color w:val="auto"/>
                <w:szCs w:val="21"/>
                <w:highlight w:val="none"/>
              </w:rPr>
              <w:t>符合性分析</w:t>
            </w:r>
          </w:p>
        </w:tc>
        <w:tc>
          <w:tcPr>
            <w:tcW w:w="1643" w:type="dxa"/>
            <w:vAlign w:val="center"/>
          </w:tcPr>
          <w:p>
            <w:pPr>
              <w:pStyle w:val="35"/>
              <w:spacing w:after="0"/>
              <w:ind w:left="0" w:leftChars="0" w:firstLine="0" w:firstLineChars="0"/>
              <w:jc w:val="center"/>
              <w:rPr>
                <w:b/>
                <w:bCs/>
                <w:color w:val="auto"/>
                <w:szCs w:val="21"/>
                <w:highlight w:val="none"/>
              </w:rPr>
            </w:pPr>
            <w:r>
              <w:rPr>
                <w:rFonts w:hint="eastAsia"/>
                <w:b/>
                <w:bCs/>
                <w:color w:val="auto"/>
                <w:szCs w:val="21"/>
                <w:highlight w:val="none"/>
              </w:rPr>
              <w:t>整改措施建议</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081" w:type="dxa"/>
            <w:vAlign w:val="center"/>
          </w:tcPr>
          <w:p>
            <w:pPr>
              <w:pStyle w:val="35"/>
              <w:spacing w:after="0"/>
              <w:ind w:left="0" w:leftChars="0" w:firstLine="0" w:firstLineChars="0"/>
              <w:jc w:val="center"/>
              <w:rPr>
                <w:color w:val="auto"/>
                <w:szCs w:val="21"/>
                <w:highlight w:val="none"/>
              </w:rPr>
            </w:pPr>
            <w:r>
              <w:rPr>
                <w:rFonts w:hint="eastAsia"/>
                <w:color w:val="auto"/>
                <w:szCs w:val="21"/>
                <w:highlight w:val="none"/>
              </w:rPr>
              <w:t>生态保护红线</w:t>
            </w:r>
          </w:p>
        </w:tc>
        <w:tc>
          <w:tcPr>
            <w:tcW w:w="6562" w:type="dxa"/>
            <w:vAlign w:val="center"/>
          </w:tcPr>
          <w:p>
            <w:pPr>
              <w:pStyle w:val="35"/>
              <w:spacing w:after="0"/>
              <w:ind w:left="0" w:leftChars="0" w:firstLine="0" w:firstLineChars="0"/>
              <w:rPr>
                <w:color w:val="auto"/>
                <w:szCs w:val="21"/>
                <w:highlight w:val="none"/>
              </w:rPr>
            </w:pPr>
            <w:r>
              <w:rPr>
                <w:rFonts w:hint="eastAsia"/>
                <w:color w:val="auto"/>
                <w:szCs w:val="21"/>
                <w:highlight w:val="none"/>
              </w:rPr>
              <w:t>本项目位于</w:t>
            </w:r>
            <w:r>
              <w:rPr>
                <w:rFonts w:hint="eastAsia"/>
                <w:b w:val="0"/>
                <w:bCs/>
                <w:color w:val="auto"/>
                <w:szCs w:val="21"/>
                <w:highlight w:val="none"/>
                <w:lang w:eastAsia="zh-CN"/>
              </w:rPr>
              <w:t>青岛西海岸新区</w:t>
            </w:r>
            <w:r>
              <w:rPr>
                <w:rFonts w:hint="eastAsia"/>
                <w:b w:val="0"/>
                <w:bCs/>
                <w:color w:val="auto"/>
                <w:szCs w:val="21"/>
                <w:highlight w:val="none"/>
              </w:rPr>
              <w:t>黄河东路139号青岛经济技术开发区电镀工业园</w:t>
            </w:r>
            <w:r>
              <w:rPr>
                <w:rFonts w:hint="eastAsia"/>
                <w:color w:val="auto"/>
                <w:szCs w:val="21"/>
                <w:highlight w:val="none"/>
              </w:rPr>
              <w:t>内，周边无自然保护区、饮用水源保护区等生态保护目标，符合生态保护红线要求。</w:t>
            </w:r>
          </w:p>
        </w:tc>
        <w:tc>
          <w:tcPr>
            <w:tcW w:w="1643" w:type="dxa"/>
            <w:vAlign w:val="center"/>
          </w:tcPr>
          <w:p>
            <w:pPr>
              <w:pStyle w:val="35"/>
              <w:spacing w:after="0"/>
              <w:ind w:left="0" w:leftChars="0" w:firstLine="0" w:firstLineChars="0"/>
              <w:jc w:val="center"/>
              <w:rPr>
                <w:color w:val="auto"/>
                <w:szCs w:val="21"/>
                <w:highlight w:val="none"/>
              </w:rPr>
            </w:pPr>
            <w:r>
              <w:rPr>
                <w:rFonts w:hint="eastAsia"/>
                <w:color w:val="auto"/>
                <w:szCs w:val="21"/>
                <w:highlight w:val="none"/>
              </w:rPr>
              <w:t>/</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96" w:hRule="atLeast"/>
        </w:trPr>
        <w:tc>
          <w:tcPr>
            <w:tcW w:w="1081" w:type="dxa"/>
            <w:vAlign w:val="center"/>
          </w:tcPr>
          <w:p>
            <w:pPr>
              <w:pStyle w:val="35"/>
              <w:spacing w:after="0"/>
              <w:ind w:left="0" w:leftChars="0" w:firstLine="0" w:firstLineChars="0"/>
              <w:jc w:val="center"/>
              <w:rPr>
                <w:color w:val="auto"/>
                <w:szCs w:val="21"/>
                <w:highlight w:val="none"/>
              </w:rPr>
            </w:pPr>
            <w:r>
              <w:rPr>
                <w:rFonts w:hint="eastAsia"/>
                <w:color w:val="auto"/>
                <w:szCs w:val="21"/>
                <w:highlight w:val="none"/>
              </w:rPr>
              <w:t>资源利用上线</w:t>
            </w:r>
          </w:p>
        </w:tc>
        <w:tc>
          <w:tcPr>
            <w:tcW w:w="6562" w:type="dxa"/>
            <w:vAlign w:val="center"/>
          </w:tcPr>
          <w:p>
            <w:pPr>
              <w:pStyle w:val="35"/>
              <w:spacing w:after="0"/>
              <w:ind w:left="0" w:leftChars="0" w:firstLine="0" w:firstLineChars="0"/>
              <w:rPr>
                <w:color w:val="auto"/>
                <w:szCs w:val="21"/>
                <w:highlight w:val="none"/>
              </w:rPr>
            </w:pPr>
            <w:r>
              <w:rPr>
                <w:rFonts w:hint="eastAsia"/>
                <w:color w:val="auto"/>
                <w:szCs w:val="21"/>
                <w:highlight w:val="none"/>
              </w:rPr>
              <w:t>本项目营运过程中消耗一定量的电源、水资源等资源消耗，项目资源消耗量相对区域资源利用总量较少，符合资源利用上限要求。</w:t>
            </w:r>
          </w:p>
        </w:tc>
        <w:tc>
          <w:tcPr>
            <w:tcW w:w="1643" w:type="dxa"/>
            <w:vAlign w:val="center"/>
          </w:tcPr>
          <w:p>
            <w:pPr>
              <w:pStyle w:val="35"/>
              <w:spacing w:after="0"/>
              <w:ind w:left="0" w:leftChars="0" w:firstLine="0" w:firstLineChars="0"/>
              <w:jc w:val="center"/>
              <w:rPr>
                <w:color w:val="auto"/>
                <w:szCs w:val="21"/>
                <w:highlight w:val="none"/>
              </w:rPr>
            </w:pPr>
            <w:r>
              <w:rPr>
                <w:rFonts w:hint="eastAsia"/>
                <w:color w:val="auto"/>
                <w:szCs w:val="21"/>
                <w:highlight w:val="none"/>
              </w:rPr>
              <w:t>/</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081" w:type="dxa"/>
            <w:vAlign w:val="center"/>
          </w:tcPr>
          <w:p>
            <w:pPr>
              <w:pStyle w:val="35"/>
              <w:spacing w:after="0"/>
              <w:ind w:left="0" w:leftChars="0" w:firstLine="0" w:firstLineChars="0"/>
              <w:jc w:val="center"/>
              <w:rPr>
                <w:color w:val="auto"/>
                <w:szCs w:val="21"/>
                <w:highlight w:val="none"/>
              </w:rPr>
            </w:pPr>
            <w:r>
              <w:rPr>
                <w:rFonts w:hint="eastAsia"/>
                <w:color w:val="auto"/>
                <w:szCs w:val="21"/>
                <w:highlight w:val="none"/>
              </w:rPr>
              <w:t>环境质量底线</w:t>
            </w:r>
          </w:p>
        </w:tc>
        <w:tc>
          <w:tcPr>
            <w:tcW w:w="6562" w:type="dxa"/>
            <w:vAlign w:val="center"/>
          </w:tcPr>
          <w:p>
            <w:pPr>
              <w:rPr>
                <w:color w:val="auto"/>
                <w:szCs w:val="21"/>
                <w:highlight w:val="none"/>
              </w:rPr>
            </w:pPr>
            <w:r>
              <w:rPr>
                <w:rFonts w:hint="eastAsia"/>
                <w:color w:val="auto"/>
                <w:szCs w:val="21"/>
                <w:highlight w:val="none"/>
              </w:rPr>
              <w:t>项目所在区域</w:t>
            </w:r>
            <w:r>
              <w:rPr>
                <w:rFonts w:hint="eastAsia"/>
                <w:color w:val="auto"/>
                <w:szCs w:val="21"/>
                <w:highlight w:val="none"/>
                <w:lang w:val="en-US" w:eastAsia="zh-CN"/>
              </w:rPr>
              <w:t>地表水部分水质指标不</w:t>
            </w:r>
            <w:r>
              <w:rPr>
                <w:rFonts w:hint="eastAsia"/>
                <w:color w:val="auto"/>
                <w:szCs w:val="21"/>
                <w:highlight w:val="none"/>
              </w:rPr>
              <w:t>满足《地表水环境质量标准》(GB3838-2002)的V类水质标准</w:t>
            </w:r>
            <w:r>
              <w:rPr>
                <w:rFonts w:hint="eastAsia"/>
                <w:color w:val="auto"/>
                <w:szCs w:val="21"/>
                <w:highlight w:val="none"/>
                <w:lang w:eastAsia="zh-CN"/>
              </w:rPr>
              <w:t>；</w:t>
            </w:r>
            <w:r>
              <w:rPr>
                <w:rFonts w:hint="eastAsia"/>
                <w:color w:val="auto"/>
                <w:szCs w:val="21"/>
                <w:highlight w:val="none"/>
              </w:rPr>
              <w:t>地下水水质部分水质不能达到《地下水质量标准》(GB/T14848-</w:t>
            </w:r>
            <w:r>
              <w:rPr>
                <w:rFonts w:hint="eastAsia"/>
                <w:color w:val="auto"/>
                <w:szCs w:val="21"/>
                <w:highlight w:val="none"/>
                <w:lang w:val="en-US" w:eastAsia="zh-CN"/>
              </w:rPr>
              <w:t>2017</w:t>
            </w:r>
            <w:r>
              <w:rPr>
                <w:rFonts w:hint="eastAsia"/>
                <w:color w:val="auto"/>
                <w:szCs w:val="21"/>
                <w:highlight w:val="none"/>
              </w:rPr>
              <w:t>)Ⅲ类标准；本项目废水经过</w:t>
            </w:r>
            <w:r>
              <w:rPr>
                <w:rFonts w:hint="eastAsia"/>
                <w:color w:val="auto"/>
                <w:szCs w:val="21"/>
                <w:highlight w:val="none"/>
                <w:lang w:eastAsia="zh-CN"/>
              </w:rPr>
              <w:t>园区</w:t>
            </w:r>
            <w:r>
              <w:rPr>
                <w:rFonts w:hint="eastAsia"/>
                <w:color w:val="auto"/>
                <w:szCs w:val="21"/>
                <w:highlight w:val="none"/>
              </w:rPr>
              <w:t>内污水站处理后排入市政管网，对环境影响较小；环境空气基本满足《环境空气质量标准》(GB3095-2012)二级标准，本项目污染源为氯化氢、硫酸雾、甲基磺酸雾、氮氧化物、碱雾、铬酸雾、氨</w:t>
            </w:r>
            <w:r>
              <w:rPr>
                <w:rFonts w:hint="eastAsia"/>
                <w:color w:val="auto"/>
                <w:szCs w:val="21"/>
                <w:highlight w:val="none"/>
                <w:lang w:val="en-US" w:eastAsia="zh-CN"/>
              </w:rPr>
              <w:t>等</w:t>
            </w:r>
            <w:r>
              <w:rPr>
                <w:rFonts w:hint="eastAsia"/>
                <w:color w:val="auto"/>
                <w:szCs w:val="21"/>
                <w:highlight w:val="none"/>
              </w:rPr>
              <w:t>，经废气处理装置处理后，对周边环境影响很小；声环境质量满足相应的标准要求，符合环境质量底线要求。</w:t>
            </w:r>
          </w:p>
        </w:tc>
        <w:tc>
          <w:tcPr>
            <w:tcW w:w="1643" w:type="dxa"/>
            <w:vAlign w:val="center"/>
          </w:tcPr>
          <w:p>
            <w:pPr>
              <w:pStyle w:val="35"/>
              <w:spacing w:after="0"/>
              <w:ind w:left="0" w:leftChars="0" w:firstLine="0" w:firstLineChars="0"/>
              <w:jc w:val="both"/>
              <w:rPr>
                <w:color w:val="auto"/>
                <w:szCs w:val="21"/>
                <w:highlight w:val="none"/>
              </w:rPr>
            </w:pPr>
            <w:r>
              <w:rPr>
                <w:rFonts w:hint="eastAsia"/>
                <w:color w:val="auto"/>
                <w:szCs w:val="21"/>
                <w:highlight w:val="none"/>
              </w:rPr>
              <w:t>建议当地政府尽快落实完善周边企业污染源普查，监督企业做好节能节排等，改善地表水、地下水</w:t>
            </w:r>
            <w:r>
              <w:rPr>
                <w:rFonts w:hint="eastAsia"/>
                <w:color w:val="auto"/>
                <w:szCs w:val="21"/>
                <w:highlight w:val="none"/>
                <w:lang w:val="en-US" w:eastAsia="zh-CN"/>
              </w:rPr>
              <w:t>等环境</w:t>
            </w:r>
            <w:r>
              <w:rPr>
                <w:rFonts w:hint="eastAsia"/>
                <w:color w:val="auto"/>
                <w:szCs w:val="21"/>
                <w:highlight w:val="none"/>
              </w:rPr>
              <w:t>。</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081" w:type="dxa"/>
            <w:vAlign w:val="center"/>
          </w:tcPr>
          <w:p>
            <w:pPr>
              <w:pStyle w:val="35"/>
              <w:spacing w:after="0"/>
              <w:ind w:left="0" w:leftChars="0" w:firstLine="0" w:firstLineChars="0"/>
              <w:jc w:val="center"/>
              <w:rPr>
                <w:color w:val="auto"/>
                <w:szCs w:val="21"/>
                <w:highlight w:val="none"/>
              </w:rPr>
            </w:pPr>
            <w:r>
              <w:rPr>
                <w:rFonts w:hint="eastAsia"/>
                <w:color w:val="auto"/>
                <w:szCs w:val="21"/>
                <w:highlight w:val="none"/>
              </w:rPr>
              <w:t>负面清单</w:t>
            </w:r>
          </w:p>
        </w:tc>
        <w:tc>
          <w:tcPr>
            <w:tcW w:w="6562" w:type="dxa"/>
            <w:vAlign w:val="center"/>
          </w:tcPr>
          <w:p>
            <w:pPr>
              <w:pStyle w:val="35"/>
              <w:spacing w:after="0"/>
              <w:ind w:left="0" w:leftChars="0" w:firstLine="0" w:firstLineChars="0"/>
              <w:jc w:val="left"/>
              <w:rPr>
                <w:color w:val="auto"/>
                <w:szCs w:val="21"/>
                <w:highlight w:val="none"/>
              </w:rPr>
            </w:pPr>
            <w:r>
              <w:rPr>
                <w:rFonts w:hint="eastAsia"/>
                <w:color w:val="auto"/>
                <w:szCs w:val="21"/>
                <w:highlight w:val="none"/>
              </w:rPr>
              <w:t>本项目位于</w:t>
            </w:r>
            <w:r>
              <w:rPr>
                <w:rFonts w:hint="eastAsia"/>
                <w:b w:val="0"/>
                <w:bCs/>
                <w:color w:val="auto"/>
                <w:szCs w:val="21"/>
                <w:highlight w:val="none"/>
                <w:lang w:eastAsia="zh-CN"/>
              </w:rPr>
              <w:t>青岛西海岸新区</w:t>
            </w:r>
            <w:r>
              <w:rPr>
                <w:rFonts w:hint="eastAsia"/>
                <w:b w:val="0"/>
                <w:bCs/>
                <w:color w:val="auto"/>
                <w:szCs w:val="21"/>
                <w:highlight w:val="none"/>
              </w:rPr>
              <w:t>黄河东路139号青岛经济技术开发区电镀工业园</w:t>
            </w:r>
            <w:r>
              <w:rPr>
                <w:rFonts w:hint="eastAsia"/>
                <w:color w:val="auto"/>
                <w:szCs w:val="21"/>
                <w:highlight w:val="none"/>
              </w:rPr>
              <w:t>内，不在该功能区的负面清单内。</w:t>
            </w:r>
          </w:p>
        </w:tc>
        <w:tc>
          <w:tcPr>
            <w:tcW w:w="1643" w:type="dxa"/>
            <w:vAlign w:val="center"/>
          </w:tcPr>
          <w:p>
            <w:pPr>
              <w:pStyle w:val="35"/>
              <w:spacing w:after="0"/>
              <w:ind w:left="0" w:leftChars="0" w:firstLine="0" w:firstLineChars="0"/>
              <w:jc w:val="center"/>
              <w:rPr>
                <w:color w:val="auto"/>
                <w:szCs w:val="21"/>
                <w:highlight w:val="none"/>
              </w:rPr>
            </w:pPr>
            <w:r>
              <w:rPr>
                <w:rFonts w:hint="eastAsia"/>
                <w:color w:val="auto"/>
                <w:szCs w:val="21"/>
                <w:highlight w:val="none"/>
              </w:rPr>
              <w:t>/</w:t>
            </w:r>
          </w:p>
        </w:tc>
      </w:tr>
    </w:tbl>
    <w:p>
      <w:pPr>
        <w:pStyle w:val="7"/>
        <w:numPr>
          <w:ilvl w:val="0"/>
          <w:numId w:val="0"/>
        </w:numPr>
        <w:tabs>
          <w:tab w:val="left" w:pos="903"/>
        </w:tabs>
        <w:adjustRightInd w:val="0"/>
        <w:snapToGrid w:val="0"/>
        <w:spacing w:before="0" w:after="0" w:line="360" w:lineRule="auto"/>
        <w:jc w:val="left"/>
        <w:rPr>
          <w:rFonts w:hint="eastAsia" w:ascii="Times New Roman" w:hAnsi="Times New Roman" w:eastAsia="黑体" w:cs="Times New Roman"/>
          <w:b w:val="0"/>
          <w:color w:val="auto"/>
          <w:sz w:val="24"/>
          <w:szCs w:val="24"/>
          <w:highlight w:val="none"/>
          <w:lang w:val="en-US" w:eastAsia="zh-CN"/>
        </w:rPr>
      </w:pPr>
      <w:bookmarkStart w:id="91" w:name="_Toc7817"/>
      <w:bookmarkStart w:id="92" w:name="_Toc530655602"/>
      <w:bookmarkStart w:id="93" w:name="_Toc519063299"/>
      <w:r>
        <w:rPr>
          <w:rFonts w:hint="eastAsia" w:ascii="Times New Roman" w:hAnsi="Times New Roman" w:eastAsia="黑体" w:cs="Times New Roman"/>
          <w:b w:val="0"/>
          <w:color w:val="auto"/>
          <w:sz w:val="24"/>
          <w:szCs w:val="24"/>
          <w:highlight w:val="none"/>
          <w:lang w:val="en-US" w:eastAsia="zh-CN"/>
        </w:rPr>
        <w:t>3.2.3区域规划符合性分析</w:t>
      </w:r>
      <w:bookmarkEnd w:id="91"/>
    </w:p>
    <w:p>
      <w:pPr>
        <w:adjustRightInd w:val="0"/>
        <w:snapToGrid w:val="0"/>
        <w:spacing w:line="360" w:lineRule="auto"/>
        <w:ind w:firstLine="480" w:firstLineChars="200"/>
        <w:rPr>
          <w:rFonts w:hint="eastAsia" w:ascii="Times New Roman" w:hAnsi="Times New Roman" w:cs="Times New Roman"/>
          <w:color w:val="auto"/>
          <w:sz w:val="24"/>
          <w:highlight w:val="none"/>
        </w:rPr>
      </w:pPr>
      <w:r>
        <w:rPr>
          <w:rFonts w:hint="eastAsia" w:ascii="Times New Roman" w:hAnsi="Times New Roman" w:cs="Times New Roman"/>
          <w:color w:val="auto"/>
          <w:sz w:val="24"/>
          <w:highlight w:val="none"/>
        </w:rPr>
        <w:t>根据建设单位提供</w:t>
      </w:r>
      <w:r>
        <w:rPr>
          <w:rFonts w:hint="eastAsia" w:ascii="Times New Roman" w:hAnsi="Times New Roman" w:cs="Times New Roman"/>
          <w:color w:val="auto"/>
          <w:sz w:val="24"/>
          <w:highlight w:val="none"/>
          <w:lang w:val="en-US" w:eastAsia="zh-CN"/>
        </w:rPr>
        <w:t>房产</w:t>
      </w:r>
      <w:r>
        <w:rPr>
          <w:rFonts w:hint="eastAsia" w:ascii="Times New Roman" w:hAnsi="Times New Roman" w:cs="Times New Roman"/>
          <w:color w:val="auto"/>
          <w:sz w:val="24"/>
          <w:highlight w:val="none"/>
        </w:rPr>
        <w:t>证明(青房地权</w:t>
      </w:r>
      <w:r>
        <w:rPr>
          <w:rFonts w:hint="eastAsia" w:ascii="Times New Roman" w:hAnsi="Times New Roman" w:cs="Times New Roman"/>
          <w:color w:val="auto"/>
          <w:sz w:val="24"/>
          <w:highlight w:val="none"/>
          <w:lang w:val="en-US" w:eastAsia="zh-CN"/>
        </w:rPr>
        <w:t>市字</w:t>
      </w:r>
      <w:r>
        <w:rPr>
          <w:rFonts w:hint="eastAsia" w:ascii="Times New Roman" w:hAnsi="Times New Roman" w:cs="Times New Roman"/>
          <w:color w:val="auto"/>
          <w:sz w:val="24"/>
          <w:highlight w:val="none"/>
        </w:rPr>
        <w:t>第201</w:t>
      </w:r>
      <w:r>
        <w:rPr>
          <w:rFonts w:hint="eastAsia" w:ascii="Times New Roman" w:hAnsi="Times New Roman" w:cs="Times New Roman"/>
          <w:color w:val="auto"/>
          <w:sz w:val="24"/>
          <w:highlight w:val="none"/>
          <w:lang w:val="en-US" w:eastAsia="zh-CN"/>
        </w:rPr>
        <w:t>092303、20108583、2013115854</w:t>
      </w:r>
      <w:r>
        <w:rPr>
          <w:rFonts w:hint="eastAsia" w:ascii="Times New Roman" w:hAnsi="Times New Roman" w:cs="Times New Roman"/>
          <w:color w:val="auto"/>
          <w:sz w:val="24"/>
          <w:highlight w:val="none"/>
        </w:rPr>
        <w:t>号)，厂区用地性质属于工业用地。根据《青岛西海岸新区总体规划》(2018-2035年)(见附图6)，项目用地性质规划为</w:t>
      </w:r>
      <w:r>
        <w:rPr>
          <w:rFonts w:hint="eastAsia" w:ascii="Times New Roman" w:hAnsi="Times New Roman" w:cs="Times New Roman"/>
          <w:color w:val="auto"/>
          <w:sz w:val="24"/>
          <w:highlight w:val="none"/>
          <w:lang w:val="en-US" w:eastAsia="zh-CN"/>
        </w:rPr>
        <w:t>仓储</w:t>
      </w:r>
      <w:r>
        <w:rPr>
          <w:rFonts w:hint="eastAsia" w:ascii="Times New Roman" w:hAnsi="Times New Roman" w:cs="Times New Roman"/>
          <w:color w:val="auto"/>
          <w:sz w:val="24"/>
          <w:highlight w:val="none"/>
        </w:rPr>
        <w:t>用地。根据《青岛西海岸新区管委办公室新区政务专报第655期》(2018年12月24日)：“对已经取得合法工业用地或建设用地手续且现在用地调整在非工业用地或非建设用地的，应予以环评审批”。</w:t>
      </w:r>
    </w:p>
    <w:p>
      <w:pPr>
        <w:pStyle w:val="7"/>
        <w:numPr>
          <w:ilvl w:val="0"/>
          <w:numId w:val="0"/>
        </w:numPr>
        <w:tabs>
          <w:tab w:val="left" w:pos="903"/>
        </w:tabs>
        <w:adjustRightInd w:val="0"/>
        <w:snapToGrid w:val="0"/>
        <w:spacing w:before="0" w:after="0" w:line="360" w:lineRule="auto"/>
        <w:jc w:val="left"/>
        <w:rPr>
          <w:rFonts w:hint="eastAsia" w:ascii="Times New Roman" w:hAnsi="Times New Roman" w:eastAsia="黑体" w:cs="Times New Roman"/>
          <w:b w:val="0"/>
          <w:color w:val="auto"/>
          <w:sz w:val="24"/>
          <w:szCs w:val="24"/>
          <w:highlight w:val="none"/>
          <w:lang w:val="en-US" w:eastAsia="zh-CN"/>
        </w:rPr>
      </w:pPr>
      <w:r>
        <w:rPr>
          <w:rFonts w:hint="eastAsia" w:ascii="Times New Roman" w:hAnsi="Times New Roman" w:eastAsia="黑体" w:cs="Times New Roman"/>
          <w:b w:val="0"/>
          <w:color w:val="auto"/>
          <w:sz w:val="24"/>
          <w:szCs w:val="24"/>
          <w:highlight w:val="none"/>
          <w:lang w:val="en-US" w:eastAsia="zh-CN"/>
        </w:rPr>
        <w:t>3.2.4与《青岛市胶州湾保护条例》的符合性</w:t>
      </w:r>
    </w:p>
    <w:p>
      <w:pPr>
        <w:adjustRightInd w:val="0"/>
        <w:snapToGrid w:val="0"/>
        <w:spacing w:line="360" w:lineRule="auto"/>
        <w:ind w:firstLine="480" w:firstLineChars="200"/>
        <w:rPr>
          <w:rFonts w:hint="eastAsia" w:ascii="Times New Roman" w:hAnsi="Times New Roman" w:cs="Times New Roman"/>
          <w:color w:val="auto"/>
          <w:sz w:val="24"/>
          <w:highlight w:val="none"/>
        </w:rPr>
      </w:pPr>
      <w:r>
        <w:rPr>
          <w:rFonts w:hint="eastAsia" w:ascii="Times New Roman" w:hAnsi="Times New Roman" w:cs="Times New Roman"/>
          <w:color w:val="auto"/>
          <w:sz w:val="24"/>
          <w:highlight w:val="none"/>
        </w:rPr>
        <w:t>2018年9月7日青岛市第十六届人民代表大会常务委员会第十一次会议修订通过的《青岛市胶州湾保护条例》对胶州湾保护范围及其内禁止行为作出了相关规定，具体如下：</w:t>
      </w:r>
    </w:p>
    <w:p>
      <w:pPr>
        <w:adjustRightInd w:val="0"/>
        <w:snapToGrid w:val="0"/>
        <w:spacing w:line="360" w:lineRule="auto"/>
        <w:ind w:firstLine="480" w:firstLineChars="200"/>
        <w:rPr>
          <w:rFonts w:hint="eastAsia" w:ascii="Times New Roman" w:hAnsi="Times New Roman" w:cs="Times New Roman"/>
          <w:color w:val="auto"/>
          <w:sz w:val="24"/>
          <w:highlight w:val="none"/>
        </w:rPr>
      </w:pPr>
      <w:r>
        <w:rPr>
          <w:rFonts w:hint="eastAsia" w:ascii="Times New Roman" w:hAnsi="Times New Roman" w:cs="Times New Roman"/>
          <w:color w:val="auto"/>
          <w:sz w:val="24"/>
          <w:highlight w:val="none"/>
        </w:rPr>
        <w:t>第三条  胶州湾保护范围包括胶州湾海域和胶州湾沿岸陆域。</w:t>
      </w:r>
    </w:p>
    <w:p>
      <w:pPr>
        <w:adjustRightInd w:val="0"/>
        <w:snapToGrid w:val="0"/>
        <w:spacing w:line="360" w:lineRule="auto"/>
        <w:ind w:firstLine="480" w:firstLineChars="200"/>
        <w:rPr>
          <w:rFonts w:hint="eastAsia" w:ascii="Times New Roman" w:hAnsi="Times New Roman" w:cs="Times New Roman"/>
          <w:color w:val="auto"/>
          <w:sz w:val="24"/>
          <w:highlight w:val="none"/>
        </w:rPr>
      </w:pPr>
      <w:r>
        <w:rPr>
          <w:rFonts w:hint="eastAsia" w:ascii="Times New Roman" w:hAnsi="Times New Roman" w:cs="Times New Roman"/>
          <w:color w:val="auto"/>
          <w:sz w:val="24"/>
          <w:highlight w:val="none"/>
        </w:rPr>
        <w:t>胶州湾保护控制线，是指经市人民代表大会常务委员会批准的，东起团岛湾头，沿沧口湾、红岛、河套、海西湾，西至凤凰岛脚子石的连线。</w:t>
      </w:r>
    </w:p>
    <w:p>
      <w:pPr>
        <w:adjustRightInd w:val="0"/>
        <w:snapToGrid w:val="0"/>
        <w:spacing w:line="360" w:lineRule="auto"/>
        <w:ind w:firstLine="480" w:firstLineChars="200"/>
        <w:rPr>
          <w:rFonts w:hint="eastAsia" w:ascii="Times New Roman" w:hAnsi="Times New Roman" w:cs="Times New Roman"/>
          <w:color w:val="auto"/>
          <w:sz w:val="24"/>
          <w:highlight w:val="none"/>
        </w:rPr>
      </w:pPr>
      <w:r>
        <w:rPr>
          <w:rFonts w:hint="eastAsia" w:ascii="Times New Roman" w:hAnsi="Times New Roman" w:cs="Times New Roman"/>
          <w:color w:val="auto"/>
          <w:sz w:val="24"/>
          <w:highlight w:val="none"/>
        </w:rPr>
        <w:t>胶州湾沿岸陆域为自胶州湾保护控制线至陆域控制线的区域。陆域控制线，是指东起团岛湾头，沿团岛路、团岛一路、四川路、冠县路、新疆路、胶济铁路、仙山西路、双元路、河东路、滨河路、胶州湾高速、双积路、红柳河路、千山北路、淮河东路、江山路、嘉陵江路、漓江东路，西至凤凰岛脚子石的连线。</w:t>
      </w:r>
    </w:p>
    <w:p>
      <w:pPr>
        <w:adjustRightInd w:val="0"/>
        <w:snapToGrid w:val="0"/>
        <w:spacing w:line="360" w:lineRule="auto"/>
        <w:ind w:firstLine="480" w:firstLineChars="200"/>
        <w:rPr>
          <w:rFonts w:hint="eastAsia" w:ascii="Times New Roman" w:hAnsi="Times New Roman" w:cs="Times New Roman"/>
          <w:color w:val="auto"/>
          <w:sz w:val="24"/>
          <w:highlight w:val="none"/>
        </w:rPr>
      </w:pPr>
      <w:r>
        <w:rPr>
          <w:rFonts w:hint="eastAsia" w:ascii="Times New Roman" w:hAnsi="Times New Roman" w:cs="Times New Roman"/>
          <w:color w:val="auto"/>
          <w:sz w:val="24"/>
          <w:highlight w:val="none"/>
        </w:rPr>
        <w:t>第三十七条  在胶州湾保护范围内以及入胶州湾河流的河道管理范围两侧五百米内，禁止下列行为：</w:t>
      </w:r>
    </w:p>
    <w:p>
      <w:pPr>
        <w:adjustRightInd w:val="0"/>
        <w:snapToGrid w:val="0"/>
        <w:spacing w:line="360" w:lineRule="auto"/>
        <w:ind w:firstLine="480" w:firstLineChars="200"/>
        <w:rPr>
          <w:rFonts w:hint="eastAsia" w:ascii="Times New Roman" w:hAnsi="Times New Roman" w:cs="Times New Roman"/>
          <w:color w:val="auto"/>
          <w:sz w:val="24"/>
          <w:highlight w:val="none"/>
        </w:rPr>
      </w:pPr>
      <w:r>
        <w:rPr>
          <w:rFonts w:hint="eastAsia" w:cs="Times New Roman"/>
          <w:color w:val="auto"/>
          <w:sz w:val="24"/>
          <w:highlight w:val="none"/>
          <w:lang w:eastAsia="zh-CN"/>
        </w:rPr>
        <w:t>(</w:t>
      </w:r>
      <w:r>
        <w:rPr>
          <w:rFonts w:hint="eastAsia" w:ascii="Times New Roman" w:hAnsi="Times New Roman" w:cs="Times New Roman"/>
          <w:color w:val="auto"/>
          <w:sz w:val="24"/>
          <w:highlight w:val="none"/>
        </w:rPr>
        <w:t>一</w:t>
      </w:r>
      <w:r>
        <w:rPr>
          <w:rFonts w:hint="eastAsia" w:cs="Times New Roman"/>
          <w:color w:val="auto"/>
          <w:sz w:val="24"/>
          <w:highlight w:val="none"/>
          <w:lang w:eastAsia="zh-CN"/>
        </w:rPr>
        <w:t>)</w:t>
      </w:r>
      <w:r>
        <w:rPr>
          <w:rFonts w:hint="eastAsia" w:ascii="Times New Roman" w:hAnsi="Times New Roman" w:cs="Times New Roman"/>
          <w:color w:val="auto"/>
          <w:sz w:val="24"/>
          <w:highlight w:val="none"/>
        </w:rPr>
        <w:t>新建或者扩建化学制浆造纸、化工、印染、电镀、电解、酿造、炼油、制革、有色金属冶炼、水泥、岸边冲滩拆船以及其他严重污染海洋环境的工业生产项目；</w:t>
      </w:r>
    </w:p>
    <w:p>
      <w:pPr>
        <w:adjustRightInd w:val="0"/>
        <w:snapToGrid w:val="0"/>
        <w:spacing w:line="360" w:lineRule="auto"/>
        <w:ind w:firstLine="480" w:firstLineChars="200"/>
        <w:rPr>
          <w:rFonts w:hint="eastAsia" w:ascii="Times New Roman" w:hAnsi="Times New Roman" w:cs="Times New Roman"/>
          <w:color w:val="auto"/>
          <w:sz w:val="24"/>
          <w:highlight w:val="none"/>
        </w:rPr>
      </w:pPr>
      <w:r>
        <w:rPr>
          <w:rFonts w:hint="eastAsia" w:cs="Times New Roman"/>
          <w:color w:val="auto"/>
          <w:sz w:val="24"/>
          <w:highlight w:val="none"/>
          <w:lang w:eastAsia="zh-CN"/>
        </w:rPr>
        <w:t>(</w:t>
      </w:r>
      <w:r>
        <w:rPr>
          <w:rFonts w:hint="eastAsia" w:ascii="Times New Roman" w:hAnsi="Times New Roman" w:cs="Times New Roman"/>
          <w:color w:val="auto"/>
          <w:sz w:val="24"/>
          <w:highlight w:val="none"/>
        </w:rPr>
        <w:t>二</w:t>
      </w:r>
      <w:r>
        <w:rPr>
          <w:rFonts w:hint="eastAsia" w:cs="Times New Roman"/>
          <w:color w:val="auto"/>
          <w:sz w:val="24"/>
          <w:highlight w:val="none"/>
          <w:lang w:eastAsia="zh-CN"/>
        </w:rPr>
        <w:t>)</w:t>
      </w:r>
      <w:r>
        <w:rPr>
          <w:rFonts w:hint="eastAsia" w:ascii="Times New Roman" w:hAnsi="Times New Roman" w:cs="Times New Roman"/>
          <w:color w:val="auto"/>
          <w:sz w:val="24"/>
          <w:highlight w:val="none"/>
        </w:rPr>
        <w:t>新建或者扩建畜禽规模化养殖场、养殖小区；</w:t>
      </w:r>
    </w:p>
    <w:p>
      <w:pPr>
        <w:adjustRightInd w:val="0"/>
        <w:snapToGrid w:val="0"/>
        <w:spacing w:line="360" w:lineRule="auto"/>
        <w:ind w:firstLine="480" w:firstLineChars="200"/>
        <w:rPr>
          <w:rFonts w:hint="eastAsia" w:ascii="Times New Roman" w:hAnsi="Times New Roman" w:cs="Times New Roman"/>
          <w:color w:val="auto"/>
          <w:sz w:val="24"/>
          <w:highlight w:val="none"/>
        </w:rPr>
      </w:pPr>
      <w:r>
        <w:rPr>
          <w:rFonts w:hint="eastAsia" w:cs="Times New Roman"/>
          <w:color w:val="auto"/>
          <w:sz w:val="24"/>
          <w:highlight w:val="none"/>
          <w:lang w:eastAsia="zh-CN"/>
        </w:rPr>
        <w:t>(</w:t>
      </w:r>
      <w:r>
        <w:rPr>
          <w:rFonts w:hint="eastAsia" w:ascii="Times New Roman" w:hAnsi="Times New Roman" w:cs="Times New Roman"/>
          <w:color w:val="auto"/>
          <w:sz w:val="24"/>
          <w:highlight w:val="none"/>
        </w:rPr>
        <w:t>三</w:t>
      </w:r>
      <w:r>
        <w:rPr>
          <w:rFonts w:hint="eastAsia" w:cs="Times New Roman"/>
          <w:color w:val="auto"/>
          <w:sz w:val="24"/>
          <w:highlight w:val="none"/>
          <w:lang w:eastAsia="zh-CN"/>
        </w:rPr>
        <w:t>)</w:t>
      </w:r>
      <w:r>
        <w:rPr>
          <w:rFonts w:hint="eastAsia" w:ascii="Times New Roman" w:hAnsi="Times New Roman" w:cs="Times New Roman"/>
          <w:color w:val="auto"/>
          <w:sz w:val="24"/>
          <w:highlight w:val="none"/>
        </w:rPr>
        <w:t>新建固体废物填埋场。</w:t>
      </w:r>
    </w:p>
    <w:p>
      <w:pPr>
        <w:adjustRightInd w:val="0"/>
        <w:snapToGrid w:val="0"/>
        <w:spacing w:line="360" w:lineRule="auto"/>
        <w:ind w:firstLine="480" w:firstLineChars="200"/>
        <w:rPr>
          <w:rFonts w:hint="eastAsia" w:ascii="Times New Roman" w:hAnsi="Times New Roman" w:cs="Times New Roman"/>
          <w:color w:val="auto"/>
          <w:sz w:val="24"/>
          <w:highlight w:val="none"/>
        </w:rPr>
      </w:pPr>
      <w:r>
        <w:rPr>
          <w:rFonts w:hint="eastAsia" w:ascii="Times New Roman" w:hAnsi="Times New Roman" w:cs="Times New Roman"/>
          <w:color w:val="auto"/>
          <w:sz w:val="24"/>
          <w:highlight w:val="none"/>
        </w:rPr>
        <w:t>对不符合前款规定的已有项目，市和区</w:t>
      </w:r>
      <w:r>
        <w:rPr>
          <w:rFonts w:hint="eastAsia" w:cs="Times New Roman"/>
          <w:color w:val="auto"/>
          <w:sz w:val="24"/>
          <w:highlight w:val="none"/>
          <w:lang w:eastAsia="zh-CN"/>
        </w:rPr>
        <w:t>(</w:t>
      </w:r>
      <w:r>
        <w:rPr>
          <w:rFonts w:hint="eastAsia" w:ascii="Times New Roman" w:hAnsi="Times New Roman" w:cs="Times New Roman"/>
          <w:color w:val="auto"/>
          <w:sz w:val="24"/>
          <w:highlight w:val="none"/>
        </w:rPr>
        <w:t>市</w:t>
      </w:r>
      <w:r>
        <w:rPr>
          <w:rFonts w:hint="eastAsia" w:cs="Times New Roman"/>
          <w:color w:val="auto"/>
          <w:sz w:val="24"/>
          <w:highlight w:val="none"/>
          <w:lang w:eastAsia="zh-CN"/>
        </w:rPr>
        <w:t>)</w:t>
      </w:r>
      <w:r>
        <w:rPr>
          <w:rFonts w:hint="eastAsia" w:ascii="Times New Roman" w:hAnsi="Times New Roman" w:cs="Times New Roman"/>
          <w:color w:val="auto"/>
          <w:sz w:val="24"/>
          <w:highlight w:val="none"/>
        </w:rPr>
        <w:t>人民政府、经济功能区管理机构应当按照规划要求，逐步进行调整、搬迁。</w:t>
      </w:r>
    </w:p>
    <w:p>
      <w:pPr>
        <w:adjustRightInd w:val="0"/>
        <w:snapToGrid w:val="0"/>
        <w:spacing w:line="360" w:lineRule="auto"/>
        <w:ind w:firstLine="480" w:firstLineChars="200"/>
        <w:rPr>
          <w:rFonts w:hint="eastAsia" w:ascii="Times New Roman" w:hAnsi="Times New Roman" w:cs="Times New Roman"/>
          <w:color w:val="auto"/>
          <w:sz w:val="24"/>
          <w:highlight w:val="none"/>
        </w:rPr>
      </w:pPr>
      <w:r>
        <w:rPr>
          <w:rFonts w:hint="eastAsia" w:ascii="Times New Roman" w:hAnsi="Times New Roman" w:cs="Times New Roman"/>
          <w:color w:val="auto"/>
          <w:sz w:val="24"/>
          <w:highlight w:val="none"/>
        </w:rPr>
        <w:t>第七十三条  本条例所称入胶州湾河流是指直接入湾的海泊河、李村河、板桥坊河、楼山河、白沙河、墨水河、羊毛沟河、大沽河、跃进河、洋河、漕汶河、岛耳河、龙泉河、九曲河、辛安后河、辛安前河、南辛安前河、镰湾河；间接入湾的昌乐路河、张村河、水清沟河、洪江河、洙河、小沽河、猪洞河、五沽河、落药河、流浩河、南胶莱河、桃源河、云溪河。</w:t>
      </w:r>
    </w:p>
    <w:p>
      <w:pPr>
        <w:adjustRightInd w:val="0"/>
        <w:snapToGrid w:val="0"/>
        <w:spacing w:line="360" w:lineRule="auto"/>
        <w:ind w:firstLine="480" w:firstLineChars="200"/>
        <w:rPr>
          <w:rFonts w:hint="eastAsia" w:ascii="Times New Roman" w:hAnsi="Times New Roman" w:cs="Times New Roman"/>
          <w:color w:val="auto"/>
          <w:sz w:val="24"/>
          <w:highlight w:val="none"/>
        </w:rPr>
      </w:pPr>
      <w:r>
        <w:rPr>
          <w:rFonts w:hint="eastAsia" w:ascii="Times New Roman" w:hAnsi="Times New Roman" w:cs="Times New Roman"/>
          <w:color w:val="auto"/>
          <w:sz w:val="24"/>
          <w:highlight w:val="none"/>
        </w:rPr>
        <w:t>本项目位于</w:t>
      </w:r>
      <w:r>
        <w:rPr>
          <w:rFonts w:hint="eastAsia" w:eastAsiaTheme="minorEastAsia"/>
          <w:color w:val="auto"/>
          <w:sz w:val="24"/>
          <w:highlight w:val="none"/>
          <w:lang w:eastAsia="zh-CN"/>
        </w:rPr>
        <w:t>青岛西海岸新区</w:t>
      </w:r>
      <w:r>
        <w:rPr>
          <w:rFonts w:hint="eastAsia" w:eastAsiaTheme="minorEastAsia"/>
          <w:color w:val="auto"/>
          <w:sz w:val="24"/>
          <w:highlight w:val="none"/>
        </w:rPr>
        <w:t>黄河东路139号青岛经济技术开发区电镀工业园内</w:t>
      </w:r>
      <w:r>
        <w:rPr>
          <w:rFonts w:hint="eastAsia" w:ascii="Times New Roman" w:hAnsi="Times New Roman" w:cs="Times New Roman"/>
          <w:color w:val="auto"/>
          <w:sz w:val="24"/>
          <w:highlight w:val="none"/>
        </w:rPr>
        <w:t>，属于胶州湾沿岸陆域保护范围</w:t>
      </w:r>
      <w:r>
        <w:rPr>
          <w:rFonts w:hint="eastAsia" w:cs="Times New Roman"/>
          <w:color w:val="auto"/>
          <w:sz w:val="24"/>
          <w:highlight w:val="none"/>
          <w:lang w:val="en-US" w:eastAsia="zh-CN"/>
        </w:rPr>
        <w:t>(见附图8)</w:t>
      </w:r>
      <w:r>
        <w:rPr>
          <w:rFonts w:hint="eastAsia" w:ascii="Times New Roman" w:hAnsi="Times New Roman" w:cs="Times New Roman"/>
          <w:color w:val="auto"/>
          <w:sz w:val="24"/>
          <w:highlight w:val="none"/>
        </w:rPr>
        <w:t>。项目厂界距离镰湾河河道最近距离为</w:t>
      </w:r>
      <w:r>
        <w:rPr>
          <w:rFonts w:hint="eastAsia" w:ascii="Times New Roman" w:hAnsi="Times New Roman" w:cs="Times New Roman"/>
          <w:color w:val="auto"/>
          <w:sz w:val="24"/>
          <w:highlight w:val="none"/>
          <w:lang w:val="en-US" w:eastAsia="zh-CN"/>
        </w:rPr>
        <w:t>44</w:t>
      </w:r>
      <w:r>
        <w:rPr>
          <w:rFonts w:hint="eastAsia" w:ascii="Times New Roman" w:hAnsi="Times New Roman" w:cs="Times New Roman"/>
          <w:color w:val="auto"/>
          <w:sz w:val="24"/>
          <w:highlight w:val="none"/>
        </w:rPr>
        <w:t>0m，属于入胶州湾河流禁止行为所在的管控范围之内。</w:t>
      </w:r>
    </w:p>
    <w:p>
      <w:pPr>
        <w:adjustRightInd w:val="0"/>
        <w:snapToGrid w:val="0"/>
        <w:spacing w:line="360" w:lineRule="auto"/>
        <w:ind w:firstLine="480" w:firstLineChars="200"/>
        <w:rPr>
          <w:rFonts w:hint="eastAsia" w:ascii="Times New Roman" w:hAnsi="Times New Roman" w:cs="Times New Roman"/>
          <w:color w:val="auto"/>
          <w:sz w:val="24"/>
          <w:highlight w:val="none"/>
        </w:rPr>
      </w:pPr>
      <w:r>
        <w:rPr>
          <w:rFonts w:hint="eastAsia" w:ascii="Times New Roman" w:hAnsi="Times New Roman" w:cs="Times New Roman"/>
          <w:color w:val="auto"/>
          <w:sz w:val="24"/>
          <w:highlight w:val="none"/>
        </w:rPr>
        <w:t>综上分析，本项目为</w:t>
      </w:r>
      <w:r>
        <w:rPr>
          <w:rFonts w:hint="eastAsia" w:ascii="Times New Roman" w:hAnsi="Times New Roman" w:cs="Times New Roman"/>
          <w:color w:val="auto"/>
          <w:sz w:val="24"/>
          <w:highlight w:val="none"/>
          <w:lang w:val="en-US" w:eastAsia="zh-CN"/>
        </w:rPr>
        <w:t>电镀</w:t>
      </w:r>
      <w:r>
        <w:rPr>
          <w:rFonts w:hint="eastAsia" w:ascii="Times New Roman" w:hAnsi="Times New Roman" w:cs="Times New Roman"/>
          <w:color w:val="auto"/>
          <w:sz w:val="24"/>
          <w:highlight w:val="none"/>
        </w:rPr>
        <w:t>项目，</w:t>
      </w:r>
      <w:r>
        <w:rPr>
          <w:rFonts w:hint="eastAsia" w:ascii="Times New Roman" w:hAnsi="Times New Roman" w:cs="Times New Roman"/>
          <w:color w:val="auto"/>
          <w:sz w:val="24"/>
          <w:highlight w:val="none"/>
          <w:lang w:val="en-US" w:eastAsia="zh-CN"/>
        </w:rPr>
        <w:t>产能不增加</w:t>
      </w:r>
      <w:r>
        <w:rPr>
          <w:rFonts w:hint="eastAsia" w:ascii="Times New Roman" w:hAnsi="Times New Roman" w:cs="Times New Roman"/>
          <w:color w:val="auto"/>
          <w:sz w:val="24"/>
          <w:highlight w:val="none"/>
        </w:rPr>
        <w:t>，不违背《青岛市胶州湾保护条例》。</w:t>
      </w:r>
    </w:p>
    <w:p>
      <w:pPr>
        <w:adjustRightInd w:val="0"/>
        <w:snapToGrid w:val="0"/>
        <w:spacing w:line="360" w:lineRule="auto"/>
        <w:outlineLvl w:val="1"/>
        <w:rPr>
          <w:rFonts w:eastAsia="黑体"/>
          <w:color w:val="auto"/>
          <w:sz w:val="24"/>
          <w:highlight w:val="none"/>
        </w:rPr>
      </w:pPr>
      <w:bookmarkStart w:id="94" w:name="_Toc14480"/>
      <w:r>
        <w:rPr>
          <w:rFonts w:eastAsia="黑体"/>
          <w:color w:val="auto"/>
          <w:sz w:val="24"/>
          <w:highlight w:val="none"/>
        </w:rPr>
        <w:t>3.</w:t>
      </w:r>
      <w:r>
        <w:rPr>
          <w:rFonts w:hint="eastAsia" w:eastAsia="黑体"/>
          <w:color w:val="auto"/>
          <w:sz w:val="24"/>
          <w:highlight w:val="none"/>
          <w:lang w:val="en-US" w:eastAsia="zh-CN"/>
        </w:rPr>
        <w:t>3</w:t>
      </w:r>
      <w:r>
        <w:rPr>
          <w:rFonts w:eastAsia="黑体"/>
          <w:color w:val="auto"/>
          <w:sz w:val="24"/>
          <w:highlight w:val="none"/>
        </w:rPr>
        <w:t xml:space="preserve"> 项目区域环境功能区</w:t>
      </w:r>
      <w:bookmarkEnd w:id="92"/>
      <w:bookmarkEnd w:id="93"/>
      <w:bookmarkEnd w:id="94"/>
    </w:p>
    <w:p>
      <w:pPr>
        <w:adjustRightInd w:val="0"/>
        <w:snapToGrid w:val="0"/>
        <w:spacing w:line="360" w:lineRule="auto"/>
        <w:ind w:firstLine="480" w:firstLineChars="200"/>
        <w:rPr>
          <w:color w:val="auto"/>
          <w:sz w:val="24"/>
          <w:highlight w:val="none"/>
        </w:rPr>
      </w:pPr>
      <w:r>
        <w:rPr>
          <w:rFonts w:hint="eastAsia"/>
          <w:color w:val="auto"/>
          <w:sz w:val="24"/>
          <w:highlight w:val="none"/>
        </w:rPr>
        <w:t>根据《青岛市环境空气质量功能区划分》，项目所在区域执行《环境空气质量标准》(GB3095-2012)中的“二级”标准；项目区域环境噪声执行《声环境质量标准》(GB3096-2008)中的3类标准；</w:t>
      </w:r>
      <w:r>
        <w:rPr>
          <w:rFonts w:hint="eastAsia"/>
          <w:color w:val="auto"/>
          <w:sz w:val="24"/>
          <w:highlight w:val="none"/>
          <w:lang w:eastAsia="zh-CN"/>
        </w:rPr>
        <w:t>镰湾河</w:t>
      </w:r>
      <w:r>
        <w:rPr>
          <w:rFonts w:hint="eastAsia"/>
          <w:color w:val="auto"/>
          <w:sz w:val="24"/>
          <w:highlight w:val="none"/>
        </w:rPr>
        <w:t>水质执行</w:t>
      </w:r>
      <w:r>
        <w:rPr>
          <w:color w:val="auto"/>
          <w:sz w:val="24"/>
          <w:highlight w:val="none"/>
        </w:rPr>
        <w:t>《地表水环境质量标准》</w:t>
      </w:r>
      <w:r>
        <w:rPr>
          <w:rFonts w:hint="eastAsia"/>
          <w:color w:val="auto"/>
          <w:sz w:val="24"/>
          <w:highlight w:val="none"/>
        </w:rPr>
        <w:t>(</w:t>
      </w:r>
      <w:r>
        <w:rPr>
          <w:color w:val="auto"/>
          <w:sz w:val="24"/>
          <w:highlight w:val="none"/>
        </w:rPr>
        <w:t>GB3838-2002</w:t>
      </w:r>
      <w:r>
        <w:rPr>
          <w:rFonts w:hint="eastAsia"/>
          <w:color w:val="auto"/>
          <w:sz w:val="24"/>
          <w:highlight w:val="none"/>
        </w:rPr>
        <w:t>)</w:t>
      </w:r>
      <w:r>
        <w:rPr>
          <w:color w:val="auto"/>
          <w:sz w:val="24"/>
          <w:highlight w:val="none"/>
        </w:rPr>
        <w:t>表1中的</w:t>
      </w:r>
      <w:r>
        <w:rPr>
          <w:rFonts w:ascii="宋体" w:hAnsi="宋体" w:cs="宋体"/>
          <w:color w:val="auto"/>
          <w:sz w:val="24"/>
          <w:highlight w:val="none"/>
        </w:rPr>
        <w:fldChar w:fldCharType="begin"/>
      </w:r>
      <w:r>
        <w:rPr>
          <w:rFonts w:ascii="宋体" w:hAnsi="宋体" w:cs="宋体"/>
          <w:color w:val="auto"/>
          <w:sz w:val="24"/>
          <w:highlight w:val="none"/>
        </w:rPr>
        <w:instrText xml:space="preserve"> </w:instrText>
      </w:r>
      <w:r>
        <w:rPr>
          <w:rFonts w:hint="eastAsia" w:ascii="宋体" w:hAnsi="宋体" w:cs="宋体"/>
          <w:color w:val="auto"/>
          <w:sz w:val="24"/>
          <w:highlight w:val="none"/>
        </w:rPr>
        <w:instrText xml:space="preserve">= 5 \* ROMAN</w:instrText>
      </w:r>
      <w:r>
        <w:rPr>
          <w:rFonts w:ascii="宋体" w:hAnsi="宋体" w:cs="宋体"/>
          <w:color w:val="auto"/>
          <w:sz w:val="24"/>
          <w:highlight w:val="none"/>
        </w:rPr>
        <w:instrText xml:space="preserve"> </w:instrText>
      </w:r>
      <w:r>
        <w:rPr>
          <w:rFonts w:ascii="宋体" w:hAnsi="宋体" w:cs="宋体"/>
          <w:color w:val="auto"/>
          <w:sz w:val="24"/>
          <w:highlight w:val="none"/>
        </w:rPr>
        <w:fldChar w:fldCharType="separate"/>
      </w:r>
      <w:r>
        <w:rPr>
          <w:rFonts w:ascii="宋体" w:hAnsi="宋体" w:cs="宋体"/>
          <w:color w:val="auto"/>
          <w:sz w:val="24"/>
          <w:highlight w:val="none"/>
        </w:rPr>
        <w:t>V</w:t>
      </w:r>
      <w:r>
        <w:rPr>
          <w:rFonts w:ascii="宋体" w:hAnsi="宋体" w:cs="宋体"/>
          <w:color w:val="auto"/>
          <w:sz w:val="24"/>
          <w:highlight w:val="none"/>
        </w:rPr>
        <w:fldChar w:fldCharType="end"/>
      </w:r>
      <w:r>
        <w:rPr>
          <w:color w:val="auto"/>
          <w:sz w:val="24"/>
          <w:highlight w:val="none"/>
        </w:rPr>
        <w:t>类标准</w:t>
      </w:r>
      <w:r>
        <w:rPr>
          <w:rFonts w:hint="eastAsia"/>
          <w:color w:val="auto"/>
          <w:sz w:val="24"/>
          <w:highlight w:val="none"/>
        </w:rPr>
        <w:t>；区域地下水执行</w:t>
      </w:r>
      <w:r>
        <w:rPr>
          <w:color w:val="auto"/>
          <w:sz w:val="24"/>
          <w:highlight w:val="none"/>
        </w:rPr>
        <w:t>《地下水质量标准》</w:t>
      </w:r>
      <w:r>
        <w:rPr>
          <w:rFonts w:hint="eastAsia"/>
          <w:color w:val="auto"/>
          <w:sz w:val="24"/>
          <w:highlight w:val="none"/>
        </w:rPr>
        <w:t>(</w:t>
      </w:r>
      <w:r>
        <w:rPr>
          <w:color w:val="auto"/>
          <w:sz w:val="24"/>
          <w:highlight w:val="none"/>
        </w:rPr>
        <w:t>GB/T14848-</w:t>
      </w:r>
      <w:r>
        <w:rPr>
          <w:rFonts w:hint="eastAsia"/>
          <w:color w:val="auto"/>
          <w:sz w:val="24"/>
          <w:highlight w:val="none"/>
        </w:rPr>
        <w:t>201</w:t>
      </w:r>
      <w:r>
        <w:rPr>
          <w:rFonts w:hint="eastAsia"/>
          <w:color w:val="auto"/>
          <w:sz w:val="24"/>
          <w:highlight w:val="none"/>
          <w:lang w:val="en-US" w:eastAsia="zh-CN"/>
        </w:rPr>
        <w:t>7</w:t>
      </w:r>
      <w:r>
        <w:rPr>
          <w:rFonts w:hint="eastAsia"/>
          <w:color w:val="auto"/>
          <w:sz w:val="24"/>
          <w:highlight w:val="none"/>
        </w:rPr>
        <w:t>)</w:t>
      </w:r>
      <w:r>
        <w:rPr>
          <w:color w:val="auto"/>
          <w:sz w:val="24"/>
          <w:highlight w:val="none"/>
        </w:rPr>
        <w:t>中的</w:t>
      </w:r>
      <w:r>
        <w:rPr>
          <w:rFonts w:hint="eastAsia"/>
          <w:color w:val="auto"/>
          <w:sz w:val="24"/>
          <w:highlight w:val="none"/>
        </w:rPr>
        <w:t>Ⅲ</w:t>
      </w:r>
      <w:r>
        <w:rPr>
          <w:color w:val="auto"/>
          <w:sz w:val="24"/>
          <w:highlight w:val="none"/>
        </w:rPr>
        <w:t>类标准</w:t>
      </w:r>
      <w:r>
        <w:rPr>
          <w:rFonts w:hint="eastAsia"/>
          <w:color w:val="auto"/>
          <w:sz w:val="24"/>
          <w:highlight w:val="none"/>
        </w:rPr>
        <w:t>。</w:t>
      </w:r>
    </w:p>
    <w:p>
      <w:pPr>
        <w:adjustRightInd w:val="0"/>
        <w:snapToGrid w:val="0"/>
        <w:spacing w:line="360" w:lineRule="auto"/>
        <w:outlineLvl w:val="1"/>
        <w:rPr>
          <w:rFonts w:eastAsia="黑体"/>
          <w:color w:val="auto"/>
          <w:sz w:val="24"/>
          <w:highlight w:val="none"/>
        </w:rPr>
      </w:pPr>
      <w:bookmarkStart w:id="95" w:name="_Toc519063300"/>
      <w:bookmarkStart w:id="96" w:name="_Toc530655603"/>
      <w:bookmarkStart w:id="97" w:name="_Toc938"/>
      <w:r>
        <w:rPr>
          <w:rFonts w:eastAsia="黑体"/>
          <w:color w:val="auto"/>
          <w:sz w:val="24"/>
          <w:highlight w:val="none"/>
        </w:rPr>
        <w:t>3.</w:t>
      </w:r>
      <w:r>
        <w:rPr>
          <w:rFonts w:hint="eastAsia" w:eastAsia="黑体"/>
          <w:color w:val="auto"/>
          <w:sz w:val="24"/>
          <w:highlight w:val="none"/>
          <w:lang w:val="en-US" w:eastAsia="zh-CN"/>
        </w:rPr>
        <w:t>4</w:t>
      </w:r>
      <w:r>
        <w:rPr>
          <w:rFonts w:eastAsia="黑体"/>
          <w:color w:val="auto"/>
          <w:sz w:val="24"/>
          <w:highlight w:val="none"/>
        </w:rPr>
        <w:t xml:space="preserve"> 项目敏感目标分布</w:t>
      </w:r>
      <w:bookmarkEnd w:id="95"/>
      <w:bookmarkEnd w:id="96"/>
      <w:bookmarkEnd w:id="97"/>
    </w:p>
    <w:p>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根据现场勘查及《青岛</w:t>
      </w:r>
      <w:r>
        <w:rPr>
          <w:rFonts w:hint="eastAsia"/>
          <w:color w:val="auto"/>
          <w:sz w:val="24"/>
          <w:highlight w:val="none"/>
          <w:lang w:eastAsia="zh-CN"/>
        </w:rPr>
        <w:t>金泰表面工程有限公司</w:t>
      </w:r>
      <w:r>
        <w:rPr>
          <w:rFonts w:hint="eastAsia"/>
          <w:color w:val="auto"/>
          <w:sz w:val="24"/>
          <w:highlight w:val="none"/>
        </w:rPr>
        <w:t>青岛</w:t>
      </w:r>
      <w:r>
        <w:rPr>
          <w:rFonts w:hint="eastAsia"/>
          <w:color w:val="auto"/>
          <w:sz w:val="24"/>
          <w:highlight w:val="none"/>
          <w:lang w:eastAsia="zh-CN"/>
        </w:rPr>
        <w:t>经济技术开发区电镀工业园</w:t>
      </w:r>
      <w:r>
        <w:rPr>
          <w:rFonts w:hint="eastAsia"/>
          <w:color w:val="auto"/>
          <w:sz w:val="24"/>
          <w:highlight w:val="none"/>
        </w:rPr>
        <w:t>建设项目环境影响报告书》、《青岛</w:t>
      </w:r>
      <w:r>
        <w:rPr>
          <w:rFonts w:hint="eastAsia"/>
          <w:color w:val="auto"/>
          <w:sz w:val="24"/>
          <w:highlight w:val="none"/>
          <w:lang w:eastAsia="zh-CN"/>
        </w:rPr>
        <w:t>金泰表面工程有限公司</w:t>
      </w:r>
      <w:r>
        <w:rPr>
          <w:rFonts w:hint="eastAsia"/>
          <w:color w:val="auto"/>
          <w:sz w:val="24"/>
          <w:highlight w:val="none"/>
        </w:rPr>
        <w:t>青岛</w:t>
      </w:r>
      <w:r>
        <w:rPr>
          <w:rFonts w:hint="eastAsia"/>
          <w:color w:val="auto"/>
          <w:sz w:val="24"/>
          <w:highlight w:val="none"/>
          <w:lang w:eastAsia="zh-CN"/>
        </w:rPr>
        <w:t>经济技术开发区电镀工业园二期项目</w:t>
      </w:r>
      <w:r>
        <w:rPr>
          <w:rFonts w:hint="eastAsia"/>
          <w:color w:val="auto"/>
          <w:sz w:val="24"/>
          <w:highlight w:val="none"/>
        </w:rPr>
        <w:t>环境影响报告书》、《青岛泰科海表面处理有限公司金属表面处理改扩建项目环境影响报告书》等</w:t>
      </w:r>
      <w:r>
        <w:rPr>
          <w:rFonts w:hint="eastAsia"/>
          <w:color w:val="auto"/>
          <w:sz w:val="24"/>
          <w:highlight w:val="none"/>
          <w:lang w:val="en-US" w:eastAsia="zh-CN"/>
        </w:rPr>
        <w:t>项目</w:t>
      </w:r>
      <w:r>
        <w:rPr>
          <w:rFonts w:hint="eastAsia"/>
          <w:color w:val="auto"/>
          <w:sz w:val="24"/>
          <w:highlight w:val="none"/>
        </w:rPr>
        <w:t>内容可知，项目</w:t>
      </w:r>
      <w:r>
        <w:rPr>
          <w:rFonts w:hint="eastAsia"/>
          <w:color w:val="auto"/>
          <w:sz w:val="24"/>
          <w:highlight w:val="none"/>
          <w:lang w:eastAsia="zh-CN"/>
        </w:rPr>
        <w:t>周边多为工业企业，</w:t>
      </w:r>
      <w:r>
        <w:rPr>
          <w:rFonts w:hint="eastAsia"/>
          <w:color w:val="auto"/>
          <w:sz w:val="24"/>
          <w:highlight w:val="none"/>
        </w:rPr>
        <w:t>周边敏感目标未发生重大变化，仅为受项目影响人数发生了部分变动，源于正常的城镇人口流动。</w:t>
      </w:r>
    </w:p>
    <w:p>
      <w:pPr>
        <w:adjustRightInd w:val="0"/>
        <w:snapToGrid w:val="0"/>
        <w:spacing w:line="360" w:lineRule="auto"/>
        <w:ind w:firstLine="480" w:firstLineChars="200"/>
        <w:rPr>
          <w:rFonts w:hint="eastAsia" w:eastAsia="宋体"/>
          <w:color w:val="auto"/>
          <w:sz w:val="24"/>
          <w:highlight w:val="none"/>
          <w:lang w:val="en-US" w:eastAsia="zh-CN"/>
        </w:rPr>
      </w:pPr>
      <w:r>
        <w:rPr>
          <w:rFonts w:hint="eastAsia"/>
          <w:color w:val="auto"/>
          <w:sz w:val="24"/>
          <w:highlight w:val="none"/>
          <w:lang w:eastAsia="zh-CN"/>
        </w:rPr>
        <w:t>周边地表水体主要为项目西侧约</w:t>
      </w:r>
      <w:r>
        <w:rPr>
          <w:rFonts w:hint="eastAsia"/>
          <w:color w:val="auto"/>
          <w:sz w:val="24"/>
          <w:highlight w:val="none"/>
          <w:lang w:val="en-US" w:eastAsia="zh-CN"/>
        </w:rPr>
        <w:t>250m的镰湾河，环境功能未发生变化。</w:t>
      </w:r>
    </w:p>
    <w:p>
      <w:pPr>
        <w:pStyle w:val="35"/>
        <w:adjustRightInd w:val="0"/>
        <w:snapToGrid w:val="0"/>
        <w:spacing w:after="0" w:line="360" w:lineRule="auto"/>
        <w:ind w:left="0" w:leftChars="0" w:firstLine="0" w:firstLineChars="0"/>
        <w:outlineLvl w:val="1"/>
        <w:rPr>
          <w:rFonts w:eastAsia="黑体"/>
          <w:color w:val="auto"/>
          <w:sz w:val="24"/>
          <w:highlight w:val="none"/>
        </w:rPr>
      </w:pPr>
      <w:bookmarkStart w:id="98" w:name="_Toc530655604"/>
      <w:bookmarkStart w:id="99" w:name="_Toc19576"/>
      <w:bookmarkStart w:id="100" w:name="_Toc519063301"/>
      <w:r>
        <w:rPr>
          <w:rFonts w:hint="eastAsia" w:eastAsia="黑体"/>
          <w:color w:val="auto"/>
          <w:sz w:val="24"/>
          <w:highlight w:val="none"/>
        </w:rPr>
        <w:t>3.</w:t>
      </w:r>
      <w:r>
        <w:rPr>
          <w:rFonts w:hint="eastAsia" w:eastAsia="黑体"/>
          <w:color w:val="auto"/>
          <w:sz w:val="24"/>
          <w:highlight w:val="none"/>
          <w:lang w:val="en-US" w:eastAsia="zh-CN"/>
        </w:rPr>
        <w:t>5</w:t>
      </w:r>
      <w:r>
        <w:rPr>
          <w:rFonts w:hint="eastAsia" w:eastAsia="黑体"/>
          <w:color w:val="auto"/>
          <w:sz w:val="24"/>
          <w:highlight w:val="none"/>
        </w:rPr>
        <w:t xml:space="preserve"> </w:t>
      </w:r>
      <w:r>
        <w:rPr>
          <w:rFonts w:eastAsia="黑体"/>
          <w:color w:val="auto"/>
          <w:sz w:val="24"/>
          <w:highlight w:val="none"/>
        </w:rPr>
        <w:t>区域污染源变化情况</w:t>
      </w:r>
      <w:bookmarkEnd w:id="98"/>
      <w:bookmarkEnd w:id="99"/>
      <w:bookmarkEnd w:id="100"/>
    </w:p>
    <w:p>
      <w:pPr>
        <w:adjustRightInd w:val="0"/>
        <w:snapToGrid w:val="0"/>
        <w:spacing w:line="360" w:lineRule="auto"/>
        <w:ind w:firstLine="480" w:firstLineChars="200"/>
        <w:rPr>
          <w:rStyle w:val="51"/>
          <w:rFonts w:ascii="Times New Roman" w:hAnsi="Times New Roman"/>
          <w:color w:val="auto"/>
          <w:sz w:val="24"/>
          <w:szCs w:val="24"/>
          <w:highlight w:val="none"/>
        </w:rPr>
      </w:pPr>
      <w:r>
        <w:rPr>
          <w:rStyle w:val="51"/>
          <w:rFonts w:hint="eastAsia" w:ascii="Times New Roman" w:hAnsi="Times New Roman"/>
          <w:color w:val="auto"/>
          <w:sz w:val="24"/>
          <w:szCs w:val="24"/>
          <w:highlight w:val="none"/>
        </w:rPr>
        <w:t>根据现场勘查，</w:t>
      </w:r>
      <w:r>
        <w:rPr>
          <w:rStyle w:val="51"/>
          <w:rFonts w:ascii="Times New Roman" w:hAnsi="Times New Roman"/>
          <w:color w:val="auto"/>
          <w:sz w:val="24"/>
          <w:szCs w:val="24"/>
          <w:highlight w:val="none"/>
        </w:rPr>
        <w:t>项目周边的工业企业主要为</w:t>
      </w:r>
      <w:r>
        <w:rPr>
          <w:rFonts w:hint="eastAsia"/>
          <w:color w:val="auto"/>
          <w:sz w:val="24"/>
          <w:highlight w:val="none"/>
        </w:rPr>
        <w:t>所在园区</w:t>
      </w:r>
      <w:r>
        <w:rPr>
          <w:rStyle w:val="51"/>
          <w:rFonts w:hint="eastAsia" w:ascii="Times New Roman" w:hAnsi="Times New Roman" w:eastAsiaTheme="minorEastAsia"/>
          <w:color w:val="auto"/>
          <w:sz w:val="24"/>
          <w:szCs w:val="24"/>
          <w:highlight w:val="none"/>
        </w:rPr>
        <w:t>东侧为瑞源广场</w:t>
      </w:r>
      <w:r>
        <w:rPr>
          <w:rStyle w:val="51"/>
          <w:rFonts w:hint="eastAsia" w:eastAsiaTheme="minorEastAsia"/>
          <w:color w:val="auto"/>
          <w:sz w:val="24"/>
          <w:szCs w:val="24"/>
          <w:highlight w:val="none"/>
          <w:lang w:eastAsia="zh-CN"/>
        </w:rPr>
        <w:t>、青岛益群漆业集团有限公司、青岛文达通科技发展有限公司</w:t>
      </w:r>
      <w:r>
        <w:rPr>
          <w:rStyle w:val="51"/>
          <w:rFonts w:hint="eastAsia" w:ascii="Times New Roman" w:hAnsi="Times New Roman" w:eastAsiaTheme="minorEastAsia"/>
          <w:color w:val="auto"/>
          <w:sz w:val="24"/>
          <w:szCs w:val="24"/>
          <w:highlight w:val="none"/>
        </w:rPr>
        <w:t>，南侧为黄河东路，隔路为</w:t>
      </w:r>
      <w:r>
        <w:rPr>
          <w:rStyle w:val="51"/>
          <w:rFonts w:hint="eastAsia" w:eastAsiaTheme="minorEastAsia"/>
          <w:color w:val="auto"/>
          <w:sz w:val="24"/>
          <w:szCs w:val="24"/>
          <w:highlight w:val="none"/>
          <w:lang w:eastAsia="zh-CN"/>
        </w:rPr>
        <w:t>港航</w:t>
      </w:r>
      <w:r>
        <w:rPr>
          <w:rStyle w:val="51"/>
          <w:rFonts w:hint="eastAsia" w:ascii="Times New Roman" w:hAnsi="Times New Roman" w:eastAsiaTheme="minorEastAsia"/>
          <w:color w:val="auto"/>
          <w:sz w:val="24"/>
          <w:szCs w:val="24"/>
          <w:highlight w:val="none"/>
        </w:rPr>
        <w:t>大厦；西侧为</w:t>
      </w:r>
      <w:r>
        <w:rPr>
          <w:rStyle w:val="51"/>
          <w:rFonts w:hint="eastAsia" w:eastAsiaTheme="minorEastAsia"/>
          <w:color w:val="auto"/>
          <w:sz w:val="24"/>
          <w:szCs w:val="24"/>
          <w:highlight w:val="none"/>
          <w:lang w:eastAsia="zh-CN"/>
        </w:rPr>
        <w:t>港航中心</w:t>
      </w:r>
      <w:r>
        <w:rPr>
          <w:rStyle w:val="51"/>
          <w:rFonts w:hint="eastAsia" w:ascii="Times New Roman" w:hAnsi="Times New Roman" w:eastAsiaTheme="minorEastAsia"/>
          <w:color w:val="auto"/>
          <w:sz w:val="24"/>
          <w:szCs w:val="24"/>
          <w:highlight w:val="none"/>
        </w:rPr>
        <w:t>和远洋大亚</w:t>
      </w:r>
      <w:r>
        <w:rPr>
          <w:rStyle w:val="51"/>
          <w:rFonts w:hint="eastAsia" w:ascii="Times New Roman" w:hAnsi="Times New Roman" w:eastAsiaTheme="minorEastAsia"/>
          <w:color w:val="auto"/>
          <w:sz w:val="24"/>
          <w:szCs w:val="24"/>
          <w:highlight w:val="none"/>
        </w:rPr>
        <w:t>集装箱堆放地；北侧为青岛远洋大亚物流有限公司</w:t>
      </w:r>
      <w:r>
        <w:rPr>
          <w:rFonts w:hint="eastAsia"/>
          <w:color w:val="auto"/>
          <w:sz w:val="24"/>
          <w:highlight w:val="none"/>
        </w:rPr>
        <w:t>。</w:t>
      </w:r>
      <w:r>
        <w:rPr>
          <w:rStyle w:val="51"/>
          <w:rFonts w:hint="eastAsia"/>
          <w:color w:val="auto"/>
          <w:sz w:val="24"/>
          <w:szCs w:val="24"/>
          <w:highlight w:val="none"/>
          <w:lang w:eastAsia="zh-CN"/>
        </w:rPr>
        <w:t>项目建成后，周边陆续增加了新的工业企业</w:t>
      </w:r>
      <w:r>
        <w:rPr>
          <w:rStyle w:val="51"/>
          <w:rFonts w:ascii="Times New Roman" w:hAnsi="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Style w:val="51"/>
          <w:rFonts w:hint="eastAsia" w:ascii="黑体" w:hAnsi="黑体" w:eastAsia="黑体" w:cs="黑体"/>
          <w:color w:val="auto"/>
          <w:sz w:val="24"/>
          <w:szCs w:val="24"/>
          <w:highlight w:val="none"/>
          <w:lang w:eastAsia="zh-CN"/>
        </w:rPr>
      </w:pPr>
      <w:r>
        <w:rPr>
          <w:rStyle w:val="51"/>
          <w:rFonts w:hint="eastAsia" w:ascii="黑体" w:hAnsi="黑体" w:eastAsia="黑体" w:cs="黑体"/>
          <w:color w:val="auto"/>
          <w:sz w:val="24"/>
          <w:szCs w:val="24"/>
          <w:highlight w:val="none"/>
          <w:lang w:eastAsia="zh-CN"/>
        </w:rPr>
        <w:t>表</w:t>
      </w:r>
      <w:r>
        <w:rPr>
          <w:rStyle w:val="51"/>
          <w:rFonts w:hint="eastAsia" w:ascii="黑体" w:hAnsi="黑体" w:eastAsia="黑体" w:cs="黑体"/>
          <w:color w:val="auto"/>
          <w:sz w:val="24"/>
          <w:szCs w:val="24"/>
          <w:highlight w:val="none"/>
          <w:lang w:val="en-US" w:eastAsia="zh-CN"/>
        </w:rPr>
        <w:t xml:space="preserve">3.5-1  </w:t>
      </w:r>
      <w:r>
        <w:rPr>
          <w:rStyle w:val="51"/>
          <w:rFonts w:hint="eastAsia" w:ascii="黑体" w:hAnsi="黑体" w:eastAsia="黑体" w:cs="黑体"/>
          <w:color w:val="auto"/>
          <w:sz w:val="24"/>
          <w:szCs w:val="24"/>
          <w:highlight w:val="none"/>
          <w:lang w:eastAsia="zh-CN"/>
        </w:rPr>
        <w:t>项目周边</w:t>
      </w:r>
      <w:r>
        <w:rPr>
          <w:rStyle w:val="51"/>
          <w:rFonts w:hint="eastAsia" w:ascii="黑体" w:hAnsi="黑体" w:eastAsia="黑体" w:cs="黑体"/>
          <w:color w:val="auto"/>
          <w:sz w:val="24"/>
          <w:szCs w:val="24"/>
          <w:highlight w:val="none"/>
          <w:lang w:eastAsia="zh-CN"/>
        </w:rPr>
        <w:t>主要污染源变化情况统计</w:t>
      </w:r>
    </w:p>
    <w:tbl>
      <w:tblPr>
        <w:tblStyle w:val="37"/>
        <w:tblW w:w="9230" w:type="dxa"/>
        <w:tblInd w:w="0" w:type="dxa"/>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2136"/>
        <w:gridCol w:w="1383"/>
        <w:gridCol w:w="1733"/>
        <w:gridCol w:w="900"/>
        <w:gridCol w:w="1539"/>
        <w:gridCol w:w="1539"/>
      </w:tblGrid>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63" w:hRule="atLeast"/>
        </w:trPr>
        <w:tc>
          <w:tcPr>
            <w:tcW w:w="21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Style w:val="51"/>
                <w:rFonts w:hint="eastAsia" w:asciiTheme="minorEastAsia" w:hAnsiTheme="minorEastAsia" w:eastAsiaTheme="minorEastAsia" w:cstheme="minorEastAsia"/>
                <w:b/>
                <w:bCs/>
                <w:color w:val="auto"/>
                <w:sz w:val="21"/>
                <w:szCs w:val="21"/>
                <w:highlight w:val="none"/>
                <w:vertAlign w:val="baseline"/>
                <w:lang w:eastAsia="zh-CN"/>
              </w:rPr>
            </w:pPr>
            <w:r>
              <w:rPr>
                <w:rStyle w:val="51"/>
                <w:rFonts w:hint="eastAsia" w:asciiTheme="minorEastAsia" w:hAnsiTheme="minorEastAsia" w:eastAsiaTheme="minorEastAsia" w:cstheme="minorEastAsia"/>
                <w:b/>
                <w:bCs/>
                <w:color w:val="auto"/>
                <w:sz w:val="21"/>
                <w:szCs w:val="21"/>
                <w:highlight w:val="none"/>
                <w:vertAlign w:val="baseline"/>
                <w:lang w:eastAsia="zh-CN"/>
              </w:rPr>
              <w:t>企业名称</w:t>
            </w:r>
          </w:p>
        </w:tc>
        <w:tc>
          <w:tcPr>
            <w:tcW w:w="13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Style w:val="51"/>
                <w:rFonts w:hint="eastAsia" w:asciiTheme="minorEastAsia" w:hAnsiTheme="minorEastAsia" w:eastAsiaTheme="minorEastAsia" w:cstheme="minorEastAsia"/>
                <w:b/>
                <w:bCs/>
                <w:color w:val="auto"/>
                <w:sz w:val="21"/>
                <w:szCs w:val="21"/>
                <w:highlight w:val="none"/>
                <w:vertAlign w:val="baseline"/>
                <w:lang w:eastAsia="zh-CN"/>
              </w:rPr>
            </w:pPr>
            <w:r>
              <w:rPr>
                <w:rStyle w:val="51"/>
                <w:rFonts w:hint="eastAsia" w:asciiTheme="minorEastAsia" w:hAnsiTheme="minorEastAsia" w:eastAsiaTheme="minorEastAsia" w:cstheme="minorEastAsia"/>
                <w:b/>
                <w:bCs/>
                <w:color w:val="auto"/>
                <w:sz w:val="21"/>
                <w:szCs w:val="21"/>
                <w:highlight w:val="none"/>
                <w:vertAlign w:val="baseline"/>
                <w:lang w:eastAsia="zh-CN"/>
              </w:rPr>
              <w:t>企业类型</w:t>
            </w:r>
          </w:p>
        </w:tc>
        <w:tc>
          <w:tcPr>
            <w:tcW w:w="17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Style w:val="51"/>
                <w:rFonts w:hint="eastAsia" w:asciiTheme="minorEastAsia" w:hAnsiTheme="minorEastAsia" w:eastAsiaTheme="minorEastAsia" w:cstheme="minorEastAsia"/>
                <w:b/>
                <w:bCs/>
                <w:color w:val="auto"/>
                <w:sz w:val="21"/>
                <w:szCs w:val="21"/>
                <w:highlight w:val="none"/>
                <w:vertAlign w:val="baseline"/>
                <w:lang w:eastAsia="zh-CN"/>
              </w:rPr>
            </w:pPr>
            <w:r>
              <w:rPr>
                <w:rStyle w:val="51"/>
                <w:rFonts w:hint="eastAsia" w:asciiTheme="minorEastAsia" w:hAnsiTheme="minorEastAsia" w:eastAsiaTheme="minorEastAsia" w:cstheme="minorEastAsia"/>
                <w:b/>
                <w:bCs/>
                <w:color w:val="auto"/>
                <w:sz w:val="21"/>
                <w:szCs w:val="21"/>
                <w:highlight w:val="none"/>
                <w:vertAlign w:val="baseline"/>
                <w:lang w:eastAsia="zh-CN"/>
              </w:rPr>
              <w:t>与项目位置关系</w:t>
            </w:r>
          </w:p>
        </w:tc>
        <w:tc>
          <w:tcPr>
            <w:tcW w:w="9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Style w:val="51"/>
                <w:rFonts w:hint="eastAsia" w:asciiTheme="minorEastAsia" w:hAnsiTheme="minorEastAsia" w:eastAsiaTheme="minorEastAsia" w:cstheme="minorEastAsia"/>
                <w:b/>
                <w:bCs/>
                <w:color w:val="auto"/>
                <w:sz w:val="21"/>
                <w:szCs w:val="21"/>
                <w:highlight w:val="none"/>
                <w:vertAlign w:val="baseline"/>
                <w:lang w:eastAsia="zh-CN"/>
              </w:rPr>
            </w:pPr>
            <w:r>
              <w:rPr>
                <w:rStyle w:val="51"/>
                <w:rFonts w:hint="eastAsia" w:asciiTheme="minorEastAsia" w:hAnsiTheme="minorEastAsia" w:eastAsiaTheme="minorEastAsia" w:cstheme="minorEastAsia"/>
                <w:b/>
                <w:bCs/>
                <w:color w:val="auto"/>
                <w:sz w:val="21"/>
                <w:szCs w:val="21"/>
                <w:highlight w:val="none"/>
                <w:vertAlign w:val="baseline"/>
                <w:lang w:eastAsia="zh-CN"/>
              </w:rPr>
              <w:t>距离</w:t>
            </w:r>
          </w:p>
        </w:tc>
        <w:tc>
          <w:tcPr>
            <w:tcW w:w="15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Style w:val="51"/>
                <w:rFonts w:hint="eastAsia" w:asciiTheme="minorEastAsia" w:hAnsiTheme="minorEastAsia" w:eastAsiaTheme="minorEastAsia" w:cstheme="minorEastAsia"/>
                <w:b/>
                <w:bCs/>
                <w:color w:val="auto"/>
                <w:sz w:val="21"/>
                <w:szCs w:val="21"/>
                <w:highlight w:val="none"/>
                <w:vertAlign w:val="baseline"/>
                <w:lang w:eastAsia="zh-CN"/>
              </w:rPr>
            </w:pPr>
            <w:r>
              <w:rPr>
                <w:rStyle w:val="51"/>
                <w:rFonts w:hint="eastAsia" w:asciiTheme="minorEastAsia" w:hAnsiTheme="minorEastAsia" w:eastAsiaTheme="minorEastAsia" w:cstheme="minorEastAsia"/>
                <w:b/>
                <w:bCs/>
                <w:color w:val="auto"/>
                <w:sz w:val="21"/>
                <w:szCs w:val="21"/>
                <w:highlight w:val="none"/>
                <w:vertAlign w:val="baseline"/>
                <w:lang w:eastAsia="zh-CN"/>
              </w:rPr>
              <w:t>主要污染物</w:t>
            </w:r>
          </w:p>
        </w:tc>
        <w:tc>
          <w:tcPr>
            <w:tcW w:w="15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Style w:val="51"/>
                <w:rFonts w:hint="eastAsia" w:asciiTheme="minorEastAsia" w:hAnsiTheme="minorEastAsia" w:eastAsiaTheme="minorEastAsia" w:cstheme="minorEastAsia"/>
                <w:b/>
                <w:bCs/>
                <w:color w:val="auto"/>
                <w:sz w:val="21"/>
                <w:szCs w:val="21"/>
                <w:highlight w:val="none"/>
                <w:vertAlign w:val="baseline"/>
                <w:lang w:eastAsia="zh-CN"/>
              </w:rPr>
            </w:pPr>
            <w:r>
              <w:rPr>
                <w:rStyle w:val="51"/>
                <w:rFonts w:hint="eastAsia" w:asciiTheme="minorEastAsia" w:hAnsiTheme="minorEastAsia" w:eastAsiaTheme="minorEastAsia" w:cstheme="minorEastAsia"/>
                <w:b/>
                <w:bCs/>
                <w:color w:val="auto"/>
                <w:sz w:val="21"/>
                <w:szCs w:val="21"/>
                <w:highlight w:val="none"/>
                <w:vertAlign w:val="baseline"/>
                <w:lang w:eastAsia="zh-CN"/>
              </w:rPr>
              <w:t>变化情况</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63" w:hRule="atLeast"/>
        </w:trPr>
        <w:tc>
          <w:tcPr>
            <w:tcW w:w="21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Style w:val="51"/>
                <w:rFonts w:hint="eastAsia" w:asciiTheme="minorEastAsia" w:hAnsiTheme="minorEastAsia" w:eastAsiaTheme="minorEastAsia" w:cstheme="minorEastAsia"/>
                <w:color w:val="auto"/>
                <w:sz w:val="21"/>
                <w:szCs w:val="21"/>
                <w:highlight w:val="none"/>
                <w:vertAlign w:val="baseline"/>
                <w:lang w:eastAsia="zh-CN"/>
              </w:rPr>
            </w:pPr>
            <w:r>
              <w:rPr>
                <w:rStyle w:val="51"/>
                <w:rFonts w:hint="eastAsia" w:asciiTheme="minorEastAsia" w:hAnsiTheme="minorEastAsia" w:eastAsiaTheme="minorEastAsia" w:cstheme="minorEastAsia"/>
                <w:color w:val="auto"/>
                <w:sz w:val="21"/>
                <w:szCs w:val="21"/>
                <w:highlight w:val="none"/>
                <w:vertAlign w:val="baseline"/>
                <w:lang w:eastAsia="zh-CN"/>
              </w:rPr>
              <w:t>青岛泰科海表面处理有限公司</w:t>
            </w:r>
          </w:p>
        </w:tc>
        <w:tc>
          <w:tcPr>
            <w:tcW w:w="13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Style w:val="51"/>
                <w:rFonts w:hint="eastAsia" w:asciiTheme="minorEastAsia" w:hAnsiTheme="minorEastAsia" w:eastAsiaTheme="minorEastAsia" w:cstheme="minorEastAsia"/>
                <w:color w:val="auto"/>
                <w:sz w:val="21"/>
                <w:szCs w:val="21"/>
                <w:highlight w:val="none"/>
                <w:vertAlign w:val="baseline"/>
                <w:lang w:eastAsia="zh-CN"/>
              </w:rPr>
            </w:pPr>
            <w:r>
              <w:rPr>
                <w:rStyle w:val="51"/>
                <w:rFonts w:hint="eastAsia" w:asciiTheme="minorEastAsia" w:hAnsiTheme="minorEastAsia" w:eastAsiaTheme="minorEastAsia" w:cstheme="minorEastAsia"/>
                <w:color w:val="auto"/>
                <w:sz w:val="21"/>
                <w:szCs w:val="21"/>
                <w:highlight w:val="none"/>
                <w:vertAlign w:val="baseline"/>
                <w:lang w:eastAsia="zh-CN"/>
              </w:rPr>
              <w:t>表面处理</w:t>
            </w:r>
          </w:p>
        </w:tc>
        <w:tc>
          <w:tcPr>
            <w:tcW w:w="17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Style w:val="51"/>
                <w:rFonts w:hint="eastAsia" w:asciiTheme="minorEastAsia" w:hAnsiTheme="minorEastAsia" w:eastAsiaTheme="minorEastAsia" w:cstheme="minorEastAsia"/>
                <w:color w:val="auto"/>
                <w:sz w:val="21"/>
                <w:szCs w:val="21"/>
                <w:highlight w:val="none"/>
                <w:vertAlign w:val="baseline"/>
                <w:lang w:eastAsia="zh-CN"/>
              </w:rPr>
            </w:pPr>
            <w:r>
              <w:rPr>
                <w:rStyle w:val="51"/>
                <w:rFonts w:hint="eastAsia" w:asciiTheme="minorEastAsia" w:hAnsiTheme="minorEastAsia" w:eastAsiaTheme="minorEastAsia" w:cstheme="minorEastAsia"/>
                <w:color w:val="auto"/>
                <w:sz w:val="21"/>
                <w:szCs w:val="21"/>
                <w:highlight w:val="none"/>
                <w:vertAlign w:val="baseline"/>
                <w:lang w:eastAsia="zh-CN"/>
              </w:rPr>
              <w:t>同一园区</w:t>
            </w:r>
          </w:p>
        </w:tc>
        <w:tc>
          <w:tcPr>
            <w:tcW w:w="9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Style w:val="51"/>
                <w:rFonts w:hint="eastAsia" w:asciiTheme="minorEastAsia" w:hAnsiTheme="minorEastAsia" w:eastAsiaTheme="minorEastAsia" w:cstheme="minorEastAsia"/>
                <w:color w:val="auto"/>
                <w:sz w:val="21"/>
                <w:szCs w:val="21"/>
                <w:highlight w:val="none"/>
                <w:vertAlign w:val="baseline"/>
                <w:lang w:eastAsia="zh-CN"/>
              </w:rPr>
            </w:pPr>
            <w:r>
              <w:rPr>
                <w:rStyle w:val="51"/>
                <w:rFonts w:hint="eastAsia" w:asciiTheme="minorEastAsia" w:hAnsiTheme="minorEastAsia" w:eastAsiaTheme="minorEastAsia" w:cstheme="minorEastAsia"/>
                <w:color w:val="auto"/>
                <w:sz w:val="21"/>
                <w:szCs w:val="21"/>
                <w:highlight w:val="none"/>
                <w:vertAlign w:val="baseline"/>
                <w:lang w:eastAsia="zh-CN"/>
              </w:rPr>
              <w:t>—</w:t>
            </w:r>
          </w:p>
        </w:tc>
        <w:tc>
          <w:tcPr>
            <w:tcW w:w="15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Style w:val="51"/>
                <w:rFonts w:hint="eastAsia" w:asciiTheme="minorEastAsia" w:hAnsiTheme="minorEastAsia" w:eastAsiaTheme="minorEastAsia" w:cstheme="minorEastAsia"/>
                <w:color w:val="auto"/>
                <w:sz w:val="21"/>
                <w:szCs w:val="21"/>
                <w:highlight w:val="none"/>
                <w:vertAlign w:val="baseline"/>
                <w:lang w:eastAsia="zh-CN"/>
              </w:rPr>
            </w:pPr>
            <w:r>
              <w:rPr>
                <w:rStyle w:val="51"/>
                <w:rFonts w:hint="eastAsia" w:asciiTheme="minorEastAsia" w:hAnsiTheme="minorEastAsia" w:eastAsiaTheme="minorEastAsia" w:cstheme="minorEastAsia"/>
                <w:color w:val="auto"/>
                <w:sz w:val="21"/>
                <w:szCs w:val="21"/>
                <w:highlight w:val="none"/>
                <w:vertAlign w:val="baseline"/>
                <w:lang w:eastAsia="zh-CN"/>
              </w:rPr>
              <w:t>废气、废水、噪声、固废</w:t>
            </w:r>
          </w:p>
        </w:tc>
        <w:tc>
          <w:tcPr>
            <w:tcW w:w="15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Style w:val="51"/>
                <w:rFonts w:hint="eastAsia" w:asciiTheme="minorEastAsia" w:hAnsiTheme="minorEastAsia" w:eastAsiaTheme="minorEastAsia" w:cstheme="minorEastAsia"/>
                <w:color w:val="auto"/>
                <w:sz w:val="21"/>
                <w:szCs w:val="21"/>
                <w:highlight w:val="none"/>
                <w:vertAlign w:val="baseline"/>
                <w:lang w:eastAsia="zh-CN"/>
              </w:rPr>
            </w:pPr>
            <w:r>
              <w:rPr>
                <w:rStyle w:val="51"/>
                <w:rFonts w:hint="eastAsia" w:asciiTheme="minorEastAsia" w:hAnsiTheme="minorEastAsia" w:eastAsiaTheme="minorEastAsia" w:cstheme="minorEastAsia"/>
                <w:color w:val="auto"/>
                <w:sz w:val="21"/>
                <w:szCs w:val="21"/>
                <w:highlight w:val="none"/>
                <w:vertAlign w:val="baseline"/>
                <w:lang w:eastAsia="zh-CN"/>
              </w:rPr>
              <w:t>新增</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63" w:hRule="atLeast"/>
        </w:trPr>
        <w:tc>
          <w:tcPr>
            <w:tcW w:w="21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Style w:val="51"/>
                <w:rFonts w:hint="eastAsia" w:asciiTheme="minorEastAsia" w:hAnsiTheme="minorEastAsia" w:eastAsiaTheme="minorEastAsia" w:cstheme="minorEastAsia"/>
                <w:color w:val="auto"/>
                <w:sz w:val="21"/>
                <w:szCs w:val="21"/>
                <w:highlight w:val="none"/>
                <w:vertAlign w:val="baseline"/>
                <w:lang w:eastAsia="zh-CN"/>
              </w:rPr>
            </w:pPr>
            <w:r>
              <w:rPr>
                <w:rStyle w:val="51"/>
                <w:rFonts w:hint="eastAsia" w:asciiTheme="minorEastAsia" w:hAnsiTheme="minorEastAsia" w:eastAsiaTheme="minorEastAsia" w:cstheme="minorEastAsia"/>
                <w:color w:val="auto"/>
                <w:sz w:val="21"/>
                <w:szCs w:val="21"/>
                <w:highlight w:val="none"/>
                <w:vertAlign w:val="baseline"/>
                <w:lang w:eastAsia="zh-CN"/>
              </w:rPr>
              <w:t>青岛金源汽车油管有限公司</w:t>
            </w:r>
          </w:p>
        </w:tc>
        <w:tc>
          <w:tcPr>
            <w:tcW w:w="13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Style w:val="51"/>
                <w:rFonts w:hint="eastAsia" w:asciiTheme="minorEastAsia" w:hAnsiTheme="minorEastAsia" w:eastAsiaTheme="minorEastAsia" w:cstheme="minorEastAsia"/>
                <w:color w:val="auto"/>
                <w:sz w:val="21"/>
                <w:szCs w:val="21"/>
                <w:highlight w:val="none"/>
                <w:vertAlign w:val="baseline"/>
                <w:lang w:eastAsia="zh-CN"/>
              </w:rPr>
            </w:pPr>
            <w:r>
              <w:rPr>
                <w:rStyle w:val="51"/>
                <w:rFonts w:hint="eastAsia" w:asciiTheme="minorEastAsia" w:hAnsiTheme="minorEastAsia" w:eastAsiaTheme="minorEastAsia" w:cstheme="minorEastAsia"/>
                <w:color w:val="auto"/>
                <w:sz w:val="21"/>
                <w:szCs w:val="21"/>
                <w:highlight w:val="none"/>
                <w:vertAlign w:val="baseline"/>
                <w:lang w:eastAsia="zh-CN"/>
              </w:rPr>
              <w:t>表面处理</w:t>
            </w:r>
          </w:p>
        </w:tc>
        <w:tc>
          <w:tcPr>
            <w:tcW w:w="17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Style w:val="51"/>
                <w:rFonts w:hint="eastAsia" w:asciiTheme="minorEastAsia" w:hAnsiTheme="minorEastAsia" w:eastAsiaTheme="minorEastAsia" w:cstheme="minorEastAsia"/>
                <w:color w:val="auto"/>
                <w:sz w:val="21"/>
                <w:szCs w:val="21"/>
                <w:highlight w:val="none"/>
                <w:vertAlign w:val="baseline"/>
                <w:lang w:eastAsia="zh-CN"/>
              </w:rPr>
            </w:pPr>
            <w:r>
              <w:rPr>
                <w:rStyle w:val="51"/>
                <w:rFonts w:hint="eastAsia" w:asciiTheme="minorEastAsia" w:hAnsiTheme="minorEastAsia" w:eastAsiaTheme="minorEastAsia" w:cstheme="minorEastAsia"/>
                <w:color w:val="auto"/>
                <w:sz w:val="21"/>
                <w:szCs w:val="21"/>
                <w:highlight w:val="none"/>
                <w:vertAlign w:val="baseline"/>
                <w:lang w:eastAsia="zh-CN"/>
              </w:rPr>
              <w:t>同一园区</w:t>
            </w:r>
          </w:p>
        </w:tc>
        <w:tc>
          <w:tcPr>
            <w:tcW w:w="9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Style w:val="51"/>
                <w:rFonts w:hint="eastAsia" w:asciiTheme="minorEastAsia" w:hAnsiTheme="minorEastAsia" w:eastAsiaTheme="minorEastAsia" w:cstheme="minorEastAsia"/>
                <w:color w:val="auto"/>
                <w:sz w:val="21"/>
                <w:szCs w:val="21"/>
                <w:highlight w:val="none"/>
                <w:vertAlign w:val="baseline"/>
                <w:lang w:eastAsia="zh-CN"/>
              </w:rPr>
            </w:pPr>
            <w:r>
              <w:rPr>
                <w:rStyle w:val="51"/>
                <w:rFonts w:hint="eastAsia" w:asciiTheme="minorEastAsia" w:hAnsiTheme="minorEastAsia" w:eastAsiaTheme="minorEastAsia" w:cstheme="minorEastAsia"/>
                <w:color w:val="auto"/>
                <w:sz w:val="21"/>
                <w:szCs w:val="21"/>
                <w:highlight w:val="none"/>
                <w:vertAlign w:val="baseline"/>
                <w:lang w:eastAsia="zh-CN"/>
              </w:rPr>
              <w:t>—</w:t>
            </w:r>
          </w:p>
        </w:tc>
        <w:tc>
          <w:tcPr>
            <w:tcW w:w="15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Style w:val="51"/>
                <w:rFonts w:hint="eastAsia" w:asciiTheme="minorEastAsia" w:hAnsiTheme="minorEastAsia" w:eastAsiaTheme="minorEastAsia" w:cstheme="minorEastAsia"/>
                <w:color w:val="auto"/>
                <w:sz w:val="21"/>
                <w:szCs w:val="21"/>
                <w:highlight w:val="none"/>
                <w:vertAlign w:val="baseline"/>
                <w:lang w:eastAsia="zh-CN"/>
              </w:rPr>
            </w:pPr>
            <w:r>
              <w:rPr>
                <w:rStyle w:val="51"/>
                <w:rFonts w:hint="eastAsia" w:asciiTheme="minorEastAsia" w:hAnsiTheme="minorEastAsia" w:eastAsiaTheme="minorEastAsia" w:cstheme="minorEastAsia"/>
                <w:color w:val="auto"/>
                <w:sz w:val="21"/>
                <w:szCs w:val="21"/>
                <w:highlight w:val="none"/>
                <w:vertAlign w:val="baseline"/>
                <w:lang w:eastAsia="zh-CN"/>
              </w:rPr>
              <w:t>废气、废水、噪声、固废</w:t>
            </w:r>
          </w:p>
        </w:tc>
        <w:tc>
          <w:tcPr>
            <w:tcW w:w="15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Style w:val="51"/>
                <w:rFonts w:hint="eastAsia" w:asciiTheme="minorEastAsia" w:hAnsiTheme="minorEastAsia" w:eastAsiaTheme="minorEastAsia" w:cstheme="minorEastAsia"/>
                <w:color w:val="auto"/>
                <w:sz w:val="21"/>
                <w:szCs w:val="21"/>
                <w:highlight w:val="none"/>
                <w:vertAlign w:val="baseline"/>
                <w:lang w:eastAsia="zh-CN"/>
              </w:rPr>
            </w:pPr>
            <w:r>
              <w:rPr>
                <w:rStyle w:val="51"/>
                <w:rFonts w:hint="eastAsia" w:asciiTheme="minorEastAsia" w:hAnsiTheme="minorEastAsia" w:eastAsiaTheme="minorEastAsia" w:cstheme="minorEastAsia"/>
                <w:color w:val="auto"/>
                <w:sz w:val="21"/>
                <w:szCs w:val="21"/>
                <w:highlight w:val="none"/>
                <w:vertAlign w:val="baseline"/>
                <w:lang w:eastAsia="zh-CN"/>
              </w:rPr>
              <w:t>新增</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63" w:hRule="atLeast"/>
        </w:trPr>
        <w:tc>
          <w:tcPr>
            <w:tcW w:w="21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Style w:val="51"/>
                <w:rFonts w:hint="eastAsia" w:asciiTheme="minorEastAsia" w:hAnsiTheme="minorEastAsia" w:eastAsiaTheme="minorEastAsia" w:cstheme="minorEastAsia"/>
                <w:color w:val="auto"/>
                <w:sz w:val="21"/>
                <w:szCs w:val="21"/>
                <w:highlight w:val="none"/>
                <w:vertAlign w:val="baseline"/>
                <w:lang w:eastAsia="zh-CN"/>
              </w:rPr>
            </w:pPr>
            <w:r>
              <w:rPr>
                <w:rStyle w:val="51"/>
                <w:rFonts w:hint="eastAsia" w:asciiTheme="minorEastAsia" w:hAnsiTheme="minorEastAsia" w:eastAsiaTheme="minorEastAsia" w:cstheme="minorEastAsia"/>
                <w:color w:val="auto"/>
                <w:sz w:val="21"/>
                <w:szCs w:val="21"/>
                <w:highlight w:val="none"/>
                <w:vertAlign w:val="baseline"/>
                <w:lang w:eastAsia="zh-CN"/>
              </w:rPr>
              <w:t>青岛海贝思特表面处理有限公司</w:t>
            </w:r>
          </w:p>
        </w:tc>
        <w:tc>
          <w:tcPr>
            <w:tcW w:w="13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Style w:val="51"/>
                <w:rFonts w:hint="eastAsia" w:asciiTheme="minorEastAsia" w:hAnsiTheme="minorEastAsia" w:eastAsiaTheme="minorEastAsia" w:cstheme="minorEastAsia"/>
                <w:color w:val="auto"/>
                <w:sz w:val="21"/>
                <w:szCs w:val="21"/>
                <w:highlight w:val="none"/>
                <w:vertAlign w:val="baseline"/>
                <w:lang w:eastAsia="zh-CN"/>
              </w:rPr>
            </w:pPr>
            <w:r>
              <w:rPr>
                <w:rStyle w:val="51"/>
                <w:rFonts w:hint="eastAsia" w:asciiTheme="minorEastAsia" w:hAnsiTheme="minorEastAsia" w:eastAsiaTheme="minorEastAsia" w:cstheme="minorEastAsia"/>
                <w:color w:val="auto"/>
                <w:sz w:val="21"/>
                <w:szCs w:val="21"/>
                <w:highlight w:val="none"/>
                <w:vertAlign w:val="baseline"/>
                <w:lang w:eastAsia="zh-CN"/>
              </w:rPr>
              <w:t>表面处理</w:t>
            </w:r>
          </w:p>
        </w:tc>
        <w:tc>
          <w:tcPr>
            <w:tcW w:w="17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Style w:val="51"/>
                <w:rFonts w:hint="eastAsia" w:asciiTheme="minorEastAsia" w:hAnsiTheme="minorEastAsia" w:eastAsiaTheme="minorEastAsia" w:cstheme="minorEastAsia"/>
                <w:color w:val="auto"/>
                <w:sz w:val="21"/>
                <w:szCs w:val="21"/>
                <w:highlight w:val="none"/>
                <w:vertAlign w:val="baseline"/>
                <w:lang w:eastAsia="zh-CN"/>
              </w:rPr>
            </w:pPr>
            <w:r>
              <w:rPr>
                <w:rStyle w:val="51"/>
                <w:rFonts w:hint="eastAsia" w:asciiTheme="minorEastAsia" w:hAnsiTheme="minorEastAsia" w:eastAsiaTheme="minorEastAsia" w:cstheme="minorEastAsia"/>
                <w:color w:val="auto"/>
                <w:sz w:val="21"/>
                <w:szCs w:val="21"/>
                <w:highlight w:val="none"/>
                <w:vertAlign w:val="baseline"/>
                <w:lang w:eastAsia="zh-CN"/>
              </w:rPr>
              <w:t>同一园区</w:t>
            </w:r>
          </w:p>
        </w:tc>
        <w:tc>
          <w:tcPr>
            <w:tcW w:w="9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Style w:val="51"/>
                <w:rFonts w:hint="eastAsia" w:asciiTheme="minorEastAsia" w:hAnsiTheme="minorEastAsia" w:eastAsiaTheme="minorEastAsia" w:cstheme="minorEastAsia"/>
                <w:color w:val="auto"/>
                <w:sz w:val="21"/>
                <w:szCs w:val="21"/>
                <w:highlight w:val="none"/>
                <w:vertAlign w:val="baseline"/>
                <w:lang w:eastAsia="zh-CN"/>
              </w:rPr>
            </w:pPr>
            <w:r>
              <w:rPr>
                <w:rStyle w:val="51"/>
                <w:rFonts w:hint="eastAsia" w:asciiTheme="minorEastAsia" w:hAnsiTheme="minorEastAsia" w:eastAsiaTheme="minorEastAsia" w:cstheme="minorEastAsia"/>
                <w:color w:val="auto"/>
                <w:sz w:val="21"/>
                <w:szCs w:val="21"/>
                <w:highlight w:val="none"/>
                <w:vertAlign w:val="baseline"/>
                <w:lang w:eastAsia="zh-CN"/>
              </w:rPr>
              <w:t>—</w:t>
            </w:r>
          </w:p>
        </w:tc>
        <w:tc>
          <w:tcPr>
            <w:tcW w:w="15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Style w:val="51"/>
                <w:rFonts w:hint="eastAsia" w:asciiTheme="minorEastAsia" w:hAnsiTheme="minorEastAsia" w:eastAsiaTheme="minorEastAsia" w:cstheme="minorEastAsia"/>
                <w:color w:val="auto"/>
                <w:sz w:val="21"/>
                <w:szCs w:val="21"/>
                <w:highlight w:val="none"/>
                <w:vertAlign w:val="baseline"/>
                <w:lang w:eastAsia="zh-CN"/>
              </w:rPr>
            </w:pPr>
            <w:r>
              <w:rPr>
                <w:rStyle w:val="51"/>
                <w:rFonts w:hint="eastAsia" w:asciiTheme="minorEastAsia" w:hAnsiTheme="minorEastAsia" w:eastAsiaTheme="minorEastAsia" w:cstheme="minorEastAsia"/>
                <w:color w:val="auto"/>
                <w:sz w:val="21"/>
                <w:szCs w:val="21"/>
                <w:highlight w:val="none"/>
                <w:vertAlign w:val="baseline"/>
                <w:lang w:eastAsia="zh-CN"/>
              </w:rPr>
              <w:t>废气、废水、噪声、固废</w:t>
            </w:r>
          </w:p>
        </w:tc>
        <w:tc>
          <w:tcPr>
            <w:tcW w:w="15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Style w:val="51"/>
                <w:rFonts w:hint="eastAsia" w:asciiTheme="minorEastAsia" w:hAnsiTheme="minorEastAsia" w:eastAsiaTheme="minorEastAsia" w:cstheme="minorEastAsia"/>
                <w:color w:val="auto"/>
                <w:sz w:val="21"/>
                <w:szCs w:val="21"/>
                <w:highlight w:val="none"/>
                <w:vertAlign w:val="baseline"/>
                <w:lang w:eastAsia="zh-CN"/>
              </w:rPr>
            </w:pPr>
            <w:r>
              <w:rPr>
                <w:rStyle w:val="51"/>
                <w:rFonts w:hint="eastAsia" w:asciiTheme="minorEastAsia" w:hAnsiTheme="minorEastAsia" w:eastAsiaTheme="minorEastAsia" w:cstheme="minorEastAsia"/>
                <w:color w:val="auto"/>
                <w:sz w:val="21"/>
                <w:szCs w:val="21"/>
                <w:highlight w:val="none"/>
                <w:vertAlign w:val="baseline"/>
                <w:lang w:eastAsia="zh-CN"/>
              </w:rPr>
              <w:t>新增</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63" w:hRule="atLeast"/>
        </w:trPr>
        <w:tc>
          <w:tcPr>
            <w:tcW w:w="21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Style w:val="51"/>
                <w:rFonts w:hint="eastAsia" w:asciiTheme="minorEastAsia" w:hAnsiTheme="minorEastAsia" w:eastAsiaTheme="minorEastAsia" w:cstheme="minorEastAsia"/>
                <w:color w:val="auto"/>
                <w:sz w:val="21"/>
                <w:szCs w:val="21"/>
                <w:highlight w:val="none"/>
                <w:vertAlign w:val="baseline"/>
                <w:lang w:eastAsia="zh-CN"/>
              </w:rPr>
            </w:pPr>
            <w:r>
              <w:rPr>
                <w:rStyle w:val="51"/>
                <w:rFonts w:hint="eastAsia" w:asciiTheme="minorEastAsia" w:hAnsiTheme="minorEastAsia" w:eastAsiaTheme="minorEastAsia" w:cstheme="minorEastAsia"/>
                <w:color w:val="auto"/>
                <w:sz w:val="21"/>
                <w:szCs w:val="21"/>
                <w:highlight w:val="none"/>
                <w:vertAlign w:val="baseline"/>
                <w:lang w:eastAsia="zh-CN"/>
              </w:rPr>
              <w:t>金源康(青岛)表面科技有限公司</w:t>
            </w:r>
          </w:p>
        </w:tc>
        <w:tc>
          <w:tcPr>
            <w:tcW w:w="13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Style w:val="51"/>
                <w:rFonts w:hint="eastAsia" w:asciiTheme="minorEastAsia" w:hAnsiTheme="minorEastAsia" w:eastAsiaTheme="minorEastAsia" w:cstheme="minorEastAsia"/>
                <w:color w:val="auto"/>
                <w:sz w:val="21"/>
                <w:szCs w:val="21"/>
                <w:highlight w:val="none"/>
                <w:vertAlign w:val="baseline"/>
                <w:lang w:eastAsia="zh-CN"/>
              </w:rPr>
            </w:pPr>
            <w:r>
              <w:rPr>
                <w:rStyle w:val="51"/>
                <w:rFonts w:hint="eastAsia" w:asciiTheme="minorEastAsia" w:hAnsiTheme="minorEastAsia" w:eastAsiaTheme="minorEastAsia" w:cstheme="minorEastAsia"/>
                <w:color w:val="auto"/>
                <w:sz w:val="21"/>
                <w:szCs w:val="21"/>
                <w:highlight w:val="none"/>
                <w:vertAlign w:val="baseline"/>
                <w:lang w:eastAsia="zh-CN"/>
              </w:rPr>
              <w:t>表面处理</w:t>
            </w:r>
          </w:p>
        </w:tc>
        <w:tc>
          <w:tcPr>
            <w:tcW w:w="17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Style w:val="51"/>
                <w:rFonts w:hint="eastAsia" w:asciiTheme="minorEastAsia" w:hAnsiTheme="minorEastAsia" w:eastAsiaTheme="minorEastAsia" w:cstheme="minorEastAsia"/>
                <w:color w:val="auto"/>
                <w:sz w:val="21"/>
                <w:szCs w:val="21"/>
                <w:highlight w:val="none"/>
                <w:vertAlign w:val="baseline"/>
                <w:lang w:eastAsia="zh-CN"/>
              </w:rPr>
            </w:pPr>
            <w:r>
              <w:rPr>
                <w:rStyle w:val="51"/>
                <w:rFonts w:hint="eastAsia" w:asciiTheme="minorEastAsia" w:hAnsiTheme="minorEastAsia" w:eastAsiaTheme="minorEastAsia" w:cstheme="minorEastAsia"/>
                <w:color w:val="auto"/>
                <w:sz w:val="21"/>
                <w:szCs w:val="21"/>
                <w:highlight w:val="none"/>
                <w:vertAlign w:val="baseline"/>
                <w:lang w:eastAsia="zh-CN"/>
              </w:rPr>
              <w:t>同一园区</w:t>
            </w:r>
          </w:p>
        </w:tc>
        <w:tc>
          <w:tcPr>
            <w:tcW w:w="9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Style w:val="51"/>
                <w:rFonts w:hint="eastAsia" w:asciiTheme="minorEastAsia" w:hAnsiTheme="minorEastAsia" w:eastAsiaTheme="minorEastAsia" w:cstheme="minorEastAsia"/>
                <w:color w:val="auto"/>
                <w:sz w:val="21"/>
                <w:szCs w:val="21"/>
                <w:highlight w:val="none"/>
                <w:vertAlign w:val="baseline"/>
                <w:lang w:eastAsia="zh-CN"/>
              </w:rPr>
            </w:pPr>
            <w:r>
              <w:rPr>
                <w:rStyle w:val="51"/>
                <w:rFonts w:hint="eastAsia" w:asciiTheme="minorEastAsia" w:hAnsiTheme="minorEastAsia" w:eastAsiaTheme="minorEastAsia" w:cstheme="minorEastAsia"/>
                <w:color w:val="auto"/>
                <w:sz w:val="21"/>
                <w:szCs w:val="21"/>
                <w:highlight w:val="none"/>
                <w:vertAlign w:val="baseline"/>
                <w:lang w:eastAsia="zh-CN"/>
              </w:rPr>
              <w:t>—</w:t>
            </w:r>
          </w:p>
        </w:tc>
        <w:tc>
          <w:tcPr>
            <w:tcW w:w="15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Style w:val="51"/>
                <w:rFonts w:hint="eastAsia" w:asciiTheme="minorEastAsia" w:hAnsiTheme="minorEastAsia" w:eastAsiaTheme="minorEastAsia" w:cstheme="minorEastAsia"/>
                <w:color w:val="auto"/>
                <w:sz w:val="21"/>
                <w:szCs w:val="21"/>
                <w:highlight w:val="none"/>
                <w:vertAlign w:val="baseline"/>
                <w:lang w:eastAsia="zh-CN"/>
              </w:rPr>
            </w:pPr>
            <w:r>
              <w:rPr>
                <w:rStyle w:val="51"/>
                <w:rFonts w:hint="eastAsia" w:asciiTheme="minorEastAsia" w:hAnsiTheme="minorEastAsia" w:eastAsiaTheme="minorEastAsia" w:cstheme="minorEastAsia"/>
                <w:color w:val="auto"/>
                <w:sz w:val="21"/>
                <w:szCs w:val="21"/>
                <w:highlight w:val="none"/>
                <w:vertAlign w:val="baseline"/>
                <w:lang w:eastAsia="zh-CN"/>
              </w:rPr>
              <w:t>废气、废水、噪声、固废</w:t>
            </w:r>
          </w:p>
        </w:tc>
        <w:tc>
          <w:tcPr>
            <w:tcW w:w="15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Style w:val="51"/>
                <w:rFonts w:hint="eastAsia" w:asciiTheme="minorEastAsia" w:hAnsiTheme="minorEastAsia" w:eastAsiaTheme="minorEastAsia" w:cstheme="minorEastAsia"/>
                <w:color w:val="auto"/>
                <w:sz w:val="21"/>
                <w:szCs w:val="21"/>
                <w:highlight w:val="none"/>
                <w:vertAlign w:val="baseline"/>
                <w:lang w:eastAsia="zh-CN"/>
              </w:rPr>
            </w:pPr>
            <w:r>
              <w:rPr>
                <w:rStyle w:val="51"/>
                <w:rFonts w:hint="eastAsia" w:asciiTheme="minorEastAsia" w:hAnsiTheme="minorEastAsia" w:eastAsiaTheme="minorEastAsia" w:cstheme="minorEastAsia"/>
                <w:color w:val="auto"/>
                <w:sz w:val="21"/>
                <w:szCs w:val="21"/>
                <w:highlight w:val="none"/>
                <w:vertAlign w:val="baseline"/>
                <w:lang w:eastAsia="zh-CN"/>
              </w:rPr>
              <w:t>新增</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63" w:hRule="atLeast"/>
        </w:trPr>
        <w:tc>
          <w:tcPr>
            <w:tcW w:w="21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Style w:val="51"/>
                <w:rFonts w:hint="eastAsia" w:asciiTheme="minorEastAsia" w:hAnsiTheme="minorEastAsia" w:eastAsiaTheme="minorEastAsia" w:cstheme="minorEastAsia"/>
                <w:color w:val="auto"/>
                <w:sz w:val="21"/>
                <w:szCs w:val="21"/>
                <w:highlight w:val="none"/>
                <w:vertAlign w:val="baseline"/>
                <w:lang w:eastAsia="zh-CN"/>
              </w:rPr>
            </w:pPr>
            <w:r>
              <w:rPr>
                <w:rStyle w:val="51"/>
                <w:rFonts w:hint="eastAsia" w:asciiTheme="minorEastAsia" w:hAnsiTheme="minorEastAsia" w:eastAsiaTheme="minorEastAsia" w:cstheme="minorEastAsia"/>
                <w:color w:val="auto"/>
                <w:sz w:val="21"/>
                <w:szCs w:val="21"/>
                <w:highlight w:val="none"/>
                <w:vertAlign w:val="baseline"/>
                <w:lang w:eastAsia="zh-CN"/>
              </w:rPr>
              <w:t>青岛广玉利工贸有限公司</w:t>
            </w:r>
          </w:p>
        </w:tc>
        <w:tc>
          <w:tcPr>
            <w:tcW w:w="13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Style w:val="51"/>
                <w:rFonts w:hint="eastAsia" w:asciiTheme="minorEastAsia" w:hAnsiTheme="minorEastAsia" w:eastAsiaTheme="minorEastAsia" w:cstheme="minorEastAsia"/>
                <w:color w:val="auto"/>
                <w:sz w:val="21"/>
                <w:szCs w:val="21"/>
                <w:highlight w:val="none"/>
                <w:vertAlign w:val="baseline"/>
                <w:lang w:eastAsia="zh-CN"/>
              </w:rPr>
            </w:pPr>
            <w:r>
              <w:rPr>
                <w:rStyle w:val="51"/>
                <w:rFonts w:hint="eastAsia" w:asciiTheme="minorEastAsia" w:hAnsiTheme="minorEastAsia" w:eastAsiaTheme="minorEastAsia" w:cstheme="minorEastAsia"/>
                <w:color w:val="auto"/>
                <w:sz w:val="21"/>
                <w:szCs w:val="21"/>
                <w:highlight w:val="none"/>
                <w:vertAlign w:val="baseline"/>
                <w:lang w:eastAsia="zh-CN"/>
              </w:rPr>
              <w:t>表面处理</w:t>
            </w:r>
          </w:p>
        </w:tc>
        <w:tc>
          <w:tcPr>
            <w:tcW w:w="17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Style w:val="51"/>
                <w:rFonts w:hint="eastAsia" w:asciiTheme="minorEastAsia" w:hAnsiTheme="minorEastAsia" w:eastAsiaTheme="minorEastAsia" w:cstheme="minorEastAsia"/>
                <w:color w:val="auto"/>
                <w:sz w:val="21"/>
                <w:szCs w:val="21"/>
                <w:highlight w:val="none"/>
                <w:vertAlign w:val="baseline"/>
                <w:lang w:eastAsia="zh-CN"/>
              </w:rPr>
            </w:pPr>
            <w:r>
              <w:rPr>
                <w:rStyle w:val="51"/>
                <w:rFonts w:hint="eastAsia" w:asciiTheme="minorEastAsia" w:hAnsiTheme="minorEastAsia" w:eastAsiaTheme="minorEastAsia" w:cstheme="minorEastAsia"/>
                <w:color w:val="auto"/>
                <w:sz w:val="21"/>
                <w:szCs w:val="21"/>
                <w:highlight w:val="none"/>
                <w:vertAlign w:val="baseline"/>
                <w:lang w:eastAsia="zh-CN"/>
              </w:rPr>
              <w:t>同一园区</w:t>
            </w:r>
          </w:p>
        </w:tc>
        <w:tc>
          <w:tcPr>
            <w:tcW w:w="9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Style w:val="51"/>
                <w:rFonts w:hint="eastAsia" w:asciiTheme="minorEastAsia" w:hAnsiTheme="minorEastAsia" w:eastAsiaTheme="minorEastAsia" w:cstheme="minorEastAsia"/>
                <w:color w:val="auto"/>
                <w:sz w:val="21"/>
                <w:szCs w:val="21"/>
                <w:highlight w:val="none"/>
                <w:vertAlign w:val="baseline"/>
                <w:lang w:eastAsia="zh-CN"/>
              </w:rPr>
            </w:pPr>
            <w:r>
              <w:rPr>
                <w:rStyle w:val="51"/>
                <w:rFonts w:hint="eastAsia" w:asciiTheme="minorEastAsia" w:hAnsiTheme="minorEastAsia" w:eastAsiaTheme="minorEastAsia" w:cstheme="minorEastAsia"/>
                <w:color w:val="auto"/>
                <w:sz w:val="21"/>
                <w:szCs w:val="21"/>
                <w:highlight w:val="none"/>
                <w:vertAlign w:val="baseline"/>
                <w:lang w:eastAsia="zh-CN"/>
              </w:rPr>
              <w:t>—</w:t>
            </w:r>
          </w:p>
        </w:tc>
        <w:tc>
          <w:tcPr>
            <w:tcW w:w="15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Style w:val="51"/>
                <w:rFonts w:hint="eastAsia" w:asciiTheme="minorEastAsia" w:hAnsiTheme="minorEastAsia" w:eastAsiaTheme="minorEastAsia" w:cstheme="minorEastAsia"/>
                <w:color w:val="auto"/>
                <w:sz w:val="21"/>
                <w:szCs w:val="21"/>
                <w:highlight w:val="none"/>
                <w:vertAlign w:val="baseline"/>
                <w:lang w:eastAsia="zh-CN"/>
              </w:rPr>
            </w:pPr>
            <w:r>
              <w:rPr>
                <w:rStyle w:val="51"/>
                <w:rFonts w:hint="eastAsia" w:asciiTheme="minorEastAsia" w:hAnsiTheme="minorEastAsia" w:eastAsiaTheme="minorEastAsia" w:cstheme="minorEastAsia"/>
                <w:color w:val="auto"/>
                <w:sz w:val="21"/>
                <w:szCs w:val="21"/>
                <w:highlight w:val="none"/>
                <w:vertAlign w:val="baseline"/>
                <w:lang w:eastAsia="zh-CN"/>
              </w:rPr>
              <w:t>废气、废水、噪声、固废</w:t>
            </w:r>
          </w:p>
        </w:tc>
        <w:tc>
          <w:tcPr>
            <w:tcW w:w="15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Style w:val="51"/>
                <w:rFonts w:hint="eastAsia" w:asciiTheme="minorEastAsia" w:hAnsiTheme="minorEastAsia" w:eastAsiaTheme="minorEastAsia" w:cstheme="minorEastAsia"/>
                <w:color w:val="auto"/>
                <w:sz w:val="21"/>
                <w:szCs w:val="21"/>
                <w:highlight w:val="none"/>
                <w:vertAlign w:val="baseline"/>
                <w:lang w:eastAsia="zh-CN"/>
              </w:rPr>
            </w:pPr>
            <w:r>
              <w:rPr>
                <w:rStyle w:val="51"/>
                <w:rFonts w:hint="eastAsia" w:asciiTheme="minorEastAsia" w:hAnsiTheme="minorEastAsia" w:eastAsiaTheme="minorEastAsia" w:cstheme="minorEastAsia"/>
                <w:color w:val="auto"/>
                <w:sz w:val="21"/>
                <w:szCs w:val="21"/>
                <w:highlight w:val="none"/>
                <w:vertAlign w:val="baseline"/>
                <w:lang w:eastAsia="zh-CN"/>
              </w:rPr>
              <w:t>新增</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63" w:hRule="atLeast"/>
        </w:trPr>
        <w:tc>
          <w:tcPr>
            <w:tcW w:w="21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Style w:val="51"/>
                <w:rFonts w:hint="eastAsia" w:asciiTheme="minorEastAsia" w:hAnsiTheme="minorEastAsia" w:eastAsiaTheme="minorEastAsia" w:cstheme="minorEastAsia"/>
                <w:color w:val="auto"/>
                <w:sz w:val="21"/>
                <w:szCs w:val="21"/>
                <w:highlight w:val="none"/>
                <w:vertAlign w:val="baseline"/>
                <w:lang w:eastAsia="zh-CN"/>
              </w:rPr>
            </w:pPr>
            <w:r>
              <w:rPr>
                <w:rStyle w:val="51"/>
                <w:rFonts w:hint="eastAsia" w:asciiTheme="minorEastAsia" w:hAnsiTheme="minorEastAsia" w:eastAsiaTheme="minorEastAsia" w:cstheme="minorEastAsia"/>
                <w:color w:val="auto"/>
                <w:sz w:val="21"/>
                <w:szCs w:val="21"/>
                <w:highlight w:val="none"/>
                <w:vertAlign w:val="baseline"/>
                <w:lang w:eastAsia="zh-CN"/>
              </w:rPr>
              <w:t>青岛金仪精饰有限科技有限公司</w:t>
            </w:r>
          </w:p>
        </w:tc>
        <w:tc>
          <w:tcPr>
            <w:tcW w:w="13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Style w:val="51"/>
                <w:rFonts w:hint="eastAsia" w:asciiTheme="minorEastAsia" w:hAnsiTheme="minorEastAsia" w:eastAsiaTheme="minorEastAsia" w:cstheme="minorEastAsia"/>
                <w:color w:val="auto"/>
                <w:sz w:val="21"/>
                <w:szCs w:val="21"/>
                <w:highlight w:val="none"/>
                <w:vertAlign w:val="baseline"/>
                <w:lang w:eastAsia="zh-CN"/>
              </w:rPr>
            </w:pPr>
            <w:r>
              <w:rPr>
                <w:rStyle w:val="51"/>
                <w:rFonts w:hint="eastAsia" w:asciiTheme="minorEastAsia" w:hAnsiTheme="minorEastAsia" w:eastAsiaTheme="minorEastAsia" w:cstheme="minorEastAsia"/>
                <w:color w:val="auto"/>
                <w:sz w:val="21"/>
                <w:szCs w:val="21"/>
                <w:highlight w:val="none"/>
                <w:vertAlign w:val="baseline"/>
                <w:lang w:eastAsia="zh-CN"/>
              </w:rPr>
              <w:t>表面处理</w:t>
            </w:r>
          </w:p>
        </w:tc>
        <w:tc>
          <w:tcPr>
            <w:tcW w:w="17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Style w:val="51"/>
                <w:rFonts w:hint="eastAsia" w:asciiTheme="minorEastAsia" w:hAnsiTheme="minorEastAsia" w:eastAsiaTheme="minorEastAsia" w:cstheme="minorEastAsia"/>
                <w:color w:val="auto"/>
                <w:sz w:val="21"/>
                <w:szCs w:val="21"/>
                <w:highlight w:val="none"/>
                <w:vertAlign w:val="baseline"/>
                <w:lang w:eastAsia="zh-CN"/>
              </w:rPr>
            </w:pPr>
            <w:r>
              <w:rPr>
                <w:rStyle w:val="51"/>
                <w:rFonts w:hint="eastAsia" w:asciiTheme="minorEastAsia" w:hAnsiTheme="minorEastAsia" w:eastAsiaTheme="minorEastAsia" w:cstheme="minorEastAsia"/>
                <w:color w:val="auto"/>
                <w:sz w:val="21"/>
                <w:szCs w:val="21"/>
                <w:highlight w:val="none"/>
                <w:vertAlign w:val="baseline"/>
                <w:lang w:eastAsia="zh-CN"/>
              </w:rPr>
              <w:t>同一园区</w:t>
            </w:r>
          </w:p>
        </w:tc>
        <w:tc>
          <w:tcPr>
            <w:tcW w:w="9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Style w:val="51"/>
                <w:rFonts w:hint="eastAsia" w:asciiTheme="minorEastAsia" w:hAnsiTheme="minorEastAsia" w:eastAsiaTheme="minorEastAsia" w:cstheme="minorEastAsia"/>
                <w:color w:val="auto"/>
                <w:sz w:val="21"/>
                <w:szCs w:val="21"/>
                <w:highlight w:val="none"/>
                <w:vertAlign w:val="baseline"/>
                <w:lang w:eastAsia="zh-CN"/>
              </w:rPr>
            </w:pPr>
            <w:r>
              <w:rPr>
                <w:rStyle w:val="51"/>
                <w:rFonts w:hint="eastAsia" w:asciiTheme="minorEastAsia" w:hAnsiTheme="minorEastAsia" w:eastAsiaTheme="minorEastAsia" w:cstheme="minorEastAsia"/>
                <w:color w:val="auto"/>
                <w:sz w:val="21"/>
                <w:szCs w:val="21"/>
                <w:highlight w:val="none"/>
                <w:vertAlign w:val="baseline"/>
                <w:lang w:eastAsia="zh-CN"/>
              </w:rPr>
              <w:t>—</w:t>
            </w:r>
          </w:p>
        </w:tc>
        <w:tc>
          <w:tcPr>
            <w:tcW w:w="15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Style w:val="51"/>
                <w:rFonts w:hint="eastAsia" w:asciiTheme="minorEastAsia" w:hAnsiTheme="minorEastAsia" w:eastAsiaTheme="minorEastAsia" w:cstheme="minorEastAsia"/>
                <w:color w:val="auto"/>
                <w:sz w:val="21"/>
                <w:szCs w:val="21"/>
                <w:highlight w:val="none"/>
                <w:vertAlign w:val="baseline"/>
                <w:lang w:eastAsia="zh-CN"/>
              </w:rPr>
            </w:pPr>
            <w:r>
              <w:rPr>
                <w:rStyle w:val="51"/>
                <w:rFonts w:hint="eastAsia" w:asciiTheme="minorEastAsia" w:hAnsiTheme="minorEastAsia" w:eastAsiaTheme="minorEastAsia" w:cstheme="minorEastAsia"/>
                <w:color w:val="auto"/>
                <w:sz w:val="21"/>
                <w:szCs w:val="21"/>
                <w:highlight w:val="none"/>
                <w:vertAlign w:val="baseline"/>
                <w:lang w:eastAsia="zh-CN"/>
              </w:rPr>
              <w:t>废气、废水、噪声、固废</w:t>
            </w:r>
          </w:p>
        </w:tc>
        <w:tc>
          <w:tcPr>
            <w:tcW w:w="15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Style w:val="51"/>
                <w:rFonts w:hint="eastAsia" w:asciiTheme="minorEastAsia" w:hAnsiTheme="minorEastAsia" w:eastAsiaTheme="minorEastAsia" w:cstheme="minorEastAsia"/>
                <w:color w:val="auto"/>
                <w:sz w:val="21"/>
                <w:szCs w:val="21"/>
                <w:highlight w:val="none"/>
                <w:vertAlign w:val="baseline"/>
                <w:lang w:eastAsia="zh-CN"/>
              </w:rPr>
            </w:pPr>
            <w:r>
              <w:rPr>
                <w:rStyle w:val="51"/>
                <w:rFonts w:hint="eastAsia" w:asciiTheme="minorEastAsia" w:hAnsiTheme="minorEastAsia" w:eastAsiaTheme="minorEastAsia" w:cstheme="minorEastAsia"/>
                <w:color w:val="auto"/>
                <w:sz w:val="21"/>
                <w:szCs w:val="21"/>
                <w:highlight w:val="none"/>
                <w:vertAlign w:val="baseline"/>
                <w:lang w:eastAsia="zh-CN"/>
              </w:rPr>
              <w:t>新增</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63" w:hRule="atLeast"/>
        </w:trPr>
        <w:tc>
          <w:tcPr>
            <w:tcW w:w="21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Style w:val="51"/>
                <w:rFonts w:hint="eastAsia" w:asciiTheme="minorEastAsia" w:hAnsiTheme="minorEastAsia" w:eastAsiaTheme="minorEastAsia" w:cstheme="minorEastAsia"/>
                <w:color w:val="auto"/>
                <w:sz w:val="21"/>
                <w:szCs w:val="21"/>
                <w:highlight w:val="none"/>
                <w:vertAlign w:val="baseline"/>
                <w:lang w:eastAsia="zh-CN"/>
              </w:rPr>
            </w:pPr>
            <w:r>
              <w:rPr>
                <w:rStyle w:val="51"/>
                <w:rFonts w:hint="eastAsia" w:asciiTheme="minorEastAsia" w:hAnsiTheme="minorEastAsia" w:eastAsiaTheme="minorEastAsia" w:cstheme="minorEastAsia"/>
                <w:color w:val="auto"/>
                <w:sz w:val="21"/>
                <w:szCs w:val="21"/>
                <w:highlight w:val="none"/>
                <w:vertAlign w:val="baseline"/>
                <w:lang w:eastAsia="zh-CN"/>
              </w:rPr>
              <w:t>青岛爱菲思工艺品有限公司</w:t>
            </w:r>
          </w:p>
        </w:tc>
        <w:tc>
          <w:tcPr>
            <w:tcW w:w="13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Style w:val="51"/>
                <w:rFonts w:hint="eastAsia" w:asciiTheme="minorEastAsia" w:hAnsiTheme="minorEastAsia" w:eastAsiaTheme="minorEastAsia" w:cstheme="minorEastAsia"/>
                <w:color w:val="auto"/>
                <w:sz w:val="21"/>
                <w:szCs w:val="21"/>
                <w:highlight w:val="none"/>
                <w:vertAlign w:val="baseline"/>
                <w:lang w:eastAsia="zh-CN"/>
              </w:rPr>
            </w:pPr>
            <w:r>
              <w:rPr>
                <w:rStyle w:val="51"/>
                <w:rFonts w:hint="eastAsia" w:asciiTheme="minorEastAsia" w:hAnsiTheme="minorEastAsia" w:eastAsiaTheme="minorEastAsia" w:cstheme="minorEastAsia"/>
                <w:color w:val="auto"/>
                <w:sz w:val="21"/>
                <w:szCs w:val="21"/>
                <w:highlight w:val="none"/>
                <w:vertAlign w:val="baseline"/>
                <w:lang w:eastAsia="zh-CN"/>
              </w:rPr>
              <w:t>表面处理</w:t>
            </w:r>
          </w:p>
        </w:tc>
        <w:tc>
          <w:tcPr>
            <w:tcW w:w="17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Style w:val="51"/>
                <w:rFonts w:hint="eastAsia" w:asciiTheme="minorEastAsia" w:hAnsiTheme="minorEastAsia" w:eastAsiaTheme="minorEastAsia" w:cstheme="minorEastAsia"/>
                <w:color w:val="auto"/>
                <w:sz w:val="21"/>
                <w:szCs w:val="21"/>
                <w:highlight w:val="none"/>
                <w:vertAlign w:val="baseline"/>
                <w:lang w:eastAsia="zh-CN"/>
              </w:rPr>
            </w:pPr>
            <w:r>
              <w:rPr>
                <w:rStyle w:val="51"/>
                <w:rFonts w:hint="eastAsia" w:asciiTheme="minorEastAsia" w:hAnsiTheme="minorEastAsia" w:eastAsiaTheme="minorEastAsia" w:cstheme="minorEastAsia"/>
                <w:color w:val="auto"/>
                <w:sz w:val="21"/>
                <w:szCs w:val="21"/>
                <w:highlight w:val="none"/>
                <w:vertAlign w:val="baseline"/>
                <w:lang w:eastAsia="zh-CN"/>
              </w:rPr>
              <w:t>同一园区</w:t>
            </w:r>
          </w:p>
        </w:tc>
        <w:tc>
          <w:tcPr>
            <w:tcW w:w="9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Style w:val="51"/>
                <w:rFonts w:hint="eastAsia" w:asciiTheme="minorEastAsia" w:hAnsiTheme="minorEastAsia" w:eastAsiaTheme="minorEastAsia" w:cstheme="minorEastAsia"/>
                <w:color w:val="auto"/>
                <w:sz w:val="21"/>
                <w:szCs w:val="21"/>
                <w:highlight w:val="none"/>
                <w:vertAlign w:val="baseline"/>
                <w:lang w:eastAsia="zh-CN"/>
              </w:rPr>
            </w:pPr>
            <w:r>
              <w:rPr>
                <w:rStyle w:val="51"/>
                <w:rFonts w:hint="eastAsia" w:asciiTheme="minorEastAsia" w:hAnsiTheme="minorEastAsia" w:eastAsiaTheme="minorEastAsia" w:cstheme="minorEastAsia"/>
                <w:color w:val="auto"/>
                <w:sz w:val="21"/>
                <w:szCs w:val="21"/>
                <w:highlight w:val="none"/>
                <w:vertAlign w:val="baseline"/>
                <w:lang w:eastAsia="zh-CN"/>
              </w:rPr>
              <w:t>—</w:t>
            </w:r>
          </w:p>
        </w:tc>
        <w:tc>
          <w:tcPr>
            <w:tcW w:w="15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Style w:val="51"/>
                <w:rFonts w:hint="eastAsia" w:asciiTheme="minorEastAsia" w:hAnsiTheme="minorEastAsia" w:eastAsiaTheme="minorEastAsia" w:cstheme="minorEastAsia"/>
                <w:color w:val="auto"/>
                <w:sz w:val="21"/>
                <w:szCs w:val="21"/>
                <w:highlight w:val="none"/>
                <w:vertAlign w:val="baseline"/>
                <w:lang w:eastAsia="zh-CN"/>
              </w:rPr>
            </w:pPr>
            <w:r>
              <w:rPr>
                <w:rStyle w:val="51"/>
                <w:rFonts w:hint="eastAsia" w:asciiTheme="minorEastAsia" w:hAnsiTheme="minorEastAsia" w:eastAsiaTheme="minorEastAsia" w:cstheme="minorEastAsia"/>
                <w:color w:val="auto"/>
                <w:sz w:val="21"/>
                <w:szCs w:val="21"/>
                <w:highlight w:val="none"/>
                <w:vertAlign w:val="baseline"/>
                <w:lang w:eastAsia="zh-CN"/>
              </w:rPr>
              <w:t>废气、废水、噪声、固废</w:t>
            </w:r>
          </w:p>
        </w:tc>
        <w:tc>
          <w:tcPr>
            <w:tcW w:w="15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Style w:val="51"/>
                <w:rFonts w:hint="eastAsia" w:asciiTheme="minorEastAsia" w:hAnsiTheme="minorEastAsia" w:eastAsiaTheme="minorEastAsia" w:cstheme="minorEastAsia"/>
                <w:color w:val="auto"/>
                <w:sz w:val="21"/>
                <w:szCs w:val="21"/>
                <w:highlight w:val="none"/>
                <w:vertAlign w:val="baseline"/>
                <w:lang w:eastAsia="zh-CN"/>
              </w:rPr>
            </w:pPr>
            <w:r>
              <w:rPr>
                <w:rStyle w:val="51"/>
                <w:rFonts w:hint="eastAsia" w:asciiTheme="minorEastAsia" w:hAnsiTheme="minorEastAsia" w:eastAsiaTheme="minorEastAsia" w:cstheme="minorEastAsia"/>
                <w:color w:val="auto"/>
                <w:sz w:val="21"/>
                <w:szCs w:val="21"/>
                <w:highlight w:val="none"/>
                <w:vertAlign w:val="baseline"/>
                <w:lang w:eastAsia="zh-CN"/>
              </w:rPr>
              <w:t>新增</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551" w:hRule="atLeast"/>
        </w:trPr>
        <w:tc>
          <w:tcPr>
            <w:tcW w:w="21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Style w:val="51"/>
                <w:rFonts w:hint="eastAsia" w:asciiTheme="minorEastAsia" w:hAnsiTheme="minorEastAsia" w:eastAsiaTheme="minorEastAsia" w:cstheme="minorEastAsia"/>
                <w:color w:val="auto"/>
                <w:sz w:val="21"/>
                <w:szCs w:val="21"/>
                <w:highlight w:val="none"/>
                <w:vertAlign w:val="baseline"/>
                <w:lang w:eastAsia="zh-CN"/>
              </w:rPr>
            </w:pPr>
            <w:r>
              <w:rPr>
                <w:rStyle w:val="51"/>
                <w:rFonts w:hint="eastAsia" w:asciiTheme="minorEastAsia" w:hAnsiTheme="minorEastAsia" w:eastAsiaTheme="minorEastAsia" w:cstheme="minorEastAsia"/>
                <w:color w:val="auto"/>
                <w:sz w:val="21"/>
                <w:szCs w:val="21"/>
                <w:highlight w:val="none"/>
                <w:vertAlign w:val="baseline"/>
                <w:lang w:eastAsia="zh-CN"/>
              </w:rPr>
              <w:t>青岛德尔沃工贸有限公司</w:t>
            </w:r>
          </w:p>
        </w:tc>
        <w:tc>
          <w:tcPr>
            <w:tcW w:w="13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Style w:val="51"/>
                <w:rFonts w:hint="eastAsia" w:asciiTheme="minorEastAsia" w:hAnsiTheme="minorEastAsia" w:eastAsiaTheme="minorEastAsia" w:cstheme="minorEastAsia"/>
                <w:color w:val="auto"/>
                <w:sz w:val="21"/>
                <w:szCs w:val="21"/>
                <w:highlight w:val="none"/>
                <w:vertAlign w:val="baseline"/>
                <w:lang w:eastAsia="zh-CN"/>
              </w:rPr>
            </w:pPr>
            <w:r>
              <w:rPr>
                <w:rStyle w:val="51"/>
                <w:rFonts w:hint="eastAsia" w:asciiTheme="minorEastAsia" w:hAnsiTheme="minorEastAsia" w:eastAsiaTheme="minorEastAsia" w:cstheme="minorEastAsia"/>
                <w:color w:val="auto"/>
                <w:sz w:val="21"/>
                <w:szCs w:val="21"/>
                <w:highlight w:val="none"/>
                <w:vertAlign w:val="baseline"/>
                <w:lang w:eastAsia="zh-CN"/>
              </w:rPr>
              <w:t>表面处理</w:t>
            </w:r>
          </w:p>
        </w:tc>
        <w:tc>
          <w:tcPr>
            <w:tcW w:w="17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Style w:val="51"/>
                <w:rFonts w:hint="eastAsia" w:asciiTheme="minorEastAsia" w:hAnsiTheme="minorEastAsia" w:eastAsiaTheme="minorEastAsia" w:cstheme="minorEastAsia"/>
                <w:color w:val="auto"/>
                <w:sz w:val="21"/>
                <w:szCs w:val="21"/>
                <w:highlight w:val="none"/>
                <w:vertAlign w:val="baseline"/>
                <w:lang w:eastAsia="zh-CN"/>
              </w:rPr>
            </w:pPr>
            <w:r>
              <w:rPr>
                <w:rStyle w:val="51"/>
                <w:rFonts w:hint="eastAsia" w:asciiTheme="minorEastAsia" w:hAnsiTheme="minorEastAsia" w:eastAsiaTheme="minorEastAsia" w:cstheme="minorEastAsia"/>
                <w:color w:val="auto"/>
                <w:sz w:val="21"/>
                <w:szCs w:val="21"/>
                <w:highlight w:val="none"/>
                <w:vertAlign w:val="baseline"/>
                <w:lang w:eastAsia="zh-CN"/>
              </w:rPr>
              <w:t>同一园区</w:t>
            </w:r>
          </w:p>
        </w:tc>
        <w:tc>
          <w:tcPr>
            <w:tcW w:w="9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Style w:val="51"/>
                <w:rFonts w:hint="eastAsia" w:asciiTheme="minorEastAsia" w:hAnsiTheme="minorEastAsia" w:eastAsiaTheme="minorEastAsia" w:cstheme="minorEastAsia"/>
                <w:color w:val="auto"/>
                <w:sz w:val="21"/>
                <w:szCs w:val="21"/>
                <w:highlight w:val="none"/>
                <w:vertAlign w:val="baseline"/>
                <w:lang w:eastAsia="zh-CN"/>
              </w:rPr>
            </w:pPr>
            <w:r>
              <w:rPr>
                <w:rStyle w:val="51"/>
                <w:rFonts w:hint="eastAsia" w:asciiTheme="minorEastAsia" w:hAnsiTheme="minorEastAsia" w:eastAsiaTheme="minorEastAsia" w:cstheme="minorEastAsia"/>
                <w:color w:val="auto"/>
                <w:sz w:val="21"/>
                <w:szCs w:val="21"/>
                <w:highlight w:val="none"/>
                <w:vertAlign w:val="baseline"/>
                <w:lang w:eastAsia="zh-CN"/>
              </w:rPr>
              <w:t>—</w:t>
            </w:r>
          </w:p>
        </w:tc>
        <w:tc>
          <w:tcPr>
            <w:tcW w:w="15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Style w:val="51"/>
                <w:rFonts w:hint="eastAsia" w:asciiTheme="minorEastAsia" w:hAnsiTheme="minorEastAsia" w:eastAsiaTheme="minorEastAsia" w:cstheme="minorEastAsia"/>
                <w:color w:val="auto"/>
                <w:sz w:val="21"/>
                <w:szCs w:val="21"/>
                <w:highlight w:val="none"/>
                <w:vertAlign w:val="baseline"/>
                <w:lang w:eastAsia="zh-CN"/>
              </w:rPr>
            </w:pPr>
            <w:r>
              <w:rPr>
                <w:rStyle w:val="51"/>
                <w:rFonts w:hint="eastAsia" w:asciiTheme="minorEastAsia" w:hAnsiTheme="minorEastAsia" w:eastAsiaTheme="minorEastAsia" w:cstheme="minorEastAsia"/>
                <w:color w:val="auto"/>
                <w:sz w:val="21"/>
                <w:szCs w:val="21"/>
                <w:highlight w:val="none"/>
                <w:vertAlign w:val="baseline"/>
                <w:lang w:eastAsia="zh-CN"/>
              </w:rPr>
              <w:t>废气、废水、噪声、固废</w:t>
            </w:r>
          </w:p>
        </w:tc>
        <w:tc>
          <w:tcPr>
            <w:tcW w:w="15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Style w:val="51"/>
                <w:rFonts w:hint="eastAsia" w:asciiTheme="minorEastAsia" w:hAnsiTheme="minorEastAsia" w:eastAsiaTheme="minorEastAsia" w:cstheme="minorEastAsia"/>
                <w:color w:val="auto"/>
                <w:sz w:val="21"/>
                <w:szCs w:val="21"/>
                <w:highlight w:val="none"/>
                <w:vertAlign w:val="baseline"/>
                <w:lang w:eastAsia="zh-CN"/>
              </w:rPr>
            </w:pPr>
            <w:r>
              <w:rPr>
                <w:rStyle w:val="51"/>
                <w:rFonts w:hint="eastAsia" w:asciiTheme="minorEastAsia" w:hAnsiTheme="minorEastAsia" w:eastAsiaTheme="minorEastAsia" w:cstheme="minorEastAsia"/>
                <w:color w:val="auto"/>
                <w:sz w:val="21"/>
                <w:szCs w:val="21"/>
                <w:highlight w:val="none"/>
                <w:vertAlign w:val="baseline"/>
                <w:lang w:eastAsia="zh-CN"/>
              </w:rPr>
              <w:t>新增</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63" w:hRule="atLeast"/>
        </w:trPr>
        <w:tc>
          <w:tcPr>
            <w:tcW w:w="21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Style w:val="51"/>
                <w:rFonts w:hint="eastAsia" w:asciiTheme="minorEastAsia" w:hAnsiTheme="minorEastAsia" w:eastAsiaTheme="minorEastAsia" w:cstheme="minorEastAsia"/>
                <w:color w:val="auto"/>
                <w:sz w:val="21"/>
                <w:szCs w:val="21"/>
                <w:highlight w:val="none"/>
                <w:vertAlign w:val="baseline"/>
                <w:lang w:eastAsia="zh-CN"/>
              </w:rPr>
            </w:pPr>
            <w:r>
              <w:rPr>
                <w:rStyle w:val="51"/>
                <w:rFonts w:hint="eastAsia" w:asciiTheme="minorEastAsia" w:hAnsiTheme="minorEastAsia" w:eastAsiaTheme="minorEastAsia" w:cstheme="minorEastAsia"/>
                <w:color w:val="auto"/>
                <w:sz w:val="21"/>
                <w:szCs w:val="21"/>
                <w:highlight w:val="none"/>
                <w:vertAlign w:val="baseline"/>
                <w:lang w:eastAsia="zh-CN"/>
              </w:rPr>
              <w:t>青岛鑫佳电镀有限公司</w:t>
            </w:r>
          </w:p>
        </w:tc>
        <w:tc>
          <w:tcPr>
            <w:tcW w:w="13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Style w:val="51"/>
                <w:rFonts w:hint="eastAsia" w:asciiTheme="minorEastAsia" w:hAnsiTheme="minorEastAsia" w:eastAsiaTheme="minorEastAsia" w:cstheme="minorEastAsia"/>
                <w:color w:val="auto"/>
                <w:sz w:val="21"/>
                <w:szCs w:val="21"/>
                <w:highlight w:val="none"/>
                <w:vertAlign w:val="baseline"/>
                <w:lang w:eastAsia="zh-CN"/>
              </w:rPr>
            </w:pPr>
            <w:r>
              <w:rPr>
                <w:rStyle w:val="51"/>
                <w:rFonts w:hint="eastAsia" w:asciiTheme="minorEastAsia" w:hAnsiTheme="minorEastAsia" w:eastAsiaTheme="minorEastAsia" w:cstheme="minorEastAsia"/>
                <w:color w:val="auto"/>
                <w:sz w:val="21"/>
                <w:szCs w:val="21"/>
                <w:highlight w:val="none"/>
                <w:vertAlign w:val="baseline"/>
                <w:lang w:eastAsia="zh-CN"/>
              </w:rPr>
              <w:t>表面处理</w:t>
            </w:r>
          </w:p>
        </w:tc>
        <w:tc>
          <w:tcPr>
            <w:tcW w:w="17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Style w:val="51"/>
                <w:rFonts w:hint="eastAsia" w:asciiTheme="minorEastAsia" w:hAnsiTheme="minorEastAsia" w:eastAsiaTheme="minorEastAsia" w:cstheme="minorEastAsia"/>
                <w:color w:val="auto"/>
                <w:sz w:val="21"/>
                <w:szCs w:val="21"/>
                <w:highlight w:val="none"/>
                <w:vertAlign w:val="baseline"/>
                <w:lang w:eastAsia="zh-CN"/>
              </w:rPr>
            </w:pPr>
            <w:r>
              <w:rPr>
                <w:rStyle w:val="51"/>
                <w:rFonts w:hint="eastAsia" w:asciiTheme="minorEastAsia" w:hAnsiTheme="minorEastAsia" w:eastAsiaTheme="minorEastAsia" w:cstheme="minorEastAsia"/>
                <w:color w:val="auto"/>
                <w:sz w:val="21"/>
                <w:szCs w:val="21"/>
                <w:highlight w:val="none"/>
                <w:vertAlign w:val="baseline"/>
                <w:lang w:eastAsia="zh-CN"/>
              </w:rPr>
              <w:t>同一园区</w:t>
            </w:r>
          </w:p>
        </w:tc>
        <w:tc>
          <w:tcPr>
            <w:tcW w:w="9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Style w:val="51"/>
                <w:rFonts w:hint="eastAsia" w:asciiTheme="minorEastAsia" w:hAnsiTheme="minorEastAsia" w:eastAsiaTheme="minorEastAsia" w:cstheme="minorEastAsia"/>
                <w:color w:val="auto"/>
                <w:sz w:val="21"/>
                <w:szCs w:val="21"/>
                <w:highlight w:val="none"/>
                <w:vertAlign w:val="baseline"/>
                <w:lang w:eastAsia="zh-CN"/>
              </w:rPr>
            </w:pPr>
            <w:r>
              <w:rPr>
                <w:rStyle w:val="51"/>
                <w:rFonts w:hint="eastAsia" w:asciiTheme="minorEastAsia" w:hAnsiTheme="minorEastAsia" w:eastAsiaTheme="minorEastAsia" w:cstheme="minorEastAsia"/>
                <w:color w:val="auto"/>
                <w:sz w:val="21"/>
                <w:szCs w:val="21"/>
                <w:highlight w:val="none"/>
                <w:vertAlign w:val="baseline"/>
                <w:lang w:eastAsia="zh-CN"/>
              </w:rPr>
              <w:t>—</w:t>
            </w:r>
          </w:p>
        </w:tc>
        <w:tc>
          <w:tcPr>
            <w:tcW w:w="15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Style w:val="51"/>
                <w:rFonts w:hint="eastAsia" w:asciiTheme="minorEastAsia" w:hAnsiTheme="minorEastAsia" w:eastAsiaTheme="minorEastAsia" w:cstheme="minorEastAsia"/>
                <w:color w:val="auto"/>
                <w:sz w:val="21"/>
                <w:szCs w:val="21"/>
                <w:highlight w:val="none"/>
                <w:vertAlign w:val="baseline"/>
                <w:lang w:eastAsia="zh-CN"/>
              </w:rPr>
            </w:pPr>
            <w:r>
              <w:rPr>
                <w:rStyle w:val="51"/>
                <w:rFonts w:hint="eastAsia" w:asciiTheme="minorEastAsia" w:hAnsiTheme="minorEastAsia" w:eastAsiaTheme="minorEastAsia" w:cstheme="minorEastAsia"/>
                <w:color w:val="auto"/>
                <w:sz w:val="21"/>
                <w:szCs w:val="21"/>
                <w:highlight w:val="none"/>
                <w:vertAlign w:val="baseline"/>
                <w:lang w:eastAsia="zh-CN"/>
              </w:rPr>
              <w:t>废气、废水、噪声、固废</w:t>
            </w:r>
          </w:p>
        </w:tc>
        <w:tc>
          <w:tcPr>
            <w:tcW w:w="15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Style w:val="51"/>
                <w:rFonts w:hint="eastAsia" w:asciiTheme="minorEastAsia" w:hAnsiTheme="minorEastAsia" w:eastAsiaTheme="minorEastAsia" w:cstheme="minorEastAsia"/>
                <w:color w:val="auto"/>
                <w:sz w:val="21"/>
                <w:szCs w:val="21"/>
                <w:highlight w:val="none"/>
                <w:vertAlign w:val="baseline"/>
                <w:lang w:eastAsia="zh-CN"/>
              </w:rPr>
            </w:pPr>
            <w:r>
              <w:rPr>
                <w:rStyle w:val="51"/>
                <w:rFonts w:hint="eastAsia" w:asciiTheme="minorEastAsia" w:hAnsiTheme="minorEastAsia" w:eastAsiaTheme="minorEastAsia" w:cstheme="minorEastAsia"/>
                <w:color w:val="auto"/>
                <w:sz w:val="21"/>
                <w:szCs w:val="21"/>
                <w:highlight w:val="none"/>
                <w:vertAlign w:val="baseline"/>
                <w:lang w:eastAsia="zh-CN"/>
              </w:rPr>
              <w:t>新增</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63" w:hRule="atLeast"/>
        </w:trPr>
        <w:tc>
          <w:tcPr>
            <w:tcW w:w="21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Style w:val="51"/>
                <w:rFonts w:hint="eastAsia" w:asciiTheme="minorEastAsia" w:hAnsiTheme="minorEastAsia" w:eastAsiaTheme="minorEastAsia" w:cstheme="minorEastAsia"/>
                <w:color w:val="auto"/>
                <w:sz w:val="21"/>
                <w:szCs w:val="21"/>
                <w:highlight w:val="none"/>
                <w:vertAlign w:val="baseline"/>
                <w:lang w:eastAsia="zh-CN"/>
              </w:rPr>
            </w:pPr>
            <w:r>
              <w:rPr>
                <w:rStyle w:val="51"/>
                <w:rFonts w:hint="eastAsia" w:asciiTheme="minorEastAsia" w:hAnsiTheme="minorEastAsia" w:eastAsiaTheme="minorEastAsia" w:cstheme="minorEastAsia"/>
                <w:color w:val="auto"/>
                <w:sz w:val="21"/>
                <w:szCs w:val="21"/>
                <w:highlight w:val="none"/>
                <w:vertAlign w:val="baseline"/>
                <w:lang w:eastAsia="zh-CN"/>
              </w:rPr>
              <w:t>青岛殷宝元工艺品有限公司</w:t>
            </w:r>
          </w:p>
        </w:tc>
        <w:tc>
          <w:tcPr>
            <w:tcW w:w="13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Style w:val="51"/>
                <w:rFonts w:hint="eastAsia" w:asciiTheme="minorEastAsia" w:hAnsiTheme="minorEastAsia" w:eastAsiaTheme="minorEastAsia" w:cstheme="minorEastAsia"/>
                <w:color w:val="auto"/>
                <w:sz w:val="21"/>
                <w:szCs w:val="21"/>
                <w:highlight w:val="none"/>
                <w:vertAlign w:val="baseline"/>
                <w:lang w:eastAsia="zh-CN"/>
              </w:rPr>
            </w:pPr>
            <w:r>
              <w:rPr>
                <w:rStyle w:val="51"/>
                <w:rFonts w:hint="eastAsia" w:asciiTheme="minorEastAsia" w:hAnsiTheme="minorEastAsia" w:eastAsiaTheme="minorEastAsia" w:cstheme="minorEastAsia"/>
                <w:color w:val="auto"/>
                <w:sz w:val="21"/>
                <w:szCs w:val="21"/>
                <w:highlight w:val="none"/>
                <w:vertAlign w:val="baseline"/>
                <w:lang w:eastAsia="zh-CN"/>
              </w:rPr>
              <w:t>表面处理</w:t>
            </w:r>
          </w:p>
        </w:tc>
        <w:tc>
          <w:tcPr>
            <w:tcW w:w="17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Style w:val="51"/>
                <w:rFonts w:hint="eastAsia" w:asciiTheme="minorEastAsia" w:hAnsiTheme="minorEastAsia" w:eastAsiaTheme="minorEastAsia" w:cstheme="minorEastAsia"/>
                <w:color w:val="auto"/>
                <w:sz w:val="21"/>
                <w:szCs w:val="21"/>
                <w:highlight w:val="none"/>
                <w:vertAlign w:val="baseline"/>
                <w:lang w:eastAsia="zh-CN"/>
              </w:rPr>
            </w:pPr>
            <w:r>
              <w:rPr>
                <w:rStyle w:val="51"/>
                <w:rFonts w:hint="eastAsia" w:asciiTheme="minorEastAsia" w:hAnsiTheme="minorEastAsia" w:eastAsiaTheme="minorEastAsia" w:cstheme="minorEastAsia"/>
                <w:color w:val="auto"/>
                <w:sz w:val="21"/>
                <w:szCs w:val="21"/>
                <w:highlight w:val="none"/>
                <w:vertAlign w:val="baseline"/>
                <w:lang w:eastAsia="zh-CN"/>
              </w:rPr>
              <w:t>同一园区</w:t>
            </w:r>
          </w:p>
        </w:tc>
        <w:tc>
          <w:tcPr>
            <w:tcW w:w="9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Style w:val="51"/>
                <w:rFonts w:hint="eastAsia" w:asciiTheme="minorEastAsia" w:hAnsiTheme="minorEastAsia" w:eastAsiaTheme="minorEastAsia" w:cstheme="minorEastAsia"/>
                <w:color w:val="auto"/>
                <w:sz w:val="21"/>
                <w:szCs w:val="21"/>
                <w:highlight w:val="none"/>
                <w:vertAlign w:val="baseline"/>
                <w:lang w:eastAsia="zh-CN"/>
              </w:rPr>
            </w:pPr>
            <w:r>
              <w:rPr>
                <w:rStyle w:val="51"/>
                <w:rFonts w:hint="eastAsia" w:asciiTheme="minorEastAsia" w:hAnsiTheme="minorEastAsia" w:eastAsiaTheme="minorEastAsia" w:cstheme="minorEastAsia"/>
                <w:color w:val="auto"/>
                <w:sz w:val="21"/>
                <w:szCs w:val="21"/>
                <w:highlight w:val="none"/>
                <w:vertAlign w:val="baseline"/>
                <w:lang w:eastAsia="zh-CN"/>
              </w:rPr>
              <w:t>—</w:t>
            </w:r>
          </w:p>
        </w:tc>
        <w:tc>
          <w:tcPr>
            <w:tcW w:w="15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Style w:val="51"/>
                <w:rFonts w:hint="eastAsia" w:asciiTheme="minorEastAsia" w:hAnsiTheme="minorEastAsia" w:eastAsiaTheme="minorEastAsia" w:cstheme="minorEastAsia"/>
                <w:color w:val="auto"/>
                <w:sz w:val="21"/>
                <w:szCs w:val="21"/>
                <w:highlight w:val="none"/>
                <w:vertAlign w:val="baseline"/>
                <w:lang w:eastAsia="zh-CN"/>
              </w:rPr>
            </w:pPr>
            <w:r>
              <w:rPr>
                <w:rStyle w:val="51"/>
                <w:rFonts w:hint="eastAsia" w:asciiTheme="minorEastAsia" w:hAnsiTheme="minorEastAsia" w:eastAsiaTheme="minorEastAsia" w:cstheme="minorEastAsia"/>
                <w:color w:val="auto"/>
                <w:sz w:val="21"/>
                <w:szCs w:val="21"/>
                <w:highlight w:val="none"/>
                <w:vertAlign w:val="baseline"/>
                <w:lang w:eastAsia="zh-CN"/>
              </w:rPr>
              <w:t>废气、废水、噪声、固废</w:t>
            </w:r>
          </w:p>
        </w:tc>
        <w:tc>
          <w:tcPr>
            <w:tcW w:w="15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Style w:val="51"/>
                <w:rFonts w:hint="eastAsia" w:asciiTheme="minorEastAsia" w:hAnsiTheme="minorEastAsia" w:eastAsiaTheme="minorEastAsia" w:cstheme="minorEastAsia"/>
                <w:color w:val="auto"/>
                <w:sz w:val="21"/>
                <w:szCs w:val="21"/>
                <w:highlight w:val="none"/>
                <w:vertAlign w:val="baseline"/>
                <w:lang w:eastAsia="zh-CN"/>
              </w:rPr>
            </w:pPr>
            <w:r>
              <w:rPr>
                <w:rStyle w:val="51"/>
                <w:rFonts w:hint="eastAsia" w:asciiTheme="minorEastAsia" w:hAnsiTheme="minorEastAsia" w:eastAsiaTheme="minorEastAsia" w:cstheme="minorEastAsia"/>
                <w:color w:val="auto"/>
                <w:sz w:val="21"/>
                <w:szCs w:val="21"/>
                <w:highlight w:val="none"/>
                <w:vertAlign w:val="baseline"/>
                <w:lang w:eastAsia="zh-CN"/>
              </w:rPr>
              <w:t>新增</w:t>
            </w:r>
          </w:p>
        </w:tc>
      </w:tr>
    </w:tbl>
    <w:p>
      <w:pPr>
        <w:adjustRightInd w:val="0"/>
        <w:snapToGrid w:val="0"/>
        <w:spacing w:line="360" w:lineRule="auto"/>
        <w:outlineLvl w:val="1"/>
        <w:rPr>
          <w:rFonts w:eastAsia="黑体"/>
          <w:color w:val="auto"/>
          <w:sz w:val="24"/>
          <w:highlight w:val="none"/>
        </w:rPr>
      </w:pPr>
      <w:bookmarkStart w:id="101" w:name="_Toc530655605"/>
      <w:bookmarkStart w:id="102" w:name="_Toc519063302"/>
      <w:bookmarkStart w:id="103" w:name="_Toc23531"/>
      <w:r>
        <w:rPr>
          <w:rFonts w:hint="eastAsia" w:eastAsia="黑体"/>
          <w:color w:val="auto"/>
          <w:sz w:val="24"/>
          <w:highlight w:val="none"/>
        </w:rPr>
        <w:t>3.</w:t>
      </w:r>
      <w:r>
        <w:rPr>
          <w:rFonts w:hint="eastAsia" w:eastAsia="黑体"/>
          <w:color w:val="auto"/>
          <w:sz w:val="24"/>
          <w:highlight w:val="none"/>
          <w:lang w:val="en-US" w:eastAsia="zh-CN"/>
        </w:rPr>
        <w:t>6</w:t>
      </w:r>
      <w:r>
        <w:rPr>
          <w:rFonts w:hint="eastAsia" w:eastAsia="黑体"/>
          <w:color w:val="auto"/>
          <w:sz w:val="24"/>
          <w:highlight w:val="none"/>
        </w:rPr>
        <w:t xml:space="preserve"> </w:t>
      </w:r>
      <w:r>
        <w:rPr>
          <w:rFonts w:eastAsia="黑体"/>
          <w:color w:val="auto"/>
          <w:sz w:val="24"/>
          <w:highlight w:val="none"/>
        </w:rPr>
        <w:t>环境质量现状调查</w:t>
      </w:r>
      <w:bookmarkEnd w:id="101"/>
      <w:bookmarkEnd w:id="102"/>
      <w:r>
        <w:rPr>
          <w:rFonts w:hint="eastAsia" w:eastAsia="黑体"/>
          <w:color w:val="auto"/>
          <w:sz w:val="24"/>
          <w:highlight w:val="none"/>
        </w:rPr>
        <w:t>及变化趋势</w:t>
      </w:r>
      <w:bookmarkEnd w:id="103"/>
    </w:p>
    <w:p>
      <w:pPr>
        <w:spacing w:line="360" w:lineRule="auto"/>
        <w:outlineLvl w:val="2"/>
        <w:rPr>
          <w:rFonts w:eastAsia="黑体"/>
          <w:color w:val="auto"/>
          <w:sz w:val="24"/>
          <w:highlight w:val="none"/>
        </w:rPr>
      </w:pPr>
      <w:bookmarkStart w:id="104" w:name="_Toc77098076"/>
      <w:bookmarkStart w:id="105" w:name="_Toc24826"/>
      <w:bookmarkStart w:id="106" w:name="_Toc14057"/>
      <w:bookmarkStart w:id="107" w:name="_Toc405999536"/>
      <w:r>
        <w:rPr>
          <w:rFonts w:eastAsia="黑体"/>
          <w:color w:val="auto"/>
          <w:sz w:val="24"/>
          <w:highlight w:val="none"/>
        </w:rPr>
        <w:t>3.</w:t>
      </w:r>
      <w:r>
        <w:rPr>
          <w:rFonts w:hint="eastAsia" w:eastAsia="黑体"/>
          <w:color w:val="auto"/>
          <w:sz w:val="24"/>
          <w:highlight w:val="none"/>
          <w:lang w:val="en-US" w:eastAsia="zh-CN"/>
        </w:rPr>
        <w:t>6</w:t>
      </w:r>
      <w:r>
        <w:rPr>
          <w:rFonts w:eastAsia="黑体"/>
          <w:color w:val="auto"/>
          <w:sz w:val="24"/>
          <w:highlight w:val="none"/>
        </w:rPr>
        <w:t>.1大气环境现状调查与评价</w:t>
      </w:r>
      <w:bookmarkEnd w:id="104"/>
      <w:bookmarkEnd w:id="105"/>
      <w:bookmarkEnd w:id="106"/>
      <w:bookmarkEnd w:id="107"/>
    </w:p>
    <w:p>
      <w:pPr>
        <w:keepNext/>
        <w:keepLines/>
        <w:pageBreakBefore w:val="0"/>
        <w:widowControl w:val="0"/>
        <w:kinsoku/>
        <w:wordWrap/>
        <w:overflowPunct/>
        <w:topLinePunct w:val="0"/>
        <w:autoSpaceDE/>
        <w:autoSpaceDN/>
        <w:bidi w:val="0"/>
        <w:adjustRightInd w:val="0"/>
        <w:snapToGrid w:val="0"/>
        <w:spacing w:line="360" w:lineRule="auto"/>
        <w:textAlignment w:val="auto"/>
        <w:outlineLvl w:val="3"/>
        <w:rPr>
          <w:color w:val="auto"/>
          <w:sz w:val="24"/>
          <w:highlight w:val="none"/>
        </w:rPr>
      </w:pPr>
      <w:bookmarkStart w:id="108" w:name="_Toc405999537"/>
      <w:bookmarkStart w:id="109" w:name="_Toc20701"/>
      <w:bookmarkStart w:id="110" w:name="_Toc77098077"/>
      <w:r>
        <w:rPr>
          <w:rFonts w:eastAsia="黑体"/>
          <w:color w:val="auto"/>
          <w:sz w:val="24"/>
          <w:highlight w:val="none"/>
        </w:rPr>
        <w:t>3.</w:t>
      </w:r>
      <w:r>
        <w:rPr>
          <w:rFonts w:hint="eastAsia" w:eastAsia="黑体"/>
          <w:color w:val="auto"/>
          <w:sz w:val="24"/>
          <w:highlight w:val="none"/>
          <w:lang w:val="en-US" w:eastAsia="zh-CN"/>
        </w:rPr>
        <w:t>6.1</w:t>
      </w:r>
      <w:r>
        <w:rPr>
          <w:rFonts w:eastAsia="黑体"/>
          <w:color w:val="auto"/>
          <w:sz w:val="24"/>
          <w:highlight w:val="none"/>
        </w:rPr>
        <w:t>.1</w:t>
      </w:r>
      <w:r>
        <w:rPr>
          <w:rFonts w:hint="eastAsia" w:eastAsia="黑体"/>
          <w:color w:val="auto"/>
          <w:sz w:val="24"/>
          <w:highlight w:val="none"/>
          <w:lang w:val="en-US" w:eastAsia="zh-CN"/>
        </w:rPr>
        <w:t>大气</w:t>
      </w:r>
      <w:r>
        <w:rPr>
          <w:rFonts w:eastAsia="黑体"/>
          <w:color w:val="auto"/>
          <w:sz w:val="24"/>
          <w:highlight w:val="none"/>
        </w:rPr>
        <w:t>环境现状</w:t>
      </w:r>
      <w:r>
        <w:rPr>
          <w:rFonts w:hint="eastAsia" w:eastAsia="黑体"/>
          <w:color w:val="auto"/>
          <w:sz w:val="24"/>
          <w:highlight w:val="none"/>
          <w:lang w:val="en-US" w:eastAsia="zh-CN"/>
        </w:rPr>
        <w:t>监测</w:t>
      </w:r>
    </w:p>
    <w:p>
      <w:pPr>
        <w:spacing w:line="360" w:lineRule="auto"/>
        <w:ind w:firstLine="480" w:firstLineChars="200"/>
        <w:rPr>
          <w:color w:val="auto"/>
          <w:sz w:val="24"/>
          <w:highlight w:val="none"/>
        </w:rPr>
      </w:pPr>
      <w:r>
        <w:rPr>
          <w:color w:val="auto"/>
          <w:sz w:val="24"/>
          <w:highlight w:val="none"/>
        </w:rPr>
        <w:t>根据项目大气污染物排放特征及评价等级，结合厂址周围环境特征及气象特点</w:t>
      </w:r>
      <w:r>
        <w:rPr>
          <w:rFonts w:hint="eastAsia"/>
          <w:color w:val="auto"/>
          <w:sz w:val="24"/>
          <w:highlight w:val="none"/>
          <w:lang w:eastAsia="zh-CN"/>
        </w:rPr>
        <w:t>，</w:t>
      </w:r>
      <w:r>
        <w:rPr>
          <w:color w:val="auto"/>
          <w:sz w:val="24"/>
          <w:highlight w:val="none"/>
        </w:rPr>
        <w:t>本次在项目所在地、项目西北侧约</w:t>
      </w:r>
      <w:r>
        <w:rPr>
          <w:rFonts w:hint="eastAsia"/>
          <w:color w:val="auto"/>
          <w:sz w:val="24"/>
          <w:highlight w:val="none"/>
          <w:lang w:val="en-US" w:eastAsia="zh-CN"/>
        </w:rPr>
        <w:t>1130</w:t>
      </w:r>
      <w:r>
        <w:rPr>
          <w:color w:val="auto"/>
          <w:sz w:val="24"/>
          <w:highlight w:val="none"/>
        </w:rPr>
        <w:t>m处的</w:t>
      </w:r>
      <w:r>
        <w:rPr>
          <w:rFonts w:hint="eastAsia"/>
          <w:color w:val="auto"/>
          <w:sz w:val="24"/>
          <w:highlight w:val="none"/>
        </w:rPr>
        <w:t>东盐滩</w:t>
      </w:r>
      <w:r>
        <w:rPr>
          <w:color w:val="auto"/>
          <w:sz w:val="24"/>
          <w:highlight w:val="none"/>
        </w:rPr>
        <w:t>、东侧约</w:t>
      </w:r>
      <w:r>
        <w:rPr>
          <w:rFonts w:hint="eastAsia"/>
          <w:color w:val="auto"/>
          <w:sz w:val="24"/>
          <w:highlight w:val="none"/>
          <w:lang w:val="en-US" w:eastAsia="zh-CN"/>
        </w:rPr>
        <w:t>960</w:t>
      </w:r>
      <w:r>
        <w:rPr>
          <w:color w:val="auto"/>
          <w:sz w:val="24"/>
          <w:highlight w:val="none"/>
        </w:rPr>
        <w:t>m处的</w:t>
      </w:r>
      <w:r>
        <w:rPr>
          <w:rFonts w:hint="eastAsia"/>
          <w:color w:val="auto"/>
          <w:sz w:val="24"/>
          <w:highlight w:val="none"/>
          <w:lang w:eastAsia="zh-CN"/>
        </w:rPr>
        <w:t>国融大厦</w:t>
      </w:r>
      <w:r>
        <w:rPr>
          <w:color w:val="auto"/>
          <w:sz w:val="24"/>
          <w:highlight w:val="none"/>
        </w:rPr>
        <w:t>各设置的三个监测点位</w:t>
      </w:r>
      <w:r>
        <w:rPr>
          <w:rFonts w:hint="eastAsia"/>
          <w:color w:val="auto"/>
          <w:sz w:val="24"/>
          <w:highlight w:val="none"/>
        </w:rPr>
        <w:t>。</w:t>
      </w:r>
    </w:p>
    <w:p>
      <w:pPr>
        <w:adjustRightInd w:val="0"/>
        <w:snapToGrid w:val="0"/>
        <w:spacing w:line="360" w:lineRule="auto"/>
        <w:ind w:firstLine="480" w:firstLineChars="200"/>
        <w:jc w:val="left"/>
        <w:rPr>
          <w:color w:val="auto"/>
          <w:sz w:val="24"/>
          <w:highlight w:val="none"/>
        </w:rPr>
      </w:pPr>
      <w:r>
        <w:rPr>
          <w:color w:val="auto"/>
          <w:sz w:val="24"/>
          <w:highlight w:val="none"/>
        </w:rPr>
        <w:t>1、</w:t>
      </w:r>
      <w:r>
        <w:rPr>
          <w:rFonts w:hint="eastAsia" w:ascii="黑体" w:hAnsi="黑体" w:eastAsia="黑体" w:cs="黑体"/>
          <w:color w:val="auto"/>
          <w:sz w:val="24"/>
          <w:highlight w:val="none"/>
        </w:rPr>
        <w:t>监测</w:t>
      </w:r>
      <w:r>
        <w:rPr>
          <w:color w:val="auto"/>
          <w:sz w:val="24"/>
          <w:highlight w:val="none"/>
        </w:rPr>
        <w:t>因子、点位与分析方法</w:t>
      </w:r>
      <w:bookmarkEnd w:id="108"/>
      <w:bookmarkEnd w:id="109"/>
      <w:bookmarkEnd w:id="110"/>
    </w:p>
    <w:p>
      <w:pPr>
        <w:numPr>
          <w:ilvl w:val="0"/>
          <w:numId w:val="15"/>
        </w:numPr>
        <w:tabs>
          <w:tab w:val="clear" w:pos="0"/>
        </w:tabs>
        <w:adjustRightInd w:val="0"/>
        <w:snapToGrid w:val="0"/>
        <w:spacing w:line="360" w:lineRule="auto"/>
        <w:ind w:firstLine="480" w:firstLineChars="200"/>
        <w:rPr>
          <w:color w:val="auto"/>
          <w:sz w:val="24"/>
          <w:highlight w:val="none"/>
        </w:rPr>
      </w:pPr>
      <w:r>
        <w:rPr>
          <w:color w:val="auto"/>
          <w:sz w:val="24"/>
          <w:highlight w:val="none"/>
        </w:rPr>
        <w:t>监测因子</w:t>
      </w:r>
    </w:p>
    <w:p>
      <w:pPr>
        <w:adjustRightInd w:val="0"/>
        <w:snapToGrid w:val="0"/>
        <w:spacing w:line="360" w:lineRule="auto"/>
        <w:ind w:firstLine="480" w:firstLineChars="200"/>
        <w:rPr>
          <w:color w:val="auto"/>
          <w:sz w:val="24"/>
          <w:highlight w:val="none"/>
        </w:rPr>
      </w:pPr>
      <w:r>
        <w:rPr>
          <w:rFonts w:hint="eastAsia"/>
          <w:color w:val="auto"/>
          <w:sz w:val="24"/>
          <w:highlight w:val="none"/>
        </w:rPr>
        <w:t>常规因子：</w:t>
      </w:r>
      <w:r>
        <w:rPr>
          <w:color w:val="auto"/>
          <w:sz w:val="24"/>
          <w:highlight w:val="none"/>
        </w:rPr>
        <w:t>SO</w:t>
      </w:r>
      <w:r>
        <w:rPr>
          <w:color w:val="auto"/>
          <w:sz w:val="24"/>
          <w:highlight w:val="none"/>
          <w:vertAlign w:val="subscript"/>
        </w:rPr>
        <w:t>2</w:t>
      </w:r>
      <w:r>
        <w:rPr>
          <w:color w:val="auto"/>
          <w:sz w:val="24"/>
          <w:highlight w:val="none"/>
        </w:rPr>
        <w:t>、PM</w:t>
      </w:r>
      <w:r>
        <w:rPr>
          <w:color w:val="auto"/>
          <w:sz w:val="24"/>
          <w:highlight w:val="none"/>
          <w:vertAlign w:val="subscript"/>
        </w:rPr>
        <w:t>10</w:t>
      </w:r>
      <w:r>
        <w:rPr>
          <w:color w:val="auto"/>
          <w:sz w:val="24"/>
          <w:highlight w:val="none"/>
        </w:rPr>
        <w:t>、</w:t>
      </w:r>
      <w:r>
        <w:rPr>
          <w:rFonts w:hint="eastAsia"/>
          <w:color w:val="auto"/>
          <w:sz w:val="24"/>
          <w:highlight w:val="none"/>
        </w:rPr>
        <w:t>PM</w:t>
      </w:r>
      <w:r>
        <w:rPr>
          <w:rFonts w:hint="eastAsia"/>
          <w:color w:val="auto"/>
          <w:sz w:val="24"/>
          <w:highlight w:val="none"/>
          <w:vertAlign w:val="subscript"/>
        </w:rPr>
        <w:t>2.5</w:t>
      </w:r>
      <w:r>
        <w:rPr>
          <w:color w:val="auto"/>
          <w:sz w:val="24"/>
          <w:highlight w:val="none"/>
        </w:rPr>
        <w:t>，记录监测期间的气象资料</w:t>
      </w:r>
      <w:r>
        <w:rPr>
          <w:rFonts w:hint="eastAsia"/>
          <w:color w:val="auto"/>
          <w:sz w:val="24"/>
          <w:highlight w:val="none"/>
        </w:rPr>
        <w:t>(气温、气压、风速、风向、总云量、低云量等)</w:t>
      </w:r>
      <w:r>
        <w:rPr>
          <w:color w:val="auto"/>
          <w:sz w:val="24"/>
          <w:highlight w:val="none"/>
        </w:rPr>
        <w:t>。</w:t>
      </w:r>
    </w:p>
    <w:p>
      <w:pPr>
        <w:adjustRightInd w:val="0"/>
        <w:snapToGrid w:val="0"/>
        <w:spacing w:line="360" w:lineRule="auto"/>
        <w:ind w:firstLine="480" w:firstLineChars="200"/>
        <w:rPr>
          <w:color w:val="auto"/>
          <w:sz w:val="24"/>
          <w:highlight w:val="none"/>
        </w:rPr>
      </w:pPr>
      <w:r>
        <w:rPr>
          <w:rFonts w:hint="eastAsia"/>
          <w:color w:val="auto"/>
          <w:sz w:val="24"/>
          <w:highlight w:val="none"/>
        </w:rPr>
        <w:t>特征因子：</w:t>
      </w:r>
      <w:r>
        <w:rPr>
          <w:color w:val="auto"/>
          <w:sz w:val="24"/>
          <w:szCs w:val="24"/>
          <w:highlight w:val="none"/>
        </w:rPr>
        <w:t>NO</w:t>
      </w:r>
      <w:r>
        <w:rPr>
          <w:rFonts w:hint="eastAsia"/>
          <w:color w:val="auto"/>
          <w:sz w:val="24"/>
          <w:szCs w:val="24"/>
          <w:highlight w:val="none"/>
          <w:vertAlign w:val="subscript"/>
          <w:lang w:val="en-US" w:eastAsia="zh-CN"/>
        </w:rPr>
        <w:t>x</w:t>
      </w:r>
      <w:r>
        <w:rPr>
          <w:rFonts w:hAnsi="宋体"/>
          <w:color w:val="auto"/>
          <w:sz w:val="24"/>
          <w:szCs w:val="24"/>
          <w:highlight w:val="none"/>
        </w:rPr>
        <w:t>、</w:t>
      </w:r>
      <w:r>
        <w:rPr>
          <w:rFonts w:hint="eastAsia"/>
          <w:color w:val="auto"/>
          <w:sz w:val="24"/>
          <w:highlight w:val="none"/>
        </w:rPr>
        <w:t>氯化氢、硫酸</w:t>
      </w:r>
      <w:r>
        <w:rPr>
          <w:rFonts w:hint="eastAsia"/>
          <w:color w:val="auto"/>
          <w:sz w:val="24"/>
          <w:highlight w:val="none"/>
          <w:lang w:eastAsia="zh-CN"/>
        </w:rPr>
        <w:t>雾</w:t>
      </w:r>
      <w:r>
        <w:rPr>
          <w:rFonts w:hint="eastAsia"/>
          <w:color w:val="auto"/>
          <w:sz w:val="24"/>
          <w:highlight w:val="none"/>
        </w:rPr>
        <w:t>、</w:t>
      </w:r>
      <w:r>
        <w:rPr>
          <w:rFonts w:hint="eastAsia"/>
          <w:color w:val="auto"/>
          <w:sz w:val="24"/>
          <w:highlight w:val="none"/>
          <w:lang w:eastAsia="zh-CN"/>
        </w:rPr>
        <w:t>铬酸雾、氨</w:t>
      </w:r>
    </w:p>
    <w:p>
      <w:pPr>
        <w:adjustRightInd w:val="0"/>
        <w:snapToGrid w:val="0"/>
        <w:spacing w:line="360" w:lineRule="auto"/>
        <w:ind w:firstLine="480" w:firstLineChars="200"/>
        <w:rPr>
          <w:color w:val="auto"/>
          <w:sz w:val="24"/>
          <w:highlight w:val="none"/>
        </w:rPr>
      </w:pPr>
      <w:r>
        <w:rPr>
          <w:rFonts w:hint="eastAsia"/>
          <w:color w:val="auto"/>
          <w:sz w:val="24"/>
          <w:highlight w:val="none"/>
        </w:rPr>
        <w:t>(2)</w:t>
      </w:r>
      <w:r>
        <w:rPr>
          <w:color w:val="auto"/>
          <w:sz w:val="24"/>
          <w:highlight w:val="none"/>
        </w:rPr>
        <w:t>监测时间和频次</w:t>
      </w:r>
    </w:p>
    <w:p>
      <w:pPr>
        <w:jc w:val="center"/>
        <w:rPr>
          <w:rFonts w:eastAsia="黑体"/>
          <w:color w:val="auto"/>
          <w:kern w:val="21"/>
          <w:sz w:val="24"/>
          <w:szCs w:val="20"/>
          <w:highlight w:val="none"/>
          <w:lang w:val="zh-CN" w:eastAsia="zh-CN"/>
        </w:rPr>
      </w:pPr>
      <w:r>
        <w:rPr>
          <w:rFonts w:hint="eastAsia" w:eastAsia="黑体"/>
          <w:color w:val="auto"/>
          <w:kern w:val="21"/>
          <w:sz w:val="24"/>
          <w:szCs w:val="20"/>
          <w:highlight w:val="none"/>
          <w:lang w:val="zh-CN" w:eastAsia="zh-CN"/>
        </w:rPr>
        <w:t>表</w:t>
      </w:r>
      <w:r>
        <w:rPr>
          <w:rFonts w:hint="eastAsia" w:eastAsia="黑体"/>
          <w:color w:val="auto"/>
          <w:kern w:val="21"/>
          <w:sz w:val="24"/>
          <w:szCs w:val="20"/>
          <w:highlight w:val="none"/>
          <w:lang w:val="zh-CN"/>
        </w:rPr>
        <w:t>3.6</w:t>
      </w:r>
      <w:r>
        <w:rPr>
          <w:rFonts w:hint="eastAsia" w:eastAsia="黑体"/>
          <w:color w:val="auto"/>
          <w:kern w:val="21"/>
          <w:sz w:val="24"/>
          <w:szCs w:val="20"/>
          <w:highlight w:val="none"/>
          <w:lang w:val="zh-CN" w:eastAsia="zh-CN"/>
        </w:rPr>
        <w:t>-</w:t>
      </w:r>
      <w:r>
        <w:rPr>
          <w:rFonts w:hint="eastAsia" w:eastAsia="黑体"/>
          <w:color w:val="auto"/>
          <w:kern w:val="21"/>
          <w:sz w:val="24"/>
          <w:szCs w:val="20"/>
          <w:highlight w:val="none"/>
          <w:lang w:val="zh-CN"/>
        </w:rPr>
        <w:t xml:space="preserve">1 </w:t>
      </w:r>
      <w:r>
        <w:rPr>
          <w:rFonts w:hint="eastAsia" w:eastAsia="黑体"/>
          <w:color w:val="auto"/>
          <w:kern w:val="21"/>
          <w:sz w:val="24"/>
          <w:szCs w:val="20"/>
          <w:highlight w:val="none"/>
          <w:lang w:val="zh-CN" w:eastAsia="zh-CN"/>
        </w:rPr>
        <w:t xml:space="preserve"> 环境空气质量现状监测时间与频率</w:t>
      </w:r>
    </w:p>
    <w:tbl>
      <w:tblPr>
        <w:tblStyle w:val="36"/>
        <w:tblW w:w="9179" w:type="dxa"/>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57" w:type="dxa"/>
          <w:left w:w="108" w:type="dxa"/>
          <w:bottom w:w="57" w:type="dxa"/>
          <w:right w:w="108" w:type="dxa"/>
        </w:tblCellMar>
      </w:tblPr>
      <w:tblGrid>
        <w:gridCol w:w="1785"/>
        <w:gridCol w:w="1417"/>
        <w:gridCol w:w="5977"/>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57" w:type="dxa"/>
            <w:left w:w="108" w:type="dxa"/>
            <w:bottom w:w="57" w:type="dxa"/>
            <w:right w:w="108" w:type="dxa"/>
          </w:tblCellMar>
        </w:tblPrEx>
        <w:trPr>
          <w:trHeight w:val="340" w:hRule="atLeast"/>
          <w:tblHeader/>
          <w:jc w:val="center"/>
        </w:trPr>
        <w:tc>
          <w:tcPr>
            <w:tcW w:w="1785" w:type="dxa"/>
            <w:tcMar>
              <w:left w:w="57" w:type="dxa"/>
              <w:right w:w="57" w:type="dxa"/>
            </w:tcMar>
            <w:vAlign w:val="center"/>
          </w:tcPr>
          <w:p>
            <w:pPr>
              <w:jc w:val="center"/>
              <w:rPr>
                <w:rFonts w:ascii="宋体" w:hAnsi="宋体"/>
                <w:bCs/>
                <w:color w:val="auto"/>
                <w:szCs w:val="21"/>
                <w:highlight w:val="none"/>
              </w:rPr>
            </w:pPr>
            <w:r>
              <w:rPr>
                <w:rFonts w:hAnsi="宋体"/>
                <w:bCs/>
                <w:color w:val="auto"/>
                <w:szCs w:val="21"/>
                <w:highlight w:val="none"/>
              </w:rPr>
              <w:t>污染物</w:t>
            </w:r>
          </w:p>
        </w:tc>
        <w:tc>
          <w:tcPr>
            <w:tcW w:w="1417" w:type="dxa"/>
            <w:vAlign w:val="center"/>
          </w:tcPr>
          <w:p>
            <w:pPr>
              <w:jc w:val="center"/>
              <w:rPr>
                <w:bCs/>
                <w:color w:val="auto"/>
                <w:szCs w:val="21"/>
                <w:highlight w:val="none"/>
              </w:rPr>
            </w:pPr>
            <w:r>
              <w:rPr>
                <w:rFonts w:hAnsi="宋体"/>
                <w:bCs/>
                <w:color w:val="auto"/>
                <w:szCs w:val="21"/>
                <w:highlight w:val="none"/>
              </w:rPr>
              <w:t>取值时间</w:t>
            </w:r>
          </w:p>
        </w:tc>
        <w:tc>
          <w:tcPr>
            <w:tcW w:w="5977" w:type="dxa"/>
            <w:vAlign w:val="center"/>
          </w:tcPr>
          <w:p>
            <w:pPr>
              <w:ind w:left="-44" w:leftChars="-21" w:firstLine="480"/>
              <w:jc w:val="center"/>
              <w:rPr>
                <w:bCs/>
                <w:color w:val="auto"/>
                <w:szCs w:val="21"/>
                <w:highlight w:val="none"/>
              </w:rPr>
            </w:pPr>
            <w:r>
              <w:rPr>
                <w:rFonts w:hAnsi="宋体"/>
                <w:bCs/>
                <w:color w:val="auto"/>
                <w:szCs w:val="21"/>
                <w:highlight w:val="none"/>
              </w:rPr>
              <w:t>监测频率</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57" w:type="dxa"/>
            <w:left w:w="108" w:type="dxa"/>
            <w:bottom w:w="57" w:type="dxa"/>
            <w:right w:w="108" w:type="dxa"/>
          </w:tblCellMar>
        </w:tblPrEx>
        <w:trPr>
          <w:trHeight w:val="340" w:hRule="atLeast"/>
          <w:jc w:val="center"/>
        </w:trPr>
        <w:tc>
          <w:tcPr>
            <w:tcW w:w="1785" w:type="dxa"/>
            <w:vMerge w:val="restart"/>
            <w:vAlign w:val="center"/>
          </w:tcPr>
          <w:p>
            <w:pPr>
              <w:spacing w:after="120"/>
              <w:ind w:left="-44" w:leftChars="-21"/>
              <w:jc w:val="center"/>
              <w:rPr>
                <w:rFonts w:hint="eastAsia" w:eastAsia="宋体"/>
                <w:color w:val="auto"/>
                <w:szCs w:val="21"/>
                <w:highlight w:val="none"/>
                <w:lang w:eastAsia="zh-CN"/>
              </w:rPr>
            </w:pPr>
            <w:r>
              <w:rPr>
                <w:color w:val="auto"/>
                <w:szCs w:val="21"/>
                <w:highlight w:val="none"/>
              </w:rPr>
              <w:t>SO</w:t>
            </w:r>
            <w:r>
              <w:rPr>
                <w:color w:val="auto"/>
                <w:szCs w:val="21"/>
                <w:highlight w:val="none"/>
                <w:vertAlign w:val="subscript"/>
              </w:rPr>
              <w:t>2</w:t>
            </w:r>
            <w:r>
              <w:rPr>
                <w:rFonts w:hAnsi="宋体"/>
                <w:color w:val="auto"/>
                <w:szCs w:val="21"/>
                <w:highlight w:val="none"/>
              </w:rPr>
              <w:t>、</w:t>
            </w:r>
            <w:r>
              <w:rPr>
                <w:color w:val="auto"/>
                <w:szCs w:val="21"/>
                <w:highlight w:val="none"/>
              </w:rPr>
              <w:t>NO</w:t>
            </w:r>
            <w:r>
              <w:rPr>
                <w:rFonts w:hint="eastAsia"/>
                <w:color w:val="auto"/>
                <w:szCs w:val="21"/>
                <w:highlight w:val="none"/>
                <w:vertAlign w:val="subscript"/>
                <w:lang w:val="en-US" w:eastAsia="zh-CN"/>
              </w:rPr>
              <w:t>x</w:t>
            </w:r>
          </w:p>
        </w:tc>
        <w:tc>
          <w:tcPr>
            <w:tcW w:w="1417" w:type="dxa"/>
            <w:vAlign w:val="center"/>
          </w:tcPr>
          <w:p>
            <w:pPr>
              <w:jc w:val="center"/>
              <w:rPr>
                <w:bCs/>
                <w:color w:val="auto"/>
                <w:szCs w:val="21"/>
                <w:highlight w:val="none"/>
              </w:rPr>
            </w:pPr>
            <w:r>
              <w:rPr>
                <w:rFonts w:hAnsi="宋体"/>
                <w:bCs/>
                <w:color w:val="auto"/>
                <w:szCs w:val="21"/>
                <w:highlight w:val="none"/>
              </w:rPr>
              <w:t>小时平均</w:t>
            </w:r>
          </w:p>
        </w:tc>
        <w:tc>
          <w:tcPr>
            <w:tcW w:w="5977" w:type="dxa"/>
            <w:vAlign w:val="center"/>
          </w:tcPr>
          <w:p>
            <w:pPr>
              <w:ind w:left="-115" w:leftChars="-55" w:firstLine="48" w:firstLineChars="23"/>
              <w:rPr>
                <w:color w:val="auto"/>
                <w:szCs w:val="21"/>
                <w:highlight w:val="none"/>
              </w:rPr>
            </w:pPr>
            <w:r>
              <w:rPr>
                <w:color w:val="auto"/>
                <w:szCs w:val="21"/>
                <w:highlight w:val="none"/>
              </w:rPr>
              <w:t>连续监测7天，每天采样4次</w:t>
            </w:r>
            <w:r>
              <w:rPr>
                <w:rFonts w:hint="eastAsia"/>
                <w:color w:val="auto"/>
                <w:szCs w:val="21"/>
                <w:highlight w:val="none"/>
              </w:rPr>
              <w:t>(</w:t>
            </w:r>
            <w:r>
              <w:rPr>
                <w:color w:val="auto"/>
                <w:szCs w:val="21"/>
                <w:highlight w:val="none"/>
              </w:rPr>
              <w:t>02、</w:t>
            </w:r>
            <w:r>
              <w:rPr>
                <w:rFonts w:hint="eastAsia"/>
                <w:color w:val="auto"/>
                <w:szCs w:val="21"/>
                <w:highlight w:val="none"/>
              </w:rPr>
              <w:t>08</w:t>
            </w:r>
            <w:r>
              <w:rPr>
                <w:color w:val="auto"/>
                <w:szCs w:val="21"/>
                <w:highlight w:val="none"/>
              </w:rPr>
              <w:t>、14、</w:t>
            </w:r>
            <w:r>
              <w:rPr>
                <w:rFonts w:hint="eastAsia"/>
                <w:color w:val="auto"/>
                <w:szCs w:val="21"/>
                <w:highlight w:val="none"/>
              </w:rPr>
              <w:t>20</w:t>
            </w:r>
            <w:r>
              <w:rPr>
                <w:color w:val="auto"/>
                <w:szCs w:val="21"/>
                <w:highlight w:val="none"/>
              </w:rPr>
              <w:t>时各1次</w:t>
            </w:r>
            <w:r>
              <w:rPr>
                <w:rFonts w:hint="eastAsia"/>
                <w:color w:val="auto"/>
                <w:szCs w:val="21"/>
                <w:highlight w:val="none"/>
              </w:rPr>
              <w:t>)</w:t>
            </w:r>
            <w:r>
              <w:rPr>
                <w:color w:val="auto"/>
                <w:szCs w:val="21"/>
                <w:highlight w:val="none"/>
              </w:rPr>
              <w:t>，每次至少有45分的采样时间</w:t>
            </w:r>
            <w:r>
              <w:rPr>
                <w:rFonts w:hint="eastAsia"/>
                <w:color w:val="auto"/>
                <w:szCs w:val="21"/>
                <w:highlight w:val="none"/>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57" w:type="dxa"/>
            <w:left w:w="108" w:type="dxa"/>
            <w:bottom w:w="57" w:type="dxa"/>
            <w:right w:w="108" w:type="dxa"/>
          </w:tblCellMar>
        </w:tblPrEx>
        <w:trPr>
          <w:trHeight w:val="340" w:hRule="atLeast"/>
          <w:jc w:val="center"/>
        </w:trPr>
        <w:tc>
          <w:tcPr>
            <w:tcW w:w="1785" w:type="dxa"/>
            <w:vMerge w:val="continue"/>
            <w:vAlign w:val="center"/>
          </w:tcPr>
          <w:p>
            <w:pPr>
              <w:spacing w:after="120"/>
              <w:ind w:left="-44" w:leftChars="-21"/>
              <w:jc w:val="center"/>
              <w:rPr>
                <w:color w:val="auto"/>
                <w:szCs w:val="21"/>
                <w:highlight w:val="none"/>
              </w:rPr>
            </w:pPr>
          </w:p>
        </w:tc>
        <w:tc>
          <w:tcPr>
            <w:tcW w:w="1417" w:type="dxa"/>
            <w:vAlign w:val="center"/>
          </w:tcPr>
          <w:p>
            <w:pPr>
              <w:jc w:val="center"/>
              <w:rPr>
                <w:bCs/>
                <w:color w:val="auto"/>
                <w:szCs w:val="21"/>
                <w:highlight w:val="none"/>
              </w:rPr>
            </w:pPr>
            <w:r>
              <w:rPr>
                <w:rFonts w:hAnsi="宋体"/>
                <w:bCs/>
                <w:color w:val="auto"/>
                <w:szCs w:val="21"/>
                <w:highlight w:val="none"/>
              </w:rPr>
              <w:t>日平均</w:t>
            </w:r>
          </w:p>
        </w:tc>
        <w:tc>
          <w:tcPr>
            <w:tcW w:w="5977" w:type="dxa"/>
            <w:vAlign w:val="center"/>
          </w:tcPr>
          <w:p>
            <w:pPr>
              <w:ind w:left="-115" w:leftChars="-55" w:firstLine="48" w:firstLineChars="23"/>
              <w:rPr>
                <w:color w:val="auto"/>
                <w:szCs w:val="21"/>
                <w:highlight w:val="none"/>
              </w:rPr>
            </w:pPr>
            <w:r>
              <w:rPr>
                <w:color w:val="auto"/>
                <w:szCs w:val="21"/>
                <w:highlight w:val="none"/>
              </w:rPr>
              <w:t>连续监测7天，每天至少</w:t>
            </w:r>
            <w:r>
              <w:rPr>
                <w:rFonts w:hint="eastAsia"/>
                <w:color w:val="auto"/>
                <w:szCs w:val="21"/>
                <w:highlight w:val="none"/>
              </w:rPr>
              <w:t>20</w:t>
            </w:r>
            <w:r>
              <w:rPr>
                <w:color w:val="auto"/>
                <w:szCs w:val="21"/>
                <w:highlight w:val="none"/>
              </w:rPr>
              <w:t>h</w:t>
            </w:r>
            <w:r>
              <w:rPr>
                <w:rFonts w:hint="eastAsia"/>
                <w:color w:val="auto"/>
                <w:szCs w:val="21"/>
                <w:highlight w:val="none"/>
              </w:rPr>
              <w:t>平均浓度值或采样时间。</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57" w:type="dxa"/>
            <w:left w:w="108" w:type="dxa"/>
            <w:bottom w:w="57" w:type="dxa"/>
            <w:right w:w="108" w:type="dxa"/>
          </w:tblCellMar>
        </w:tblPrEx>
        <w:trPr>
          <w:trHeight w:val="340" w:hRule="atLeast"/>
          <w:jc w:val="center"/>
        </w:trPr>
        <w:tc>
          <w:tcPr>
            <w:tcW w:w="1785" w:type="dxa"/>
            <w:vAlign w:val="center"/>
          </w:tcPr>
          <w:p>
            <w:pPr>
              <w:spacing w:after="120"/>
              <w:ind w:left="-44" w:leftChars="-21"/>
              <w:jc w:val="center"/>
              <w:rPr>
                <w:color w:val="auto"/>
                <w:szCs w:val="21"/>
                <w:highlight w:val="none"/>
              </w:rPr>
            </w:pPr>
            <w:r>
              <w:rPr>
                <w:color w:val="auto"/>
                <w:szCs w:val="21"/>
                <w:highlight w:val="none"/>
              </w:rPr>
              <w:t>PM</w:t>
            </w:r>
            <w:r>
              <w:rPr>
                <w:color w:val="auto"/>
                <w:szCs w:val="21"/>
                <w:highlight w:val="none"/>
                <w:vertAlign w:val="subscript"/>
              </w:rPr>
              <w:t>10</w:t>
            </w:r>
            <w:r>
              <w:rPr>
                <w:rFonts w:hAnsi="宋体"/>
                <w:color w:val="auto"/>
                <w:szCs w:val="21"/>
                <w:highlight w:val="none"/>
              </w:rPr>
              <w:t>、</w:t>
            </w:r>
            <w:r>
              <w:rPr>
                <w:color w:val="auto"/>
                <w:szCs w:val="21"/>
                <w:highlight w:val="none"/>
              </w:rPr>
              <w:t>PM</w:t>
            </w:r>
            <w:r>
              <w:rPr>
                <w:rFonts w:hint="eastAsia"/>
                <w:color w:val="auto"/>
                <w:szCs w:val="21"/>
                <w:highlight w:val="none"/>
                <w:vertAlign w:val="subscript"/>
              </w:rPr>
              <w:t>2.5</w:t>
            </w:r>
          </w:p>
        </w:tc>
        <w:tc>
          <w:tcPr>
            <w:tcW w:w="1417" w:type="dxa"/>
            <w:vAlign w:val="center"/>
          </w:tcPr>
          <w:p>
            <w:pPr>
              <w:jc w:val="center"/>
              <w:rPr>
                <w:bCs/>
                <w:color w:val="auto"/>
                <w:szCs w:val="21"/>
                <w:highlight w:val="none"/>
              </w:rPr>
            </w:pPr>
            <w:r>
              <w:rPr>
                <w:rFonts w:hAnsi="宋体"/>
                <w:bCs/>
                <w:color w:val="auto"/>
                <w:szCs w:val="21"/>
                <w:highlight w:val="none"/>
              </w:rPr>
              <w:t>日平均</w:t>
            </w:r>
          </w:p>
        </w:tc>
        <w:tc>
          <w:tcPr>
            <w:tcW w:w="5977" w:type="dxa"/>
            <w:vAlign w:val="center"/>
          </w:tcPr>
          <w:p>
            <w:pPr>
              <w:ind w:left="-115" w:leftChars="-55" w:firstLine="48" w:firstLineChars="23"/>
              <w:rPr>
                <w:color w:val="auto"/>
                <w:szCs w:val="21"/>
                <w:highlight w:val="none"/>
              </w:rPr>
            </w:pPr>
            <w:r>
              <w:rPr>
                <w:color w:val="auto"/>
                <w:szCs w:val="21"/>
                <w:highlight w:val="none"/>
              </w:rPr>
              <w:t>连续监测7天，每天至少</w:t>
            </w:r>
            <w:r>
              <w:rPr>
                <w:rFonts w:hint="eastAsia"/>
                <w:color w:val="auto"/>
                <w:szCs w:val="21"/>
                <w:highlight w:val="none"/>
              </w:rPr>
              <w:t>20</w:t>
            </w:r>
            <w:r>
              <w:rPr>
                <w:color w:val="auto"/>
                <w:szCs w:val="21"/>
                <w:highlight w:val="none"/>
              </w:rPr>
              <w:t>h</w:t>
            </w:r>
            <w:r>
              <w:rPr>
                <w:rFonts w:hint="eastAsia"/>
                <w:color w:val="auto"/>
                <w:szCs w:val="21"/>
                <w:highlight w:val="none"/>
              </w:rPr>
              <w:t>平均浓度值或采样时间。</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57" w:type="dxa"/>
            <w:left w:w="108" w:type="dxa"/>
            <w:bottom w:w="57" w:type="dxa"/>
            <w:right w:w="108" w:type="dxa"/>
          </w:tblCellMar>
        </w:tblPrEx>
        <w:trPr>
          <w:trHeight w:val="340" w:hRule="atLeast"/>
          <w:jc w:val="center"/>
        </w:trPr>
        <w:tc>
          <w:tcPr>
            <w:tcW w:w="1785" w:type="dxa"/>
            <w:vAlign w:val="center"/>
          </w:tcPr>
          <w:p>
            <w:pPr>
              <w:ind w:left="-44" w:leftChars="-21"/>
              <w:jc w:val="center"/>
              <w:rPr>
                <w:color w:val="auto"/>
                <w:szCs w:val="21"/>
                <w:highlight w:val="none"/>
              </w:rPr>
            </w:pPr>
            <w:r>
              <w:rPr>
                <w:rFonts w:hint="eastAsia"/>
                <w:color w:val="auto"/>
                <w:szCs w:val="21"/>
                <w:highlight w:val="none"/>
              </w:rPr>
              <w:t>氯化氢、硫酸雾、铬酸雾、氨</w:t>
            </w:r>
          </w:p>
        </w:tc>
        <w:tc>
          <w:tcPr>
            <w:tcW w:w="1417" w:type="dxa"/>
            <w:vAlign w:val="center"/>
          </w:tcPr>
          <w:p>
            <w:pPr>
              <w:jc w:val="center"/>
              <w:rPr>
                <w:bCs/>
                <w:color w:val="auto"/>
                <w:szCs w:val="21"/>
                <w:highlight w:val="none"/>
              </w:rPr>
            </w:pPr>
            <w:r>
              <w:rPr>
                <w:rFonts w:hint="eastAsia" w:hAnsi="宋体"/>
                <w:bCs/>
                <w:color w:val="auto"/>
                <w:szCs w:val="21"/>
                <w:highlight w:val="none"/>
              </w:rPr>
              <w:t>一次浓度</w:t>
            </w:r>
          </w:p>
        </w:tc>
        <w:tc>
          <w:tcPr>
            <w:tcW w:w="5977" w:type="dxa"/>
            <w:vAlign w:val="center"/>
          </w:tcPr>
          <w:p>
            <w:pPr>
              <w:ind w:left="-115" w:leftChars="-55" w:firstLine="48" w:firstLineChars="23"/>
              <w:rPr>
                <w:color w:val="auto"/>
                <w:szCs w:val="21"/>
                <w:highlight w:val="none"/>
              </w:rPr>
            </w:pPr>
            <w:r>
              <w:rPr>
                <w:color w:val="auto"/>
                <w:szCs w:val="21"/>
                <w:highlight w:val="none"/>
              </w:rPr>
              <w:t>连续监测</w:t>
            </w:r>
            <w:r>
              <w:rPr>
                <w:rFonts w:hint="eastAsia"/>
                <w:color w:val="auto"/>
                <w:szCs w:val="21"/>
                <w:highlight w:val="none"/>
              </w:rPr>
              <w:t>3</w:t>
            </w:r>
            <w:r>
              <w:rPr>
                <w:color w:val="auto"/>
                <w:szCs w:val="21"/>
                <w:highlight w:val="none"/>
              </w:rPr>
              <w:t>天，每天</w:t>
            </w:r>
            <w:r>
              <w:rPr>
                <w:rFonts w:hint="eastAsia"/>
                <w:color w:val="auto"/>
                <w:szCs w:val="21"/>
                <w:highlight w:val="none"/>
              </w:rPr>
              <w:t>4</w:t>
            </w:r>
            <w:r>
              <w:rPr>
                <w:color w:val="auto"/>
                <w:szCs w:val="21"/>
                <w:highlight w:val="none"/>
              </w:rPr>
              <w:t>次</w:t>
            </w:r>
            <w:r>
              <w:rPr>
                <w:rFonts w:hint="eastAsia"/>
                <w:color w:val="auto"/>
                <w:szCs w:val="21"/>
                <w:highlight w:val="none"/>
              </w:rPr>
              <w:t>(</w:t>
            </w:r>
            <w:r>
              <w:rPr>
                <w:color w:val="auto"/>
                <w:szCs w:val="21"/>
                <w:highlight w:val="none"/>
              </w:rPr>
              <w:t>02、</w:t>
            </w:r>
            <w:r>
              <w:rPr>
                <w:rFonts w:hint="eastAsia"/>
                <w:color w:val="auto"/>
                <w:szCs w:val="21"/>
                <w:highlight w:val="none"/>
              </w:rPr>
              <w:t>08</w:t>
            </w:r>
            <w:r>
              <w:rPr>
                <w:color w:val="auto"/>
                <w:szCs w:val="21"/>
                <w:highlight w:val="none"/>
              </w:rPr>
              <w:t>、14、</w:t>
            </w:r>
            <w:r>
              <w:rPr>
                <w:rFonts w:hint="eastAsia"/>
                <w:color w:val="auto"/>
                <w:szCs w:val="21"/>
                <w:highlight w:val="none"/>
              </w:rPr>
              <w:t>20</w:t>
            </w:r>
            <w:r>
              <w:rPr>
                <w:color w:val="auto"/>
                <w:szCs w:val="21"/>
                <w:highlight w:val="none"/>
              </w:rPr>
              <w:t>时各1次</w:t>
            </w:r>
            <w:r>
              <w:rPr>
                <w:rFonts w:hint="eastAsia"/>
                <w:color w:val="auto"/>
                <w:szCs w:val="21"/>
                <w:highlight w:val="none"/>
              </w:rPr>
              <w:t>)，</w:t>
            </w:r>
            <w:r>
              <w:rPr>
                <w:color w:val="auto"/>
                <w:szCs w:val="21"/>
                <w:highlight w:val="none"/>
              </w:rPr>
              <w:t>采样时间不小于45分钟</w:t>
            </w:r>
            <w:r>
              <w:rPr>
                <w:rFonts w:hint="eastAsia"/>
                <w:color w:val="auto"/>
                <w:szCs w:val="21"/>
                <w:highlight w:val="none"/>
              </w:rPr>
              <w:t>(</w:t>
            </w:r>
            <w:r>
              <w:rPr>
                <w:color w:val="auto"/>
                <w:szCs w:val="21"/>
                <w:highlight w:val="none"/>
              </w:rPr>
              <w:t>可根据检测方法要求调整</w:t>
            </w:r>
            <w:r>
              <w:rPr>
                <w:rFonts w:hint="eastAsia"/>
                <w:color w:val="auto"/>
                <w:szCs w:val="21"/>
                <w:highlight w:val="none"/>
              </w:rPr>
              <w:t>)。</w:t>
            </w:r>
          </w:p>
        </w:tc>
      </w:tr>
    </w:tbl>
    <w:p>
      <w:pPr>
        <w:adjustRightInd w:val="0"/>
        <w:snapToGrid w:val="0"/>
        <w:spacing w:line="360" w:lineRule="auto"/>
        <w:ind w:firstLine="480" w:firstLineChars="200"/>
        <w:rPr>
          <w:color w:val="auto"/>
          <w:sz w:val="24"/>
          <w:highlight w:val="none"/>
        </w:rPr>
      </w:pPr>
      <w:r>
        <w:rPr>
          <w:color w:val="auto"/>
          <w:sz w:val="24"/>
          <w:highlight w:val="none"/>
        </w:rPr>
        <w:t>(</w:t>
      </w:r>
      <w:r>
        <w:rPr>
          <w:rFonts w:hint="eastAsia"/>
          <w:color w:val="auto"/>
          <w:sz w:val="24"/>
          <w:highlight w:val="none"/>
        </w:rPr>
        <w:t>3</w:t>
      </w:r>
      <w:r>
        <w:rPr>
          <w:color w:val="auto"/>
          <w:sz w:val="24"/>
          <w:highlight w:val="none"/>
        </w:rPr>
        <w:t>)测点布设</w:t>
      </w:r>
    </w:p>
    <w:p>
      <w:pPr>
        <w:adjustRightInd w:val="0"/>
        <w:snapToGrid w:val="0"/>
        <w:spacing w:line="360" w:lineRule="auto"/>
        <w:ind w:firstLine="480" w:firstLineChars="200"/>
        <w:rPr>
          <w:color w:val="auto"/>
          <w:sz w:val="24"/>
          <w:highlight w:val="none"/>
        </w:rPr>
      </w:pPr>
      <w:r>
        <w:rPr>
          <w:color w:val="auto"/>
          <w:sz w:val="24"/>
          <w:highlight w:val="none"/>
        </w:rPr>
        <w:t>大气监测点位置及监测项目见表</w:t>
      </w:r>
      <w:r>
        <w:rPr>
          <w:rFonts w:hint="eastAsia"/>
          <w:color w:val="auto"/>
          <w:sz w:val="24"/>
          <w:highlight w:val="none"/>
          <w:lang w:eastAsia="zh-CN"/>
        </w:rPr>
        <w:t>3.6</w:t>
      </w:r>
      <w:r>
        <w:rPr>
          <w:rFonts w:hint="eastAsia"/>
          <w:color w:val="auto"/>
          <w:sz w:val="24"/>
          <w:highlight w:val="none"/>
        </w:rPr>
        <w:t>-2、</w:t>
      </w:r>
      <w:r>
        <w:rPr>
          <w:color w:val="auto"/>
          <w:sz w:val="24"/>
          <w:highlight w:val="none"/>
        </w:rPr>
        <w:t>图</w:t>
      </w:r>
      <w:r>
        <w:rPr>
          <w:rFonts w:hint="eastAsia"/>
          <w:color w:val="auto"/>
          <w:sz w:val="24"/>
          <w:highlight w:val="none"/>
          <w:lang w:eastAsia="zh-CN"/>
        </w:rPr>
        <w:t>3.6</w:t>
      </w:r>
      <w:r>
        <w:rPr>
          <w:rFonts w:hint="eastAsia"/>
          <w:color w:val="auto"/>
          <w:sz w:val="24"/>
          <w:highlight w:val="none"/>
        </w:rPr>
        <w:t>-1</w:t>
      </w:r>
      <w:r>
        <w:rPr>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eastAsia="黑体"/>
          <w:color w:val="auto"/>
          <w:sz w:val="24"/>
          <w:szCs w:val="24"/>
          <w:highlight w:val="none"/>
        </w:rPr>
      </w:pPr>
      <w:r>
        <w:rPr>
          <w:rFonts w:eastAsia="黑体"/>
          <w:color w:val="auto"/>
          <w:sz w:val="24"/>
          <w:szCs w:val="24"/>
          <w:highlight w:val="none"/>
        </w:rPr>
        <w:t>表</w:t>
      </w:r>
      <w:r>
        <w:rPr>
          <w:rFonts w:hint="eastAsia" w:eastAsia="黑体"/>
          <w:color w:val="auto"/>
          <w:sz w:val="24"/>
          <w:szCs w:val="24"/>
          <w:highlight w:val="none"/>
          <w:lang w:eastAsia="zh-CN"/>
        </w:rPr>
        <w:t>3.6</w:t>
      </w:r>
      <w:r>
        <w:rPr>
          <w:rFonts w:eastAsia="黑体"/>
          <w:color w:val="auto"/>
          <w:sz w:val="24"/>
          <w:szCs w:val="24"/>
          <w:highlight w:val="none"/>
        </w:rPr>
        <w:t>-</w:t>
      </w:r>
      <w:r>
        <w:rPr>
          <w:rFonts w:hint="eastAsia" w:eastAsia="黑体"/>
          <w:color w:val="auto"/>
          <w:sz w:val="24"/>
          <w:szCs w:val="24"/>
          <w:highlight w:val="none"/>
        </w:rPr>
        <w:t>2</w:t>
      </w:r>
      <w:r>
        <w:rPr>
          <w:rFonts w:eastAsia="黑体"/>
          <w:color w:val="auto"/>
          <w:sz w:val="24"/>
          <w:szCs w:val="24"/>
          <w:highlight w:val="none"/>
        </w:rPr>
        <w:t xml:space="preserve"> </w:t>
      </w:r>
      <w:r>
        <w:rPr>
          <w:rFonts w:hint="eastAsia" w:eastAsia="黑体"/>
          <w:color w:val="auto"/>
          <w:sz w:val="24"/>
          <w:szCs w:val="24"/>
          <w:highlight w:val="none"/>
          <w:lang w:val="en-US" w:eastAsia="zh-CN"/>
        </w:rPr>
        <w:t xml:space="preserve"> </w:t>
      </w:r>
      <w:r>
        <w:rPr>
          <w:rFonts w:hint="eastAsia" w:eastAsia="黑体"/>
          <w:color w:val="auto"/>
          <w:sz w:val="24"/>
          <w:szCs w:val="24"/>
          <w:highlight w:val="none"/>
        </w:rPr>
        <w:t>监测</w:t>
      </w:r>
      <w:r>
        <w:rPr>
          <w:rFonts w:eastAsia="黑体"/>
          <w:color w:val="auto"/>
          <w:sz w:val="24"/>
          <w:szCs w:val="24"/>
          <w:highlight w:val="none"/>
        </w:rPr>
        <w:t>因子</w:t>
      </w:r>
      <w:r>
        <w:rPr>
          <w:rFonts w:hint="eastAsia" w:eastAsia="黑体"/>
          <w:color w:val="auto"/>
          <w:sz w:val="24"/>
          <w:szCs w:val="24"/>
          <w:highlight w:val="none"/>
        </w:rPr>
        <w:t>点位布置</w:t>
      </w:r>
    </w:p>
    <w:tbl>
      <w:tblPr>
        <w:tblStyle w:val="36"/>
        <w:tblW w:w="9230" w:type="dxa"/>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703"/>
        <w:gridCol w:w="1852"/>
        <w:gridCol w:w="1401"/>
        <w:gridCol w:w="1778"/>
        <w:gridCol w:w="1748"/>
        <w:gridCol w:w="1748"/>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183" w:hRule="atLeast"/>
          <w:jc w:val="center"/>
        </w:trPr>
        <w:tc>
          <w:tcPr>
            <w:tcW w:w="703" w:type="dxa"/>
            <w:vAlign w:val="center"/>
          </w:tcPr>
          <w:p>
            <w:pPr>
              <w:jc w:val="center"/>
              <w:rPr>
                <w:color w:val="auto"/>
                <w:szCs w:val="21"/>
                <w:highlight w:val="none"/>
              </w:rPr>
            </w:pPr>
            <w:r>
              <w:rPr>
                <w:color w:val="auto"/>
                <w:szCs w:val="21"/>
                <w:highlight w:val="none"/>
              </w:rPr>
              <w:t>序号</w:t>
            </w:r>
          </w:p>
        </w:tc>
        <w:tc>
          <w:tcPr>
            <w:tcW w:w="1852" w:type="dxa"/>
            <w:vAlign w:val="center"/>
          </w:tcPr>
          <w:p>
            <w:pPr>
              <w:jc w:val="center"/>
              <w:rPr>
                <w:color w:val="auto"/>
                <w:szCs w:val="21"/>
                <w:highlight w:val="none"/>
              </w:rPr>
            </w:pPr>
            <w:r>
              <w:rPr>
                <w:color w:val="auto"/>
                <w:szCs w:val="21"/>
                <w:highlight w:val="none"/>
              </w:rPr>
              <w:t>点位</w:t>
            </w:r>
          </w:p>
        </w:tc>
        <w:tc>
          <w:tcPr>
            <w:tcW w:w="1401" w:type="dxa"/>
            <w:vAlign w:val="center"/>
          </w:tcPr>
          <w:p>
            <w:pPr>
              <w:jc w:val="center"/>
              <w:rPr>
                <w:color w:val="auto"/>
                <w:szCs w:val="21"/>
                <w:highlight w:val="none"/>
              </w:rPr>
            </w:pPr>
            <w:r>
              <w:rPr>
                <w:color w:val="auto"/>
                <w:szCs w:val="21"/>
                <w:highlight w:val="none"/>
              </w:rPr>
              <w:t>相对厂址方位</w:t>
            </w:r>
          </w:p>
        </w:tc>
        <w:tc>
          <w:tcPr>
            <w:tcW w:w="1778" w:type="dxa"/>
            <w:vAlign w:val="center"/>
          </w:tcPr>
          <w:p>
            <w:pPr>
              <w:jc w:val="center"/>
              <w:rPr>
                <w:color w:val="auto"/>
                <w:szCs w:val="21"/>
                <w:highlight w:val="none"/>
              </w:rPr>
            </w:pPr>
            <w:r>
              <w:rPr>
                <w:color w:val="auto"/>
                <w:szCs w:val="21"/>
                <w:highlight w:val="none"/>
              </w:rPr>
              <w:t>相对厂址距离(m)</w:t>
            </w:r>
          </w:p>
        </w:tc>
        <w:tc>
          <w:tcPr>
            <w:tcW w:w="1748" w:type="dxa"/>
          </w:tcPr>
          <w:p>
            <w:pPr>
              <w:jc w:val="center"/>
              <w:rPr>
                <w:color w:val="auto"/>
                <w:szCs w:val="21"/>
                <w:highlight w:val="none"/>
              </w:rPr>
            </w:pPr>
            <w:r>
              <w:rPr>
                <w:color w:val="auto"/>
                <w:szCs w:val="21"/>
                <w:highlight w:val="none"/>
              </w:rPr>
              <w:t>设置意义</w:t>
            </w:r>
          </w:p>
        </w:tc>
        <w:tc>
          <w:tcPr>
            <w:tcW w:w="1748" w:type="dxa"/>
            <w:vAlign w:val="center"/>
          </w:tcPr>
          <w:p>
            <w:pPr>
              <w:jc w:val="center"/>
              <w:rPr>
                <w:color w:val="auto"/>
                <w:szCs w:val="21"/>
                <w:highlight w:val="none"/>
              </w:rPr>
            </w:pPr>
            <w:r>
              <w:rPr>
                <w:color w:val="auto"/>
                <w:szCs w:val="21"/>
                <w:highlight w:val="none"/>
              </w:rPr>
              <w:t>监测项目</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183" w:hRule="atLeast"/>
          <w:jc w:val="center"/>
        </w:trPr>
        <w:tc>
          <w:tcPr>
            <w:tcW w:w="703"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color w:val="auto"/>
                <w:szCs w:val="21"/>
                <w:highlight w:val="none"/>
              </w:rPr>
            </w:pPr>
            <w:r>
              <w:rPr>
                <w:color w:val="auto"/>
                <w:szCs w:val="21"/>
                <w:highlight w:val="none"/>
              </w:rPr>
              <w:t>1</w:t>
            </w:r>
          </w:p>
        </w:tc>
        <w:tc>
          <w:tcPr>
            <w:tcW w:w="1852"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color w:val="auto"/>
                <w:szCs w:val="21"/>
                <w:highlight w:val="none"/>
              </w:rPr>
            </w:pPr>
            <w:r>
              <w:rPr>
                <w:rFonts w:hint="eastAsia"/>
                <w:color w:val="auto"/>
                <w:szCs w:val="21"/>
                <w:highlight w:val="none"/>
                <w:lang w:eastAsia="zh-CN"/>
              </w:rPr>
              <w:t>东盐滩</w:t>
            </w:r>
          </w:p>
        </w:tc>
        <w:tc>
          <w:tcPr>
            <w:tcW w:w="1401"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color w:val="auto"/>
                <w:szCs w:val="21"/>
                <w:highlight w:val="none"/>
              </w:rPr>
            </w:pPr>
            <w:r>
              <w:rPr>
                <w:rFonts w:hint="eastAsia"/>
                <w:color w:val="auto"/>
                <w:szCs w:val="21"/>
                <w:highlight w:val="none"/>
              </w:rPr>
              <w:t>NW</w:t>
            </w:r>
          </w:p>
        </w:tc>
        <w:tc>
          <w:tcPr>
            <w:tcW w:w="1778"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color w:val="auto"/>
                <w:szCs w:val="21"/>
                <w:highlight w:val="none"/>
              </w:rPr>
            </w:pPr>
            <w:r>
              <w:rPr>
                <w:rFonts w:hint="eastAsia"/>
                <w:color w:val="auto"/>
                <w:szCs w:val="21"/>
                <w:highlight w:val="none"/>
                <w:lang w:val="en-US" w:eastAsia="zh-CN"/>
              </w:rPr>
              <w:t>113</w:t>
            </w:r>
            <w:r>
              <w:rPr>
                <w:rFonts w:hint="eastAsia"/>
                <w:color w:val="auto"/>
                <w:szCs w:val="21"/>
                <w:highlight w:val="none"/>
              </w:rPr>
              <w:t>0</w:t>
            </w:r>
          </w:p>
        </w:tc>
        <w:tc>
          <w:tcPr>
            <w:tcW w:w="1748"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color w:val="auto"/>
                <w:szCs w:val="21"/>
                <w:highlight w:val="none"/>
              </w:rPr>
            </w:pPr>
            <w:r>
              <w:rPr>
                <w:rFonts w:hint="eastAsia"/>
                <w:color w:val="auto"/>
                <w:szCs w:val="21"/>
                <w:highlight w:val="none"/>
              </w:rPr>
              <w:t>上风向</w:t>
            </w:r>
          </w:p>
        </w:tc>
        <w:tc>
          <w:tcPr>
            <w:tcW w:w="1748" w:type="dxa"/>
            <w:vMerge w:val="restart"/>
            <w:vAlign w:val="center"/>
          </w:tcPr>
          <w:p>
            <w:pPr>
              <w:jc w:val="both"/>
              <w:rPr>
                <w:color w:val="auto"/>
                <w:szCs w:val="21"/>
                <w:highlight w:val="none"/>
              </w:rPr>
            </w:pPr>
            <w:r>
              <w:rPr>
                <w:color w:val="auto"/>
                <w:sz w:val="21"/>
                <w:szCs w:val="21"/>
                <w:highlight w:val="none"/>
              </w:rPr>
              <w:t>SO</w:t>
            </w:r>
            <w:r>
              <w:rPr>
                <w:color w:val="auto"/>
                <w:sz w:val="21"/>
                <w:szCs w:val="21"/>
                <w:highlight w:val="none"/>
                <w:vertAlign w:val="subscript"/>
              </w:rPr>
              <w:t>2</w:t>
            </w:r>
            <w:r>
              <w:rPr>
                <w:color w:val="auto"/>
                <w:sz w:val="21"/>
                <w:szCs w:val="21"/>
                <w:highlight w:val="none"/>
              </w:rPr>
              <w:t>、PM</w:t>
            </w:r>
            <w:r>
              <w:rPr>
                <w:color w:val="auto"/>
                <w:sz w:val="21"/>
                <w:szCs w:val="21"/>
                <w:highlight w:val="none"/>
                <w:vertAlign w:val="subscript"/>
              </w:rPr>
              <w:t>10</w:t>
            </w:r>
            <w:r>
              <w:rPr>
                <w:color w:val="auto"/>
                <w:sz w:val="21"/>
                <w:szCs w:val="21"/>
                <w:highlight w:val="none"/>
              </w:rPr>
              <w:t>、PM</w:t>
            </w:r>
            <w:r>
              <w:rPr>
                <w:color w:val="auto"/>
                <w:sz w:val="21"/>
                <w:szCs w:val="21"/>
                <w:highlight w:val="none"/>
                <w:vertAlign w:val="subscript"/>
              </w:rPr>
              <w:t>2.5</w:t>
            </w:r>
            <w:r>
              <w:rPr>
                <w:color w:val="auto"/>
                <w:sz w:val="21"/>
                <w:szCs w:val="21"/>
                <w:highlight w:val="none"/>
              </w:rPr>
              <w:t>、NO</w:t>
            </w:r>
            <w:r>
              <w:rPr>
                <w:rFonts w:hint="eastAsia"/>
                <w:color w:val="auto"/>
                <w:sz w:val="21"/>
                <w:szCs w:val="21"/>
                <w:highlight w:val="none"/>
                <w:vertAlign w:val="subscript"/>
                <w:lang w:val="en-US" w:eastAsia="zh-CN"/>
              </w:rPr>
              <w:t>x</w:t>
            </w:r>
            <w:r>
              <w:rPr>
                <w:rFonts w:hAnsi="宋体"/>
                <w:color w:val="auto"/>
                <w:sz w:val="21"/>
                <w:szCs w:val="21"/>
                <w:highlight w:val="none"/>
              </w:rPr>
              <w:t>、</w:t>
            </w:r>
            <w:r>
              <w:rPr>
                <w:rFonts w:hint="eastAsia"/>
                <w:color w:val="auto"/>
                <w:sz w:val="21"/>
                <w:szCs w:val="21"/>
                <w:highlight w:val="none"/>
              </w:rPr>
              <w:t>氯化氢、硫酸</w:t>
            </w:r>
            <w:r>
              <w:rPr>
                <w:rFonts w:hint="eastAsia"/>
                <w:color w:val="auto"/>
                <w:sz w:val="21"/>
                <w:szCs w:val="21"/>
                <w:highlight w:val="none"/>
                <w:lang w:eastAsia="zh-CN"/>
              </w:rPr>
              <w:t>雾</w:t>
            </w:r>
            <w:r>
              <w:rPr>
                <w:rFonts w:hint="eastAsia"/>
                <w:color w:val="auto"/>
                <w:sz w:val="21"/>
                <w:szCs w:val="21"/>
                <w:highlight w:val="none"/>
              </w:rPr>
              <w:t>、</w:t>
            </w:r>
            <w:r>
              <w:rPr>
                <w:rFonts w:hint="eastAsia"/>
                <w:color w:val="auto"/>
                <w:sz w:val="21"/>
                <w:szCs w:val="21"/>
                <w:highlight w:val="none"/>
                <w:lang w:eastAsia="zh-CN"/>
              </w:rPr>
              <w:t>铬酸雾、氨</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183" w:hRule="atLeast"/>
          <w:jc w:val="center"/>
        </w:trPr>
        <w:tc>
          <w:tcPr>
            <w:tcW w:w="703"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color w:val="auto"/>
                <w:szCs w:val="21"/>
                <w:highlight w:val="none"/>
              </w:rPr>
            </w:pPr>
            <w:r>
              <w:rPr>
                <w:color w:val="auto"/>
                <w:szCs w:val="21"/>
                <w:highlight w:val="none"/>
              </w:rPr>
              <w:t>2</w:t>
            </w:r>
          </w:p>
        </w:tc>
        <w:tc>
          <w:tcPr>
            <w:tcW w:w="1852"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color w:val="auto"/>
                <w:szCs w:val="21"/>
                <w:highlight w:val="none"/>
              </w:rPr>
            </w:pPr>
            <w:r>
              <w:rPr>
                <w:rFonts w:hint="eastAsia"/>
                <w:color w:val="auto"/>
                <w:szCs w:val="21"/>
                <w:highlight w:val="none"/>
                <w:lang w:eastAsia="zh-CN"/>
              </w:rPr>
              <w:t>项目区</w:t>
            </w:r>
          </w:p>
        </w:tc>
        <w:tc>
          <w:tcPr>
            <w:tcW w:w="1401"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color w:val="auto"/>
                <w:szCs w:val="21"/>
                <w:highlight w:val="none"/>
              </w:rPr>
            </w:pPr>
            <w:r>
              <w:rPr>
                <w:rFonts w:hint="eastAsia"/>
                <w:color w:val="auto"/>
                <w:szCs w:val="21"/>
                <w:highlight w:val="none"/>
              </w:rPr>
              <w:t>SE</w:t>
            </w:r>
          </w:p>
        </w:tc>
        <w:tc>
          <w:tcPr>
            <w:tcW w:w="1778"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eastAsia="宋体"/>
                <w:color w:val="auto"/>
                <w:szCs w:val="21"/>
                <w:highlight w:val="none"/>
                <w:lang w:eastAsia="zh-CN"/>
              </w:rPr>
            </w:pPr>
            <w:r>
              <w:rPr>
                <w:rFonts w:hint="eastAsia"/>
                <w:color w:val="auto"/>
                <w:szCs w:val="21"/>
                <w:highlight w:val="none"/>
                <w:lang w:eastAsia="zh-CN"/>
              </w:rPr>
              <w:t>—</w:t>
            </w:r>
          </w:p>
        </w:tc>
        <w:tc>
          <w:tcPr>
            <w:tcW w:w="1748"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eastAsia="宋体"/>
                <w:color w:val="auto"/>
                <w:szCs w:val="21"/>
                <w:highlight w:val="none"/>
                <w:lang w:eastAsia="zh-CN"/>
              </w:rPr>
            </w:pPr>
            <w:r>
              <w:rPr>
                <w:rFonts w:hint="eastAsia"/>
                <w:color w:val="auto"/>
                <w:szCs w:val="21"/>
                <w:highlight w:val="none"/>
                <w:lang w:eastAsia="zh-CN"/>
              </w:rPr>
              <w:t>—</w:t>
            </w:r>
          </w:p>
        </w:tc>
        <w:tc>
          <w:tcPr>
            <w:tcW w:w="1748" w:type="dxa"/>
            <w:vMerge w:val="continue"/>
            <w:vAlign w:val="center"/>
          </w:tcPr>
          <w:p>
            <w:pPr>
              <w:jc w:val="center"/>
              <w:rPr>
                <w:color w:val="auto"/>
                <w:szCs w:val="21"/>
                <w:highlight w:val="none"/>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183" w:hRule="atLeast"/>
          <w:jc w:val="center"/>
        </w:trPr>
        <w:tc>
          <w:tcPr>
            <w:tcW w:w="703"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color w:val="auto"/>
                <w:szCs w:val="21"/>
                <w:highlight w:val="none"/>
              </w:rPr>
            </w:pPr>
            <w:r>
              <w:rPr>
                <w:color w:val="auto"/>
                <w:szCs w:val="21"/>
                <w:highlight w:val="none"/>
              </w:rPr>
              <w:t>3</w:t>
            </w:r>
          </w:p>
        </w:tc>
        <w:tc>
          <w:tcPr>
            <w:tcW w:w="1852"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color w:val="auto"/>
                <w:szCs w:val="21"/>
                <w:highlight w:val="none"/>
              </w:rPr>
            </w:pPr>
            <w:r>
              <w:rPr>
                <w:rFonts w:hint="eastAsia"/>
                <w:color w:val="auto"/>
                <w:szCs w:val="21"/>
                <w:highlight w:val="none"/>
                <w:lang w:val="en-US" w:eastAsia="zh-CN"/>
              </w:rPr>
              <w:t>国融大厦</w:t>
            </w:r>
          </w:p>
        </w:tc>
        <w:tc>
          <w:tcPr>
            <w:tcW w:w="1401"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color w:val="auto"/>
                <w:szCs w:val="21"/>
                <w:highlight w:val="none"/>
              </w:rPr>
            </w:pPr>
            <w:r>
              <w:rPr>
                <w:rFonts w:hint="eastAsia"/>
                <w:color w:val="auto"/>
                <w:szCs w:val="21"/>
                <w:highlight w:val="none"/>
              </w:rPr>
              <w:t>E</w:t>
            </w:r>
          </w:p>
        </w:tc>
        <w:tc>
          <w:tcPr>
            <w:tcW w:w="1778"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eastAsia" w:eastAsia="宋体"/>
                <w:color w:val="auto"/>
                <w:szCs w:val="21"/>
                <w:highlight w:val="none"/>
                <w:lang w:val="en-US" w:eastAsia="zh-CN"/>
              </w:rPr>
            </w:pPr>
            <w:r>
              <w:rPr>
                <w:rFonts w:hint="eastAsia"/>
                <w:color w:val="auto"/>
                <w:szCs w:val="21"/>
                <w:highlight w:val="none"/>
                <w:lang w:val="en-US" w:eastAsia="zh-CN"/>
              </w:rPr>
              <w:t>960</w:t>
            </w:r>
          </w:p>
        </w:tc>
        <w:tc>
          <w:tcPr>
            <w:tcW w:w="1748"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color w:val="auto"/>
                <w:szCs w:val="21"/>
                <w:highlight w:val="none"/>
              </w:rPr>
            </w:pPr>
            <w:r>
              <w:rPr>
                <w:rFonts w:hint="eastAsia"/>
                <w:color w:val="auto"/>
                <w:szCs w:val="21"/>
                <w:highlight w:val="none"/>
              </w:rPr>
              <w:t>下风向</w:t>
            </w:r>
          </w:p>
        </w:tc>
        <w:tc>
          <w:tcPr>
            <w:tcW w:w="1748" w:type="dxa"/>
            <w:vMerge w:val="continue"/>
            <w:vAlign w:val="center"/>
          </w:tcPr>
          <w:p>
            <w:pPr>
              <w:jc w:val="center"/>
              <w:rPr>
                <w:color w:val="auto"/>
                <w:szCs w:val="21"/>
                <w:highlight w:val="none"/>
              </w:rPr>
            </w:pPr>
          </w:p>
        </w:tc>
      </w:tr>
    </w:tbl>
    <w:p>
      <w:pPr>
        <w:adjustRightInd w:val="0"/>
        <w:snapToGrid w:val="0"/>
        <w:spacing w:line="360" w:lineRule="auto"/>
        <w:ind w:firstLine="480"/>
        <w:rPr>
          <w:color w:val="auto"/>
          <w:sz w:val="24"/>
          <w:highlight w:val="none"/>
        </w:rPr>
      </w:pPr>
      <w:r>
        <w:rPr>
          <w:color w:val="auto"/>
          <w:sz w:val="24"/>
          <w:highlight w:val="none"/>
        </w:rPr>
        <w:t>采样及分析方法和仪器，见表</w:t>
      </w:r>
      <w:r>
        <w:rPr>
          <w:rFonts w:hint="eastAsia"/>
          <w:color w:val="auto"/>
          <w:sz w:val="24"/>
          <w:highlight w:val="none"/>
          <w:lang w:eastAsia="zh-CN"/>
        </w:rPr>
        <w:t>3.6</w:t>
      </w:r>
      <w:r>
        <w:rPr>
          <w:color w:val="auto"/>
          <w:sz w:val="24"/>
          <w:highlight w:val="none"/>
        </w:rPr>
        <w:t>-</w:t>
      </w:r>
      <w:r>
        <w:rPr>
          <w:rFonts w:hint="eastAsia"/>
          <w:color w:val="auto"/>
          <w:sz w:val="24"/>
          <w:highlight w:val="none"/>
        </w:rPr>
        <w:t>3</w:t>
      </w:r>
      <w:r>
        <w:rPr>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eastAsia="黑体"/>
          <w:color w:val="auto"/>
          <w:sz w:val="24"/>
          <w:szCs w:val="24"/>
          <w:highlight w:val="none"/>
        </w:rPr>
      </w:pPr>
      <w:r>
        <w:rPr>
          <w:rFonts w:eastAsia="黑体"/>
          <w:color w:val="auto"/>
          <w:sz w:val="24"/>
          <w:szCs w:val="24"/>
          <w:highlight w:val="none"/>
        </w:rPr>
        <w:t>表</w:t>
      </w:r>
      <w:r>
        <w:rPr>
          <w:rFonts w:hint="eastAsia" w:eastAsia="黑体"/>
          <w:color w:val="auto"/>
          <w:sz w:val="24"/>
          <w:szCs w:val="24"/>
          <w:highlight w:val="none"/>
          <w:lang w:eastAsia="zh-CN"/>
        </w:rPr>
        <w:t>3.6</w:t>
      </w:r>
      <w:r>
        <w:rPr>
          <w:rFonts w:eastAsia="黑体"/>
          <w:color w:val="auto"/>
          <w:sz w:val="24"/>
          <w:szCs w:val="24"/>
          <w:highlight w:val="none"/>
        </w:rPr>
        <w:t>-</w:t>
      </w:r>
      <w:r>
        <w:rPr>
          <w:rFonts w:hint="eastAsia" w:eastAsia="黑体"/>
          <w:color w:val="auto"/>
          <w:sz w:val="24"/>
          <w:szCs w:val="24"/>
          <w:highlight w:val="none"/>
        </w:rPr>
        <w:t>3</w:t>
      </w:r>
      <w:r>
        <w:rPr>
          <w:rFonts w:eastAsia="黑体"/>
          <w:color w:val="auto"/>
          <w:sz w:val="24"/>
          <w:szCs w:val="24"/>
          <w:highlight w:val="none"/>
        </w:rPr>
        <w:t xml:space="preserve"> </w:t>
      </w:r>
      <w:r>
        <w:rPr>
          <w:rFonts w:hint="eastAsia" w:eastAsia="黑体"/>
          <w:color w:val="auto"/>
          <w:sz w:val="24"/>
          <w:szCs w:val="24"/>
          <w:highlight w:val="none"/>
          <w:lang w:val="en-US" w:eastAsia="zh-CN"/>
        </w:rPr>
        <w:t xml:space="preserve"> </w:t>
      </w:r>
      <w:r>
        <w:rPr>
          <w:rFonts w:eastAsia="黑体"/>
          <w:color w:val="auto"/>
          <w:sz w:val="24"/>
          <w:szCs w:val="24"/>
          <w:highlight w:val="none"/>
        </w:rPr>
        <w:t>环境空气质量分析方法与使用仪器</w:t>
      </w:r>
    </w:p>
    <w:tbl>
      <w:tblPr>
        <w:tblStyle w:val="36"/>
        <w:tblW w:w="9286" w:type="dxa"/>
        <w:tblInd w:w="0"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828"/>
        <w:gridCol w:w="1794"/>
        <w:gridCol w:w="2520"/>
        <w:gridCol w:w="2214"/>
        <w:gridCol w:w="1930"/>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828" w:type="dxa"/>
            <w:vAlign w:val="center"/>
          </w:tcPr>
          <w:p>
            <w:pPr>
              <w:snapToGrid w:val="0"/>
              <w:jc w:val="center"/>
              <w:rPr>
                <w:color w:val="auto"/>
                <w:szCs w:val="21"/>
                <w:highlight w:val="none"/>
              </w:rPr>
            </w:pPr>
            <w:r>
              <w:rPr>
                <w:color w:val="auto"/>
                <w:szCs w:val="21"/>
                <w:highlight w:val="none"/>
              </w:rPr>
              <w:t>序号</w:t>
            </w:r>
          </w:p>
        </w:tc>
        <w:tc>
          <w:tcPr>
            <w:tcW w:w="1794" w:type="dxa"/>
            <w:vAlign w:val="center"/>
          </w:tcPr>
          <w:p>
            <w:pPr>
              <w:snapToGrid w:val="0"/>
              <w:jc w:val="center"/>
              <w:rPr>
                <w:color w:val="auto"/>
                <w:szCs w:val="21"/>
                <w:highlight w:val="none"/>
              </w:rPr>
            </w:pPr>
            <w:r>
              <w:rPr>
                <w:color w:val="auto"/>
                <w:szCs w:val="21"/>
                <w:highlight w:val="none"/>
              </w:rPr>
              <w:t>监测项目</w:t>
            </w:r>
          </w:p>
        </w:tc>
        <w:tc>
          <w:tcPr>
            <w:tcW w:w="2520" w:type="dxa"/>
            <w:vAlign w:val="center"/>
          </w:tcPr>
          <w:p>
            <w:pPr>
              <w:snapToGrid w:val="0"/>
              <w:jc w:val="center"/>
              <w:rPr>
                <w:color w:val="auto"/>
                <w:szCs w:val="21"/>
                <w:highlight w:val="none"/>
              </w:rPr>
            </w:pPr>
            <w:r>
              <w:rPr>
                <w:color w:val="auto"/>
                <w:szCs w:val="21"/>
                <w:highlight w:val="none"/>
              </w:rPr>
              <w:t>分析方法</w:t>
            </w:r>
          </w:p>
        </w:tc>
        <w:tc>
          <w:tcPr>
            <w:tcW w:w="2214" w:type="dxa"/>
            <w:vAlign w:val="center"/>
          </w:tcPr>
          <w:p>
            <w:pPr>
              <w:snapToGrid w:val="0"/>
              <w:jc w:val="center"/>
              <w:rPr>
                <w:color w:val="auto"/>
                <w:szCs w:val="21"/>
                <w:highlight w:val="none"/>
              </w:rPr>
            </w:pPr>
            <w:r>
              <w:rPr>
                <w:color w:val="auto"/>
                <w:szCs w:val="21"/>
                <w:highlight w:val="none"/>
              </w:rPr>
              <w:t>方法来源</w:t>
            </w:r>
          </w:p>
        </w:tc>
        <w:tc>
          <w:tcPr>
            <w:tcW w:w="1930" w:type="dxa"/>
            <w:vAlign w:val="center"/>
          </w:tcPr>
          <w:p>
            <w:pPr>
              <w:snapToGrid w:val="0"/>
              <w:jc w:val="center"/>
              <w:rPr>
                <w:color w:val="auto"/>
                <w:szCs w:val="21"/>
                <w:highlight w:val="none"/>
              </w:rPr>
            </w:pPr>
            <w:r>
              <w:rPr>
                <w:color w:val="auto"/>
                <w:szCs w:val="21"/>
                <w:highlight w:val="none"/>
              </w:rPr>
              <w:t>检出限</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828" w:type="dxa"/>
            <w:vMerge w:val="restart"/>
            <w:vAlign w:val="center"/>
          </w:tcPr>
          <w:p>
            <w:pPr>
              <w:snapToGrid w:val="0"/>
              <w:jc w:val="center"/>
              <w:rPr>
                <w:color w:val="auto"/>
                <w:szCs w:val="21"/>
                <w:highlight w:val="none"/>
              </w:rPr>
            </w:pPr>
            <w:r>
              <w:rPr>
                <w:color w:val="auto"/>
                <w:szCs w:val="21"/>
                <w:highlight w:val="none"/>
              </w:rPr>
              <w:t>1</w:t>
            </w:r>
          </w:p>
        </w:tc>
        <w:tc>
          <w:tcPr>
            <w:tcW w:w="1794" w:type="dxa"/>
            <w:vMerge w:val="restart"/>
            <w:vAlign w:val="center"/>
          </w:tcPr>
          <w:p>
            <w:pPr>
              <w:snapToGrid w:val="0"/>
              <w:jc w:val="center"/>
              <w:rPr>
                <w:color w:val="auto"/>
                <w:szCs w:val="21"/>
                <w:highlight w:val="none"/>
                <w:vertAlign w:val="subscript"/>
              </w:rPr>
            </w:pPr>
            <w:r>
              <w:rPr>
                <w:color w:val="auto"/>
                <w:szCs w:val="21"/>
                <w:highlight w:val="none"/>
              </w:rPr>
              <w:t>SO</w:t>
            </w:r>
            <w:r>
              <w:rPr>
                <w:color w:val="auto"/>
                <w:szCs w:val="21"/>
                <w:highlight w:val="none"/>
                <w:vertAlign w:val="subscript"/>
              </w:rPr>
              <w:t>2</w:t>
            </w:r>
          </w:p>
        </w:tc>
        <w:tc>
          <w:tcPr>
            <w:tcW w:w="2520" w:type="dxa"/>
            <w:vMerge w:val="restart"/>
            <w:vAlign w:val="center"/>
          </w:tcPr>
          <w:p>
            <w:pPr>
              <w:snapToGrid w:val="0"/>
              <w:jc w:val="center"/>
              <w:rPr>
                <w:color w:val="auto"/>
                <w:szCs w:val="21"/>
                <w:highlight w:val="none"/>
              </w:rPr>
            </w:pPr>
            <w:r>
              <w:rPr>
                <w:color w:val="auto"/>
                <w:szCs w:val="21"/>
                <w:highlight w:val="none"/>
              </w:rPr>
              <w:t>甲醛吸收-副玫瑰苯胺</w:t>
            </w:r>
          </w:p>
          <w:p>
            <w:pPr>
              <w:snapToGrid w:val="0"/>
              <w:jc w:val="center"/>
              <w:rPr>
                <w:color w:val="auto"/>
                <w:szCs w:val="21"/>
                <w:highlight w:val="none"/>
              </w:rPr>
            </w:pPr>
            <w:r>
              <w:rPr>
                <w:color w:val="auto"/>
                <w:szCs w:val="21"/>
                <w:highlight w:val="none"/>
              </w:rPr>
              <w:t>分光光度法</w:t>
            </w:r>
          </w:p>
        </w:tc>
        <w:tc>
          <w:tcPr>
            <w:tcW w:w="2214" w:type="dxa"/>
            <w:vMerge w:val="restart"/>
            <w:vAlign w:val="center"/>
          </w:tcPr>
          <w:p>
            <w:pPr>
              <w:snapToGrid w:val="0"/>
              <w:jc w:val="center"/>
              <w:rPr>
                <w:color w:val="auto"/>
                <w:szCs w:val="21"/>
                <w:highlight w:val="none"/>
              </w:rPr>
            </w:pPr>
            <w:r>
              <w:rPr>
                <w:color w:val="auto"/>
                <w:szCs w:val="21"/>
                <w:highlight w:val="none"/>
              </w:rPr>
              <w:t>HJ 482-2009</w:t>
            </w:r>
          </w:p>
        </w:tc>
        <w:tc>
          <w:tcPr>
            <w:tcW w:w="1930" w:type="dxa"/>
            <w:vAlign w:val="center"/>
          </w:tcPr>
          <w:p>
            <w:pPr>
              <w:snapToGrid w:val="0"/>
              <w:jc w:val="center"/>
              <w:rPr>
                <w:color w:val="auto"/>
                <w:szCs w:val="21"/>
                <w:highlight w:val="none"/>
              </w:rPr>
            </w:pPr>
            <w:r>
              <w:rPr>
                <w:color w:val="auto"/>
                <w:szCs w:val="21"/>
                <w:highlight w:val="none"/>
              </w:rPr>
              <w:t>小时：0.007 mg/m</w:t>
            </w:r>
            <w:r>
              <w:rPr>
                <w:color w:val="auto"/>
                <w:szCs w:val="21"/>
                <w:highlight w:val="none"/>
                <w:vertAlign w:val="superscript"/>
              </w:rPr>
              <w:t>3</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828" w:type="dxa"/>
            <w:vMerge w:val="continue"/>
            <w:vAlign w:val="center"/>
          </w:tcPr>
          <w:p>
            <w:pPr>
              <w:numPr>
                <w:ilvl w:val="0"/>
                <w:numId w:val="16"/>
              </w:numPr>
              <w:snapToGrid w:val="0"/>
              <w:jc w:val="center"/>
              <w:rPr>
                <w:color w:val="auto"/>
                <w:szCs w:val="21"/>
                <w:highlight w:val="none"/>
              </w:rPr>
            </w:pPr>
          </w:p>
        </w:tc>
        <w:tc>
          <w:tcPr>
            <w:tcW w:w="1794" w:type="dxa"/>
            <w:vMerge w:val="continue"/>
            <w:vAlign w:val="center"/>
          </w:tcPr>
          <w:p>
            <w:pPr>
              <w:snapToGrid w:val="0"/>
              <w:jc w:val="center"/>
              <w:rPr>
                <w:color w:val="auto"/>
                <w:szCs w:val="21"/>
                <w:highlight w:val="none"/>
              </w:rPr>
            </w:pPr>
          </w:p>
        </w:tc>
        <w:tc>
          <w:tcPr>
            <w:tcW w:w="2520" w:type="dxa"/>
            <w:vMerge w:val="continue"/>
            <w:vAlign w:val="center"/>
          </w:tcPr>
          <w:p>
            <w:pPr>
              <w:snapToGrid w:val="0"/>
              <w:jc w:val="center"/>
              <w:rPr>
                <w:color w:val="auto"/>
                <w:szCs w:val="21"/>
                <w:highlight w:val="none"/>
              </w:rPr>
            </w:pPr>
          </w:p>
        </w:tc>
        <w:tc>
          <w:tcPr>
            <w:tcW w:w="2214" w:type="dxa"/>
            <w:vMerge w:val="continue"/>
            <w:vAlign w:val="center"/>
          </w:tcPr>
          <w:p>
            <w:pPr>
              <w:snapToGrid w:val="0"/>
              <w:jc w:val="center"/>
              <w:rPr>
                <w:color w:val="auto"/>
                <w:szCs w:val="21"/>
                <w:highlight w:val="none"/>
              </w:rPr>
            </w:pPr>
          </w:p>
        </w:tc>
        <w:tc>
          <w:tcPr>
            <w:tcW w:w="1930" w:type="dxa"/>
            <w:vAlign w:val="center"/>
          </w:tcPr>
          <w:p>
            <w:pPr>
              <w:snapToGrid w:val="0"/>
              <w:jc w:val="center"/>
              <w:rPr>
                <w:color w:val="auto"/>
                <w:szCs w:val="21"/>
                <w:highlight w:val="none"/>
              </w:rPr>
            </w:pPr>
            <w:r>
              <w:rPr>
                <w:color w:val="auto"/>
                <w:szCs w:val="21"/>
                <w:highlight w:val="none"/>
              </w:rPr>
              <w:t>日均：0.004 mg/m</w:t>
            </w:r>
            <w:r>
              <w:rPr>
                <w:color w:val="auto"/>
                <w:szCs w:val="21"/>
                <w:highlight w:val="none"/>
                <w:vertAlign w:val="superscript"/>
              </w:rPr>
              <w:t>3</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828" w:type="dxa"/>
            <w:vMerge w:val="restart"/>
            <w:vAlign w:val="center"/>
          </w:tcPr>
          <w:p>
            <w:pPr>
              <w:snapToGrid w:val="0"/>
              <w:jc w:val="center"/>
              <w:rPr>
                <w:color w:val="auto"/>
                <w:szCs w:val="21"/>
                <w:highlight w:val="none"/>
              </w:rPr>
            </w:pPr>
            <w:r>
              <w:rPr>
                <w:color w:val="auto"/>
                <w:szCs w:val="21"/>
                <w:highlight w:val="none"/>
              </w:rPr>
              <w:t>2</w:t>
            </w:r>
          </w:p>
        </w:tc>
        <w:tc>
          <w:tcPr>
            <w:tcW w:w="1794" w:type="dxa"/>
            <w:vMerge w:val="restart"/>
            <w:vAlign w:val="center"/>
          </w:tcPr>
          <w:p>
            <w:pPr>
              <w:snapToGrid w:val="0"/>
              <w:jc w:val="center"/>
              <w:rPr>
                <w:color w:val="auto"/>
                <w:szCs w:val="21"/>
                <w:highlight w:val="none"/>
              </w:rPr>
            </w:pPr>
            <w:r>
              <w:rPr>
                <w:color w:val="auto"/>
                <w:sz w:val="21"/>
                <w:szCs w:val="21"/>
                <w:highlight w:val="none"/>
              </w:rPr>
              <w:t>NO</w:t>
            </w:r>
            <w:r>
              <w:rPr>
                <w:rFonts w:hint="eastAsia"/>
                <w:color w:val="auto"/>
                <w:sz w:val="21"/>
                <w:szCs w:val="21"/>
                <w:highlight w:val="none"/>
                <w:vertAlign w:val="subscript"/>
                <w:lang w:val="en-US" w:eastAsia="zh-CN"/>
              </w:rPr>
              <w:t>x</w:t>
            </w:r>
          </w:p>
        </w:tc>
        <w:tc>
          <w:tcPr>
            <w:tcW w:w="2520" w:type="dxa"/>
            <w:vMerge w:val="restart"/>
            <w:vAlign w:val="center"/>
          </w:tcPr>
          <w:p>
            <w:pPr>
              <w:snapToGrid w:val="0"/>
              <w:jc w:val="center"/>
              <w:rPr>
                <w:color w:val="auto"/>
                <w:szCs w:val="21"/>
                <w:highlight w:val="none"/>
              </w:rPr>
            </w:pPr>
            <w:r>
              <w:rPr>
                <w:color w:val="auto"/>
                <w:szCs w:val="21"/>
                <w:highlight w:val="none"/>
              </w:rPr>
              <w:t>盐酸萘乙二胺分光光度法</w:t>
            </w:r>
          </w:p>
        </w:tc>
        <w:tc>
          <w:tcPr>
            <w:tcW w:w="2214" w:type="dxa"/>
            <w:vMerge w:val="restart"/>
            <w:vAlign w:val="center"/>
          </w:tcPr>
          <w:p>
            <w:pPr>
              <w:widowControl/>
              <w:snapToGrid w:val="0"/>
              <w:jc w:val="center"/>
              <w:textAlignment w:val="bottom"/>
              <w:rPr>
                <w:color w:val="auto"/>
                <w:kern w:val="0"/>
                <w:szCs w:val="21"/>
                <w:highlight w:val="none"/>
              </w:rPr>
            </w:pPr>
            <w:r>
              <w:rPr>
                <w:color w:val="auto"/>
                <w:kern w:val="0"/>
                <w:szCs w:val="21"/>
                <w:highlight w:val="none"/>
              </w:rPr>
              <w:t>HJ 479-2009</w:t>
            </w:r>
          </w:p>
        </w:tc>
        <w:tc>
          <w:tcPr>
            <w:tcW w:w="1930" w:type="dxa"/>
            <w:vAlign w:val="center"/>
          </w:tcPr>
          <w:p>
            <w:pPr>
              <w:snapToGrid w:val="0"/>
              <w:jc w:val="center"/>
              <w:rPr>
                <w:color w:val="auto"/>
                <w:szCs w:val="21"/>
                <w:highlight w:val="none"/>
              </w:rPr>
            </w:pPr>
            <w:r>
              <w:rPr>
                <w:color w:val="auto"/>
                <w:szCs w:val="21"/>
                <w:highlight w:val="none"/>
              </w:rPr>
              <w:t>小时：0.005 mg/m</w:t>
            </w:r>
            <w:r>
              <w:rPr>
                <w:color w:val="auto"/>
                <w:szCs w:val="21"/>
                <w:highlight w:val="none"/>
                <w:vertAlign w:val="superscript"/>
              </w:rPr>
              <w:t>3</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828" w:type="dxa"/>
            <w:vMerge w:val="continue"/>
            <w:vAlign w:val="center"/>
          </w:tcPr>
          <w:p>
            <w:pPr>
              <w:numPr>
                <w:ilvl w:val="0"/>
                <w:numId w:val="16"/>
              </w:numPr>
              <w:snapToGrid w:val="0"/>
              <w:jc w:val="center"/>
              <w:rPr>
                <w:color w:val="auto"/>
                <w:szCs w:val="21"/>
                <w:highlight w:val="none"/>
              </w:rPr>
            </w:pPr>
          </w:p>
        </w:tc>
        <w:tc>
          <w:tcPr>
            <w:tcW w:w="1794" w:type="dxa"/>
            <w:vMerge w:val="continue"/>
            <w:vAlign w:val="center"/>
          </w:tcPr>
          <w:p>
            <w:pPr>
              <w:snapToGrid w:val="0"/>
              <w:jc w:val="center"/>
              <w:rPr>
                <w:color w:val="auto"/>
                <w:szCs w:val="21"/>
                <w:highlight w:val="none"/>
              </w:rPr>
            </w:pPr>
          </w:p>
        </w:tc>
        <w:tc>
          <w:tcPr>
            <w:tcW w:w="2520" w:type="dxa"/>
            <w:vMerge w:val="continue"/>
            <w:vAlign w:val="center"/>
          </w:tcPr>
          <w:p>
            <w:pPr>
              <w:snapToGrid w:val="0"/>
              <w:jc w:val="center"/>
              <w:rPr>
                <w:color w:val="auto"/>
                <w:szCs w:val="21"/>
                <w:highlight w:val="none"/>
              </w:rPr>
            </w:pPr>
          </w:p>
        </w:tc>
        <w:tc>
          <w:tcPr>
            <w:tcW w:w="2214" w:type="dxa"/>
            <w:vMerge w:val="continue"/>
            <w:vAlign w:val="center"/>
          </w:tcPr>
          <w:p>
            <w:pPr>
              <w:snapToGrid w:val="0"/>
              <w:jc w:val="center"/>
              <w:rPr>
                <w:color w:val="auto"/>
                <w:kern w:val="0"/>
                <w:szCs w:val="21"/>
                <w:highlight w:val="none"/>
              </w:rPr>
            </w:pPr>
          </w:p>
        </w:tc>
        <w:tc>
          <w:tcPr>
            <w:tcW w:w="1930" w:type="dxa"/>
            <w:vAlign w:val="center"/>
          </w:tcPr>
          <w:p>
            <w:pPr>
              <w:snapToGrid w:val="0"/>
              <w:jc w:val="center"/>
              <w:rPr>
                <w:color w:val="auto"/>
                <w:szCs w:val="21"/>
                <w:highlight w:val="none"/>
              </w:rPr>
            </w:pPr>
            <w:r>
              <w:rPr>
                <w:color w:val="auto"/>
                <w:szCs w:val="21"/>
                <w:highlight w:val="none"/>
              </w:rPr>
              <w:t>日均：0.003 mg/m</w:t>
            </w:r>
            <w:r>
              <w:rPr>
                <w:color w:val="auto"/>
                <w:szCs w:val="21"/>
                <w:highlight w:val="none"/>
                <w:vertAlign w:val="superscript"/>
              </w:rPr>
              <w:t>3</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828" w:type="dxa"/>
            <w:vAlign w:val="center"/>
          </w:tcPr>
          <w:p>
            <w:pPr>
              <w:snapToGrid w:val="0"/>
              <w:jc w:val="center"/>
              <w:rPr>
                <w:color w:val="auto"/>
                <w:szCs w:val="21"/>
                <w:highlight w:val="none"/>
              </w:rPr>
            </w:pPr>
            <w:r>
              <w:rPr>
                <w:color w:val="auto"/>
                <w:szCs w:val="21"/>
                <w:highlight w:val="none"/>
              </w:rPr>
              <w:t>3</w:t>
            </w:r>
          </w:p>
        </w:tc>
        <w:tc>
          <w:tcPr>
            <w:tcW w:w="1794" w:type="dxa"/>
            <w:vAlign w:val="center"/>
          </w:tcPr>
          <w:p>
            <w:pPr>
              <w:snapToGrid w:val="0"/>
              <w:jc w:val="center"/>
              <w:rPr>
                <w:color w:val="auto"/>
                <w:szCs w:val="21"/>
                <w:highlight w:val="none"/>
              </w:rPr>
            </w:pPr>
            <w:r>
              <w:rPr>
                <w:color w:val="auto"/>
                <w:szCs w:val="21"/>
                <w:highlight w:val="none"/>
              </w:rPr>
              <w:t>PM</w:t>
            </w:r>
            <w:r>
              <w:rPr>
                <w:color w:val="auto"/>
                <w:szCs w:val="21"/>
                <w:highlight w:val="none"/>
                <w:vertAlign w:val="subscript"/>
              </w:rPr>
              <w:t>2.5</w:t>
            </w:r>
          </w:p>
        </w:tc>
        <w:tc>
          <w:tcPr>
            <w:tcW w:w="2520" w:type="dxa"/>
            <w:vAlign w:val="center"/>
          </w:tcPr>
          <w:p>
            <w:pPr>
              <w:snapToGrid w:val="0"/>
              <w:jc w:val="center"/>
              <w:rPr>
                <w:color w:val="auto"/>
                <w:szCs w:val="21"/>
                <w:highlight w:val="none"/>
              </w:rPr>
            </w:pPr>
            <w:r>
              <w:rPr>
                <w:color w:val="auto"/>
                <w:kern w:val="0"/>
                <w:szCs w:val="21"/>
                <w:highlight w:val="none"/>
              </w:rPr>
              <w:t>重量法</w:t>
            </w:r>
          </w:p>
        </w:tc>
        <w:tc>
          <w:tcPr>
            <w:tcW w:w="2214" w:type="dxa"/>
            <w:vAlign w:val="center"/>
          </w:tcPr>
          <w:p>
            <w:pPr>
              <w:widowControl/>
              <w:suppressLineNumbers/>
              <w:autoSpaceDE w:val="0"/>
              <w:autoSpaceDN w:val="0"/>
              <w:snapToGrid w:val="0"/>
              <w:jc w:val="center"/>
              <w:textAlignment w:val="bottom"/>
              <w:rPr>
                <w:color w:val="auto"/>
                <w:szCs w:val="21"/>
                <w:highlight w:val="none"/>
              </w:rPr>
            </w:pPr>
            <w:r>
              <w:rPr>
                <w:color w:val="auto"/>
                <w:szCs w:val="21"/>
                <w:highlight w:val="none"/>
              </w:rPr>
              <w:t>HJ 618-2011</w:t>
            </w:r>
          </w:p>
        </w:tc>
        <w:tc>
          <w:tcPr>
            <w:tcW w:w="1930" w:type="dxa"/>
            <w:vAlign w:val="center"/>
          </w:tcPr>
          <w:p>
            <w:pPr>
              <w:snapToGrid w:val="0"/>
              <w:jc w:val="center"/>
              <w:rPr>
                <w:color w:val="auto"/>
                <w:szCs w:val="21"/>
                <w:highlight w:val="none"/>
              </w:rPr>
            </w:pPr>
            <w:r>
              <w:rPr>
                <w:color w:val="auto"/>
                <w:szCs w:val="21"/>
                <w:highlight w:val="none"/>
              </w:rPr>
              <w:t>0.010 mg/m</w:t>
            </w:r>
            <w:r>
              <w:rPr>
                <w:color w:val="auto"/>
                <w:szCs w:val="21"/>
                <w:highlight w:val="none"/>
                <w:vertAlign w:val="superscript"/>
              </w:rPr>
              <w:t>3</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828" w:type="dxa"/>
            <w:vAlign w:val="center"/>
          </w:tcPr>
          <w:p>
            <w:pPr>
              <w:snapToGrid w:val="0"/>
              <w:jc w:val="center"/>
              <w:rPr>
                <w:color w:val="auto"/>
                <w:szCs w:val="21"/>
                <w:highlight w:val="none"/>
              </w:rPr>
            </w:pPr>
            <w:r>
              <w:rPr>
                <w:color w:val="auto"/>
                <w:szCs w:val="21"/>
                <w:highlight w:val="none"/>
              </w:rPr>
              <w:t>4</w:t>
            </w:r>
          </w:p>
        </w:tc>
        <w:tc>
          <w:tcPr>
            <w:tcW w:w="1794" w:type="dxa"/>
            <w:vAlign w:val="center"/>
          </w:tcPr>
          <w:p>
            <w:pPr>
              <w:snapToGrid w:val="0"/>
              <w:jc w:val="center"/>
              <w:rPr>
                <w:color w:val="auto"/>
                <w:szCs w:val="21"/>
                <w:highlight w:val="none"/>
              </w:rPr>
            </w:pPr>
            <w:r>
              <w:rPr>
                <w:color w:val="auto"/>
                <w:szCs w:val="21"/>
                <w:highlight w:val="none"/>
              </w:rPr>
              <w:t>PM</w:t>
            </w:r>
            <w:r>
              <w:rPr>
                <w:color w:val="auto"/>
                <w:szCs w:val="21"/>
                <w:highlight w:val="none"/>
                <w:vertAlign w:val="subscript"/>
              </w:rPr>
              <w:t>10</w:t>
            </w:r>
          </w:p>
        </w:tc>
        <w:tc>
          <w:tcPr>
            <w:tcW w:w="2520" w:type="dxa"/>
            <w:vAlign w:val="center"/>
          </w:tcPr>
          <w:p>
            <w:pPr>
              <w:snapToGrid w:val="0"/>
              <w:jc w:val="center"/>
              <w:rPr>
                <w:color w:val="auto"/>
                <w:kern w:val="0"/>
                <w:szCs w:val="21"/>
                <w:highlight w:val="none"/>
              </w:rPr>
            </w:pPr>
            <w:r>
              <w:rPr>
                <w:color w:val="auto"/>
                <w:kern w:val="0"/>
                <w:szCs w:val="21"/>
                <w:highlight w:val="none"/>
              </w:rPr>
              <w:t>重量法</w:t>
            </w:r>
          </w:p>
        </w:tc>
        <w:tc>
          <w:tcPr>
            <w:tcW w:w="2214" w:type="dxa"/>
            <w:vAlign w:val="center"/>
          </w:tcPr>
          <w:p>
            <w:pPr>
              <w:widowControl/>
              <w:suppressLineNumbers/>
              <w:autoSpaceDE w:val="0"/>
              <w:autoSpaceDN w:val="0"/>
              <w:snapToGrid w:val="0"/>
              <w:jc w:val="center"/>
              <w:textAlignment w:val="bottom"/>
              <w:rPr>
                <w:color w:val="auto"/>
                <w:szCs w:val="21"/>
                <w:highlight w:val="none"/>
              </w:rPr>
            </w:pPr>
            <w:r>
              <w:rPr>
                <w:color w:val="auto"/>
                <w:szCs w:val="21"/>
                <w:highlight w:val="none"/>
              </w:rPr>
              <w:t>HJ 618-2011</w:t>
            </w:r>
          </w:p>
        </w:tc>
        <w:tc>
          <w:tcPr>
            <w:tcW w:w="1930" w:type="dxa"/>
            <w:vAlign w:val="center"/>
          </w:tcPr>
          <w:p>
            <w:pPr>
              <w:snapToGrid w:val="0"/>
              <w:jc w:val="center"/>
              <w:rPr>
                <w:color w:val="auto"/>
                <w:szCs w:val="21"/>
                <w:highlight w:val="none"/>
              </w:rPr>
            </w:pPr>
            <w:r>
              <w:rPr>
                <w:color w:val="auto"/>
                <w:szCs w:val="21"/>
                <w:highlight w:val="none"/>
              </w:rPr>
              <w:t>0.010 mg/m</w:t>
            </w:r>
            <w:r>
              <w:rPr>
                <w:color w:val="auto"/>
                <w:szCs w:val="21"/>
                <w:highlight w:val="none"/>
                <w:vertAlign w:val="superscript"/>
              </w:rPr>
              <w:t>3</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828" w:type="dxa"/>
            <w:vAlign w:val="center"/>
          </w:tcPr>
          <w:p>
            <w:pPr>
              <w:snapToGrid w:val="0"/>
              <w:jc w:val="center"/>
              <w:rPr>
                <w:color w:val="auto"/>
                <w:szCs w:val="21"/>
                <w:highlight w:val="none"/>
              </w:rPr>
            </w:pPr>
            <w:bookmarkStart w:id="111" w:name="OLE_LINK10" w:colFirst="1" w:colLast="4"/>
            <w:r>
              <w:rPr>
                <w:color w:val="auto"/>
                <w:szCs w:val="21"/>
                <w:highlight w:val="none"/>
              </w:rPr>
              <w:t>5</w:t>
            </w:r>
          </w:p>
        </w:tc>
        <w:tc>
          <w:tcPr>
            <w:tcW w:w="1794" w:type="dxa"/>
            <w:vAlign w:val="center"/>
          </w:tcPr>
          <w:p>
            <w:pPr>
              <w:snapToGrid w:val="0"/>
              <w:jc w:val="center"/>
              <w:rPr>
                <w:color w:val="auto"/>
                <w:szCs w:val="21"/>
                <w:highlight w:val="none"/>
              </w:rPr>
            </w:pPr>
            <w:r>
              <w:rPr>
                <w:color w:val="auto"/>
                <w:szCs w:val="21"/>
                <w:highlight w:val="none"/>
              </w:rPr>
              <w:t>氯化氢</w:t>
            </w:r>
          </w:p>
        </w:tc>
        <w:tc>
          <w:tcPr>
            <w:tcW w:w="2520" w:type="dxa"/>
            <w:vAlign w:val="center"/>
          </w:tcPr>
          <w:p>
            <w:pPr>
              <w:widowControl/>
              <w:suppressLineNumbers/>
              <w:autoSpaceDE w:val="0"/>
              <w:autoSpaceDN w:val="0"/>
              <w:snapToGrid w:val="0"/>
              <w:jc w:val="center"/>
              <w:textAlignment w:val="bottom"/>
              <w:rPr>
                <w:color w:val="auto"/>
                <w:szCs w:val="21"/>
                <w:highlight w:val="none"/>
              </w:rPr>
            </w:pPr>
            <w:r>
              <w:rPr>
                <w:color w:val="auto"/>
                <w:szCs w:val="21"/>
                <w:highlight w:val="none"/>
              </w:rPr>
              <w:t>离子色谱法</w:t>
            </w:r>
          </w:p>
        </w:tc>
        <w:tc>
          <w:tcPr>
            <w:tcW w:w="2214" w:type="dxa"/>
            <w:vAlign w:val="center"/>
          </w:tcPr>
          <w:p>
            <w:pPr>
              <w:widowControl/>
              <w:suppressLineNumbers/>
              <w:autoSpaceDE w:val="0"/>
              <w:autoSpaceDN w:val="0"/>
              <w:snapToGrid w:val="0"/>
              <w:jc w:val="center"/>
              <w:textAlignment w:val="bottom"/>
              <w:rPr>
                <w:color w:val="auto"/>
                <w:szCs w:val="21"/>
                <w:highlight w:val="none"/>
              </w:rPr>
            </w:pPr>
            <w:r>
              <w:rPr>
                <w:color w:val="auto"/>
                <w:szCs w:val="21"/>
                <w:highlight w:val="none"/>
              </w:rPr>
              <w:t>HJ 549-2016</w:t>
            </w:r>
          </w:p>
        </w:tc>
        <w:tc>
          <w:tcPr>
            <w:tcW w:w="1930" w:type="dxa"/>
            <w:vAlign w:val="center"/>
          </w:tcPr>
          <w:p>
            <w:pPr>
              <w:widowControl/>
              <w:snapToGrid w:val="0"/>
              <w:jc w:val="center"/>
              <w:textAlignment w:val="center"/>
              <w:rPr>
                <w:color w:val="auto"/>
                <w:szCs w:val="21"/>
                <w:highlight w:val="none"/>
              </w:rPr>
            </w:pPr>
            <w:r>
              <w:rPr>
                <w:color w:val="auto"/>
                <w:szCs w:val="21"/>
                <w:highlight w:val="none"/>
              </w:rPr>
              <w:t>0.002 mg/m</w:t>
            </w:r>
            <w:r>
              <w:rPr>
                <w:color w:val="auto"/>
                <w:szCs w:val="21"/>
                <w:highlight w:val="none"/>
                <w:vertAlign w:val="superscript"/>
              </w:rPr>
              <w:t>3</w:t>
            </w:r>
          </w:p>
        </w:tc>
      </w:tr>
      <w:bookmarkEnd w:id="111"/>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828" w:type="dxa"/>
            <w:vAlign w:val="center"/>
          </w:tcPr>
          <w:p>
            <w:pPr>
              <w:snapToGrid w:val="0"/>
              <w:jc w:val="center"/>
              <w:rPr>
                <w:color w:val="auto"/>
                <w:szCs w:val="21"/>
                <w:highlight w:val="none"/>
              </w:rPr>
            </w:pPr>
            <w:r>
              <w:rPr>
                <w:color w:val="auto"/>
                <w:szCs w:val="21"/>
                <w:highlight w:val="none"/>
              </w:rPr>
              <w:t>6</w:t>
            </w:r>
          </w:p>
        </w:tc>
        <w:tc>
          <w:tcPr>
            <w:tcW w:w="1794" w:type="dxa"/>
            <w:vAlign w:val="center"/>
          </w:tcPr>
          <w:p>
            <w:pPr>
              <w:snapToGrid w:val="0"/>
              <w:jc w:val="center"/>
              <w:rPr>
                <w:color w:val="auto"/>
                <w:szCs w:val="21"/>
                <w:highlight w:val="none"/>
              </w:rPr>
            </w:pPr>
            <w:r>
              <w:rPr>
                <w:color w:val="auto"/>
                <w:szCs w:val="21"/>
                <w:highlight w:val="none"/>
              </w:rPr>
              <w:t>硫酸雾</w:t>
            </w:r>
          </w:p>
        </w:tc>
        <w:tc>
          <w:tcPr>
            <w:tcW w:w="2520" w:type="dxa"/>
            <w:vAlign w:val="center"/>
          </w:tcPr>
          <w:p>
            <w:pPr>
              <w:widowControl/>
              <w:suppressLineNumbers/>
              <w:autoSpaceDE w:val="0"/>
              <w:autoSpaceDN w:val="0"/>
              <w:snapToGrid w:val="0"/>
              <w:jc w:val="center"/>
              <w:textAlignment w:val="bottom"/>
              <w:rPr>
                <w:color w:val="auto"/>
                <w:szCs w:val="21"/>
                <w:highlight w:val="none"/>
              </w:rPr>
            </w:pPr>
            <w:r>
              <w:rPr>
                <w:color w:val="auto"/>
                <w:szCs w:val="21"/>
                <w:highlight w:val="none"/>
              </w:rPr>
              <w:t>离子色谱法</w:t>
            </w:r>
          </w:p>
        </w:tc>
        <w:tc>
          <w:tcPr>
            <w:tcW w:w="2214" w:type="dxa"/>
            <w:vAlign w:val="center"/>
          </w:tcPr>
          <w:p>
            <w:pPr>
              <w:widowControl/>
              <w:suppressLineNumbers/>
              <w:autoSpaceDE w:val="0"/>
              <w:autoSpaceDN w:val="0"/>
              <w:snapToGrid w:val="0"/>
              <w:jc w:val="center"/>
              <w:textAlignment w:val="bottom"/>
              <w:rPr>
                <w:color w:val="auto"/>
                <w:szCs w:val="21"/>
                <w:highlight w:val="none"/>
              </w:rPr>
            </w:pPr>
            <w:r>
              <w:rPr>
                <w:color w:val="auto"/>
                <w:szCs w:val="21"/>
                <w:highlight w:val="none"/>
              </w:rPr>
              <w:t>国家环保总局(2003)第四版(增补版)</w:t>
            </w:r>
          </w:p>
        </w:tc>
        <w:tc>
          <w:tcPr>
            <w:tcW w:w="1930" w:type="dxa"/>
            <w:vAlign w:val="center"/>
          </w:tcPr>
          <w:p>
            <w:pPr>
              <w:widowControl/>
              <w:snapToGrid w:val="0"/>
              <w:jc w:val="center"/>
              <w:textAlignment w:val="center"/>
              <w:rPr>
                <w:color w:val="auto"/>
                <w:szCs w:val="21"/>
                <w:highlight w:val="none"/>
              </w:rPr>
            </w:pPr>
            <w:r>
              <w:rPr>
                <w:color w:val="auto"/>
                <w:szCs w:val="21"/>
                <w:highlight w:val="none"/>
              </w:rPr>
              <w:t>0.3 mg/m</w:t>
            </w:r>
            <w:r>
              <w:rPr>
                <w:color w:val="auto"/>
                <w:szCs w:val="21"/>
                <w:highlight w:val="none"/>
                <w:vertAlign w:val="superscript"/>
              </w:rPr>
              <w:t>3</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828" w:type="dxa"/>
            <w:vAlign w:val="center"/>
          </w:tcPr>
          <w:p>
            <w:pPr>
              <w:snapToGrid w:val="0"/>
              <w:jc w:val="center"/>
              <w:rPr>
                <w:color w:val="auto"/>
                <w:szCs w:val="21"/>
                <w:highlight w:val="none"/>
              </w:rPr>
            </w:pPr>
            <w:r>
              <w:rPr>
                <w:color w:val="auto"/>
                <w:szCs w:val="21"/>
                <w:highlight w:val="none"/>
              </w:rPr>
              <w:t>7</w:t>
            </w:r>
          </w:p>
        </w:tc>
        <w:tc>
          <w:tcPr>
            <w:tcW w:w="1794" w:type="dxa"/>
            <w:vAlign w:val="center"/>
          </w:tcPr>
          <w:p>
            <w:pPr>
              <w:snapToGrid w:val="0"/>
              <w:jc w:val="center"/>
              <w:rPr>
                <w:color w:val="auto"/>
                <w:szCs w:val="21"/>
                <w:highlight w:val="none"/>
              </w:rPr>
            </w:pPr>
            <w:r>
              <w:rPr>
                <w:color w:val="auto"/>
                <w:szCs w:val="21"/>
                <w:highlight w:val="none"/>
              </w:rPr>
              <w:t>铬酸雾</w:t>
            </w:r>
          </w:p>
        </w:tc>
        <w:tc>
          <w:tcPr>
            <w:tcW w:w="2520" w:type="dxa"/>
            <w:vAlign w:val="center"/>
          </w:tcPr>
          <w:p>
            <w:pPr>
              <w:widowControl/>
              <w:suppressLineNumbers/>
              <w:autoSpaceDE w:val="0"/>
              <w:autoSpaceDN w:val="0"/>
              <w:snapToGrid w:val="0"/>
              <w:jc w:val="center"/>
              <w:textAlignment w:val="bottom"/>
              <w:rPr>
                <w:color w:val="auto"/>
                <w:szCs w:val="21"/>
                <w:highlight w:val="none"/>
              </w:rPr>
            </w:pPr>
            <w:r>
              <w:rPr>
                <w:color w:val="auto"/>
                <w:szCs w:val="21"/>
                <w:highlight w:val="none"/>
              </w:rPr>
              <w:t>二苯基碳酰二肼分光光度法</w:t>
            </w:r>
          </w:p>
        </w:tc>
        <w:tc>
          <w:tcPr>
            <w:tcW w:w="2214" w:type="dxa"/>
            <w:vAlign w:val="center"/>
          </w:tcPr>
          <w:p>
            <w:pPr>
              <w:widowControl/>
              <w:suppressLineNumbers/>
              <w:autoSpaceDE w:val="0"/>
              <w:autoSpaceDN w:val="0"/>
              <w:snapToGrid w:val="0"/>
              <w:jc w:val="center"/>
              <w:textAlignment w:val="bottom"/>
              <w:rPr>
                <w:color w:val="auto"/>
                <w:szCs w:val="21"/>
                <w:highlight w:val="none"/>
              </w:rPr>
            </w:pPr>
            <w:r>
              <w:rPr>
                <w:color w:val="auto"/>
                <w:szCs w:val="21"/>
                <w:highlight w:val="none"/>
              </w:rPr>
              <w:t>HJ/T 29-1999</w:t>
            </w:r>
          </w:p>
        </w:tc>
        <w:tc>
          <w:tcPr>
            <w:tcW w:w="1930" w:type="dxa"/>
            <w:vAlign w:val="center"/>
          </w:tcPr>
          <w:p>
            <w:pPr>
              <w:widowControl/>
              <w:snapToGrid w:val="0"/>
              <w:jc w:val="center"/>
              <w:textAlignment w:val="center"/>
              <w:rPr>
                <w:color w:val="auto"/>
                <w:kern w:val="0"/>
                <w:szCs w:val="21"/>
                <w:highlight w:val="none"/>
                <w:lang w:bidi="ar"/>
              </w:rPr>
            </w:pPr>
            <w:r>
              <w:rPr>
                <w:color w:val="auto"/>
                <w:kern w:val="0"/>
                <w:szCs w:val="21"/>
                <w:highlight w:val="none"/>
                <w:lang w:bidi="ar"/>
              </w:rPr>
              <w:t>0.0005</w:t>
            </w:r>
            <w:r>
              <w:rPr>
                <w:color w:val="auto"/>
                <w:szCs w:val="21"/>
                <w:highlight w:val="none"/>
              </w:rPr>
              <w:t xml:space="preserve"> mg/m</w:t>
            </w:r>
            <w:r>
              <w:rPr>
                <w:color w:val="auto"/>
                <w:szCs w:val="21"/>
                <w:highlight w:val="none"/>
                <w:vertAlign w:val="superscript"/>
              </w:rPr>
              <w:t>3</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828" w:type="dxa"/>
            <w:vAlign w:val="center"/>
          </w:tcPr>
          <w:p>
            <w:pPr>
              <w:snapToGrid w:val="0"/>
              <w:jc w:val="center"/>
              <w:rPr>
                <w:rFonts w:hint="eastAsia" w:eastAsia="宋体"/>
                <w:color w:val="auto"/>
                <w:szCs w:val="21"/>
                <w:highlight w:val="none"/>
                <w:lang w:val="en-US" w:eastAsia="zh-CN"/>
              </w:rPr>
            </w:pPr>
            <w:r>
              <w:rPr>
                <w:rFonts w:hint="eastAsia"/>
                <w:color w:val="auto"/>
                <w:szCs w:val="21"/>
                <w:highlight w:val="none"/>
                <w:lang w:val="en-US" w:eastAsia="zh-CN"/>
              </w:rPr>
              <w:t>8</w:t>
            </w:r>
          </w:p>
        </w:tc>
        <w:tc>
          <w:tcPr>
            <w:tcW w:w="1794" w:type="dxa"/>
            <w:vAlign w:val="center"/>
          </w:tcPr>
          <w:p>
            <w:pPr>
              <w:snapToGrid w:val="0"/>
              <w:jc w:val="center"/>
              <w:rPr>
                <w:rFonts w:hint="eastAsia" w:eastAsia="宋体"/>
                <w:color w:val="auto"/>
                <w:szCs w:val="21"/>
                <w:highlight w:val="none"/>
                <w:lang w:val="en-US" w:eastAsia="zh-CN"/>
              </w:rPr>
            </w:pPr>
            <w:r>
              <w:rPr>
                <w:rFonts w:hint="eastAsia"/>
                <w:color w:val="auto"/>
                <w:szCs w:val="21"/>
                <w:highlight w:val="none"/>
                <w:lang w:val="en-US" w:eastAsia="zh-CN"/>
              </w:rPr>
              <w:t>氨</w:t>
            </w:r>
          </w:p>
        </w:tc>
        <w:tc>
          <w:tcPr>
            <w:tcW w:w="2520" w:type="dxa"/>
            <w:vAlign w:val="center"/>
          </w:tcPr>
          <w:p>
            <w:pPr>
              <w:jc w:val="center"/>
              <w:rPr>
                <w:color w:val="auto"/>
                <w:szCs w:val="21"/>
                <w:highlight w:val="none"/>
              </w:rPr>
            </w:pPr>
            <w:r>
              <w:rPr>
                <w:color w:val="auto"/>
                <w:szCs w:val="21"/>
                <w:highlight w:val="none"/>
              </w:rPr>
              <w:t>纳氏试剂分光光度法</w:t>
            </w:r>
          </w:p>
        </w:tc>
        <w:tc>
          <w:tcPr>
            <w:tcW w:w="2214" w:type="dxa"/>
            <w:vAlign w:val="center"/>
          </w:tcPr>
          <w:p>
            <w:pPr>
              <w:jc w:val="center"/>
              <w:rPr>
                <w:color w:val="auto"/>
                <w:szCs w:val="21"/>
                <w:highlight w:val="none"/>
              </w:rPr>
            </w:pPr>
            <w:r>
              <w:rPr>
                <w:color w:val="auto"/>
                <w:szCs w:val="21"/>
                <w:highlight w:val="none"/>
              </w:rPr>
              <w:t>HJ 533-2009</w:t>
            </w:r>
          </w:p>
        </w:tc>
        <w:tc>
          <w:tcPr>
            <w:tcW w:w="1930" w:type="dxa"/>
            <w:vAlign w:val="center"/>
          </w:tcPr>
          <w:p>
            <w:pPr>
              <w:jc w:val="center"/>
              <w:rPr>
                <w:color w:val="auto"/>
                <w:kern w:val="0"/>
                <w:szCs w:val="21"/>
                <w:highlight w:val="none"/>
                <w:lang w:bidi="ar"/>
              </w:rPr>
            </w:pPr>
            <w:r>
              <w:rPr>
                <w:color w:val="auto"/>
                <w:szCs w:val="21"/>
                <w:highlight w:val="none"/>
              </w:rPr>
              <w:t>0.01mg/m³</w:t>
            </w:r>
          </w:p>
        </w:tc>
      </w:tr>
    </w:tbl>
    <w:p>
      <w:pPr>
        <w:adjustRightInd w:val="0"/>
        <w:snapToGrid w:val="0"/>
        <w:spacing w:line="360" w:lineRule="auto"/>
        <w:ind w:firstLine="480" w:firstLineChars="200"/>
        <w:jc w:val="left"/>
        <w:rPr>
          <w:rFonts w:hint="eastAsia" w:ascii="黑体" w:hAnsi="黑体" w:eastAsia="黑体" w:cs="黑体"/>
          <w:color w:val="auto"/>
          <w:sz w:val="24"/>
          <w:highlight w:val="none"/>
        </w:rPr>
      </w:pPr>
      <w:r>
        <w:rPr>
          <w:rFonts w:hint="eastAsia" w:ascii="黑体" w:hAnsi="黑体" w:eastAsia="黑体" w:cs="黑体"/>
          <w:color w:val="auto"/>
          <w:sz w:val="24"/>
          <w:highlight w:val="none"/>
        </w:rPr>
        <w:t>2、价方法与执行标准</w:t>
      </w:r>
    </w:p>
    <w:p>
      <w:pPr>
        <w:spacing w:line="360" w:lineRule="auto"/>
        <w:ind w:firstLine="480" w:firstLineChars="200"/>
        <w:rPr>
          <w:color w:val="auto"/>
          <w:sz w:val="24"/>
          <w:highlight w:val="none"/>
        </w:rPr>
      </w:pPr>
      <w:r>
        <w:rPr>
          <w:color w:val="auto"/>
          <w:sz w:val="24"/>
          <w:highlight w:val="none"/>
        </w:rPr>
        <w:t>1)评价方法</w:t>
      </w:r>
    </w:p>
    <w:p>
      <w:pPr>
        <w:spacing w:line="360" w:lineRule="auto"/>
        <w:ind w:firstLine="480" w:firstLineChars="200"/>
        <w:rPr>
          <w:color w:val="auto"/>
          <w:sz w:val="24"/>
          <w:highlight w:val="none"/>
        </w:rPr>
      </w:pPr>
      <w:r>
        <w:rPr>
          <w:color w:val="auto"/>
          <w:sz w:val="24"/>
          <w:highlight w:val="none"/>
        </w:rPr>
        <w:t>本次评价采用</w:t>
      </w:r>
      <w:r>
        <w:rPr>
          <w:rFonts w:hint="eastAsia"/>
          <w:color w:val="auto"/>
          <w:sz w:val="24"/>
          <w:highlight w:val="none"/>
        </w:rPr>
        <w:t>单因子污染</w:t>
      </w:r>
      <w:r>
        <w:rPr>
          <w:color w:val="auto"/>
          <w:sz w:val="24"/>
          <w:highlight w:val="none"/>
        </w:rPr>
        <w:t>指数法。其计算公式如下：</w:t>
      </w:r>
    </w:p>
    <w:p>
      <w:pPr>
        <w:spacing w:line="360" w:lineRule="auto"/>
        <w:ind w:firstLine="960" w:firstLineChars="400"/>
        <w:rPr>
          <w:color w:val="auto"/>
          <w:sz w:val="24"/>
          <w:highlight w:val="none"/>
        </w:rPr>
      </w:pPr>
      <w:r>
        <w:rPr>
          <w:color w:val="auto"/>
          <w:sz w:val="24"/>
          <w:highlight w:val="none"/>
        </w:rPr>
        <w:t>P</w:t>
      </w:r>
      <w:r>
        <w:rPr>
          <w:color w:val="auto"/>
          <w:sz w:val="24"/>
          <w:highlight w:val="none"/>
          <w:vertAlign w:val="subscript"/>
        </w:rPr>
        <w:t>i</w:t>
      </w:r>
      <w:r>
        <w:rPr>
          <w:color w:val="auto"/>
          <w:sz w:val="24"/>
          <w:highlight w:val="none"/>
        </w:rPr>
        <w:t>=</w:t>
      </w:r>
      <w:r>
        <w:rPr>
          <w:color w:val="auto"/>
          <w:position w:val="-30"/>
          <w:sz w:val="24"/>
          <w:highlight w:val="none"/>
        </w:rPr>
        <w:object>
          <v:shape id="_x0000_i1026" o:spt="75" type="#_x0000_t75" style="height:36.45pt;width:21.5pt;" o:ole="t" filled="f" o:preferrelative="t" stroked="f" coordsize="21600,21600">
            <v:path/>
            <v:fill on="f" focussize="0,0"/>
            <v:stroke on="f" joinstyle="miter"/>
            <v:imagedata r:id="rId14" o:title=""/>
            <o:lock v:ext="edit" aspectratio="t"/>
            <w10:wrap type="none"/>
            <w10:anchorlock/>
          </v:shape>
          <o:OLEObject Type="Embed" ProgID="Equation.3" ShapeID="_x0000_i1026" DrawAspect="Content" ObjectID="_1468075726" r:id="rId13">
            <o:LockedField>false</o:LockedField>
          </o:OLEObject>
        </w:object>
      </w:r>
      <w:r>
        <w:rPr>
          <w:color w:val="auto"/>
          <w:sz w:val="24"/>
          <w:highlight w:val="none"/>
        </w:rPr>
        <w:t xml:space="preserve"> </w:t>
      </w:r>
    </w:p>
    <w:p>
      <w:pPr>
        <w:spacing w:line="360" w:lineRule="auto"/>
        <w:ind w:firstLine="480" w:firstLineChars="200"/>
        <w:rPr>
          <w:color w:val="auto"/>
          <w:sz w:val="24"/>
          <w:highlight w:val="none"/>
        </w:rPr>
      </w:pPr>
      <w:r>
        <w:rPr>
          <w:color w:val="auto"/>
          <w:sz w:val="24"/>
          <w:highlight w:val="none"/>
        </w:rPr>
        <w:t>式中：P</w:t>
      </w:r>
      <w:r>
        <w:rPr>
          <w:color w:val="auto"/>
          <w:sz w:val="24"/>
          <w:highlight w:val="none"/>
          <w:vertAlign w:val="subscript"/>
        </w:rPr>
        <w:t>i</w:t>
      </w:r>
      <w:r>
        <w:rPr>
          <w:color w:val="auto"/>
          <w:sz w:val="24"/>
          <w:highlight w:val="none"/>
        </w:rPr>
        <w:t>——：单项污染指数，P</w:t>
      </w:r>
      <w:r>
        <w:rPr>
          <w:color w:val="auto"/>
          <w:sz w:val="24"/>
          <w:highlight w:val="none"/>
          <w:vertAlign w:val="subscript"/>
        </w:rPr>
        <w:t>i</w:t>
      </w:r>
      <w:r>
        <w:rPr>
          <w:color w:val="auto"/>
          <w:sz w:val="24"/>
          <w:highlight w:val="none"/>
        </w:rPr>
        <w:t>≥1为超标，P</w:t>
      </w:r>
      <w:r>
        <w:rPr>
          <w:color w:val="auto"/>
          <w:sz w:val="24"/>
          <w:highlight w:val="none"/>
        </w:rPr>
        <w:softHyphen/>
      </w:r>
      <w:r>
        <w:rPr>
          <w:color w:val="auto"/>
          <w:sz w:val="24"/>
          <w:highlight w:val="none"/>
          <w:vertAlign w:val="subscript"/>
        </w:rPr>
        <w:t>i</w:t>
      </w:r>
      <w:r>
        <w:rPr>
          <w:color w:val="auto"/>
          <w:sz w:val="24"/>
          <w:highlight w:val="none"/>
        </w:rPr>
        <w:t>＜1为未超标；</w:t>
      </w:r>
    </w:p>
    <w:p>
      <w:pPr>
        <w:spacing w:line="360" w:lineRule="auto"/>
        <w:ind w:firstLine="1200" w:firstLineChars="500"/>
        <w:rPr>
          <w:color w:val="auto"/>
          <w:sz w:val="24"/>
          <w:highlight w:val="none"/>
        </w:rPr>
      </w:pPr>
      <w:r>
        <w:rPr>
          <w:color w:val="auto"/>
          <w:sz w:val="24"/>
          <w:highlight w:val="none"/>
        </w:rPr>
        <w:t>C</w:t>
      </w:r>
      <w:r>
        <w:rPr>
          <w:color w:val="auto"/>
          <w:sz w:val="24"/>
          <w:highlight w:val="none"/>
          <w:vertAlign w:val="subscript"/>
        </w:rPr>
        <w:t>i</w:t>
      </w:r>
      <w:r>
        <w:rPr>
          <w:color w:val="auto"/>
          <w:sz w:val="24"/>
          <w:highlight w:val="none"/>
        </w:rPr>
        <w:t>——：某项污染物实测值，mg/m</w:t>
      </w:r>
      <w:r>
        <w:rPr>
          <w:color w:val="auto"/>
          <w:sz w:val="24"/>
          <w:highlight w:val="none"/>
          <w:vertAlign w:val="superscript"/>
        </w:rPr>
        <w:t>3</w:t>
      </w:r>
      <w:r>
        <w:rPr>
          <w:color w:val="auto"/>
          <w:sz w:val="24"/>
          <w:highlight w:val="none"/>
        </w:rPr>
        <w:t>；</w:t>
      </w:r>
    </w:p>
    <w:p>
      <w:pPr>
        <w:spacing w:line="360" w:lineRule="auto"/>
        <w:ind w:firstLine="1200" w:firstLineChars="500"/>
        <w:rPr>
          <w:color w:val="auto"/>
          <w:sz w:val="24"/>
          <w:highlight w:val="none"/>
        </w:rPr>
      </w:pPr>
      <w:r>
        <w:rPr>
          <w:color w:val="auto"/>
          <w:sz w:val="24"/>
          <w:highlight w:val="none"/>
        </w:rPr>
        <w:t>C</w:t>
      </w:r>
      <w:r>
        <w:rPr>
          <w:color w:val="auto"/>
          <w:sz w:val="24"/>
          <w:highlight w:val="none"/>
          <w:vertAlign w:val="subscript"/>
        </w:rPr>
        <w:t>si</w:t>
      </w:r>
      <w:r>
        <w:rPr>
          <w:color w:val="auto"/>
          <w:sz w:val="24"/>
          <w:highlight w:val="none"/>
        </w:rPr>
        <w:t>——：某项污染物标准值，mg/m</w:t>
      </w:r>
      <w:r>
        <w:rPr>
          <w:color w:val="auto"/>
          <w:sz w:val="24"/>
          <w:highlight w:val="none"/>
          <w:vertAlign w:val="superscript"/>
        </w:rPr>
        <w:t>3</w:t>
      </w:r>
      <w:r>
        <w:rPr>
          <w:color w:val="auto"/>
          <w:sz w:val="24"/>
          <w:highlight w:val="none"/>
        </w:rPr>
        <w:t>；</w:t>
      </w:r>
    </w:p>
    <w:p>
      <w:pPr>
        <w:spacing w:line="360" w:lineRule="auto"/>
        <w:ind w:firstLine="480" w:firstLineChars="200"/>
        <w:rPr>
          <w:color w:val="auto"/>
          <w:sz w:val="24"/>
          <w:highlight w:val="none"/>
        </w:rPr>
      </w:pPr>
      <w:r>
        <w:rPr>
          <w:color w:val="auto"/>
          <w:sz w:val="24"/>
          <w:highlight w:val="none"/>
        </w:rPr>
        <w:t>2)评价标准</w:t>
      </w:r>
    </w:p>
    <w:p>
      <w:pPr>
        <w:spacing w:line="360" w:lineRule="auto"/>
        <w:ind w:firstLine="480" w:firstLineChars="200"/>
        <w:rPr>
          <w:color w:val="auto"/>
          <w:highlight w:val="none"/>
        </w:rPr>
      </w:pPr>
      <w:r>
        <w:rPr>
          <w:rFonts w:hint="eastAsia"/>
          <w:color w:val="auto"/>
          <w:sz w:val="24"/>
          <w:highlight w:val="none"/>
        </w:rPr>
        <w:t>监测点位</w:t>
      </w:r>
      <w:r>
        <w:rPr>
          <w:color w:val="auto"/>
          <w:sz w:val="24"/>
          <w:highlight w:val="none"/>
        </w:rPr>
        <w:t>SO</w:t>
      </w:r>
      <w:r>
        <w:rPr>
          <w:color w:val="auto"/>
          <w:sz w:val="24"/>
          <w:highlight w:val="none"/>
          <w:vertAlign w:val="subscript"/>
        </w:rPr>
        <w:t>2</w:t>
      </w:r>
      <w:r>
        <w:rPr>
          <w:color w:val="auto"/>
          <w:sz w:val="24"/>
          <w:highlight w:val="none"/>
        </w:rPr>
        <w:t>、PM</w:t>
      </w:r>
      <w:r>
        <w:rPr>
          <w:color w:val="auto"/>
          <w:sz w:val="24"/>
          <w:highlight w:val="none"/>
          <w:vertAlign w:val="subscript"/>
        </w:rPr>
        <w:t>10</w:t>
      </w:r>
      <w:r>
        <w:rPr>
          <w:color w:val="auto"/>
          <w:sz w:val="24"/>
          <w:highlight w:val="none"/>
        </w:rPr>
        <w:t>、PM</w:t>
      </w:r>
      <w:r>
        <w:rPr>
          <w:rFonts w:hint="eastAsia"/>
          <w:color w:val="auto"/>
          <w:sz w:val="24"/>
          <w:highlight w:val="none"/>
          <w:vertAlign w:val="subscript"/>
        </w:rPr>
        <w:t>2.5</w:t>
      </w:r>
      <w:r>
        <w:rPr>
          <w:color w:val="auto"/>
          <w:sz w:val="21"/>
          <w:szCs w:val="21"/>
          <w:highlight w:val="none"/>
        </w:rPr>
        <w:t>、</w:t>
      </w:r>
      <w:r>
        <w:rPr>
          <w:color w:val="auto"/>
          <w:sz w:val="24"/>
          <w:szCs w:val="24"/>
          <w:highlight w:val="none"/>
        </w:rPr>
        <w:t>NO</w:t>
      </w:r>
      <w:r>
        <w:rPr>
          <w:rFonts w:hint="eastAsia"/>
          <w:color w:val="auto"/>
          <w:sz w:val="24"/>
          <w:szCs w:val="24"/>
          <w:highlight w:val="none"/>
          <w:vertAlign w:val="subscript"/>
          <w:lang w:val="en-US" w:eastAsia="zh-CN"/>
        </w:rPr>
        <w:t>x</w:t>
      </w:r>
      <w:r>
        <w:rPr>
          <w:color w:val="auto"/>
          <w:sz w:val="24"/>
          <w:highlight w:val="none"/>
        </w:rPr>
        <w:t>评价标准执行《环境空气质量标准》</w:t>
      </w:r>
      <w:r>
        <w:rPr>
          <w:rFonts w:hint="eastAsia"/>
          <w:color w:val="auto"/>
          <w:sz w:val="24"/>
          <w:highlight w:val="none"/>
        </w:rPr>
        <w:t>(</w:t>
      </w:r>
      <w:r>
        <w:rPr>
          <w:color w:val="auto"/>
          <w:sz w:val="24"/>
          <w:highlight w:val="none"/>
        </w:rPr>
        <w:t>GB3095-</w:t>
      </w:r>
      <w:r>
        <w:rPr>
          <w:rFonts w:hint="eastAsia"/>
          <w:color w:val="auto"/>
          <w:sz w:val="24"/>
          <w:highlight w:val="none"/>
        </w:rPr>
        <w:t>2012)</w:t>
      </w:r>
      <w:r>
        <w:rPr>
          <w:color w:val="auto"/>
          <w:sz w:val="24"/>
          <w:highlight w:val="none"/>
        </w:rPr>
        <w:t>中二级标准；氯化氢</w:t>
      </w:r>
      <w:r>
        <w:rPr>
          <w:rFonts w:hint="eastAsia"/>
          <w:color w:val="auto"/>
          <w:sz w:val="24"/>
          <w:highlight w:val="none"/>
        </w:rPr>
        <w:t>、硫酸</w:t>
      </w:r>
      <w:r>
        <w:rPr>
          <w:rFonts w:hint="eastAsia"/>
          <w:color w:val="auto"/>
          <w:sz w:val="24"/>
          <w:highlight w:val="none"/>
          <w:lang w:eastAsia="zh-CN"/>
        </w:rPr>
        <w:t>、氨</w:t>
      </w:r>
      <w:r>
        <w:rPr>
          <w:rFonts w:hint="eastAsia"/>
          <w:color w:val="auto"/>
          <w:sz w:val="24"/>
          <w:highlight w:val="none"/>
        </w:rPr>
        <w:t>选用《环境影响评价技术导则  大气环境》</w:t>
      </w:r>
      <w:r>
        <w:rPr>
          <w:rFonts w:hint="eastAsia"/>
          <w:color w:val="auto"/>
          <w:sz w:val="24"/>
          <w:highlight w:val="none"/>
          <w:lang w:eastAsia="zh-CN"/>
        </w:rPr>
        <w:t>(</w:t>
      </w:r>
      <w:r>
        <w:rPr>
          <w:rFonts w:hint="eastAsia"/>
          <w:color w:val="auto"/>
          <w:sz w:val="24"/>
          <w:highlight w:val="none"/>
        </w:rPr>
        <w:t>HJ2.2-2018</w:t>
      </w:r>
      <w:r>
        <w:rPr>
          <w:rFonts w:hint="eastAsia"/>
          <w:color w:val="auto"/>
          <w:sz w:val="24"/>
          <w:highlight w:val="none"/>
          <w:lang w:eastAsia="zh-CN"/>
        </w:rPr>
        <w:t>)</w:t>
      </w:r>
      <w:r>
        <w:rPr>
          <w:rFonts w:hint="eastAsia"/>
          <w:color w:val="auto"/>
          <w:sz w:val="24"/>
          <w:highlight w:val="none"/>
        </w:rPr>
        <w:t>附录D中参考值，铬</w:t>
      </w:r>
      <w:r>
        <w:rPr>
          <w:rFonts w:hint="eastAsia"/>
          <w:color w:val="auto"/>
          <w:sz w:val="24"/>
          <w:highlight w:val="none"/>
          <w:lang w:eastAsia="zh-CN"/>
        </w:rPr>
        <w:t>(</w:t>
      </w:r>
      <w:r>
        <w:rPr>
          <w:rFonts w:hint="eastAsia"/>
          <w:color w:val="auto"/>
          <w:sz w:val="24"/>
          <w:highlight w:val="none"/>
        </w:rPr>
        <w:t>六价</w:t>
      </w:r>
      <w:r>
        <w:rPr>
          <w:rFonts w:hint="eastAsia"/>
          <w:color w:val="auto"/>
          <w:sz w:val="24"/>
          <w:highlight w:val="none"/>
          <w:lang w:eastAsia="zh-CN"/>
        </w:rPr>
        <w:t>)</w:t>
      </w:r>
      <w:r>
        <w:rPr>
          <w:rFonts w:hint="eastAsia"/>
          <w:color w:val="auto"/>
          <w:sz w:val="24"/>
          <w:highlight w:val="none"/>
        </w:rPr>
        <w:t>执行《工业企业设计卫生标准》</w:t>
      </w:r>
      <w:r>
        <w:rPr>
          <w:rFonts w:hint="eastAsia"/>
          <w:color w:val="auto"/>
          <w:sz w:val="24"/>
          <w:highlight w:val="none"/>
          <w:lang w:eastAsia="zh-CN"/>
        </w:rPr>
        <w:t>(</w:t>
      </w:r>
      <w:r>
        <w:rPr>
          <w:rFonts w:hint="eastAsia"/>
          <w:color w:val="auto"/>
          <w:sz w:val="24"/>
          <w:highlight w:val="none"/>
        </w:rPr>
        <w:t>TJ36-79</w:t>
      </w:r>
      <w:r>
        <w:rPr>
          <w:rFonts w:hint="eastAsia"/>
          <w:color w:val="auto"/>
          <w:sz w:val="24"/>
          <w:highlight w:val="none"/>
          <w:lang w:eastAsia="zh-CN"/>
        </w:rPr>
        <w:t>)</w:t>
      </w:r>
      <w:r>
        <w:rPr>
          <w:rFonts w:hint="eastAsia"/>
          <w:color w:val="auto"/>
          <w:sz w:val="24"/>
          <w:highlight w:val="none"/>
        </w:rPr>
        <w:t>居住区大气中有害物质的最高容许浓度</w:t>
      </w:r>
      <w:r>
        <w:rPr>
          <w:color w:val="auto"/>
          <w:sz w:val="24"/>
          <w:highlight w:val="none"/>
        </w:rPr>
        <w:t>。</w:t>
      </w:r>
    </w:p>
    <w:p>
      <w:pPr>
        <w:jc w:val="center"/>
        <w:rPr>
          <w:color w:val="auto"/>
          <w:highlight w:val="none"/>
        </w:rPr>
      </w:pPr>
      <w:r>
        <w:rPr>
          <w:color w:val="auto"/>
          <w:highlight w:val="none"/>
        </w:rPr>
        <w:drawing>
          <wp:inline distT="0" distB="0" distL="114300" distR="114300">
            <wp:extent cx="5789930" cy="3554730"/>
            <wp:effectExtent l="9525" t="9525" r="10795" b="17145"/>
            <wp:docPr id="3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7"/>
                    <pic:cNvPicPr>
                      <a:picLocks noChangeAspect="1"/>
                    </pic:cNvPicPr>
                  </pic:nvPicPr>
                  <pic:blipFill>
                    <a:blip r:embed="rId15"/>
                    <a:stretch>
                      <a:fillRect/>
                    </a:stretch>
                  </pic:blipFill>
                  <pic:spPr>
                    <a:xfrm>
                      <a:off x="0" y="0"/>
                      <a:ext cx="5789930" cy="3554730"/>
                    </a:xfrm>
                    <a:prstGeom prst="rect">
                      <a:avLst/>
                    </a:prstGeom>
                    <a:noFill/>
                    <a:ln w="9525">
                      <a:solidFill>
                        <a:schemeClr val="tx1"/>
                      </a:solidFill>
                    </a:ln>
                  </pic:spPr>
                </pic:pic>
              </a:graphicData>
            </a:graphic>
          </wp:inline>
        </w:drawing>
      </w:r>
    </w:p>
    <w:p>
      <w:pPr>
        <w:pStyle w:val="73"/>
        <w:rPr>
          <w:color w:val="auto"/>
          <w:highlight w:val="none"/>
        </w:rPr>
      </w:pPr>
      <w:r>
        <w:rPr>
          <w:bCs/>
          <w:color w:val="auto"/>
          <w:sz w:val="24"/>
          <w:szCs w:val="24"/>
          <w:highlight w:val="none"/>
        </w:rPr>
        <w:t>图</w:t>
      </w:r>
      <w:r>
        <w:rPr>
          <w:rFonts w:hint="eastAsia"/>
          <w:bCs/>
          <w:color w:val="auto"/>
          <w:sz w:val="24"/>
          <w:szCs w:val="24"/>
          <w:highlight w:val="none"/>
          <w:lang w:eastAsia="zh-CN"/>
        </w:rPr>
        <w:t>3.6</w:t>
      </w:r>
      <w:r>
        <w:rPr>
          <w:bCs/>
          <w:color w:val="auto"/>
          <w:sz w:val="24"/>
          <w:szCs w:val="24"/>
          <w:highlight w:val="none"/>
        </w:rPr>
        <w:t>-</w:t>
      </w:r>
      <w:r>
        <w:rPr>
          <w:rFonts w:hint="eastAsia"/>
          <w:bCs/>
          <w:color w:val="auto"/>
          <w:sz w:val="24"/>
          <w:szCs w:val="24"/>
          <w:highlight w:val="none"/>
        </w:rPr>
        <w:t xml:space="preserve">1 </w:t>
      </w:r>
      <w:r>
        <w:rPr>
          <w:rFonts w:hint="eastAsia"/>
          <w:bCs/>
          <w:color w:val="auto"/>
          <w:sz w:val="24"/>
          <w:szCs w:val="24"/>
          <w:highlight w:val="none"/>
          <w:lang w:val="en-US" w:eastAsia="zh-CN"/>
        </w:rPr>
        <w:t xml:space="preserve"> </w:t>
      </w:r>
      <w:r>
        <w:rPr>
          <w:rFonts w:hint="eastAsia" w:ascii="黑体" w:cs="黑体"/>
          <w:color w:val="auto"/>
          <w:sz w:val="24"/>
          <w:szCs w:val="24"/>
          <w:highlight w:val="none"/>
        </w:rPr>
        <w:t>大气监测点位分布图</w:t>
      </w:r>
    </w:p>
    <w:p>
      <w:pPr>
        <w:adjustRightInd w:val="0"/>
        <w:snapToGrid w:val="0"/>
        <w:spacing w:line="360" w:lineRule="auto"/>
        <w:ind w:firstLine="480" w:firstLineChars="200"/>
        <w:jc w:val="left"/>
        <w:rPr>
          <w:rFonts w:hint="eastAsia" w:ascii="黑体" w:hAnsi="黑体" w:eastAsia="黑体" w:cs="黑体"/>
          <w:b w:val="0"/>
          <w:bCs/>
          <w:color w:val="auto"/>
          <w:sz w:val="24"/>
          <w:szCs w:val="24"/>
          <w:highlight w:val="none"/>
        </w:rPr>
      </w:pPr>
      <w:bookmarkStart w:id="112" w:name="_Toc77098078"/>
      <w:bookmarkStart w:id="113" w:name="_Toc14410"/>
      <w:bookmarkStart w:id="114" w:name="_Toc405999538"/>
      <w:r>
        <w:rPr>
          <w:rFonts w:hint="eastAsia" w:ascii="黑体" w:hAnsi="黑体" w:eastAsia="黑体" w:cs="黑体"/>
          <w:b w:val="0"/>
          <w:bCs/>
          <w:color w:val="auto"/>
          <w:sz w:val="24"/>
          <w:szCs w:val="24"/>
          <w:highlight w:val="none"/>
          <w:lang w:val="en-US" w:eastAsia="zh-CN"/>
        </w:rPr>
        <w:t>3、</w:t>
      </w:r>
      <w:r>
        <w:rPr>
          <w:rFonts w:hint="eastAsia" w:ascii="黑体" w:hAnsi="黑体" w:eastAsia="黑体" w:cs="黑体"/>
          <w:b w:val="0"/>
          <w:bCs/>
          <w:color w:val="auto"/>
          <w:sz w:val="24"/>
          <w:szCs w:val="24"/>
          <w:highlight w:val="none"/>
        </w:rPr>
        <w:t>监测结果汇总</w:t>
      </w:r>
      <w:bookmarkEnd w:id="112"/>
      <w:bookmarkEnd w:id="113"/>
      <w:bookmarkEnd w:id="114"/>
    </w:p>
    <w:p>
      <w:pPr>
        <w:adjustRightInd w:val="0"/>
        <w:snapToGrid w:val="0"/>
        <w:spacing w:line="360" w:lineRule="auto"/>
        <w:ind w:firstLine="480" w:firstLineChars="200"/>
        <w:rPr>
          <w:color w:val="auto"/>
          <w:sz w:val="24"/>
          <w:highlight w:val="none"/>
        </w:rPr>
      </w:pPr>
      <w:r>
        <w:rPr>
          <w:color w:val="auto"/>
          <w:sz w:val="24"/>
          <w:highlight w:val="none"/>
        </w:rPr>
        <w:t>环境空气质量监测结果统计汇总见表</w:t>
      </w:r>
      <w:r>
        <w:rPr>
          <w:rFonts w:hint="eastAsia"/>
          <w:color w:val="auto"/>
          <w:sz w:val="24"/>
          <w:highlight w:val="none"/>
          <w:lang w:eastAsia="zh-CN"/>
        </w:rPr>
        <w:t>3.6</w:t>
      </w:r>
      <w:r>
        <w:rPr>
          <w:color w:val="auto"/>
          <w:sz w:val="24"/>
          <w:highlight w:val="none"/>
        </w:rPr>
        <w:t>-</w:t>
      </w:r>
      <w:r>
        <w:rPr>
          <w:rFonts w:hint="eastAsia"/>
          <w:color w:val="auto"/>
          <w:sz w:val="24"/>
          <w:highlight w:val="none"/>
        </w:rPr>
        <w:t>4</w:t>
      </w:r>
      <w:r>
        <w:rPr>
          <w:color w:val="auto"/>
          <w:sz w:val="24"/>
          <w:highlight w:val="none"/>
        </w:rPr>
        <w:t>。</w:t>
      </w:r>
    </w:p>
    <w:p>
      <w:pPr>
        <w:pStyle w:val="73"/>
        <w:adjustRightInd w:val="0"/>
        <w:snapToGrid w:val="0"/>
        <w:spacing w:line="240" w:lineRule="auto"/>
        <w:rPr>
          <w:bCs/>
          <w:color w:val="auto"/>
          <w:szCs w:val="21"/>
          <w:highlight w:val="none"/>
        </w:rPr>
      </w:pPr>
      <w:r>
        <w:rPr>
          <w:bCs/>
          <w:color w:val="auto"/>
          <w:sz w:val="24"/>
          <w:szCs w:val="24"/>
          <w:highlight w:val="none"/>
        </w:rPr>
        <w:t>表</w:t>
      </w:r>
      <w:r>
        <w:rPr>
          <w:rFonts w:hint="eastAsia"/>
          <w:bCs/>
          <w:color w:val="auto"/>
          <w:sz w:val="24"/>
          <w:szCs w:val="24"/>
          <w:highlight w:val="none"/>
          <w:lang w:eastAsia="zh-CN"/>
        </w:rPr>
        <w:t>3.6</w:t>
      </w:r>
      <w:r>
        <w:rPr>
          <w:bCs/>
          <w:color w:val="auto"/>
          <w:sz w:val="24"/>
          <w:szCs w:val="24"/>
          <w:highlight w:val="none"/>
        </w:rPr>
        <w:t>-</w:t>
      </w:r>
      <w:r>
        <w:rPr>
          <w:rFonts w:hint="eastAsia"/>
          <w:bCs/>
          <w:color w:val="auto"/>
          <w:sz w:val="24"/>
          <w:szCs w:val="24"/>
          <w:highlight w:val="none"/>
        </w:rPr>
        <w:t>4</w:t>
      </w:r>
      <w:r>
        <w:rPr>
          <w:bCs/>
          <w:color w:val="auto"/>
          <w:sz w:val="24"/>
          <w:szCs w:val="24"/>
          <w:highlight w:val="none"/>
        </w:rPr>
        <w:t xml:space="preserve"> </w:t>
      </w:r>
      <w:r>
        <w:rPr>
          <w:rFonts w:hint="eastAsia"/>
          <w:bCs/>
          <w:color w:val="auto"/>
          <w:sz w:val="24"/>
          <w:szCs w:val="24"/>
          <w:highlight w:val="none"/>
        </w:rPr>
        <w:t xml:space="preserve"> </w:t>
      </w:r>
      <w:r>
        <w:rPr>
          <w:color w:val="auto"/>
          <w:kern w:val="0"/>
          <w:sz w:val="24"/>
          <w:szCs w:val="24"/>
          <w:highlight w:val="none"/>
          <w:lang w:val="zh-CN"/>
        </w:rPr>
        <w:t>环</w:t>
      </w:r>
      <w:r>
        <w:rPr>
          <w:color w:val="auto"/>
          <w:kern w:val="0"/>
          <w:sz w:val="24"/>
          <w:highlight w:val="none"/>
          <w:lang w:val="zh-CN"/>
        </w:rPr>
        <w:t>境空气质量监测</w:t>
      </w:r>
      <w:r>
        <w:rPr>
          <w:bCs/>
          <w:color w:val="auto"/>
          <w:szCs w:val="21"/>
          <w:highlight w:val="none"/>
        </w:rPr>
        <w:t>统计结果  单位：mg/m</w:t>
      </w:r>
      <w:r>
        <w:rPr>
          <w:bCs/>
          <w:color w:val="auto"/>
          <w:szCs w:val="21"/>
          <w:highlight w:val="none"/>
          <w:vertAlign w:val="superscript"/>
        </w:rPr>
        <w:t>3</w:t>
      </w:r>
      <w:r>
        <w:rPr>
          <w:rFonts w:hint="eastAsia"/>
          <w:bCs/>
          <w:color w:val="auto"/>
          <w:szCs w:val="21"/>
          <w:highlight w:val="none"/>
        </w:rPr>
        <w:t xml:space="preserve"> </w:t>
      </w:r>
    </w:p>
    <w:tbl>
      <w:tblPr>
        <w:tblStyle w:val="36"/>
        <w:tblW w:w="9117" w:type="dxa"/>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794"/>
        <w:gridCol w:w="869"/>
        <w:gridCol w:w="1231"/>
        <w:gridCol w:w="1208"/>
        <w:gridCol w:w="686"/>
        <w:gridCol w:w="758"/>
        <w:gridCol w:w="1266"/>
        <w:gridCol w:w="815"/>
        <w:gridCol w:w="680"/>
        <w:gridCol w:w="810"/>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794" w:type="dxa"/>
            <w:vMerge w:val="restart"/>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检测点位</w:t>
            </w:r>
          </w:p>
        </w:tc>
        <w:tc>
          <w:tcPr>
            <w:tcW w:w="869" w:type="dxa"/>
            <w:vMerge w:val="restart"/>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项目</w:t>
            </w:r>
          </w:p>
        </w:tc>
        <w:tc>
          <w:tcPr>
            <w:tcW w:w="3883" w:type="dxa"/>
            <w:gridSpan w:val="4"/>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小时浓度(mg/m</w:t>
            </w:r>
            <w:r>
              <w:rPr>
                <w:color w:val="auto"/>
                <w:kern w:val="0"/>
                <w:szCs w:val="21"/>
                <w:highlight w:val="none"/>
                <w:vertAlign w:val="superscript"/>
              </w:rPr>
              <w:t>3</w:t>
            </w:r>
            <w:r>
              <w:rPr>
                <w:color w:val="auto"/>
                <w:kern w:val="0"/>
                <w:szCs w:val="21"/>
                <w:highlight w:val="none"/>
              </w:rPr>
              <w:t>)</w:t>
            </w:r>
          </w:p>
        </w:tc>
        <w:tc>
          <w:tcPr>
            <w:tcW w:w="3571" w:type="dxa"/>
            <w:gridSpan w:val="4"/>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日均浓度(mg/m</w:t>
            </w:r>
            <w:r>
              <w:rPr>
                <w:color w:val="auto"/>
                <w:kern w:val="0"/>
                <w:szCs w:val="21"/>
                <w:highlight w:val="none"/>
                <w:vertAlign w:val="superscript"/>
              </w:rPr>
              <w:t>3</w:t>
            </w:r>
            <w:r>
              <w:rPr>
                <w:color w:val="auto"/>
                <w:kern w:val="0"/>
                <w:szCs w:val="21"/>
                <w:highlight w:val="none"/>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794" w:type="dxa"/>
            <w:vMerge w:val="continue"/>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p>
        </w:tc>
        <w:tc>
          <w:tcPr>
            <w:tcW w:w="869" w:type="dxa"/>
            <w:vMerge w:val="continue"/>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p>
        </w:tc>
        <w:tc>
          <w:tcPr>
            <w:tcW w:w="1231"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浓度范围</w:t>
            </w:r>
          </w:p>
        </w:tc>
        <w:tc>
          <w:tcPr>
            <w:tcW w:w="1208"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标准值</w:t>
            </w:r>
          </w:p>
        </w:tc>
        <w:tc>
          <w:tcPr>
            <w:tcW w:w="686"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超标率%</w:t>
            </w:r>
          </w:p>
        </w:tc>
        <w:tc>
          <w:tcPr>
            <w:tcW w:w="758"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最大超标倍数</w:t>
            </w:r>
          </w:p>
        </w:tc>
        <w:tc>
          <w:tcPr>
            <w:tcW w:w="1266"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浓度范围</w:t>
            </w:r>
          </w:p>
        </w:tc>
        <w:tc>
          <w:tcPr>
            <w:tcW w:w="815"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标准值</w:t>
            </w:r>
          </w:p>
        </w:tc>
        <w:tc>
          <w:tcPr>
            <w:tcW w:w="680"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超标率%</w:t>
            </w:r>
          </w:p>
        </w:tc>
        <w:tc>
          <w:tcPr>
            <w:tcW w:w="810"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最大超标倍数</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794" w:type="dxa"/>
            <w:vMerge w:val="restart"/>
            <w:shd w:val="clear" w:color="auto" w:fill="auto"/>
            <w:vAlign w:val="center"/>
          </w:tcPr>
          <w:p>
            <w:pPr>
              <w:jc w:val="center"/>
              <w:rPr>
                <w:rFonts w:hint="eastAsia" w:eastAsia="宋体"/>
                <w:color w:val="auto"/>
                <w:szCs w:val="21"/>
                <w:highlight w:val="none"/>
                <w:lang w:val="en-US" w:eastAsia="zh-CN"/>
              </w:rPr>
            </w:pPr>
            <w:r>
              <w:rPr>
                <w:rFonts w:hint="eastAsia"/>
                <w:color w:val="auto"/>
                <w:szCs w:val="21"/>
                <w:highlight w:val="none"/>
              </w:rPr>
              <w:t>东盐滩社区</w:t>
            </w:r>
            <w:r>
              <w:rPr>
                <w:rFonts w:hint="eastAsia"/>
                <w:bCs/>
                <w:color w:val="auto"/>
                <w:szCs w:val="21"/>
                <w:highlight w:val="none"/>
                <w:lang w:val="en-US" w:eastAsia="zh-CN"/>
              </w:rPr>
              <w:t>G1</w:t>
            </w:r>
          </w:p>
        </w:tc>
        <w:tc>
          <w:tcPr>
            <w:tcW w:w="869" w:type="dxa"/>
            <w:shd w:val="clear" w:color="auto" w:fill="auto"/>
            <w:vAlign w:val="center"/>
          </w:tcPr>
          <w:p>
            <w:pPr>
              <w:jc w:val="center"/>
              <w:rPr>
                <w:color w:val="auto"/>
                <w:szCs w:val="21"/>
                <w:highlight w:val="none"/>
              </w:rPr>
            </w:pPr>
            <w:r>
              <w:rPr>
                <w:color w:val="auto"/>
                <w:szCs w:val="21"/>
                <w:highlight w:val="none"/>
              </w:rPr>
              <w:t>SO</w:t>
            </w:r>
            <w:r>
              <w:rPr>
                <w:color w:val="auto"/>
                <w:szCs w:val="21"/>
                <w:highlight w:val="none"/>
                <w:vertAlign w:val="subscript"/>
              </w:rPr>
              <w:t>2</w:t>
            </w:r>
          </w:p>
        </w:tc>
        <w:tc>
          <w:tcPr>
            <w:tcW w:w="1231" w:type="dxa"/>
            <w:shd w:val="clear" w:color="auto" w:fill="auto"/>
            <w:vAlign w:val="center"/>
          </w:tcPr>
          <w:p>
            <w:pPr>
              <w:tabs>
                <w:tab w:val="center" w:pos="4166"/>
                <w:tab w:val="center" w:pos="6750"/>
              </w:tabs>
              <w:autoSpaceDE w:val="0"/>
              <w:autoSpaceDN w:val="0"/>
              <w:adjustRightInd w:val="0"/>
              <w:jc w:val="center"/>
              <w:rPr>
                <w:rFonts w:hint="eastAsia" w:eastAsia="宋体"/>
                <w:color w:val="auto"/>
                <w:kern w:val="0"/>
                <w:szCs w:val="21"/>
                <w:highlight w:val="none"/>
                <w:lang w:val="en-US" w:eastAsia="zh-CN"/>
              </w:rPr>
            </w:pPr>
            <w:r>
              <w:rPr>
                <w:color w:val="auto"/>
                <w:kern w:val="0"/>
                <w:szCs w:val="21"/>
                <w:highlight w:val="none"/>
              </w:rPr>
              <w:t>0.0</w:t>
            </w:r>
            <w:r>
              <w:rPr>
                <w:rFonts w:hint="eastAsia"/>
                <w:color w:val="auto"/>
                <w:kern w:val="0"/>
                <w:szCs w:val="21"/>
                <w:highlight w:val="none"/>
                <w:lang w:val="en-US" w:eastAsia="zh-CN"/>
              </w:rPr>
              <w:t>51</w:t>
            </w:r>
            <w:r>
              <w:rPr>
                <w:color w:val="auto"/>
                <w:kern w:val="0"/>
                <w:szCs w:val="21"/>
                <w:highlight w:val="none"/>
              </w:rPr>
              <w:t>-0.0</w:t>
            </w:r>
            <w:r>
              <w:rPr>
                <w:rFonts w:hint="eastAsia"/>
                <w:color w:val="auto"/>
                <w:kern w:val="0"/>
                <w:szCs w:val="21"/>
                <w:highlight w:val="none"/>
                <w:lang w:val="en-US" w:eastAsia="zh-CN"/>
              </w:rPr>
              <w:t>96</w:t>
            </w:r>
          </w:p>
        </w:tc>
        <w:tc>
          <w:tcPr>
            <w:tcW w:w="1208"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0.5</w:t>
            </w:r>
          </w:p>
        </w:tc>
        <w:tc>
          <w:tcPr>
            <w:tcW w:w="686"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0</w:t>
            </w:r>
          </w:p>
        </w:tc>
        <w:tc>
          <w:tcPr>
            <w:tcW w:w="758"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0</w:t>
            </w:r>
          </w:p>
        </w:tc>
        <w:tc>
          <w:tcPr>
            <w:tcW w:w="1266" w:type="dxa"/>
            <w:shd w:val="clear" w:color="auto" w:fill="auto"/>
            <w:vAlign w:val="center"/>
          </w:tcPr>
          <w:p>
            <w:pPr>
              <w:tabs>
                <w:tab w:val="center" w:pos="4166"/>
                <w:tab w:val="center" w:pos="6750"/>
              </w:tabs>
              <w:autoSpaceDE w:val="0"/>
              <w:autoSpaceDN w:val="0"/>
              <w:adjustRightInd w:val="0"/>
              <w:jc w:val="center"/>
              <w:rPr>
                <w:rFonts w:hint="eastAsia" w:eastAsia="宋体"/>
                <w:color w:val="auto"/>
                <w:kern w:val="0"/>
                <w:szCs w:val="21"/>
                <w:highlight w:val="none"/>
                <w:lang w:val="en-US" w:eastAsia="zh-CN"/>
              </w:rPr>
            </w:pPr>
            <w:r>
              <w:rPr>
                <w:color w:val="auto"/>
                <w:kern w:val="0"/>
                <w:szCs w:val="21"/>
                <w:highlight w:val="none"/>
              </w:rPr>
              <w:t>0.0</w:t>
            </w:r>
            <w:r>
              <w:rPr>
                <w:rFonts w:hint="eastAsia"/>
                <w:color w:val="auto"/>
                <w:kern w:val="0"/>
                <w:szCs w:val="21"/>
                <w:highlight w:val="none"/>
                <w:lang w:val="en-US" w:eastAsia="zh-CN"/>
              </w:rPr>
              <w:t>6</w:t>
            </w:r>
            <w:r>
              <w:rPr>
                <w:rFonts w:hint="eastAsia"/>
                <w:color w:val="auto"/>
                <w:kern w:val="0"/>
                <w:szCs w:val="21"/>
                <w:highlight w:val="none"/>
              </w:rPr>
              <w:t>0</w:t>
            </w:r>
            <w:r>
              <w:rPr>
                <w:color w:val="auto"/>
                <w:kern w:val="0"/>
                <w:szCs w:val="21"/>
                <w:highlight w:val="none"/>
              </w:rPr>
              <w:t>-0.0</w:t>
            </w:r>
            <w:r>
              <w:rPr>
                <w:rFonts w:hint="eastAsia"/>
                <w:color w:val="auto"/>
                <w:kern w:val="0"/>
                <w:szCs w:val="21"/>
                <w:highlight w:val="none"/>
                <w:lang w:val="en-US" w:eastAsia="zh-CN"/>
              </w:rPr>
              <w:t>76</w:t>
            </w:r>
          </w:p>
        </w:tc>
        <w:tc>
          <w:tcPr>
            <w:tcW w:w="815"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0.15</w:t>
            </w:r>
          </w:p>
        </w:tc>
        <w:tc>
          <w:tcPr>
            <w:tcW w:w="680"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0</w:t>
            </w:r>
          </w:p>
        </w:tc>
        <w:tc>
          <w:tcPr>
            <w:tcW w:w="810"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794" w:type="dxa"/>
            <w:vMerge w:val="continue"/>
            <w:shd w:val="clear" w:color="auto" w:fill="auto"/>
            <w:vAlign w:val="center"/>
          </w:tcPr>
          <w:p>
            <w:pPr>
              <w:jc w:val="center"/>
              <w:rPr>
                <w:color w:val="auto"/>
                <w:szCs w:val="21"/>
                <w:highlight w:val="none"/>
              </w:rPr>
            </w:pPr>
          </w:p>
        </w:tc>
        <w:tc>
          <w:tcPr>
            <w:tcW w:w="869" w:type="dxa"/>
            <w:shd w:val="clear" w:color="auto" w:fill="auto"/>
            <w:vAlign w:val="center"/>
          </w:tcPr>
          <w:p>
            <w:pPr>
              <w:jc w:val="center"/>
              <w:rPr>
                <w:rFonts w:hint="eastAsia" w:eastAsia="宋体"/>
                <w:color w:val="auto"/>
                <w:szCs w:val="21"/>
                <w:highlight w:val="none"/>
                <w:lang w:eastAsia="zh-CN"/>
              </w:rPr>
            </w:pPr>
            <w:r>
              <w:rPr>
                <w:color w:val="auto"/>
                <w:szCs w:val="21"/>
                <w:highlight w:val="none"/>
              </w:rPr>
              <w:t>NO</w:t>
            </w:r>
            <w:r>
              <w:rPr>
                <w:rFonts w:hint="eastAsia"/>
                <w:color w:val="auto"/>
                <w:szCs w:val="21"/>
                <w:highlight w:val="none"/>
                <w:vertAlign w:val="subscript"/>
                <w:lang w:val="en-US" w:eastAsia="zh-CN"/>
              </w:rPr>
              <w:t>x</w:t>
            </w:r>
          </w:p>
        </w:tc>
        <w:tc>
          <w:tcPr>
            <w:tcW w:w="1231" w:type="dxa"/>
            <w:shd w:val="clear" w:color="auto" w:fill="auto"/>
            <w:vAlign w:val="center"/>
          </w:tcPr>
          <w:p>
            <w:pPr>
              <w:tabs>
                <w:tab w:val="center" w:pos="4166"/>
                <w:tab w:val="center" w:pos="6750"/>
              </w:tabs>
              <w:autoSpaceDE w:val="0"/>
              <w:autoSpaceDN w:val="0"/>
              <w:adjustRightInd w:val="0"/>
              <w:jc w:val="center"/>
              <w:rPr>
                <w:rFonts w:hint="eastAsia" w:eastAsia="宋体"/>
                <w:color w:val="auto"/>
                <w:kern w:val="0"/>
                <w:szCs w:val="21"/>
                <w:highlight w:val="none"/>
                <w:lang w:val="en-US" w:eastAsia="zh-CN"/>
              </w:rPr>
            </w:pPr>
            <w:r>
              <w:rPr>
                <w:color w:val="auto"/>
                <w:kern w:val="0"/>
                <w:szCs w:val="21"/>
                <w:highlight w:val="none"/>
              </w:rPr>
              <w:t>0.0</w:t>
            </w:r>
            <w:r>
              <w:rPr>
                <w:rFonts w:hint="eastAsia"/>
                <w:color w:val="auto"/>
                <w:kern w:val="0"/>
                <w:szCs w:val="21"/>
                <w:highlight w:val="none"/>
                <w:lang w:val="en-US" w:eastAsia="zh-CN"/>
              </w:rPr>
              <w:t>47</w:t>
            </w:r>
            <w:r>
              <w:rPr>
                <w:color w:val="auto"/>
                <w:kern w:val="0"/>
                <w:szCs w:val="21"/>
                <w:highlight w:val="none"/>
              </w:rPr>
              <w:t>-0.0</w:t>
            </w:r>
            <w:r>
              <w:rPr>
                <w:rFonts w:hint="eastAsia"/>
                <w:color w:val="auto"/>
                <w:kern w:val="0"/>
                <w:szCs w:val="21"/>
                <w:highlight w:val="none"/>
                <w:lang w:val="en-US" w:eastAsia="zh-CN"/>
              </w:rPr>
              <w:t>71</w:t>
            </w:r>
          </w:p>
        </w:tc>
        <w:tc>
          <w:tcPr>
            <w:tcW w:w="1208" w:type="dxa"/>
            <w:shd w:val="clear" w:color="auto" w:fill="auto"/>
            <w:vAlign w:val="center"/>
          </w:tcPr>
          <w:p>
            <w:pPr>
              <w:tabs>
                <w:tab w:val="center" w:pos="4166"/>
                <w:tab w:val="center" w:pos="6750"/>
              </w:tabs>
              <w:autoSpaceDE w:val="0"/>
              <w:autoSpaceDN w:val="0"/>
              <w:adjustRightInd w:val="0"/>
              <w:jc w:val="center"/>
              <w:rPr>
                <w:rFonts w:hint="eastAsia" w:eastAsia="宋体"/>
                <w:color w:val="auto"/>
                <w:kern w:val="0"/>
                <w:szCs w:val="21"/>
                <w:highlight w:val="none"/>
                <w:lang w:val="en-US" w:eastAsia="zh-CN"/>
              </w:rPr>
            </w:pPr>
            <w:r>
              <w:rPr>
                <w:color w:val="auto"/>
                <w:kern w:val="0"/>
                <w:szCs w:val="21"/>
                <w:highlight w:val="none"/>
              </w:rPr>
              <w:t>0.2</w:t>
            </w:r>
            <w:r>
              <w:rPr>
                <w:rFonts w:hint="eastAsia"/>
                <w:color w:val="auto"/>
                <w:kern w:val="0"/>
                <w:szCs w:val="21"/>
                <w:highlight w:val="none"/>
                <w:lang w:val="en-US" w:eastAsia="zh-CN"/>
              </w:rPr>
              <w:t>5</w:t>
            </w:r>
          </w:p>
        </w:tc>
        <w:tc>
          <w:tcPr>
            <w:tcW w:w="686"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0</w:t>
            </w:r>
          </w:p>
        </w:tc>
        <w:tc>
          <w:tcPr>
            <w:tcW w:w="758"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0</w:t>
            </w:r>
          </w:p>
        </w:tc>
        <w:tc>
          <w:tcPr>
            <w:tcW w:w="1266" w:type="dxa"/>
            <w:shd w:val="clear" w:color="auto" w:fill="auto"/>
            <w:vAlign w:val="center"/>
          </w:tcPr>
          <w:p>
            <w:pPr>
              <w:tabs>
                <w:tab w:val="center" w:pos="4166"/>
                <w:tab w:val="center" w:pos="6750"/>
              </w:tabs>
              <w:autoSpaceDE w:val="0"/>
              <w:autoSpaceDN w:val="0"/>
              <w:adjustRightInd w:val="0"/>
              <w:jc w:val="center"/>
              <w:rPr>
                <w:rFonts w:hint="eastAsia" w:eastAsia="宋体"/>
                <w:color w:val="auto"/>
                <w:kern w:val="0"/>
                <w:szCs w:val="21"/>
                <w:highlight w:val="none"/>
                <w:lang w:eastAsia="zh-CN"/>
              </w:rPr>
            </w:pPr>
            <w:r>
              <w:rPr>
                <w:color w:val="auto"/>
                <w:kern w:val="0"/>
                <w:szCs w:val="21"/>
                <w:highlight w:val="none"/>
              </w:rPr>
              <w:t>0.05</w:t>
            </w:r>
            <w:r>
              <w:rPr>
                <w:rFonts w:hint="eastAsia"/>
                <w:color w:val="auto"/>
                <w:kern w:val="0"/>
                <w:szCs w:val="21"/>
                <w:highlight w:val="none"/>
                <w:lang w:val="en-US" w:eastAsia="zh-CN"/>
              </w:rPr>
              <w:t>9</w:t>
            </w:r>
            <w:r>
              <w:rPr>
                <w:color w:val="auto"/>
                <w:kern w:val="0"/>
                <w:szCs w:val="21"/>
                <w:highlight w:val="none"/>
              </w:rPr>
              <w:t>-0.06</w:t>
            </w:r>
            <w:r>
              <w:rPr>
                <w:rFonts w:hint="eastAsia"/>
                <w:color w:val="auto"/>
                <w:kern w:val="0"/>
                <w:szCs w:val="21"/>
                <w:highlight w:val="none"/>
                <w:lang w:val="en-US" w:eastAsia="zh-CN"/>
              </w:rPr>
              <w:t>5</w:t>
            </w:r>
          </w:p>
        </w:tc>
        <w:tc>
          <w:tcPr>
            <w:tcW w:w="815" w:type="dxa"/>
            <w:shd w:val="clear" w:color="auto" w:fill="auto"/>
            <w:vAlign w:val="center"/>
          </w:tcPr>
          <w:p>
            <w:pPr>
              <w:tabs>
                <w:tab w:val="center" w:pos="4166"/>
                <w:tab w:val="center" w:pos="6750"/>
              </w:tabs>
              <w:autoSpaceDE w:val="0"/>
              <w:autoSpaceDN w:val="0"/>
              <w:adjustRightInd w:val="0"/>
              <w:jc w:val="center"/>
              <w:rPr>
                <w:rFonts w:hint="eastAsia" w:eastAsia="宋体"/>
                <w:color w:val="auto"/>
                <w:kern w:val="0"/>
                <w:szCs w:val="21"/>
                <w:highlight w:val="none"/>
                <w:lang w:eastAsia="zh-CN"/>
              </w:rPr>
            </w:pPr>
            <w:r>
              <w:rPr>
                <w:color w:val="auto"/>
                <w:kern w:val="0"/>
                <w:szCs w:val="21"/>
                <w:highlight w:val="none"/>
              </w:rPr>
              <w:t>0.</w:t>
            </w:r>
            <w:r>
              <w:rPr>
                <w:rFonts w:hint="eastAsia"/>
                <w:color w:val="auto"/>
                <w:kern w:val="0"/>
                <w:szCs w:val="21"/>
                <w:highlight w:val="none"/>
                <w:lang w:val="en-US" w:eastAsia="zh-CN"/>
              </w:rPr>
              <w:t>1</w:t>
            </w:r>
          </w:p>
        </w:tc>
        <w:tc>
          <w:tcPr>
            <w:tcW w:w="680"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0</w:t>
            </w:r>
          </w:p>
        </w:tc>
        <w:tc>
          <w:tcPr>
            <w:tcW w:w="810"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794" w:type="dxa"/>
            <w:vMerge w:val="continue"/>
            <w:shd w:val="clear" w:color="auto" w:fill="auto"/>
            <w:vAlign w:val="center"/>
          </w:tcPr>
          <w:p>
            <w:pPr>
              <w:jc w:val="center"/>
              <w:rPr>
                <w:color w:val="auto"/>
                <w:szCs w:val="21"/>
                <w:highlight w:val="none"/>
              </w:rPr>
            </w:pPr>
          </w:p>
        </w:tc>
        <w:tc>
          <w:tcPr>
            <w:tcW w:w="869" w:type="dxa"/>
            <w:shd w:val="clear" w:color="auto" w:fill="auto"/>
            <w:vAlign w:val="center"/>
          </w:tcPr>
          <w:p>
            <w:pPr>
              <w:jc w:val="center"/>
              <w:rPr>
                <w:color w:val="auto"/>
                <w:szCs w:val="21"/>
                <w:highlight w:val="none"/>
              </w:rPr>
            </w:pPr>
            <w:r>
              <w:rPr>
                <w:color w:val="auto"/>
                <w:szCs w:val="21"/>
                <w:highlight w:val="none"/>
              </w:rPr>
              <w:t>PM</w:t>
            </w:r>
            <w:r>
              <w:rPr>
                <w:color w:val="auto"/>
                <w:szCs w:val="21"/>
                <w:highlight w:val="none"/>
                <w:vertAlign w:val="subscript"/>
              </w:rPr>
              <w:t>10</w:t>
            </w:r>
          </w:p>
        </w:tc>
        <w:tc>
          <w:tcPr>
            <w:tcW w:w="1231"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w:t>
            </w:r>
          </w:p>
        </w:tc>
        <w:tc>
          <w:tcPr>
            <w:tcW w:w="1208"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w:t>
            </w:r>
          </w:p>
        </w:tc>
        <w:tc>
          <w:tcPr>
            <w:tcW w:w="686"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w:t>
            </w:r>
          </w:p>
        </w:tc>
        <w:tc>
          <w:tcPr>
            <w:tcW w:w="758"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w:t>
            </w:r>
          </w:p>
        </w:tc>
        <w:tc>
          <w:tcPr>
            <w:tcW w:w="1266" w:type="dxa"/>
            <w:shd w:val="clear" w:color="auto" w:fill="auto"/>
            <w:vAlign w:val="center"/>
          </w:tcPr>
          <w:p>
            <w:pPr>
              <w:tabs>
                <w:tab w:val="center" w:pos="4166"/>
                <w:tab w:val="center" w:pos="6750"/>
              </w:tabs>
              <w:autoSpaceDE w:val="0"/>
              <w:autoSpaceDN w:val="0"/>
              <w:adjustRightInd w:val="0"/>
              <w:jc w:val="center"/>
              <w:rPr>
                <w:rFonts w:hint="eastAsia" w:eastAsia="宋体"/>
                <w:color w:val="auto"/>
                <w:kern w:val="0"/>
                <w:szCs w:val="21"/>
                <w:highlight w:val="none"/>
                <w:lang w:val="en-US" w:eastAsia="zh-CN"/>
              </w:rPr>
            </w:pPr>
            <w:r>
              <w:rPr>
                <w:color w:val="auto"/>
                <w:kern w:val="0"/>
                <w:szCs w:val="21"/>
                <w:highlight w:val="none"/>
              </w:rPr>
              <w:t>0.</w:t>
            </w:r>
            <w:r>
              <w:rPr>
                <w:rFonts w:hint="eastAsia"/>
                <w:color w:val="auto"/>
                <w:kern w:val="0"/>
                <w:szCs w:val="21"/>
                <w:highlight w:val="none"/>
              </w:rPr>
              <w:t>1</w:t>
            </w:r>
            <w:r>
              <w:rPr>
                <w:rFonts w:hint="eastAsia"/>
                <w:color w:val="auto"/>
                <w:kern w:val="0"/>
                <w:szCs w:val="21"/>
                <w:highlight w:val="none"/>
                <w:lang w:val="en-US" w:eastAsia="zh-CN"/>
              </w:rPr>
              <w:t>25</w:t>
            </w:r>
            <w:r>
              <w:rPr>
                <w:color w:val="auto"/>
                <w:kern w:val="0"/>
                <w:szCs w:val="21"/>
                <w:highlight w:val="none"/>
              </w:rPr>
              <w:t>-0.</w:t>
            </w:r>
            <w:r>
              <w:rPr>
                <w:rFonts w:hint="eastAsia"/>
                <w:color w:val="auto"/>
                <w:kern w:val="0"/>
                <w:szCs w:val="21"/>
                <w:highlight w:val="none"/>
              </w:rPr>
              <w:t>1</w:t>
            </w:r>
            <w:r>
              <w:rPr>
                <w:rFonts w:hint="eastAsia"/>
                <w:color w:val="auto"/>
                <w:kern w:val="0"/>
                <w:szCs w:val="21"/>
                <w:highlight w:val="none"/>
                <w:lang w:val="en-US" w:eastAsia="zh-CN"/>
              </w:rPr>
              <w:t>34</w:t>
            </w:r>
          </w:p>
        </w:tc>
        <w:tc>
          <w:tcPr>
            <w:tcW w:w="815"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0.15</w:t>
            </w:r>
          </w:p>
        </w:tc>
        <w:tc>
          <w:tcPr>
            <w:tcW w:w="680"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0</w:t>
            </w:r>
          </w:p>
        </w:tc>
        <w:tc>
          <w:tcPr>
            <w:tcW w:w="810"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794" w:type="dxa"/>
            <w:vMerge w:val="continue"/>
            <w:shd w:val="clear" w:color="auto" w:fill="auto"/>
            <w:vAlign w:val="center"/>
          </w:tcPr>
          <w:p>
            <w:pPr>
              <w:jc w:val="center"/>
              <w:rPr>
                <w:color w:val="auto"/>
                <w:szCs w:val="21"/>
                <w:highlight w:val="none"/>
              </w:rPr>
            </w:pPr>
          </w:p>
        </w:tc>
        <w:tc>
          <w:tcPr>
            <w:tcW w:w="869" w:type="dxa"/>
            <w:shd w:val="clear" w:color="auto" w:fill="auto"/>
            <w:vAlign w:val="center"/>
          </w:tcPr>
          <w:p>
            <w:pPr>
              <w:jc w:val="center"/>
              <w:rPr>
                <w:color w:val="auto"/>
                <w:szCs w:val="21"/>
                <w:highlight w:val="none"/>
              </w:rPr>
            </w:pPr>
            <w:r>
              <w:rPr>
                <w:color w:val="auto"/>
                <w:szCs w:val="21"/>
                <w:highlight w:val="none"/>
                <w:lang w:val="zh-CN"/>
              </w:rPr>
              <w:t>PM</w:t>
            </w:r>
            <w:r>
              <w:rPr>
                <w:color w:val="auto"/>
                <w:szCs w:val="21"/>
                <w:highlight w:val="none"/>
                <w:vertAlign w:val="subscript"/>
                <w:lang w:val="zh-CN"/>
              </w:rPr>
              <w:t>2.5</w:t>
            </w:r>
          </w:p>
        </w:tc>
        <w:tc>
          <w:tcPr>
            <w:tcW w:w="1231"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w:t>
            </w:r>
          </w:p>
        </w:tc>
        <w:tc>
          <w:tcPr>
            <w:tcW w:w="1208"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w:t>
            </w:r>
          </w:p>
        </w:tc>
        <w:tc>
          <w:tcPr>
            <w:tcW w:w="686"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w:t>
            </w:r>
          </w:p>
        </w:tc>
        <w:tc>
          <w:tcPr>
            <w:tcW w:w="758"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w:t>
            </w:r>
          </w:p>
        </w:tc>
        <w:tc>
          <w:tcPr>
            <w:tcW w:w="1266" w:type="dxa"/>
            <w:shd w:val="clear" w:color="auto" w:fill="auto"/>
            <w:vAlign w:val="center"/>
          </w:tcPr>
          <w:p>
            <w:pPr>
              <w:tabs>
                <w:tab w:val="center" w:pos="4166"/>
                <w:tab w:val="center" w:pos="6750"/>
              </w:tabs>
              <w:autoSpaceDE w:val="0"/>
              <w:autoSpaceDN w:val="0"/>
              <w:adjustRightInd w:val="0"/>
              <w:jc w:val="center"/>
              <w:rPr>
                <w:rFonts w:hint="eastAsia" w:eastAsia="宋体"/>
                <w:color w:val="auto"/>
                <w:kern w:val="0"/>
                <w:szCs w:val="21"/>
                <w:highlight w:val="none"/>
                <w:lang w:eastAsia="zh-CN"/>
              </w:rPr>
            </w:pPr>
            <w:r>
              <w:rPr>
                <w:color w:val="auto"/>
                <w:kern w:val="0"/>
                <w:szCs w:val="21"/>
                <w:highlight w:val="none"/>
              </w:rPr>
              <w:t>0.0</w:t>
            </w:r>
            <w:r>
              <w:rPr>
                <w:rFonts w:hint="eastAsia"/>
                <w:color w:val="auto"/>
                <w:kern w:val="0"/>
                <w:szCs w:val="21"/>
                <w:highlight w:val="none"/>
                <w:lang w:val="en-US" w:eastAsia="zh-CN"/>
              </w:rPr>
              <w:t>48</w:t>
            </w:r>
            <w:r>
              <w:rPr>
                <w:color w:val="auto"/>
                <w:kern w:val="0"/>
                <w:szCs w:val="21"/>
                <w:highlight w:val="none"/>
              </w:rPr>
              <w:t>-0.06</w:t>
            </w:r>
            <w:r>
              <w:rPr>
                <w:rFonts w:hint="eastAsia"/>
                <w:color w:val="auto"/>
                <w:kern w:val="0"/>
                <w:szCs w:val="21"/>
                <w:highlight w:val="none"/>
                <w:lang w:val="en-US" w:eastAsia="zh-CN"/>
              </w:rPr>
              <w:t>2</w:t>
            </w:r>
          </w:p>
        </w:tc>
        <w:tc>
          <w:tcPr>
            <w:tcW w:w="815"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0.075</w:t>
            </w:r>
          </w:p>
        </w:tc>
        <w:tc>
          <w:tcPr>
            <w:tcW w:w="680"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0</w:t>
            </w:r>
          </w:p>
        </w:tc>
        <w:tc>
          <w:tcPr>
            <w:tcW w:w="810"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794" w:type="dxa"/>
            <w:vMerge w:val="continue"/>
            <w:shd w:val="clear" w:color="auto" w:fill="auto"/>
            <w:vAlign w:val="center"/>
          </w:tcPr>
          <w:p>
            <w:pPr>
              <w:jc w:val="center"/>
              <w:rPr>
                <w:color w:val="auto"/>
                <w:szCs w:val="21"/>
                <w:highlight w:val="none"/>
              </w:rPr>
            </w:pPr>
          </w:p>
        </w:tc>
        <w:tc>
          <w:tcPr>
            <w:tcW w:w="869"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HCl</w:t>
            </w:r>
          </w:p>
        </w:tc>
        <w:tc>
          <w:tcPr>
            <w:tcW w:w="1231" w:type="dxa"/>
            <w:shd w:val="clear" w:color="auto" w:fill="auto"/>
            <w:vAlign w:val="center"/>
          </w:tcPr>
          <w:p>
            <w:pPr>
              <w:tabs>
                <w:tab w:val="center" w:pos="4166"/>
                <w:tab w:val="center" w:pos="6750"/>
              </w:tabs>
              <w:autoSpaceDE w:val="0"/>
              <w:autoSpaceDN w:val="0"/>
              <w:adjustRightInd w:val="0"/>
              <w:jc w:val="center"/>
              <w:rPr>
                <w:rFonts w:hint="eastAsia" w:eastAsia="宋体"/>
                <w:color w:val="auto"/>
                <w:kern w:val="0"/>
                <w:szCs w:val="21"/>
                <w:highlight w:val="none"/>
                <w:lang w:val="en-US" w:eastAsia="zh-CN"/>
              </w:rPr>
            </w:pPr>
            <w:r>
              <w:rPr>
                <w:rFonts w:hint="eastAsia"/>
                <w:color w:val="auto"/>
                <w:kern w:val="0"/>
                <w:szCs w:val="21"/>
                <w:highlight w:val="none"/>
                <w:lang w:val="en-US" w:eastAsia="zh-CN"/>
              </w:rPr>
              <w:t>0.028-0.042</w:t>
            </w:r>
          </w:p>
        </w:tc>
        <w:tc>
          <w:tcPr>
            <w:tcW w:w="1208"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0.05</w:t>
            </w:r>
          </w:p>
        </w:tc>
        <w:tc>
          <w:tcPr>
            <w:tcW w:w="686"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0</w:t>
            </w:r>
          </w:p>
        </w:tc>
        <w:tc>
          <w:tcPr>
            <w:tcW w:w="758"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0</w:t>
            </w:r>
          </w:p>
        </w:tc>
        <w:tc>
          <w:tcPr>
            <w:tcW w:w="1266"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w:t>
            </w:r>
          </w:p>
        </w:tc>
        <w:tc>
          <w:tcPr>
            <w:tcW w:w="815"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w:t>
            </w:r>
          </w:p>
        </w:tc>
        <w:tc>
          <w:tcPr>
            <w:tcW w:w="680"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w:t>
            </w:r>
          </w:p>
        </w:tc>
        <w:tc>
          <w:tcPr>
            <w:tcW w:w="810"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794" w:type="dxa"/>
            <w:vMerge w:val="continue"/>
            <w:shd w:val="clear" w:color="auto" w:fill="auto"/>
            <w:vAlign w:val="center"/>
          </w:tcPr>
          <w:p>
            <w:pPr>
              <w:jc w:val="center"/>
              <w:rPr>
                <w:color w:val="auto"/>
                <w:szCs w:val="21"/>
                <w:highlight w:val="none"/>
              </w:rPr>
            </w:pPr>
          </w:p>
        </w:tc>
        <w:tc>
          <w:tcPr>
            <w:tcW w:w="869"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硫酸雾</w:t>
            </w:r>
          </w:p>
        </w:tc>
        <w:tc>
          <w:tcPr>
            <w:tcW w:w="1231" w:type="dxa"/>
            <w:shd w:val="clear" w:color="auto" w:fill="auto"/>
            <w:vAlign w:val="center"/>
          </w:tcPr>
          <w:p>
            <w:pPr>
              <w:jc w:val="center"/>
              <w:rPr>
                <w:rFonts w:hint="eastAsia" w:eastAsia="宋体"/>
                <w:color w:val="auto"/>
                <w:highlight w:val="none"/>
                <w:lang w:val="en-US" w:eastAsia="zh-CN"/>
              </w:rPr>
            </w:pPr>
            <w:r>
              <w:rPr>
                <w:rFonts w:hint="eastAsia"/>
                <w:color w:val="auto"/>
                <w:kern w:val="0"/>
                <w:szCs w:val="21"/>
                <w:highlight w:val="none"/>
                <w:lang w:val="en-US" w:eastAsia="zh-CN"/>
              </w:rPr>
              <w:t>0.016-0.026</w:t>
            </w:r>
          </w:p>
        </w:tc>
        <w:tc>
          <w:tcPr>
            <w:tcW w:w="1208"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rFonts w:hint="eastAsia"/>
                <w:color w:val="auto"/>
                <w:kern w:val="0"/>
                <w:szCs w:val="21"/>
                <w:highlight w:val="none"/>
              </w:rPr>
              <w:t>0</w:t>
            </w:r>
            <w:r>
              <w:rPr>
                <w:color w:val="auto"/>
                <w:kern w:val="0"/>
                <w:szCs w:val="21"/>
                <w:highlight w:val="none"/>
              </w:rPr>
              <w:t>.3</w:t>
            </w:r>
          </w:p>
        </w:tc>
        <w:tc>
          <w:tcPr>
            <w:tcW w:w="686"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rFonts w:hint="eastAsia"/>
                <w:color w:val="auto"/>
                <w:kern w:val="0"/>
                <w:szCs w:val="21"/>
                <w:highlight w:val="none"/>
              </w:rPr>
              <w:t>0</w:t>
            </w:r>
          </w:p>
        </w:tc>
        <w:tc>
          <w:tcPr>
            <w:tcW w:w="758"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rFonts w:hint="eastAsia"/>
                <w:color w:val="auto"/>
                <w:kern w:val="0"/>
                <w:szCs w:val="21"/>
                <w:highlight w:val="none"/>
              </w:rPr>
              <w:t>0</w:t>
            </w:r>
          </w:p>
        </w:tc>
        <w:tc>
          <w:tcPr>
            <w:tcW w:w="1266"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w:t>
            </w:r>
          </w:p>
        </w:tc>
        <w:tc>
          <w:tcPr>
            <w:tcW w:w="815"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w:t>
            </w:r>
          </w:p>
        </w:tc>
        <w:tc>
          <w:tcPr>
            <w:tcW w:w="680"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w:t>
            </w:r>
          </w:p>
        </w:tc>
        <w:tc>
          <w:tcPr>
            <w:tcW w:w="810"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794" w:type="dxa"/>
            <w:vMerge w:val="continue"/>
            <w:shd w:val="clear" w:color="auto" w:fill="auto"/>
            <w:vAlign w:val="center"/>
          </w:tcPr>
          <w:p>
            <w:pPr>
              <w:jc w:val="center"/>
              <w:rPr>
                <w:color w:val="auto"/>
                <w:szCs w:val="21"/>
                <w:highlight w:val="none"/>
              </w:rPr>
            </w:pPr>
          </w:p>
        </w:tc>
        <w:tc>
          <w:tcPr>
            <w:tcW w:w="869"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铬酸雾</w:t>
            </w:r>
          </w:p>
        </w:tc>
        <w:tc>
          <w:tcPr>
            <w:tcW w:w="1231" w:type="dxa"/>
            <w:shd w:val="clear" w:color="auto" w:fill="auto"/>
            <w:vAlign w:val="center"/>
          </w:tcPr>
          <w:p>
            <w:pPr>
              <w:jc w:val="center"/>
              <w:rPr>
                <w:rFonts w:hint="eastAsia"/>
                <w:color w:val="auto"/>
                <w:kern w:val="0"/>
                <w:szCs w:val="21"/>
                <w:highlight w:val="none"/>
              </w:rPr>
            </w:pPr>
            <w:r>
              <w:rPr>
                <w:rFonts w:hint="eastAsia"/>
                <w:color w:val="auto"/>
                <w:kern w:val="0"/>
                <w:szCs w:val="21"/>
                <w:highlight w:val="none"/>
              </w:rPr>
              <w:t>未检出</w:t>
            </w:r>
          </w:p>
        </w:tc>
        <w:tc>
          <w:tcPr>
            <w:tcW w:w="1208" w:type="dxa"/>
            <w:shd w:val="clear" w:color="auto" w:fill="auto"/>
            <w:vAlign w:val="center"/>
          </w:tcPr>
          <w:p>
            <w:pPr>
              <w:tabs>
                <w:tab w:val="center" w:pos="4166"/>
                <w:tab w:val="center" w:pos="6750"/>
              </w:tabs>
              <w:autoSpaceDE w:val="0"/>
              <w:autoSpaceDN w:val="0"/>
              <w:adjustRightInd w:val="0"/>
              <w:jc w:val="center"/>
              <w:rPr>
                <w:rFonts w:hint="eastAsia"/>
                <w:color w:val="auto"/>
                <w:kern w:val="0"/>
                <w:szCs w:val="21"/>
                <w:highlight w:val="none"/>
              </w:rPr>
            </w:pPr>
            <w:r>
              <w:rPr>
                <w:rFonts w:hint="eastAsia"/>
                <w:color w:val="auto"/>
                <w:kern w:val="0"/>
                <w:szCs w:val="21"/>
                <w:highlight w:val="none"/>
              </w:rPr>
              <w:t>0</w:t>
            </w:r>
            <w:r>
              <w:rPr>
                <w:color w:val="auto"/>
                <w:kern w:val="0"/>
                <w:szCs w:val="21"/>
                <w:highlight w:val="none"/>
              </w:rPr>
              <w:t>.0015</w:t>
            </w:r>
          </w:p>
        </w:tc>
        <w:tc>
          <w:tcPr>
            <w:tcW w:w="686" w:type="dxa"/>
            <w:shd w:val="clear" w:color="auto" w:fill="auto"/>
            <w:vAlign w:val="center"/>
          </w:tcPr>
          <w:p>
            <w:pPr>
              <w:tabs>
                <w:tab w:val="center" w:pos="4166"/>
                <w:tab w:val="center" w:pos="6750"/>
              </w:tabs>
              <w:autoSpaceDE w:val="0"/>
              <w:autoSpaceDN w:val="0"/>
              <w:adjustRightInd w:val="0"/>
              <w:jc w:val="center"/>
              <w:rPr>
                <w:rFonts w:hint="eastAsia"/>
                <w:color w:val="auto"/>
                <w:kern w:val="0"/>
                <w:szCs w:val="21"/>
                <w:highlight w:val="none"/>
              </w:rPr>
            </w:pPr>
            <w:r>
              <w:rPr>
                <w:rFonts w:hint="eastAsia"/>
                <w:color w:val="auto"/>
                <w:kern w:val="0"/>
                <w:szCs w:val="21"/>
                <w:highlight w:val="none"/>
              </w:rPr>
              <w:t>0</w:t>
            </w:r>
          </w:p>
        </w:tc>
        <w:tc>
          <w:tcPr>
            <w:tcW w:w="758" w:type="dxa"/>
            <w:shd w:val="clear" w:color="auto" w:fill="auto"/>
            <w:vAlign w:val="center"/>
          </w:tcPr>
          <w:p>
            <w:pPr>
              <w:tabs>
                <w:tab w:val="center" w:pos="4166"/>
                <w:tab w:val="center" w:pos="6750"/>
              </w:tabs>
              <w:autoSpaceDE w:val="0"/>
              <w:autoSpaceDN w:val="0"/>
              <w:adjustRightInd w:val="0"/>
              <w:jc w:val="center"/>
              <w:rPr>
                <w:rFonts w:hint="eastAsia"/>
                <w:color w:val="auto"/>
                <w:kern w:val="0"/>
                <w:szCs w:val="21"/>
                <w:highlight w:val="none"/>
              </w:rPr>
            </w:pPr>
            <w:r>
              <w:rPr>
                <w:rFonts w:hint="eastAsia"/>
                <w:color w:val="auto"/>
                <w:kern w:val="0"/>
                <w:szCs w:val="21"/>
                <w:highlight w:val="none"/>
              </w:rPr>
              <w:t>0</w:t>
            </w:r>
          </w:p>
        </w:tc>
        <w:tc>
          <w:tcPr>
            <w:tcW w:w="1266"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w:t>
            </w:r>
          </w:p>
        </w:tc>
        <w:tc>
          <w:tcPr>
            <w:tcW w:w="815"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w:t>
            </w:r>
          </w:p>
        </w:tc>
        <w:tc>
          <w:tcPr>
            <w:tcW w:w="680"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w:t>
            </w:r>
          </w:p>
        </w:tc>
        <w:tc>
          <w:tcPr>
            <w:tcW w:w="810"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794" w:type="dxa"/>
            <w:vMerge w:val="continue"/>
            <w:shd w:val="clear" w:color="auto" w:fill="auto"/>
            <w:vAlign w:val="center"/>
          </w:tcPr>
          <w:p>
            <w:pPr>
              <w:jc w:val="center"/>
              <w:rPr>
                <w:color w:val="auto"/>
                <w:szCs w:val="21"/>
                <w:highlight w:val="none"/>
              </w:rPr>
            </w:pPr>
          </w:p>
        </w:tc>
        <w:tc>
          <w:tcPr>
            <w:tcW w:w="869" w:type="dxa"/>
            <w:shd w:val="clear" w:color="auto" w:fill="auto"/>
            <w:vAlign w:val="center"/>
          </w:tcPr>
          <w:p>
            <w:pPr>
              <w:tabs>
                <w:tab w:val="center" w:pos="4166"/>
                <w:tab w:val="center" w:pos="6750"/>
              </w:tabs>
              <w:autoSpaceDE w:val="0"/>
              <w:autoSpaceDN w:val="0"/>
              <w:adjustRightInd w:val="0"/>
              <w:jc w:val="center"/>
              <w:rPr>
                <w:rFonts w:hint="eastAsia" w:eastAsia="宋体"/>
                <w:color w:val="auto"/>
                <w:kern w:val="0"/>
                <w:szCs w:val="21"/>
                <w:highlight w:val="none"/>
                <w:lang w:val="en-US" w:eastAsia="zh-CN"/>
              </w:rPr>
            </w:pPr>
            <w:r>
              <w:rPr>
                <w:rFonts w:hint="eastAsia"/>
                <w:color w:val="auto"/>
                <w:kern w:val="0"/>
                <w:szCs w:val="21"/>
                <w:highlight w:val="none"/>
                <w:lang w:val="en-US" w:eastAsia="zh-CN"/>
              </w:rPr>
              <w:t>氨</w:t>
            </w:r>
          </w:p>
        </w:tc>
        <w:tc>
          <w:tcPr>
            <w:tcW w:w="1231" w:type="dxa"/>
            <w:shd w:val="clear" w:color="auto" w:fill="auto"/>
            <w:vAlign w:val="center"/>
          </w:tcPr>
          <w:p>
            <w:pPr>
              <w:jc w:val="center"/>
              <w:rPr>
                <w:rFonts w:hint="eastAsia" w:eastAsia="宋体"/>
                <w:color w:val="auto"/>
                <w:highlight w:val="none"/>
                <w:lang w:val="en-US" w:eastAsia="zh-CN"/>
              </w:rPr>
            </w:pPr>
            <w:r>
              <w:rPr>
                <w:rFonts w:hint="eastAsia"/>
                <w:color w:val="auto"/>
                <w:kern w:val="0"/>
                <w:szCs w:val="21"/>
                <w:highlight w:val="none"/>
                <w:lang w:val="en-US" w:eastAsia="zh-CN"/>
              </w:rPr>
              <w:t>0.01-0.03</w:t>
            </w:r>
          </w:p>
        </w:tc>
        <w:tc>
          <w:tcPr>
            <w:tcW w:w="1208" w:type="dxa"/>
            <w:shd w:val="clear" w:color="auto" w:fill="auto"/>
            <w:vAlign w:val="center"/>
          </w:tcPr>
          <w:p>
            <w:pPr>
              <w:tabs>
                <w:tab w:val="center" w:pos="4166"/>
                <w:tab w:val="center" w:pos="6750"/>
              </w:tabs>
              <w:autoSpaceDE w:val="0"/>
              <w:autoSpaceDN w:val="0"/>
              <w:adjustRightInd w:val="0"/>
              <w:jc w:val="center"/>
              <w:rPr>
                <w:rFonts w:hint="eastAsia" w:eastAsia="宋体"/>
                <w:color w:val="auto"/>
                <w:kern w:val="0"/>
                <w:szCs w:val="21"/>
                <w:highlight w:val="none"/>
                <w:lang w:eastAsia="zh-CN"/>
              </w:rPr>
            </w:pPr>
            <w:r>
              <w:rPr>
                <w:rFonts w:hint="eastAsia"/>
                <w:color w:val="auto"/>
                <w:kern w:val="0"/>
                <w:szCs w:val="21"/>
                <w:highlight w:val="none"/>
              </w:rPr>
              <w:t>0</w:t>
            </w:r>
            <w:r>
              <w:rPr>
                <w:color w:val="auto"/>
                <w:kern w:val="0"/>
                <w:szCs w:val="21"/>
                <w:highlight w:val="none"/>
              </w:rPr>
              <w:t>.</w:t>
            </w:r>
            <w:r>
              <w:rPr>
                <w:rFonts w:hint="eastAsia"/>
                <w:color w:val="auto"/>
                <w:kern w:val="0"/>
                <w:szCs w:val="21"/>
                <w:highlight w:val="none"/>
                <w:lang w:val="en-US" w:eastAsia="zh-CN"/>
              </w:rPr>
              <w:t>2</w:t>
            </w:r>
          </w:p>
        </w:tc>
        <w:tc>
          <w:tcPr>
            <w:tcW w:w="686"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rFonts w:hint="eastAsia"/>
                <w:color w:val="auto"/>
                <w:kern w:val="0"/>
                <w:szCs w:val="21"/>
                <w:highlight w:val="none"/>
              </w:rPr>
              <w:t>0</w:t>
            </w:r>
          </w:p>
        </w:tc>
        <w:tc>
          <w:tcPr>
            <w:tcW w:w="758"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rFonts w:hint="eastAsia"/>
                <w:color w:val="auto"/>
                <w:kern w:val="0"/>
                <w:szCs w:val="21"/>
                <w:highlight w:val="none"/>
              </w:rPr>
              <w:t>0</w:t>
            </w:r>
          </w:p>
        </w:tc>
        <w:tc>
          <w:tcPr>
            <w:tcW w:w="1266"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w:t>
            </w:r>
          </w:p>
        </w:tc>
        <w:tc>
          <w:tcPr>
            <w:tcW w:w="815"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w:t>
            </w:r>
          </w:p>
        </w:tc>
        <w:tc>
          <w:tcPr>
            <w:tcW w:w="680"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w:t>
            </w:r>
          </w:p>
        </w:tc>
        <w:tc>
          <w:tcPr>
            <w:tcW w:w="810"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794" w:type="dxa"/>
            <w:vMerge w:val="restart"/>
            <w:shd w:val="clear" w:color="auto" w:fill="auto"/>
            <w:vAlign w:val="center"/>
          </w:tcPr>
          <w:p>
            <w:pPr>
              <w:jc w:val="center"/>
              <w:rPr>
                <w:rFonts w:hint="eastAsia" w:eastAsia="宋体"/>
                <w:color w:val="auto"/>
                <w:szCs w:val="21"/>
                <w:highlight w:val="none"/>
                <w:lang w:val="en-US" w:eastAsia="zh-CN"/>
              </w:rPr>
            </w:pPr>
            <w:r>
              <w:rPr>
                <w:rFonts w:hint="eastAsia"/>
                <w:color w:val="auto"/>
                <w:szCs w:val="21"/>
                <w:highlight w:val="none"/>
                <w:lang w:eastAsia="zh-CN"/>
              </w:rPr>
              <w:t>项目位置</w:t>
            </w:r>
            <w:r>
              <w:rPr>
                <w:rFonts w:hint="eastAsia"/>
                <w:bCs/>
                <w:color w:val="auto"/>
                <w:szCs w:val="21"/>
                <w:highlight w:val="none"/>
                <w:lang w:val="en-US" w:eastAsia="zh-CN"/>
              </w:rPr>
              <w:t>G2</w:t>
            </w:r>
          </w:p>
        </w:tc>
        <w:tc>
          <w:tcPr>
            <w:tcW w:w="869" w:type="dxa"/>
            <w:shd w:val="clear" w:color="auto" w:fill="auto"/>
            <w:vAlign w:val="center"/>
          </w:tcPr>
          <w:p>
            <w:pPr>
              <w:jc w:val="center"/>
              <w:rPr>
                <w:color w:val="auto"/>
                <w:szCs w:val="21"/>
                <w:highlight w:val="none"/>
              </w:rPr>
            </w:pPr>
            <w:r>
              <w:rPr>
                <w:color w:val="auto"/>
                <w:szCs w:val="21"/>
                <w:highlight w:val="none"/>
              </w:rPr>
              <w:t>SO</w:t>
            </w:r>
            <w:r>
              <w:rPr>
                <w:color w:val="auto"/>
                <w:szCs w:val="21"/>
                <w:highlight w:val="none"/>
                <w:vertAlign w:val="subscript"/>
              </w:rPr>
              <w:t>2</w:t>
            </w:r>
          </w:p>
        </w:tc>
        <w:tc>
          <w:tcPr>
            <w:tcW w:w="1231" w:type="dxa"/>
            <w:shd w:val="clear" w:color="auto" w:fill="auto"/>
            <w:vAlign w:val="center"/>
          </w:tcPr>
          <w:p>
            <w:pPr>
              <w:tabs>
                <w:tab w:val="center" w:pos="4166"/>
                <w:tab w:val="center" w:pos="6750"/>
              </w:tabs>
              <w:autoSpaceDE w:val="0"/>
              <w:autoSpaceDN w:val="0"/>
              <w:adjustRightInd w:val="0"/>
              <w:jc w:val="center"/>
              <w:rPr>
                <w:rFonts w:hint="eastAsia" w:eastAsia="宋体"/>
                <w:color w:val="auto"/>
                <w:kern w:val="0"/>
                <w:szCs w:val="21"/>
                <w:highlight w:val="none"/>
                <w:lang w:val="en-US" w:eastAsia="zh-CN"/>
              </w:rPr>
            </w:pPr>
            <w:r>
              <w:rPr>
                <w:rFonts w:hint="eastAsia"/>
                <w:color w:val="auto"/>
                <w:kern w:val="0"/>
                <w:szCs w:val="21"/>
                <w:highlight w:val="none"/>
              </w:rPr>
              <w:t>0.0</w:t>
            </w:r>
            <w:r>
              <w:rPr>
                <w:rFonts w:hint="eastAsia"/>
                <w:color w:val="auto"/>
                <w:kern w:val="0"/>
                <w:szCs w:val="21"/>
                <w:highlight w:val="none"/>
                <w:lang w:val="en-US" w:eastAsia="zh-CN"/>
              </w:rPr>
              <w:t>73</w:t>
            </w:r>
            <w:r>
              <w:rPr>
                <w:color w:val="auto"/>
                <w:kern w:val="0"/>
                <w:szCs w:val="21"/>
                <w:highlight w:val="none"/>
              </w:rPr>
              <w:t>-0.</w:t>
            </w:r>
            <w:r>
              <w:rPr>
                <w:rFonts w:hint="eastAsia"/>
                <w:color w:val="auto"/>
                <w:kern w:val="0"/>
                <w:szCs w:val="21"/>
                <w:highlight w:val="none"/>
                <w:lang w:val="en-US" w:eastAsia="zh-CN"/>
              </w:rPr>
              <w:t>132</w:t>
            </w:r>
          </w:p>
        </w:tc>
        <w:tc>
          <w:tcPr>
            <w:tcW w:w="1208"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0.5</w:t>
            </w:r>
          </w:p>
        </w:tc>
        <w:tc>
          <w:tcPr>
            <w:tcW w:w="686"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0</w:t>
            </w:r>
          </w:p>
        </w:tc>
        <w:tc>
          <w:tcPr>
            <w:tcW w:w="758"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0</w:t>
            </w:r>
          </w:p>
        </w:tc>
        <w:tc>
          <w:tcPr>
            <w:tcW w:w="1266" w:type="dxa"/>
            <w:shd w:val="clear" w:color="auto" w:fill="auto"/>
            <w:vAlign w:val="center"/>
          </w:tcPr>
          <w:p>
            <w:pPr>
              <w:tabs>
                <w:tab w:val="center" w:pos="4166"/>
                <w:tab w:val="center" w:pos="6750"/>
              </w:tabs>
              <w:autoSpaceDE w:val="0"/>
              <w:autoSpaceDN w:val="0"/>
              <w:adjustRightInd w:val="0"/>
              <w:jc w:val="center"/>
              <w:rPr>
                <w:rFonts w:hint="eastAsia" w:eastAsia="宋体"/>
                <w:color w:val="auto"/>
                <w:kern w:val="0"/>
                <w:szCs w:val="21"/>
                <w:highlight w:val="none"/>
                <w:lang w:val="en-US" w:eastAsia="zh-CN"/>
              </w:rPr>
            </w:pPr>
            <w:r>
              <w:rPr>
                <w:color w:val="auto"/>
                <w:kern w:val="0"/>
                <w:szCs w:val="21"/>
                <w:highlight w:val="none"/>
              </w:rPr>
              <w:t>0.</w:t>
            </w:r>
            <w:r>
              <w:rPr>
                <w:rFonts w:hint="eastAsia"/>
                <w:color w:val="auto"/>
                <w:kern w:val="0"/>
                <w:szCs w:val="21"/>
                <w:highlight w:val="none"/>
                <w:lang w:val="en-US" w:eastAsia="zh-CN"/>
              </w:rPr>
              <w:t>106</w:t>
            </w:r>
            <w:r>
              <w:rPr>
                <w:color w:val="auto"/>
                <w:kern w:val="0"/>
                <w:szCs w:val="21"/>
                <w:highlight w:val="none"/>
              </w:rPr>
              <w:t>-0.</w:t>
            </w:r>
            <w:r>
              <w:rPr>
                <w:rFonts w:hint="eastAsia"/>
                <w:color w:val="auto"/>
                <w:kern w:val="0"/>
                <w:szCs w:val="21"/>
                <w:highlight w:val="none"/>
                <w:lang w:val="en-US" w:eastAsia="zh-CN"/>
              </w:rPr>
              <w:t>120</w:t>
            </w:r>
          </w:p>
        </w:tc>
        <w:tc>
          <w:tcPr>
            <w:tcW w:w="815"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0.15</w:t>
            </w:r>
          </w:p>
        </w:tc>
        <w:tc>
          <w:tcPr>
            <w:tcW w:w="680"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0</w:t>
            </w:r>
          </w:p>
        </w:tc>
        <w:tc>
          <w:tcPr>
            <w:tcW w:w="810"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794" w:type="dxa"/>
            <w:vMerge w:val="continue"/>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p>
        </w:tc>
        <w:tc>
          <w:tcPr>
            <w:tcW w:w="869" w:type="dxa"/>
            <w:shd w:val="clear" w:color="auto" w:fill="auto"/>
            <w:vAlign w:val="center"/>
          </w:tcPr>
          <w:p>
            <w:pPr>
              <w:jc w:val="center"/>
              <w:rPr>
                <w:rFonts w:hint="eastAsia" w:eastAsia="宋体"/>
                <w:color w:val="auto"/>
                <w:szCs w:val="21"/>
                <w:highlight w:val="none"/>
                <w:lang w:eastAsia="zh-CN"/>
              </w:rPr>
            </w:pPr>
            <w:r>
              <w:rPr>
                <w:color w:val="auto"/>
                <w:szCs w:val="21"/>
                <w:highlight w:val="none"/>
              </w:rPr>
              <w:t>NO</w:t>
            </w:r>
            <w:r>
              <w:rPr>
                <w:rFonts w:hint="eastAsia"/>
                <w:color w:val="auto"/>
                <w:szCs w:val="21"/>
                <w:highlight w:val="none"/>
                <w:vertAlign w:val="subscript"/>
                <w:lang w:val="en-US" w:eastAsia="zh-CN"/>
              </w:rPr>
              <w:t>x</w:t>
            </w:r>
          </w:p>
        </w:tc>
        <w:tc>
          <w:tcPr>
            <w:tcW w:w="1231" w:type="dxa"/>
            <w:shd w:val="clear" w:color="auto" w:fill="auto"/>
            <w:vAlign w:val="center"/>
          </w:tcPr>
          <w:p>
            <w:pPr>
              <w:tabs>
                <w:tab w:val="center" w:pos="4166"/>
                <w:tab w:val="center" w:pos="6750"/>
              </w:tabs>
              <w:autoSpaceDE w:val="0"/>
              <w:autoSpaceDN w:val="0"/>
              <w:adjustRightInd w:val="0"/>
              <w:jc w:val="center"/>
              <w:rPr>
                <w:rFonts w:hint="eastAsia" w:eastAsia="宋体"/>
                <w:color w:val="auto"/>
                <w:kern w:val="0"/>
                <w:szCs w:val="21"/>
                <w:highlight w:val="none"/>
                <w:lang w:val="en-US" w:eastAsia="zh-CN"/>
              </w:rPr>
            </w:pPr>
            <w:r>
              <w:rPr>
                <w:color w:val="auto"/>
                <w:kern w:val="0"/>
                <w:szCs w:val="21"/>
                <w:highlight w:val="none"/>
              </w:rPr>
              <w:t>0.0</w:t>
            </w:r>
            <w:r>
              <w:rPr>
                <w:rFonts w:hint="eastAsia"/>
                <w:color w:val="auto"/>
                <w:kern w:val="0"/>
                <w:szCs w:val="21"/>
                <w:highlight w:val="none"/>
                <w:lang w:val="en-US" w:eastAsia="zh-CN"/>
              </w:rPr>
              <w:t>63</w:t>
            </w:r>
            <w:r>
              <w:rPr>
                <w:color w:val="auto"/>
                <w:kern w:val="0"/>
                <w:szCs w:val="21"/>
                <w:highlight w:val="none"/>
              </w:rPr>
              <w:t>-0.0</w:t>
            </w:r>
            <w:r>
              <w:rPr>
                <w:rFonts w:hint="eastAsia"/>
                <w:color w:val="auto"/>
                <w:kern w:val="0"/>
                <w:szCs w:val="21"/>
                <w:highlight w:val="none"/>
                <w:lang w:val="en-US" w:eastAsia="zh-CN"/>
              </w:rPr>
              <w:t>80</w:t>
            </w:r>
          </w:p>
        </w:tc>
        <w:tc>
          <w:tcPr>
            <w:tcW w:w="1208" w:type="dxa"/>
            <w:shd w:val="clear" w:color="auto" w:fill="auto"/>
            <w:vAlign w:val="center"/>
          </w:tcPr>
          <w:p>
            <w:pPr>
              <w:tabs>
                <w:tab w:val="center" w:pos="4166"/>
                <w:tab w:val="center" w:pos="6750"/>
              </w:tabs>
              <w:autoSpaceDE w:val="0"/>
              <w:autoSpaceDN w:val="0"/>
              <w:adjustRightInd w:val="0"/>
              <w:jc w:val="center"/>
              <w:rPr>
                <w:rFonts w:hint="eastAsia" w:eastAsia="宋体"/>
                <w:color w:val="auto"/>
                <w:kern w:val="0"/>
                <w:szCs w:val="21"/>
                <w:highlight w:val="none"/>
                <w:lang w:val="en-US" w:eastAsia="zh-CN"/>
              </w:rPr>
            </w:pPr>
            <w:r>
              <w:rPr>
                <w:color w:val="auto"/>
                <w:kern w:val="0"/>
                <w:szCs w:val="21"/>
                <w:highlight w:val="none"/>
              </w:rPr>
              <w:t>0.2</w:t>
            </w:r>
            <w:r>
              <w:rPr>
                <w:rFonts w:hint="eastAsia"/>
                <w:color w:val="auto"/>
                <w:kern w:val="0"/>
                <w:szCs w:val="21"/>
                <w:highlight w:val="none"/>
                <w:lang w:val="en-US" w:eastAsia="zh-CN"/>
              </w:rPr>
              <w:t>5</w:t>
            </w:r>
          </w:p>
        </w:tc>
        <w:tc>
          <w:tcPr>
            <w:tcW w:w="686"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0</w:t>
            </w:r>
          </w:p>
        </w:tc>
        <w:tc>
          <w:tcPr>
            <w:tcW w:w="758"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0</w:t>
            </w:r>
          </w:p>
        </w:tc>
        <w:tc>
          <w:tcPr>
            <w:tcW w:w="1266" w:type="dxa"/>
            <w:shd w:val="clear" w:color="auto" w:fill="auto"/>
            <w:vAlign w:val="center"/>
          </w:tcPr>
          <w:p>
            <w:pPr>
              <w:tabs>
                <w:tab w:val="center" w:pos="4166"/>
                <w:tab w:val="center" w:pos="6750"/>
              </w:tabs>
              <w:autoSpaceDE w:val="0"/>
              <w:autoSpaceDN w:val="0"/>
              <w:adjustRightInd w:val="0"/>
              <w:jc w:val="center"/>
              <w:rPr>
                <w:rFonts w:hint="eastAsia" w:eastAsia="宋体"/>
                <w:color w:val="auto"/>
                <w:kern w:val="0"/>
                <w:szCs w:val="21"/>
                <w:highlight w:val="none"/>
                <w:lang w:val="en-US" w:eastAsia="zh-CN"/>
              </w:rPr>
            </w:pPr>
            <w:r>
              <w:rPr>
                <w:color w:val="auto"/>
                <w:kern w:val="0"/>
                <w:szCs w:val="21"/>
                <w:highlight w:val="none"/>
              </w:rPr>
              <w:t>0.0</w:t>
            </w:r>
            <w:r>
              <w:rPr>
                <w:rFonts w:hint="eastAsia"/>
                <w:color w:val="auto"/>
                <w:kern w:val="0"/>
                <w:szCs w:val="21"/>
                <w:highlight w:val="none"/>
                <w:lang w:val="en-US" w:eastAsia="zh-CN"/>
              </w:rPr>
              <w:t>68</w:t>
            </w:r>
            <w:r>
              <w:rPr>
                <w:color w:val="auto"/>
                <w:kern w:val="0"/>
                <w:szCs w:val="21"/>
                <w:highlight w:val="none"/>
              </w:rPr>
              <w:t>-0.0</w:t>
            </w:r>
            <w:r>
              <w:rPr>
                <w:rFonts w:hint="eastAsia"/>
                <w:color w:val="auto"/>
                <w:kern w:val="0"/>
                <w:szCs w:val="21"/>
                <w:highlight w:val="none"/>
                <w:lang w:val="en-US" w:eastAsia="zh-CN"/>
              </w:rPr>
              <w:t>75</w:t>
            </w:r>
          </w:p>
        </w:tc>
        <w:tc>
          <w:tcPr>
            <w:tcW w:w="815" w:type="dxa"/>
            <w:shd w:val="clear" w:color="auto" w:fill="auto"/>
            <w:vAlign w:val="center"/>
          </w:tcPr>
          <w:p>
            <w:pPr>
              <w:tabs>
                <w:tab w:val="center" w:pos="4166"/>
                <w:tab w:val="center" w:pos="6750"/>
              </w:tabs>
              <w:autoSpaceDE w:val="0"/>
              <w:autoSpaceDN w:val="0"/>
              <w:adjustRightInd w:val="0"/>
              <w:jc w:val="center"/>
              <w:rPr>
                <w:rFonts w:hint="eastAsia" w:eastAsia="宋体"/>
                <w:color w:val="auto"/>
                <w:kern w:val="0"/>
                <w:szCs w:val="21"/>
                <w:highlight w:val="none"/>
                <w:lang w:eastAsia="zh-CN"/>
              </w:rPr>
            </w:pPr>
            <w:r>
              <w:rPr>
                <w:color w:val="auto"/>
                <w:kern w:val="0"/>
                <w:szCs w:val="21"/>
                <w:highlight w:val="none"/>
              </w:rPr>
              <w:t>0.</w:t>
            </w:r>
            <w:r>
              <w:rPr>
                <w:rFonts w:hint="eastAsia"/>
                <w:color w:val="auto"/>
                <w:kern w:val="0"/>
                <w:szCs w:val="21"/>
                <w:highlight w:val="none"/>
                <w:lang w:val="en-US" w:eastAsia="zh-CN"/>
              </w:rPr>
              <w:t>1</w:t>
            </w:r>
          </w:p>
        </w:tc>
        <w:tc>
          <w:tcPr>
            <w:tcW w:w="680"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0</w:t>
            </w:r>
          </w:p>
        </w:tc>
        <w:tc>
          <w:tcPr>
            <w:tcW w:w="810"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794" w:type="dxa"/>
            <w:vMerge w:val="continue"/>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p>
        </w:tc>
        <w:tc>
          <w:tcPr>
            <w:tcW w:w="869" w:type="dxa"/>
            <w:shd w:val="clear" w:color="auto" w:fill="auto"/>
            <w:vAlign w:val="center"/>
          </w:tcPr>
          <w:p>
            <w:pPr>
              <w:jc w:val="center"/>
              <w:rPr>
                <w:color w:val="auto"/>
                <w:szCs w:val="21"/>
                <w:highlight w:val="none"/>
              </w:rPr>
            </w:pPr>
            <w:r>
              <w:rPr>
                <w:color w:val="auto"/>
                <w:szCs w:val="21"/>
                <w:highlight w:val="none"/>
              </w:rPr>
              <w:t>PM</w:t>
            </w:r>
            <w:r>
              <w:rPr>
                <w:color w:val="auto"/>
                <w:szCs w:val="21"/>
                <w:highlight w:val="none"/>
                <w:vertAlign w:val="subscript"/>
              </w:rPr>
              <w:t>10</w:t>
            </w:r>
          </w:p>
        </w:tc>
        <w:tc>
          <w:tcPr>
            <w:tcW w:w="1231"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w:t>
            </w:r>
          </w:p>
        </w:tc>
        <w:tc>
          <w:tcPr>
            <w:tcW w:w="1208"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w:t>
            </w:r>
          </w:p>
        </w:tc>
        <w:tc>
          <w:tcPr>
            <w:tcW w:w="686"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w:t>
            </w:r>
          </w:p>
        </w:tc>
        <w:tc>
          <w:tcPr>
            <w:tcW w:w="758"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w:t>
            </w:r>
          </w:p>
        </w:tc>
        <w:tc>
          <w:tcPr>
            <w:tcW w:w="1266" w:type="dxa"/>
            <w:shd w:val="clear" w:color="auto" w:fill="auto"/>
            <w:vAlign w:val="center"/>
          </w:tcPr>
          <w:p>
            <w:pPr>
              <w:tabs>
                <w:tab w:val="center" w:pos="4166"/>
                <w:tab w:val="center" w:pos="6750"/>
              </w:tabs>
              <w:autoSpaceDE w:val="0"/>
              <w:autoSpaceDN w:val="0"/>
              <w:adjustRightInd w:val="0"/>
              <w:jc w:val="center"/>
              <w:rPr>
                <w:rFonts w:hint="eastAsia" w:eastAsia="宋体"/>
                <w:color w:val="auto"/>
                <w:kern w:val="0"/>
                <w:szCs w:val="21"/>
                <w:highlight w:val="none"/>
                <w:lang w:val="en-US" w:eastAsia="zh-CN"/>
              </w:rPr>
            </w:pPr>
            <w:r>
              <w:rPr>
                <w:color w:val="auto"/>
                <w:kern w:val="0"/>
                <w:szCs w:val="21"/>
                <w:highlight w:val="none"/>
              </w:rPr>
              <w:t>0.123-0.1</w:t>
            </w:r>
            <w:r>
              <w:rPr>
                <w:rFonts w:hint="eastAsia"/>
                <w:color w:val="auto"/>
                <w:kern w:val="0"/>
                <w:szCs w:val="21"/>
                <w:highlight w:val="none"/>
                <w:lang w:val="en-US" w:eastAsia="zh-CN"/>
              </w:rPr>
              <w:t>34</w:t>
            </w:r>
          </w:p>
        </w:tc>
        <w:tc>
          <w:tcPr>
            <w:tcW w:w="815"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0.15</w:t>
            </w:r>
          </w:p>
        </w:tc>
        <w:tc>
          <w:tcPr>
            <w:tcW w:w="680"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0</w:t>
            </w:r>
          </w:p>
        </w:tc>
        <w:tc>
          <w:tcPr>
            <w:tcW w:w="810"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794" w:type="dxa"/>
            <w:vMerge w:val="continue"/>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p>
        </w:tc>
        <w:tc>
          <w:tcPr>
            <w:tcW w:w="869" w:type="dxa"/>
            <w:shd w:val="clear" w:color="auto" w:fill="auto"/>
            <w:vAlign w:val="center"/>
          </w:tcPr>
          <w:p>
            <w:pPr>
              <w:jc w:val="center"/>
              <w:rPr>
                <w:color w:val="auto"/>
                <w:szCs w:val="21"/>
                <w:highlight w:val="none"/>
              </w:rPr>
            </w:pPr>
            <w:r>
              <w:rPr>
                <w:color w:val="auto"/>
                <w:szCs w:val="21"/>
                <w:highlight w:val="none"/>
                <w:lang w:val="zh-CN"/>
              </w:rPr>
              <w:t>PM</w:t>
            </w:r>
            <w:r>
              <w:rPr>
                <w:color w:val="auto"/>
                <w:szCs w:val="21"/>
                <w:highlight w:val="none"/>
                <w:vertAlign w:val="subscript"/>
                <w:lang w:val="zh-CN"/>
              </w:rPr>
              <w:t>2.5</w:t>
            </w:r>
          </w:p>
        </w:tc>
        <w:tc>
          <w:tcPr>
            <w:tcW w:w="1231"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w:t>
            </w:r>
          </w:p>
        </w:tc>
        <w:tc>
          <w:tcPr>
            <w:tcW w:w="1208"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p>
        </w:tc>
        <w:tc>
          <w:tcPr>
            <w:tcW w:w="686"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w:t>
            </w:r>
          </w:p>
        </w:tc>
        <w:tc>
          <w:tcPr>
            <w:tcW w:w="758"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w:t>
            </w:r>
          </w:p>
        </w:tc>
        <w:tc>
          <w:tcPr>
            <w:tcW w:w="1266"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0.0</w:t>
            </w:r>
            <w:r>
              <w:rPr>
                <w:rFonts w:hint="eastAsia"/>
                <w:color w:val="auto"/>
                <w:kern w:val="0"/>
                <w:szCs w:val="21"/>
                <w:highlight w:val="none"/>
                <w:lang w:val="en-US" w:eastAsia="zh-CN"/>
              </w:rPr>
              <w:t>64</w:t>
            </w:r>
            <w:r>
              <w:rPr>
                <w:color w:val="auto"/>
                <w:kern w:val="0"/>
                <w:szCs w:val="21"/>
                <w:highlight w:val="none"/>
              </w:rPr>
              <w:t>-0.0</w:t>
            </w:r>
            <w:r>
              <w:rPr>
                <w:rFonts w:hint="eastAsia"/>
                <w:color w:val="auto"/>
                <w:kern w:val="0"/>
                <w:szCs w:val="21"/>
                <w:highlight w:val="none"/>
                <w:lang w:val="en-US" w:eastAsia="zh-CN"/>
              </w:rPr>
              <w:t>7</w:t>
            </w:r>
            <w:r>
              <w:rPr>
                <w:color w:val="auto"/>
                <w:kern w:val="0"/>
                <w:szCs w:val="21"/>
                <w:highlight w:val="none"/>
              </w:rPr>
              <w:t>3</w:t>
            </w:r>
          </w:p>
        </w:tc>
        <w:tc>
          <w:tcPr>
            <w:tcW w:w="815"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0.075</w:t>
            </w:r>
          </w:p>
        </w:tc>
        <w:tc>
          <w:tcPr>
            <w:tcW w:w="680"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0</w:t>
            </w:r>
          </w:p>
        </w:tc>
        <w:tc>
          <w:tcPr>
            <w:tcW w:w="810"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794" w:type="dxa"/>
            <w:vMerge w:val="continue"/>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p>
        </w:tc>
        <w:tc>
          <w:tcPr>
            <w:tcW w:w="869"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HCl</w:t>
            </w:r>
          </w:p>
        </w:tc>
        <w:tc>
          <w:tcPr>
            <w:tcW w:w="1231"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lang w:val="en-US"/>
              </w:rPr>
            </w:pPr>
            <w:r>
              <w:rPr>
                <w:rFonts w:hint="eastAsia"/>
                <w:color w:val="auto"/>
                <w:kern w:val="0"/>
                <w:szCs w:val="21"/>
                <w:highlight w:val="none"/>
                <w:lang w:val="en-US" w:eastAsia="zh-CN"/>
              </w:rPr>
              <w:t>0.038-0.051</w:t>
            </w:r>
          </w:p>
        </w:tc>
        <w:tc>
          <w:tcPr>
            <w:tcW w:w="1208"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0.05</w:t>
            </w:r>
          </w:p>
        </w:tc>
        <w:tc>
          <w:tcPr>
            <w:tcW w:w="686"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0</w:t>
            </w:r>
          </w:p>
        </w:tc>
        <w:tc>
          <w:tcPr>
            <w:tcW w:w="758"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0</w:t>
            </w:r>
          </w:p>
        </w:tc>
        <w:tc>
          <w:tcPr>
            <w:tcW w:w="1266"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w:t>
            </w:r>
          </w:p>
        </w:tc>
        <w:tc>
          <w:tcPr>
            <w:tcW w:w="815"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p>
        </w:tc>
        <w:tc>
          <w:tcPr>
            <w:tcW w:w="680"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w:t>
            </w:r>
          </w:p>
        </w:tc>
        <w:tc>
          <w:tcPr>
            <w:tcW w:w="810"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794" w:type="dxa"/>
            <w:vMerge w:val="continue"/>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p>
        </w:tc>
        <w:tc>
          <w:tcPr>
            <w:tcW w:w="869"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硫酸雾</w:t>
            </w:r>
          </w:p>
        </w:tc>
        <w:tc>
          <w:tcPr>
            <w:tcW w:w="1231" w:type="dxa"/>
            <w:shd w:val="clear" w:color="auto" w:fill="auto"/>
            <w:vAlign w:val="center"/>
          </w:tcPr>
          <w:p>
            <w:pPr>
              <w:tabs>
                <w:tab w:val="center" w:pos="4166"/>
                <w:tab w:val="center" w:pos="6750"/>
              </w:tabs>
              <w:autoSpaceDE w:val="0"/>
              <w:autoSpaceDN w:val="0"/>
              <w:adjustRightInd w:val="0"/>
              <w:jc w:val="center"/>
              <w:rPr>
                <w:rFonts w:hint="eastAsia" w:eastAsia="宋体"/>
                <w:color w:val="auto"/>
                <w:kern w:val="0"/>
                <w:szCs w:val="21"/>
                <w:highlight w:val="none"/>
                <w:lang w:val="en-US" w:eastAsia="zh-CN"/>
              </w:rPr>
            </w:pPr>
            <w:r>
              <w:rPr>
                <w:rFonts w:hint="eastAsia"/>
                <w:color w:val="auto"/>
                <w:kern w:val="0"/>
                <w:szCs w:val="21"/>
                <w:highlight w:val="none"/>
                <w:lang w:val="en-US" w:eastAsia="zh-CN"/>
              </w:rPr>
              <w:t>0.027-0.036</w:t>
            </w:r>
          </w:p>
        </w:tc>
        <w:tc>
          <w:tcPr>
            <w:tcW w:w="1208"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rFonts w:hint="eastAsia"/>
                <w:color w:val="auto"/>
                <w:kern w:val="0"/>
                <w:szCs w:val="21"/>
                <w:highlight w:val="none"/>
              </w:rPr>
              <w:t>0</w:t>
            </w:r>
            <w:r>
              <w:rPr>
                <w:color w:val="auto"/>
                <w:kern w:val="0"/>
                <w:szCs w:val="21"/>
                <w:highlight w:val="none"/>
              </w:rPr>
              <w:t>.3</w:t>
            </w:r>
          </w:p>
        </w:tc>
        <w:tc>
          <w:tcPr>
            <w:tcW w:w="686"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rFonts w:hint="eastAsia"/>
                <w:color w:val="auto"/>
                <w:kern w:val="0"/>
                <w:szCs w:val="21"/>
                <w:highlight w:val="none"/>
              </w:rPr>
              <w:t>0</w:t>
            </w:r>
          </w:p>
        </w:tc>
        <w:tc>
          <w:tcPr>
            <w:tcW w:w="758"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rFonts w:hint="eastAsia"/>
                <w:color w:val="auto"/>
                <w:kern w:val="0"/>
                <w:szCs w:val="21"/>
                <w:highlight w:val="none"/>
              </w:rPr>
              <w:t>0</w:t>
            </w:r>
          </w:p>
        </w:tc>
        <w:tc>
          <w:tcPr>
            <w:tcW w:w="1266"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w:t>
            </w:r>
          </w:p>
        </w:tc>
        <w:tc>
          <w:tcPr>
            <w:tcW w:w="815"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p>
        </w:tc>
        <w:tc>
          <w:tcPr>
            <w:tcW w:w="680"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w:t>
            </w:r>
          </w:p>
        </w:tc>
        <w:tc>
          <w:tcPr>
            <w:tcW w:w="810"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794" w:type="dxa"/>
            <w:vMerge w:val="continue"/>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p>
        </w:tc>
        <w:tc>
          <w:tcPr>
            <w:tcW w:w="869"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铬酸雾</w:t>
            </w:r>
          </w:p>
        </w:tc>
        <w:tc>
          <w:tcPr>
            <w:tcW w:w="1231" w:type="dxa"/>
            <w:shd w:val="clear" w:color="auto" w:fill="auto"/>
            <w:vAlign w:val="center"/>
          </w:tcPr>
          <w:p>
            <w:pPr>
              <w:tabs>
                <w:tab w:val="center" w:pos="4166"/>
                <w:tab w:val="center" w:pos="6750"/>
              </w:tabs>
              <w:autoSpaceDE w:val="0"/>
              <w:autoSpaceDN w:val="0"/>
              <w:adjustRightInd w:val="0"/>
              <w:jc w:val="center"/>
              <w:rPr>
                <w:rFonts w:hint="eastAsia"/>
                <w:color w:val="auto"/>
                <w:kern w:val="0"/>
                <w:szCs w:val="21"/>
                <w:highlight w:val="none"/>
              </w:rPr>
            </w:pPr>
            <w:r>
              <w:rPr>
                <w:rFonts w:hint="eastAsia"/>
                <w:color w:val="auto"/>
                <w:kern w:val="0"/>
                <w:szCs w:val="21"/>
                <w:highlight w:val="none"/>
              </w:rPr>
              <w:t>未检出</w:t>
            </w:r>
          </w:p>
        </w:tc>
        <w:tc>
          <w:tcPr>
            <w:tcW w:w="1208" w:type="dxa"/>
            <w:shd w:val="clear" w:color="auto" w:fill="auto"/>
            <w:vAlign w:val="center"/>
          </w:tcPr>
          <w:p>
            <w:pPr>
              <w:tabs>
                <w:tab w:val="center" w:pos="4166"/>
                <w:tab w:val="center" w:pos="6750"/>
              </w:tabs>
              <w:autoSpaceDE w:val="0"/>
              <w:autoSpaceDN w:val="0"/>
              <w:adjustRightInd w:val="0"/>
              <w:jc w:val="center"/>
              <w:rPr>
                <w:rFonts w:hint="eastAsia"/>
                <w:color w:val="auto"/>
                <w:kern w:val="0"/>
                <w:szCs w:val="21"/>
                <w:highlight w:val="none"/>
              </w:rPr>
            </w:pPr>
            <w:r>
              <w:rPr>
                <w:rFonts w:hint="eastAsia"/>
                <w:color w:val="auto"/>
                <w:kern w:val="0"/>
                <w:szCs w:val="21"/>
                <w:highlight w:val="none"/>
              </w:rPr>
              <w:t>0</w:t>
            </w:r>
            <w:r>
              <w:rPr>
                <w:color w:val="auto"/>
                <w:kern w:val="0"/>
                <w:szCs w:val="21"/>
                <w:highlight w:val="none"/>
              </w:rPr>
              <w:t>.0015</w:t>
            </w:r>
          </w:p>
        </w:tc>
        <w:tc>
          <w:tcPr>
            <w:tcW w:w="686" w:type="dxa"/>
            <w:shd w:val="clear" w:color="auto" w:fill="auto"/>
            <w:vAlign w:val="center"/>
          </w:tcPr>
          <w:p>
            <w:pPr>
              <w:tabs>
                <w:tab w:val="center" w:pos="4166"/>
                <w:tab w:val="center" w:pos="6750"/>
              </w:tabs>
              <w:autoSpaceDE w:val="0"/>
              <w:autoSpaceDN w:val="0"/>
              <w:adjustRightInd w:val="0"/>
              <w:jc w:val="center"/>
              <w:rPr>
                <w:rFonts w:hint="eastAsia"/>
                <w:color w:val="auto"/>
                <w:kern w:val="0"/>
                <w:szCs w:val="21"/>
                <w:highlight w:val="none"/>
              </w:rPr>
            </w:pPr>
            <w:r>
              <w:rPr>
                <w:rFonts w:hint="eastAsia"/>
                <w:color w:val="auto"/>
                <w:kern w:val="0"/>
                <w:szCs w:val="21"/>
                <w:highlight w:val="none"/>
              </w:rPr>
              <w:t>0</w:t>
            </w:r>
          </w:p>
        </w:tc>
        <w:tc>
          <w:tcPr>
            <w:tcW w:w="758" w:type="dxa"/>
            <w:shd w:val="clear" w:color="auto" w:fill="auto"/>
            <w:vAlign w:val="center"/>
          </w:tcPr>
          <w:p>
            <w:pPr>
              <w:tabs>
                <w:tab w:val="center" w:pos="4166"/>
                <w:tab w:val="center" w:pos="6750"/>
              </w:tabs>
              <w:autoSpaceDE w:val="0"/>
              <w:autoSpaceDN w:val="0"/>
              <w:adjustRightInd w:val="0"/>
              <w:jc w:val="center"/>
              <w:rPr>
                <w:rFonts w:hint="eastAsia"/>
                <w:color w:val="auto"/>
                <w:kern w:val="0"/>
                <w:szCs w:val="21"/>
                <w:highlight w:val="none"/>
              </w:rPr>
            </w:pPr>
            <w:r>
              <w:rPr>
                <w:rFonts w:hint="eastAsia"/>
                <w:color w:val="auto"/>
                <w:kern w:val="0"/>
                <w:szCs w:val="21"/>
                <w:highlight w:val="none"/>
              </w:rPr>
              <w:t>0</w:t>
            </w:r>
          </w:p>
        </w:tc>
        <w:tc>
          <w:tcPr>
            <w:tcW w:w="1266"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w:t>
            </w:r>
          </w:p>
        </w:tc>
        <w:tc>
          <w:tcPr>
            <w:tcW w:w="815"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w:t>
            </w:r>
          </w:p>
        </w:tc>
        <w:tc>
          <w:tcPr>
            <w:tcW w:w="680"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w:t>
            </w:r>
          </w:p>
        </w:tc>
        <w:tc>
          <w:tcPr>
            <w:tcW w:w="810"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794" w:type="dxa"/>
            <w:vMerge w:val="continue"/>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p>
        </w:tc>
        <w:tc>
          <w:tcPr>
            <w:tcW w:w="869" w:type="dxa"/>
            <w:shd w:val="clear" w:color="auto" w:fill="auto"/>
            <w:vAlign w:val="center"/>
          </w:tcPr>
          <w:p>
            <w:pPr>
              <w:tabs>
                <w:tab w:val="center" w:pos="4166"/>
                <w:tab w:val="center" w:pos="6750"/>
              </w:tabs>
              <w:autoSpaceDE w:val="0"/>
              <w:autoSpaceDN w:val="0"/>
              <w:adjustRightInd w:val="0"/>
              <w:jc w:val="center"/>
              <w:rPr>
                <w:rFonts w:hint="eastAsia" w:eastAsia="宋体"/>
                <w:color w:val="auto"/>
                <w:kern w:val="0"/>
                <w:szCs w:val="21"/>
                <w:highlight w:val="none"/>
                <w:lang w:val="en-US" w:eastAsia="zh-CN"/>
              </w:rPr>
            </w:pPr>
            <w:r>
              <w:rPr>
                <w:rFonts w:hint="eastAsia"/>
                <w:color w:val="auto"/>
                <w:kern w:val="0"/>
                <w:szCs w:val="21"/>
                <w:highlight w:val="none"/>
                <w:lang w:val="en-US" w:eastAsia="zh-CN"/>
              </w:rPr>
              <w:t>氨</w:t>
            </w:r>
          </w:p>
        </w:tc>
        <w:tc>
          <w:tcPr>
            <w:tcW w:w="1231" w:type="dxa"/>
            <w:shd w:val="clear" w:color="auto" w:fill="auto"/>
            <w:vAlign w:val="center"/>
          </w:tcPr>
          <w:p>
            <w:pPr>
              <w:tabs>
                <w:tab w:val="center" w:pos="4166"/>
                <w:tab w:val="center" w:pos="6750"/>
              </w:tabs>
              <w:autoSpaceDE w:val="0"/>
              <w:autoSpaceDN w:val="0"/>
              <w:adjustRightInd w:val="0"/>
              <w:jc w:val="center"/>
              <w:rPr>
                <w:rFonts w:hint="eastAsia" w:eastAsia="宋体"/>
                <w:color w:val="auto"/>
                <w:kern w:val="0"/>
                <w:szCs w:val="21"/>
                <w:highlight w:val="none"/>
                <w:lang w:val="en-US" w:eastAsia="zh-CN"/>
              </w:rPr>
            </w:pPr>
            <w:r>
              <w:rPr>
                <w:rFonts w:hint="eastAsia"/>
                <w:color w:val="auto"/>
                <w:kern w:val="0"/>
                <w:szCs w:val="21"/>
                <w:highlight w:val="none"/>
                <w:lang w:val="en-US" w:eastAsia="zh-CN"/>
              </w:rPr>
              <w:t>0.02-0.07</w:t>
            </w:r>
          </w:p>
        </w:tc>
        <w:tc>
          <w:tcPr>
            <w:tcW w:w="1208"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rFonts w:hint="eastAsia"/>
                <w:color w:val="auto"/>
                <w:kern w:val="0"/>
                <w:szCs w:val="21"/>
                <w:highlight w:val="none"/>
              </w:rPr>
              <w:t>0</w:t>
            </w:r>
            <w:r>
              <w:rPr>
                <w:color w:val="auto"/>
                <w:kern w:val="0"/>
                <w:szCs w:val="21"/>
                <w:highlight w:val="none"/>
              </w:rPr>
              <w:t>.</w:t>
            </w:r>
            <w:r>
              <w:rPr>
                <w:rFonts w:hint="eastAsia"/>
                <w:color w:val="auto"/>
                <w:kern w:val="0"/>
                <w:szCs w:val="21"/>
                <w:highlight w:val="none"/>
                <w:lang w:val="en-US" w:eastAsia="zh-CN"/>
              </w:rPr>
              <w:t>2</w:t>
            </w:r>
          </w:p>
        </w:tc>
        <w:tc>
          <w:tcPr>
            <w:tcW w:w="686"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rFonts w:hint="eastAsia"/>
                <w:color w:val="auto"/>
                <w:kern w:val="0"/>
                <w:szCs w:val="21"/>
                <w:highlight w:val="none"/>
              </w:rPr>
              <w:t>0</w:t>
            </w:r>
          </w:p>
        </w:tc>
        <w:tc>
          <w:tcPr>
            <w:tcW w:w="758"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rFonts w:hint="eastAsia"/>
                <w:color w:val="auto"/>
                <w:kern w:val="0"/>
                <w:szCs w:val="21"/>
                <w:highlight w:val="none"/>
              </w:rPr>
              <w:t>0</w:t>
            </w:r>
          </w:p>
        </w:tc>
        <w:tc>
          <w:tcPr>
            <w:tcW w:w="1266"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w:t>
            </w:r>
          </w:p>
        </w:tc>
        <w:tc>
          <w:tcPr>
            <w:tcW w:w="815"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p>
        </w:tc>
        <w:tc>
          <w:tcPr>
            <w:tcW w:w="680"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w:t>
            </w:r>
          </w:p>
        </w:tc>
        <w:tc>
          <w:tcPr>
            <w:tcW w:w="810"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794" w:type="dxa"/>
            <w:vMerge w:val="restart"/>
            <w:shd w:val="clear" w:color="auto" w:fill="auto"/>
            <w:vAlign w:val="center"/>
          </w:tcPr>
          <w:p>
            <w:pPr>
              <w:adjustRightInd w:val="0"/>
              <w:snapToGrid w:val="0"/>
              <w:jc w:val="center"/>
              <w:rPr>
                <w:rFonts w:hint="eastAsia" w:eastAsia="宋体"/>
                <w:color w:val="auto"/>
                <w:szCs w:val="21"/>
                <w:highlight w:val="none"/>
                <w:lang w:val="en-US" w:eastAsia="zh-CN"/>
              </w:rPr>
            </w:pPr>
            <w:r>
              <w:rPr>
                <w:rFonts w:hint="eastAsia"/>
                <w:color w:val="auto"/>
                <w:szCs w:val="21"/>
                <w:highlight w:val="none"/>
                <w:lang w:eastAsia="zh-CN"/>
              </w:rPr>
              <w:t>国融大厦</w:t>
            </w:r>
            <w:r>
              <w:rPr>
                <w:rFonts w:hint="eastAsia"/>
                <w:color w:val="auto"/>
                <w:szCs w:val="21"/>
                <w:highlight w:val="none"/>
                <w:lang w:val="en-US" w:eastAsia="zh-CN"/>
              </w:rPr>
              <w:t>G3</w:t>
            </w:r>
          </w:p>
        </w:tc>
        <w:tc>
          <w:tcPr>
            <w:tcW w:w="869" w:type="dxa"/>
            <w:shd w:val="clear" w:color="auto" w:fill="auto"/>
            <w:vAlign w:val="center"/>
          </w:tcPr>
          <w:p>
            <w:pPr>
              <w:jc w:val="center"/>
              <w:rPr>
                <w:color w:val="auto"/>
                <w:szCs w:val="21"/>
                <w:highlight w:val="none"/>
              </w:rPr>
            </w:pPr>
            <w:r>
              <w:rPr>
                <w:color w:val="auto"/>
                <w:szCs w:val="21"/>
                <w:highlight w:val="none"/>
              </w:rPr>
              <w:t>SO</w:t>
            </w:r>
            <w:r>
              <w:rPr>
                <w:color w:val="auto"/>
                <w:szCs w:val="21"/>
                <w:highlight w:val="none"/>
                <w:vertAlign w:val="subscript"/>
              </w:rPr>
              <w:t>2</w:t>
            </w:r>
          </w:p>
        </w:tc>
        <w:tc>
          <w:tcPr>
            <w:tcW w:w="1231" w:type="dxa"/>
            <w:shd w:val="clear" w:color="auto" w:fill="auto"/>
            <w:vAlign w:val="center"/>
          </w:tcPr>
          <w:p>
            <w:pPr>
              <w:tabs>
                <w:tab w:val="center" w:pos="4166"/>
                <w:tab w:val="center" w:pos="6750"/>
              </w:tabs>
              <w:autoSpaceDE w:val="0"/>
              <w:autoSpaceDN w:val="0"/>
              <w:adjustRightInd w:val="0"/>
              <w:jc w:val="center"/>
              <w:rPr>
                <w:rFonts w:hint="eastAsia" w:eastAsia="宋体"/>
                <w:color w:val="auto"/>
                <w:kern w:val="0"/>
                <w:szCs w:val="21"/>
                <w:highlight w:val="none"/>
                <w:lang w:val="en-US" w:eastAsia="zh-CN"/>
              </w:rPr>
            </w:pPr>
            <w:r>
              <w:rPr>
                <w:color w:val="auto"/>
                <w:kern w:val="0"/>
                <w:szCs w:val="21"/>
                <w:highlight w:val="none"/>
              </w:rPr>
              <w:t>0.0</w:t>
            </w:r>
            <w:r>
              <w:rPr>
                <w:rFonts w:hint="eastAsia"/>
                <w:color w:val="auto"/>
                <w:kern w:val="0"/>
                <w:szCs w:val="21"/>
                <w:highlight w:val="none"/>
                <w:lang w:val="en-US" w:eastAsia="zh-CN"/>
              </w:rPr>
              <w:t>55</w:t>
            </w:r>
            <w:r>
              <w:rPr>
                <w:color w:val="auto"/>
                <w:kern w:val="0"/>
                <w:szCs w:val="21"/>
                <w:highlight w:val="none"/>
              </w:rPr>
              <w:t>-0.0</w:t>
            </w:r>
            <w:r>
              <w:rPr>
                <w:rFonts w:hint="eastAsia"/>
                <w:color w:val="auto"/>
                <w:kern w:val="0"/>
                <w:szCs w:val="21"/>
                <w:highlight w:val="none"/>
                <w:lang w:val="en-US" w:eastAsia="zh-CN"/>
              </w:rPr>
              <w:t>91</w:t>
            </w:r>
          </w:p>
        </w:tc>
        <w:tc>
          <w:tcPr>
            <w:tcW w:w="1208"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0.5</w:t>
            </w:r>
          </w:p>
        </w:tc>
        <w:tc>
          <w:tcPr>
            <w:tcW w:w="686"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0</w:t>
            </w:r>
          </w:p>
        </w:tc>
        <w:tc>
          <w:tcPr>
            <w:tcW w:w="758"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0</w:t>
            </w:r>
          </w:p>
        </w:tc>
        <w:tc>
          <w:tcPr>
            <w:tcW w:w="1266" w:type="dxa"/>
            <w:shd w:val="clear" w:color="auto" w:fill="auto"/>
            <w:vAlign w:val="center"/>
          </w:tcPr>
          <w:p>
            <w:pPr>
              <w:tabs>
                <w:tab w:val="center" w:pos="4166"/>
                <w:tab w:val="center" w:pos="6750"/>
              </w:tabs>
              <w:autoSpaceDE w:val="0"/>
              <w:autoSpaceDN w:val="0"/>
              <w:adjustRightInd w:val="0"/>
              <w:jc w:val="center"/>
              <w:rPr>
                <w:rFonts w:hint="eastAsia" w:eastAsia="宋体"/>
                <w:color w:val="auto"/>
                <w:kern w:val="0"/>
                <w:szCs w:val="21"/>
                <w:highlight w:val="none"/>
                <w:lang w:val="en-US" w:eastAsia="zh-CN"/>
              </w:rPr>
            </w:pPr>
            <w:r>
              <w:rPr>
                <w:color w:val="auto"/>
                <w:kern w:val="0"/>
                <w:szCs w:val="21"/>
                <w:highlight w:val="none"/>
              </w:rPr>
              <w:t>0.0</w:t>
            </w:r>
            <w:r>
              <w:rPr>
                <w:rFonts w:hint="eastAsia"/>
                <w:color w:val="auto"/>
                <w:kern w:val="0"/>
                <w:szCs w:val="21"/>
                <w:highlight w:val="none"/>
                <w:lang w:val="en-US" w:eastAsia="zh-CN"/>
              </w:rPr>
              <w:t>59</w:t>
            </w:r>
            <w:r>
              <w:rPr>
                <w:color w:val="auto"/>
                <w:kern w:val="0"/>
                <w:szCs w:val="21"/>
                <w:highlight w:val="none"/>
              </w:rPr>
              <w:t>-0.0</w:t>
            </w:r>
            <w:r>
              <w:rPr>
                <w:rFonts w:hint="eastAsia"/>
                <w:color w:val="auto"/>
                <w:kern w:val="0"/>
                <w:szCs w:val="21"/>
                <w:highlight w:val="none"/>
                <w:lang w:val="en-US" w:eastAsia="zh-CN"/>
              </w:rPr>
              <w:t>65</w:t>
            </w:r>
          </w:p>
        </w:tc>
        <w:tc>
          <w:tcPr>
            <w:tcW w:w="815"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0.15</w:t>
            </w:r>
          </w:p>
        </w:tc>
        <w:tc>
          <w:tcPr>
            <w:tcW w:w="680"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0</w:t>
            </w:r>
          </w:p>
        </w:tc>
        <w:tc>
          <w:tcPr>
            <w:tcW w:w="810"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794" w:type="dxa"/>
            <w:vMerge w:val="continue"/>
            <w:shd w:val="clear" w:color="auto" w:fill="auto"/>
            <w:vAlign w:val="center"/>
          </w:tcPr>
          <w:p>
            <w:pPr>
              <w:adjustRightInd w:val="0"/>
              <w:snapToGrid w:val="0"/>
              <w:jc w:val="center"/>
              <w:rPr>
                <w:color w:val="auto"/>
                <w:szCs w:val="21"/>
                <w:highlight w:val="none"/>
              </w:rPr>
            </w:pPr>
          </w:p>
        </w:tc>
        <w:tc>
          <w:tcPr>
            <w:tcW w:w="869" w:type="dxa"/>
            <w:shd w:val="clear" w:color="auto" w:fill="auto"/>
            <w:vAlign w:val="center"/>
          </w:tcPr>
          <w:p>
            <w:pPr>
              <w:jc w:val="center"/>
              <w:rPr>
                <w:rFonts w:hint="eastAsia" w:eastAsia="宋体"/>
                <w:color w:val="auto"/>
                <w:szCs w:val="21"/>
                <w:highlight w:val="none"/>
                <w:lang w:eastAsia="zh-CN"/>
              </w:rPr>
            </w:pPr>
            <w:r>
              <w:rPr>
                <w:color w:val="auto"/>
                <w:szCs w:val="21"/>
                <w:highlight w:val="none"/>
              </w:rPr>
              <w:t>NO</w:t>
            </w:r>
            <w:r>
              <w:rPr>
                <w:rFonts w:hint="eastAsia"/>
                <w:color w:val="auto"/>
                <w:szCs w:val="21"/>
                <w:highlight w:val="none"/>
                <w:vertAlign w:val="subscript"/>
                <w:lang w:val="en-US" w:eastAsia="zh-CN"/>
              </w:rPr>
              <w:t>x</w:t>
            </w:r>
          </w:p>
        </w:tc>
        <w:tc>
          <w:tcPr>
            <w:tcW w:w="1231" w:type="dxa"/>
            <w:shd w:val="clear" w:color="auto" w:fill="auto"/>
            <w:vAlign w:val="center"/>
          </w:tcPr>
          <w:p>
            <w:pPr>
              <w:tabs>
                <w:tab w:val="center" w:pos="4166"/>
                <w:tab w:val="center" w:pos="6750"/>
              </w:tabs>
              <w:autoSpaceDE w:val="0"/>
              <w:autoSpaceDN w:val="0"/>
              <w:adjustRightInd w:val="0"/>
              <w:jc w:val="center"/>
              <w:rPr>
                <w:rFonts w:hint="eastAsia" w:eastAsia="宋体"/>
                <w:color w:val="auto"/>
                <w:kern w:val="0"/>
                <w:szCs w:val="21"/>
                <w:highlight w:val="none"/>
                <w:lang w:eastAsia="zh-CN"/>
              </w:rPr>
            </w:pPr>
            <w:r>
              <w:rPr>
                <w:color w:val="auto"/>
                <w:kern w:val="0"/>
                <w:szCs w:val="21"/>
                <w:highlight w:val="none"/>
              </w:rPr>
              <w:t>0.0</w:t>
            </w:r>
            <w:r>
              <w:rPr>
                <w:rFonts w:hint="eastAsia"/>
                <w:color w:val="auto"/>
                <w:kern w:val="0"/>
                <w:szCs w:val="21"/>
                <w:highlight w:val="none"/>
                <w:lang w:val="en-US" w:eastAsia="zh-CN"/>
              </w:rPr>
              <w:t>50</w:t>
            </w:r>
            <w:r>
              <w:rPr>
                <w:color w:val="auto"/>
                <w:kern w:val="0"/>
                <w:szCs w:val="21"/>
                <w:highlight w:val="none"/>
              </w:rPr>
              <w:t>-0.07</w:t>
            </w:r>
            <w:r>
              <w:rPr>
                <w:rFonts w:hint="eastAsia"/>
                <w:color w:val="auto"/>
                <w:kern w:val="0"/>
                <w:szCs w:val="21"/>
                <w:highlight w:val="none"/>
                <w:lang w:val="en-US" w:eastAsia="zh-CN"/>
              </w:rPr>
              <w:t>2</w:t>
            </w:r>
          </w:p>
        </w:tc>
        <w:tc>
          <w:tcPr>
            <w:tcW w:w="1208" w:type="dxa"/>
            <w:shd w:val="clear" w:color="auto" w:fill="auto"/>
            <w:vAlign w:val="center"/>
          </w:tcPr>
          <w:p>
            <w:pPr>
              <w:tabs>
                <w:tab w:val="center" w:pos="4166"/>
                <w:tab w:val="center" w:pos="6750"/>
              </w:tabs>
              <w:autoSpaceDE w:val="0"/>
              <w:autoSpaceDN w:val="0"/>
              <w:adjustRightInd w:val="0"/>
              <w:jc w:val="center"/>
              <w:rPr>
                <w:rFonts w:hint="eastAsia" w:eastAsia="宋体"/>
                <w:color w:val="auto"/>
                <w:kern w:val="0"/>
                <w:szCs w:val="21"/>
                <w:highlight w:val="none"/>
                <w:lang w:val="en-US" w:eastAsia="zh-CN"/>
              </w:rPr>
            </w:pPr>
            <w:r>
              <w:rPr>
                <w:color w:val="auto"/>
                <w:kern w:val="0"/>
                <w:szCs w:val="21"/>
                <w:highlight w:val="none"/>
              </w:rPr>
              <w:t>0.2</w:t>
            </w:r>
            <w:r>
              <w:rPr>
                <w:rFonts w:hint="eastAsia"/>
                <w:color w:val="auto"/>
                <w:kern w:val="0"/>
                <w:szCs w:val="21"/>
                <w:highlight w:val="none"/>
                <w:lang w:val="en-US" w:eastAsia="zh-CN"/>
              </w:rPr>
              <w:t>5</w:t>
            </w:r>
          </w:p>
        </w:tc>
        <w:tc>
          <w:tcPr>
            <w:tcW w:w="686"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0</w:t>
            </w:r>
          </w:p>
        </w:tc>
        <w:tc>
          <w:tcPr>
            <w:tcW w:w="758"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0</w:t>
            </w:r>
          </w:p>
        </w:tc>
        <w:tc>
          <w:tcPr>
            <w:tcW w:w="1266" w:type="dxa"/>
            <w:shd w:val="clear" w:color="auto" w:fill="auto"/>
            <w:vAlign w:val="center"/>
          </w:tcPr>
          <w:p>
            <w:pPr>
              <w:tabs>
                <w:tab w:val="center" w:pos="4166"/>
                <w:tab w:val="center" w:pos="6750"/>
              </w:tabs>
              <w:autoSpaceDE w:val="0"/>
              <w:autoSpaceDN w:val="0"/>
              <w:adjustRightInd w:val="0"/>
              <w:jc w:val="center"/>
              <w:rPr>
                <w:rFonts w:hint="eastAsia" w:eastAsia="宋体"/>
                <w:color w:val="auto"/>
                <w:kern w:val="0"/>
                <w:szCs w:val="21"/>
                <w:highlight w:val="none"/>
                <w:lang w:eastAsia="zh-CN"/>
              </w:rPr>
            </w:pPr>
            <w:r>
              <w:rPr>
                <w:color w:val="auto"/>
                <w:kern w:val="0"/>
                <w:szCs w:val="21"/>
                <w:highlight w:val="none"/>
              </w:rPr>
              <w:t>0.06</w:t>
            </w:r>
            <w:r>
              <w:rPr>
                <w:rFonts w:hint="eastAsia"/>
                <w:color w:val="auto"/>
                <w:kern w:val="0"/>
                <w:szCs w:val="21"/>
                <w:highlight w:val="none"/>
                <w:lang w:val="en-US" w:eastAsia="zh-CN"/>
              </w:rPr>
              <w:t>0</w:t>
            </w:r>
            <w:r>
              <w:rPr>
                <w:color w:val="auto"/>
                <w:kern w:val="0"/>
                <w:szCs w:val="21"/>
                <w:highlight w:val="none"/>
              </w:rPr>
              <w:t>-0.06</w:t>
            </w:r>
            <w:r>
              <w:rPr>
                <w:rFonts w:hint="eastAsia"/>
                <w:color w:val="auto"/>
                <w:kern w:val="0"/>
                <w:szCs w:val="21"/>
                <w:highlight w:val="none"/>
                <w:lang w:val="en-US" w:eastAsia="zh-CN"/>
              </w:rPr>
              <w:t>3</w:t>
            </w:r>
          </w:p>
        </w:tc>
        <w:tc>
          <w:tcPr>
            <w:tcW w:w="815" w:type="dxa"/>
            <w:shd w:val="clear" w:color="auto" w:fill="auto"/>
            <w:vAlign w:val="center"/>
          </w:tcPr>
          <w:p>
            <w:pPr>
              <w:tabs>
                <w:tab w:val="center" w:pos="4166"/>
                <w:tab w:val="center" w:pos="6750"/>
              </w:tabs>
              <w:autoSpaceDE w:val="0"/>
              <w:autoSpaceDN w:val="0"/>
              <w:adjustRightInd w:val="0"/>
              <w:jc w:val="center"/>
              <w:rPr>
                <w:rFonts w:hint="eastAsia" w:eastAsia="宋体"/>
                <w:color w:val="auto"/>
                <w:kern w:val="0"/>
                <w:szCs w:val="21"/>
                <w:highlight w:val="none"/>
                <w:lang w:eastAsia="zh-CN"/>
              </w:rPr>
            </w:pPr>
            <w:r>
              <w:rPr>
                <w:color w:val="auto"/>
                <w:kern w:val="0"/>
                <w:szCs w:val="21"/>
                <w:highlight w:val="none"/>
              </w:rPr>
              <w:t>0.</w:t>
            </w:r>
            <w:r>
              <w:rPr>
                <w:rFonts w:hint="eastAsia"/>
                <w:color w:val="auto"/>
                <w:kern w:val="0"/>
                <w:szCs w:val="21"/>
                <w:highlight w:val="none"/>
                <w:lang w:val="en-US" w:eastAsia="zh-CN"/>
              </w:rPr>
              <w:t>1</w:t>
            </w:r>
          </w:p>
        </w:tc>
        <w:tc>
          <w:tcPr>
            <w:tcW w:w="680"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0</w:t>
            </w:r>
          </w:p>
        </w:tc>
        <w:tc>
          <w:tcPr>
            <w:tcW w:w="810"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794" w:type="dxa"/>
            <w:vMerge w:val="continue"/>
            <w:shd w:val="clear" w:color="auto" w:fill="auto"/>
            <w:vAlign w:val="center"/>
          </w:tcPr>
          <w:p>
            <w:pPr>
              <w:adjustRightInd w:val="0"/>
              <w:snapToGrid w:val="0"/>
              <w:jc w:val="center"/>
              <w:rPr>
                <w:color w:val="auto"/>
                <w:szCs w:val="21"/>
                <w:highlight w:val="none"/>
              </w:rPr>
            </w:pPr>
          </w:p>
        </w:tc>
        <w:tc>
          <w:tcPr>
            <w:tcW w:w="869" w:type="dxa"/>
            <w:shd w:val="clear" w:color="auto" w:fill="auto"/>
            <w:vAlign w:val="center"/>
          </w:tcPr>
          <w:p>
            <w:pPr>
              <w:jc w:val="center"/>
              <w:rPr>
                <w:color w:val="auto"/>
                <w:szCs w:val="21"/>
                <w:highlight w:val="none"/>
              </w:rPr>
            </w:pPr>
            <w:r>
              <w:rPr>
                <w:color w:val="auto"/>
                <w:szCs w:val="21"/>
                <w:highlight w:val="none"/>
              </w:rPr>
              <w:t>PM</w:t>
            </w:r>
            <w:r>
              <w:rPr>
                <w:color w:val="auto"/>
                <w:szCs w:val="21"/>
                <w:highlight w:val="none"/>
                <w:vertAlign w:val="subscript"/>
              </w:rPr>
              <w:t>10</w:t>
            </w:r>
          </w:p>
        </w:tc>
        <w:tc>
          <w:tcPr>
            <w:tcW w:w="1231"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w:t>
            </w:r>
          </w:p>
        </w:tc>
        <w:tc>
          <w:tcPr>
            <w:tcW w:w="1208"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w:t>
            </w:r>
          </w:p>
        </w:tc>
        <w:tc>
          <w:tcPr>
            <w:tcW w:w="686"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w:t>
            </w:r>
          </w:p>
        </w:tc>
        <w:tc>
          <w:tcPr>
            <w:tcW w:w="758"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w:t>
            </w:r>
          </w:p>
        </w:tc>
        <w:tc>
          <w:tcPr>
            <w:tcW w:w="1266" w:type="dxa"/>
            <w:shd w:val="clear" w:color="auto" w:fill="auto"/>
            <w:vAlign w:val="center"/>
          </w:tcPr>
          <w:p>
            <w:pPr>
              <w:tabs>
                <w:tab w:val="center" w:pos="4166"/>
                <w:tab w:val="center" w:pos="6750"/>
              </w:tabs>
              <w:autoSpaceDE w:val="0"/>
              <w:autoSpaceDN w:val="0"/>
              <w:adjustRightInd w:val="0"/>
              <w:jc w:val="center"/>
              <w:rPr>
                <w:rFonts w:hint="eastAsia" w:eastAsia="宋体"/>
                <w:color w:val="auto"/>
                <w:kern w:val="0"/>
                <w:szCs w:val="21"/>
                <w:highlight w:val="none"/>
                <w:lang w:val="en-US" w:eastAsia="zh-CN"/>
              </w:rPr>
            </w:pPr>
            <w:r>
              <w:rPr>
                <w:color w:val="auto"/>
                <w:kern w:val="0"/>
                <w:szCs w:val="21"/>
                <w:highlight w:val="none"/>
              </w:rPr>
              <w:t>0.</w:t>
            </w:r>
            <w:r>
              <w:rPr>
                <w:rFonts w:hint="eastAsia"/>
                <w:color w:val="auto"/>
                <w:kern w:val="0"/>
                <w:szCs w:val="21"/>
                <w:highlight w:val="none"/>
                <w:lang w:val="en-US" w:eastAsia="zh-CN"/>
              </w:rPr>
              <w:t>094</w:t>
            </w:r>
            <w:r>
              <w:rPr>
                <w:color w:val="auto"/>
                <w:kern w:val="0"/>
                <w:szCs w:val="21"/>
                <w:highlight w:val="none"/>
              </w:rPr>
              <w:t>-0.1</w:t>
            </w:r>
            <w:r>
              <w:rPr>
                <w:rFonts w:hint="eastAsia"/>
                <w:color w:val="auto"/>
                <w:kern w:val="0"/>
                <w:szCs w:val="21"/>
                <w:highlight w:val="none"/>
                <w:lang w:val="en-US" w:eastAsia="zh-CN"/>
              </w:rPr>
              <w:t>28</w:t>
            </w:r>
          </w:p>
        </w:tc>
        <w:tc>
          <w:tcPr>
            <w:tcW w:w="815"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0.15</w:t>
            </w:r>
          </w:p>
        </w:tc>
        <w:tc>
          <w:tcPr>
            <w:tcW w:w="680"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0</w:t>
            </w:r>
          </w:p>
        </w:tc>
        <w:tc>
          <w:tcPr>
            <w:tcW w:w="810"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794" w:type="dxa"/>
            <w:vMerge w:val="continue"/>
            <w:shd w:val="clear" w:color="auto" w:fill="auto"/>
            <w:vAlign w:val="center"/>
          </w:tcPr>
          <w:p>
            <w:pPr>
              <w:adjustRightInd w:val="0"/>
              <w:snapToGrid w:val="0"/>
              <w:jc w:val="center"/>
              <w:rPr>
                <w:color w:val="auto"/>
                <w:szCs w:val="21"/>
                <w:highlight w:val="none"/>
              </w:rPr>
            </w:pPr>
          </w:p>
        </w:tc>
        <w:tc>
          <w:tcPr>
            <w:tcW w:w="869" w:type="dxa"/>
            <w:shd w:val="clear" w:color="auto" w:fill="auto"/>
            <w:vAlign w:val="center"/>
          </w:tcPr>
          <w:p>
            <w:pPr>
              <w:jc w:val="center"/>
              <w:rPr>
                <w:color w:val="auto"/>
                <w:szCs w:val="21"/>
                <w:highlight w:val="none"/>
              </w:rPr>
            </w:pPr>
            <w:r>
              <w:rPr>
                <w:color w:val="auto"/>
                <w:szCs w:val="21"/>
                <w:highlight w:val="none"/>
                <w:lang w:val="zh-CN"/>
              </w:rPr>
              <w:t>PM</w:t>
            </w:r>
            <w:r>
              <w:rPr>
                <w:color w:val="auto"/>
                <w:szCs w:val="21"/>
                <w:highlight w:val="none"/>
                <w:vertAlign w:val="subscript"/>
                <w:lang w:val="zh-CN"/>
              </w:rPr>
              <w:t>2.5</w:t>
            </w:r>
          </w:p>
        </w:tc>
        <w:tc>
          <w:tcPr>
            <w:tcW w:w="1231"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w:t>
            </w:r>
          </w:p>
        </w:tc>
        <w:tc>
          <w:tcPr>
            <w:tcW w:w="1208"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w:t>
            </w:r>
          </w:p>
        </w:tc>
        <w:tc>
          <w:tcPr>
            <w:tcW w:w="686"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w:t>
            </w:r>
          </w:p>
        </w:tc>
        <w:tc>
          <w:tcPr>
            <w:tcW w:w="758"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w:t>
            </w:r>
          </w:p>
        </w:tc>
        <w:tc>
          <w:tcPr>
            <w:tcW w:w="1266" w:type="dxa"/>
            <w:shd w:val="clear" w:color="auto" w:fill="auto"/>
            <w:vAlign w:val="center"/>
          </w:tcPr>
          <w:p>
            <w:pPr>
              <w:tabs>
                <w:tab w:val="center" w:pos="4166"/>
                <w:tab w:val="center" w:pos="6750"/>
              </w:tabs>
              <w:autoSpaceDE w:val="0"/>
              <w:autoSpaceDN w:val="0"/>
              <w:adjustRightInd w:val="0"/>
              <w:jc w:val="center"/>
              <w:rPr>
                <w:rFonts w:hint="eastAsia" w:eastAsia="宋体"/>
                <w:color w:val="auto"/>
                <w:kern w:val="0"/>
                <w:szCs w:val="21"/>
                <w:highlight w:val="none"/>
                <w:lang w:eastAsia="zh-CN"/>
              </w:rPr>
            </w:pPr>
            <w:r>
              <w:rPr>
                <w:color w:val="auto"/>
                <w:kern w:val="0"/>
                <w:szCs w:val="21"/>
                <w:highlight w:val="none"/>
              </w:rPr>
              <w:t>0.0</w:t>
            </w:r>
            <w:r>
              <w:rPr>
                <w:rFonts w:hint="eastAsia"/>
                <w:color w:val="auto"/>
                <w:kern w:val="0"/>
                <w:szCs w:val="21"/>
                <w:highlight w:val="none"/>
                <w:lang w:val="en-US" w:eastAsia="zh-CN"/>
              </w:rPr>
              <w:t>53</w:t>
            </w:r>
            <w:r>
              <w:rPr>
                <w:color w:val="auto"/>
                <w:kern w:val="0"/>
                <w:szCs w:val="21"/>
                <w:highlight w:val="none"/>
              </w:rPr>
              <w:t>-0.06</w:t>
            </w:r>
            <w:r>
              <w:rPr>
                <w:rFonts w:hint="eastAsia"/>
                <w:color w:val="auto"/>
                <w:kern w:val="0"/>
                <w:szCs w:val="21"/>
                <w:highlight w:val="none"/>
                <w:lang w:val="en-US" w:eastAsia="zh-CN"/>
              </w:rPr>
              <w:t>0</w:t>
            </w:r>
          </w:p>
        </w:tc>
        <w:tc>
          <w:tcPr>
            <w:tcW w:w="815"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0.075</w:t>
            </w:r>
          </w:p>
        </w:tc>
        <w:tc>
          <w:tcPr>
            <w:tcW w:w="680"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0</w:t>
            </w:r>
          </w:p>
        </w:tc>
        <w:tc>
          <w:tcPr>
            <w:tcW w:w="810"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794" w:type="dxa"/>
            <w:vMerge w:val="continue"/>
            <w:shd w:val="clear" w:color="auto" w:fill="auto"/>
            <w:vAlign w:val="center"/>
          </w:tcPr>
          <w:p>
            <w:pPr>
              <w:adjustRightInd w:val="0"/>
              <w:snapToGrid w:val="0"/>
              <w:jc w:val="center"/>
              <w:rPr>
                <w:color w:val="auto"/>
                <w:szCs w:val="21"/>
                <w:highlight w:val="none"/>
              </w:rPr>
            </w:pPr>
          </w:p>
        </w:tc>
        <w:tc>
          <w:tcPr>
            <w:tcW w:w="869"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HCl</w:t>
            </w:r>
          </w:p>
        </w:tc>
        <w:tc>
          <w:tcPr>
            <w:tcW w:w="1231"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lang w:val="en-US"/>
              </w:rPr>
            </w:pPr>
            <w:r>
              <w:rPr>
                <w:rFonts w:hint="eastAsia"/>
                <w:color w:val="auto"/>
                <w:kern w:val="0"/>
                <w:szCs w:val="21"/>
                <w:highlight w:val="none"/>
                <w:lang w:val="en-US" w:eastAsia="zh-CN"/>
              </w:rPr>
              <w:t>0.026-0.037</w:t>
            </w:r>
          </w:p>
        </w:tc>
        <w:tc>
          <w:tcPr>
            <w:tcW w:w="1208"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0.05</w:t>
            </w:r>
          </w:p>
        </w:tc>
        <w:tc>
          <w:tcPr>
            <w:tcW w:w="686"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0</w:t>
            </w:r>
          </w:p>
        </w:tc>
        <w:tc>
          <w:tcPr>
            <w:tcW w:w="758"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0</w:t>
            </w:r>
          </w:p>
        </w:tc>
        <w:tc>
          <w:tcPr>
            <w:tcW w:w="1266"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w:t>
            </w:r>
          </w:p>
        </w:tc>
        <w:tc>
          <w:tcPr>
            <w:tcW w:w="815"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w:t>
            </w:r>
          </w:p>
        </w:tc>
        <w:tc>
          <w:tcPr>
            <w:tcW w:w="680"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w:t>
            </w:r>
          </w:p>
        </w:tc>
        <w:tc>
          <w:tcPr>
            <w:tcW w:w="810"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794" w:type="dxa"/>
            <w:vMerge w:val="continue"/>
            <w:shd w:val="clear" w:color="auto" w:fill="auto"/>
            <w:vAlign w:val="center"/>
          </w:tcPr>
          <w:p>
            <w:pPr>
              <w:adjustRightInd w:val="0"/>
              <w:snapToGrid w:val="0"/>
              <w:jc w:val="center"/>
              <w:rPr>
                <w:color w:val="auto"/>
                <w:szCs w:val="21"/>
                <w:highlight w:val="none"/>
              </w:rPr>
            </w:pPr>
          </w:p>
        </w:tc>
        <w:tc>
          <w:tcPr>
            <w:tcW w:w="869"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硫酸雾</w:t>
            </w:r>
          </w:p>
        </w:tc>
        <w:tc>
          <w:tcPr>
            <w:tcW w:w="1231" w:type="dxa"/>
            <w:shd w:val="clear" w:color="auto" w:fill="auto"/>
            <w:vAlign w:val="center"/>
          </w:tcPr>
          <w:p>
            <w:pPr>
              <w:tabs>
                <w:tab w:val="center" w:pos="4166"/>
                <w:tab w:val="center" w:pos="6750"/>
              </w:tabs>
              <w:autoSpaceDE w:val="0"/>
              <w:autoSpaceDN w:val="0"/>
              <w:adjustRightInd w:val="0"/>
              <w:jc w:val="center"/>
              <w:rPr>
                <w:rFonts w:hint="eastAsia" w:eastAsia="宋体"/>
                <w:color w:val="auto"/>
                <w:kern w:val="0"/>
                <w:szCs w:val="21"/>
                <w:highlight w:val="none"/>
                <w:lang w:val="en-US" w:eastAsia="zh-CN"/>
              </w:rPr>
            </w:pPr>
            <w:r>
              <w:rPr>
                <w:rFonts w:hint="eastAsia"/>
                <w:color w:val="auto"/>
                <w:kern w:val="0"/>
                <w:szCs w:val="21"/>
                <w:highlight w:val="none"/>
                <w:lang w:val="en-US" w:eastAsia="zh-CN"/>
              </w:rPr>
              <w:t>0.017-0.026</w:t>
            </w:r>
          </w:p>
        </w:tc>
        <w:tc>
          <w:tcPr>
            <w:tcW w:w="1208"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rFonts w:hint="eastAsia"/>
                <w:color w:val="auto"/>
                <w:kern w:val="0"/>
                <w:szCs w:val="21"/>
                <w:highlight w:val="none"/>
              </w:rPr>
              <w:t>0</w:t>
            </w:r>
            <w:r>
              <w:rPr>
                <w:color w:val="auto"/>
                <w:kern w:val="0"/>
                <w:szCs w:val="21"/>
                <w:highlight w:val="none"/>
              </w:rPr>
              <w:t>.3</w:t>
            </w:r>
          </w:p>
        </w:tc>
        <w:tc>
          <w:tcPr>
            <w:tcW w:w="686"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rFonts w:hint="eastAsia"/>
                <w:color w:val="auto"/>
                <w:kern w:val="0"/>
                <w:szCs w:val="21"/>
                <w:highlight w:val="none"/>
              </w:rPr>
              <w:t>0</w:t>
            </w:r>
          </w:p>
        </w:tc>
        <w:tc>
          <w:tcPr>
            <w:tcW w:w="758"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rFonts w:hint="eastAsia"/>
                <w:color w:val="auto"/>
                <w:kern w:val="0"/>
                <w:szCs w:val="21"/>
                <w:highlight w:val="none"/>
              </w:rPr>
              <w:t>0</w:t>
            </w:r>
          </w:p>
        </w:tc>
        <w:tc>
          <w:tcPr>
            <w:tcW w:w="1266"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w:t>
            </w:r>
          </w:p>
        </w:tc>
        <w:tc>
          <w:tcPr>
            <w:tcW w:w="815"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w:t>
            </w:r>
          </w:p>
        </w:tc>
        <w:tc>
          <w:tcPr>
            <w:tcW w:w="680"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w:t>
            </w:r>
          </w:p>
        </w:tc>
        <w:tc>
          <w:tcPr>
            <w:tcW w:w="810"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794" w:type="dxa"/>
            <w:vMerge w:val="continue"/>
            <w:shd w:val="clear" w:color="auto" w:fill="auto"/>
            <w:vAlign w:val="center"/>
          </w:tcPr>
          <w:p>
            <w:pPr>
              <w:adjustRightInd w:val="0"/>
              <w:snapToGrid w:val="0"/>
              <w:jc w:val="center"/>
              <w:rPr>
                <w:color w:val="auto"/>
                <w:szCs w:val="21"/>
                <w:highlight w:val="none"/>
              </w:rPr>
            </w:pPr>
          </w:p>
        </w:tc>
        <w:tc>
          <w:tcPr>
            <w:tcW w:w="869"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铬酸雾</w:t>
            </w:r>
          </w:p>
        </w:tc>
        <w:tc>
          <w:tcPr>
            <w:tcW w:w="1231" w:type="dxa"/>
            <w:shd w:val="clear" w:color="auto" w:fill="auto"/>
            <w:vAlign w:val="center"/>
          </w:tcPr>
          <w:p>
            <w:pPr>
              <w:tabs>
                <w:tab w:val="center" w:pos="4166"/>
                <w:tab w:val="center" w:pos="6750"/>
              </w:tabs>
              <w:autoSpaceDE w:val="0"/>
              <w:autoSpaceDN w:val="0"/>
              <w:adjustRightInd w:val="0"/>
              <w:jc w:val="center"/>
              <w:rPr>
                <w:rFonts w:hint="eastAsia"/>
                <w:color w:val="auto"/>
                <w:kern w:val="0"/>
                <w:szCs w:val="21"/>
                <w:highlight w:val="none"/>
              </w:rPr>
            </w:pPr>
            <w:r>
              <w:rPr>
                <w:rFonts w:hint="eastAsia"/>
                <w:color w:val="auto"/>
                <w:kern w:val="0"/>
                <w:szCs w:val="21"/>
                <w:highlight w:val="none"/>
              </w:rPr>
              <w:t>未检出</w:t>
            </w:r>
          </w:p>
        </w:tc>
        <w:tc>
          <w:tcPr>
            <w:tcW w:w="1208" w:type="dxa"/>
            <w:shd w:val="clear" w:color="auto" w:fill="auto"/>
            <w:vAlign w:val="center"/>
          </w:tcPr>
          <w:p>
            <w:pPr>
              <w:tabs>
                <w:tab w:val="center" w:pos="4166"/>
                <w:tab w:val="center" w:pos="6750"/>
              </w:tabs>
              <w:autoSpaceDE w:val="0"/>
              <w:autoSpaceDN w:val="0"/>
              <w:adjustRightInd w:val="0"/>
              <w:jc w:val="center"/>
              <w:rPr>
                <w:rFonts w:hint="eastAsia"/>
                <w:color w:val="auto"/>
                <w:kern w:val="0"/>
                <w:szCs w:val="21"/>
                <w:highlight w:val="none"/>
              </w:rPr>
            </w:pPr>
            <w:r>
              <w:rPr>
                <w:rFonts w:hint="eastAsia"/>
                <w:color w:val="auto"/>
                <w:kern w:val="0"/>
                <w:szCs w:val="21"/>
                <w:highlight w:val="none"/>
              </w:rPr>
              <w:t>0</w:t>
            </w:r>
            <w:r>
              <w:rPr>
                <w:color w:val="auto"/>
                <w:kern w:val="0"/>
                <w:szCs w:val="21"/>
                <w:highlight w:val="none"/>
              </w:rPr>
              <w:t>.0015</w:t>
            </w:r>
          </w:p>
        </w:tc>
        <w:tc>
          <w:tcPr>
            <w:tcW w:w="686" w:type="dxa"/>
            <w:shd w:val="clear" w:color="auto" w:fill="auto"/>
            <w:vAlign w:val="center"/>
          </w:tcPr>
          <w:p>
            <w:pPr>
              <w:tabs>
                <w:tab w:val="center" w:pos="4166"/>
                <w:tab w:val="center" w:pos="6750"/>
              </w:tabs>
              <w:autoSpaceDE w:val="0"/>
              <w:autoSpaceDN w:val="0"/>
              <w:adjustRightInd w:val="0"/>
              <w:jc w:val="center"/>
              <w:rPr>
                <w:rFonts w:hint="eastAsia"/>
                <w:color w:val="auto"/>
                <w:kern w:val="0"/>
                <w:szCs w:val="21"/>
                <w:highlight w:val="none"/>
              </w:rPr>
            </w:pPr>
            <w:r>
              <w:rPr>
                <w:rFonts w:hint="eastAsia"/>
                <w:color w:val="auto"/>
                <w:kern w:val="0"/>
                <w:szCs w:val="21"/>
                <w:highlight w:val="none"/>
              </w:rPr>
              <w:t>0</w:t>
            </w:r>
          </w:p>
        </w:tc>
        <w:tc>
          <w:tcPr>
            <w:tcW w:w="758" w:type="dxa"/>
            <w:shd w:val="clear" w:color="auto" w:fill="auto"/>
            <w:vAlign w:val="center"/>
          </w:tcPr>
          <w:p>
            <w:pPr>
              <w:tabs>
                <w:tab w:val="center" w:pos="4166"/>
                <w:tab w:val="center" w:pos="6750"/>
              </w:tabs>
              <w:autoSpaceDE w:val="0"/>
              <w:autoSpaceDN w:val="0"/>
              <w:adjustRightInd w:val="0"/>
              <w:jc w:val="center"/>
              <w:rPr>
                <w:rFonts w:hint="eastAsia"/>
                <w:color w:val="auto"/>
                <w:kern w:val="0"/>
                <w:szCs w:val="21"/>
                <w:highlight w:val="none"/>
              </w:rPr>
            </w:pPr>
            <w:r>
              <w:rPr>
                <w:rFonts w:hint="eastAsia"/>
                <w:color w:val="auto"/>
                <w:kern w:val="0"/>
                <w:szCs w:val="21"/>
                <w:highlight w:val="none"/>
              </w:rPr>
              <w:t>0</w:t>
            </w:r>
          </w:p>
        </w:tc>
        <w:tc>
          <w:tcPr>
            <w:tcW w:w="1266"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w:t>
            </w:r>
          </w:p>
        </w:tc>
        <w:tc>
          <w:tcPr>
            <w:tcW w:w="815"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w:t>
            </w:r>
          </w:p>
        </w:tc>
        <w:tc>
          <w:tcPr>
            <w:tcW w:w="680"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w:t>
            </w:r>
          </w:p>
        </w:tc>
        <w:tc>
          <w:tcPr>
            <w:tcW w:w="810"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794" w:type="dxa"/>
            <w:vMerge w:val="continue"/>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p>
        </w:tc>
        <w:tc>
          <w:tcPr>
            <w:tcW w:w="869" w:type="dxa"/>
            <w:shd w:val="clear" w:color="auto" w:fill="auto"/>
            <w:vAlign w:val="center"/>
          </w:tcPr>
          <w:p>
            <w:pPr>
              <w:tabs>
                <w:tab w:val="center" w:pos="4166"/>
                <w:tab w:val="center" w:pos="6750"/>
              </w:tabs>
              <w:autoSpaceDE w:val="0"/>
              <w:autoSpaceDN w:val="0"/>
              <w:adjustRightInd w:val="0"/>
              <w:jc w:val="center"/>
              <w:rPr>
                <w:rFonts w:hint="eastAsia" w:eastAsia="宋体"/>
                <w:color w:val="auto"/>
                <w:kern w:val="0"/>
                <w:szCs w:val="21"/>
                <w:highlight w:val="none"/>
                <w:lang w:eastAsia="zh-CN"/>
              </w:rPr>
            </w:pPr>
            <w:r>
              <w:rPr>
                <w:rFonts w:hint="eastAsia"/>
                <w:color w:val="auto"/>
                <w:kern w:val="0"/>
                <w:szCs w:val="21"/>
                <w:highlight w:val="none"/>
                <w:lang w:eastAsia="zh-CN"/>
              </w:rPr>
              <w:t>氨</w:t>
            </w:r>
          </w:p>
        </w:tc>
        <w:tc>
          <w:tcPr>
            <w:tcW w:w="1231" w:type="dxa"/>
            <w:shd w:val="clear" w:color="auto" w:fill="auto"/>
            <w:vAlign w:val="center"/>
          </w:tcPr>
          <w:p>
            <w:pPr>
              <w:tabs>
                <w:tab w:val="center" w:pos="4166"/>
                <w:tab w:val="center" w:pos="6750"/>
              </w:tabs>
              <w:autoSpaceDE w:val="0"/>
              <w:autoSpaceDN w:val="0"/>
              <w:adjustRightInd w:val="0"/>
              <w:jc w:val="center"/>
              <w:rPr>
                <w:rFonts w:hint="eastAsia" w:eastAsia="宋体"/>
                <w:color w:val="auto"/>
                <w:kern w:val="0"/>
                <w:szCs w:val="21"/>
                <w:highlight w:val="none"/>
                <w:lang w:val="en-US" w:eastAsia="zh-CN"/>
              </w:rPr>
            </w:pPr>
            <w:r>
              <w:rPr>
                <w:rFonts w:hint="eastAsia"/>
                <w:color w:val="auto"/>
                <w:kern w:val="0"/>
                <w:szCs w:val="21"/>
                <w:highlight w:val="none"/>
                <w:lang w:val="en-US" w:eastAsia="zh-CN"/>
              </w:rPr>
              <w:t>0.01-0.03</w:t>
            </w:r>
          </w:p>
        </w:tc>
        <w:tc>
          <w:tcPr>
            <w:tcW w:w="1208"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rFonts w:hint="eastAsia"/>
                <w:color w:val="auto"/>
                <w:kern w:val="0"/>
                <w:szCs w:val="21"/>
                <w:highlight w:val="none"/>
              </w:rPr>
              <w:t>0</w:t>
            </w:r>
            <w:r>
              <w:rPr>
                <w:color w:val="auto"/>
                <w:kern w:val="0"/>
                <w:szCs w:val="21"/>
                <w:highlight w:val="none"/>
              </w:rPr>
              <w:t>.</w:t>
            </w:r>
            <w:r>
              <w:rPr>
                <w:rFonts w:hint="eastAsia"/>
                <w:color w:val="auto"/>
                <w:kern w:val="0"/>
                <w:szCs w:val="21"/>
                <w:highlight w:val="none"/>
                <w:lang w:val="en-US" w:eastAsia="zh-CN"/>
              </w:rPr>
              <w:t>2</w:t>
            </w:r>
          </w:p>
        </w:tc>
        <w:tc>
          <w:tcPr>
            <w:tcW w:w="686"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rFonts w:hint="eastAsia"/>
                <w:color w:val="auto"/>
                <w:kern w:val="0"/>
                <w:szCs w:val="21"/>
                <w:highlight w:val="none"/>
              </w:rPr>
              <w:t>0</w:t>
            </w:r>
          </w:p>
        </w:tc>
        <w:tc>
          <w:tcPr>
            <w:tcW w:w="758"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rFonts w:hint="eastAsia"/>
                <w:color w:val="auto"/>
                <w:kern w:val="0"/>
                <w:szCs w:val="21"/>
                <w:highlight w:val="none"/>
              </w:rPr>
              <w:t>0</w:t>
            </w:r>
          </w:p>
        </w:tc>
        <w:tc>
          <w:tcPr>
            <w:tcW w:w="1266"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w:t>
            </w:r>
          </w:p>
        </w:tc>
        <w:tc>
          <w:tcPr>
            <w:tcW w:w="815"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w:t>
            </w:r>
          </w:p>
        </w:tc>
        <w:tc>
          <w:tcPr>
            <w:tcW w:w="680"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w:t>
            </w:r>
          </w:p>
        </w:tc>
        <w:tc>
          <w:tcPr>
            <w:tcW w:w="810" w:type="dxa"/>
            <w:shd w:val="clear" w:color="auto" w:fill="auto"/>
            <w:vAlign w:val="center"/>
          </w:tcPr>
          <w:p>
            <w:pPr>
              <w:tabs>
                <w:tab w:val="center" w:pos="4166"/>
                <w:tab w:val="center" w:pos="6750"/>
              </w:tabs>
              <w:autoSpaceDE w:val="0"/>
              <w:autoSpaceDN w:val="0"/>
              <w:adjustRightInd w:val="0"/>
              <w:jc w:val="center"/>
              <w:rPr>
                <w:color w:val="auto"/>
                <w:kern w:val="0"/>
                <w:szCs w:val="21"/>
                <w:highlight w:val="none"/>
              </w:rPr>
            </w:pPr>
            <w:r>
              <w:rPr>
                <w:color w:val="auto"/>
                <w:kern w:val="0"/>
                <w:szCs w:val="21"/>
                <w:highlight w:val="none"/>
              </w:rPr>
              <w:t>/</w:t>
            </w:r>
          </w:p>
        </w:tc>
      </w:tr>
    </w:tbl>
    <w:p>
      <w:pPr>
        <w:adjustRightInd w:val="0"/>
        <w:snapToGrid w:val="0"/>
        <w:spacing w:line="360" w:lineRule="auto"/>
        <w:ind w:firstLine="480" w:firstLineChars="200"/>
        <w:rPr>
          <w:color w:val="auto"/>
          <w:sz w:val="24"/>
          <w:highlight w:val="none"/>
        </w:rPr>
      </w:pPr>
      <w:r>
        <w:rPr>
          <w:rFonts w:hint="eastAsia"/>
          <w:color w:val="auto"/>
          <w:sz w:val="24"/>
          <w:highlight w:val="none"/>
        </w:rPr>
        <w:t>从上表可以看出，各监测点SO</w:t>
      </w:r>
      <w:r>
        <w:rPr>
          <w:rFonts w:hint="eastAsia"/>
          <w:color w:val="auto"/>
          <w:sz w:val="24"/>
          <w:highlight w:val="none"/>
          <w:vertAlign w:val="subscript"/>
        </w:rPr>
        <w:t>2</w:t>
      </w:r>
      <w:r>
        <w:rPr>
          <w:rFonts w:hint="eastAsia"/>
          <w:color w:val="auto"/>
          <w:sz w:val="24"/>
          <w:highlight w:val="none"/>
        </w:rPr>
        <w:t>、NO</w:t>
      </w:r>
      <w:r>
        <w:rPr>
          <w:rFonts w:hint="eastAsia"/>
          <w:color w:val="auto"/>
          <w:sz w:val="24"/>
          <w:highlight w:val="none"/>
          <w:vertAlign w:val="subscript"/>
          <w:lang w:val="en-US" w:eastAsia="zh-CN"/>
        </w:rPr>
        <w:t>x</w:t>
      </w:r>
      <w:r>
        <w:rPr>
          <w:rFonts w:hint="eastAsia"/>
          <w:color w:val="auto"/>
          <w:sz w:val="24"/>
          <w:highlight w:val="none"/>
        </w:rPr>
        <w:t>的小时浓度、日均浓度及PM</w:t>
      </w:r>
      <w:r>
        <w:rPr>
          <w:rFonts w:hint="eastAsia"/>
          <w:color w:val="auto"/>
          <w:sz w:val="24"/>
          <w:highlight w:val="none"/>
          <w:vertAlign w:val="subscript"/>
        </w:rPr>
        <w:t>2.5</w:t>
      </w:r>
      <w:r>
        <w:rPr>
          <w:rFonts w:hint="eastAsia"/>
          <w:color w:val="auto"/>
          <w:sz w:val="24"/>
          <w:highlight w:val="none"/>
        </w:rPr>
        <w:t>、PM</w:t>
      </w:r>
      <w:r>
        <w:rPr>
          <w:rFonts w:hint="eastAsia"/>
          <w:color w:val="auto"/>
          <w:sz w:val="24"/>
          <w:highlight w:val="none"/>
          <w:vertAlign w:val="subscript"/>
        </w:rPr>
        <w:t>10</w:t>
      </w:r>
      <w:r>
        <w:rPr>
          <w:rFonts w:hint="eastAsia"/>
          <w:color w:val="auto"/>
          <w:sz w:val="24"/>
          <w:highlight w:val="none"/>
        </w:rPr>
        <w:t>的日均浓度均满足《环境空气质量标准》(GB3095-2012)中二级标准要求</w:t>
      </w:r>
      <w:r>
        <w:rPr>
          <w:rFonts w:hint="eastAsia"/>
          <w:color w:val="auto"/>
          <w:sz w:val="24"/>
          <w:highlight w:val="none"/>
          <w:lang w:eastAsia="zh-CN"/>
        </w:rPr>
        <w:t>，</w:t>
      </w:r>
      <w:r>
        <w:rPr>
          <w:color w:val="auto"/>
          <w:sz w:val="24"/>
          <w:highlight w:val="none"/>
        </w:rPr>
        <w:t>氯化氢</w:t>
      </w:r>
      <w:r>
        <w:rPr>
          <w:rFonts w:hint="eastAsia"/>
          <w:color w:val="auto"/>
          <w:sz w:val="24"/>
          <w:highlight w:val="none"/>
        </w:rPr>
        <w:t>、硫</w:t>
      </w:r>
      <w:r>
        <w:rPr>
          <w:rFonts w:hint="eastAsia"/>
          <w:color w:val="auto"/>
          <w:sz w:val="24"/>
          <w:highlight w:val="none"/>
        </w:rPr>
        <w:t>酸</w:t>
      </w:r>
      <w:r>
        <w:rPr>
          <w:rFonts w:hint="eastAsia"/>
          <w:color w:val="auto"/>
          <w:sz w:val="24"/>
          <w:highlight w:val="none"/>
          <w:lang w:eastAsia="zh-CN"/>
        </w:rPr>
        <w:t>、氨满足</w:t>
      </w:r>
      <w:r>
        <w:rPr>
          <w:rFonts w:hint="eastAsia"/>
          <w:color w:val="auto"/>
          <w:sz w:val="24"/>
          <w:highlight w:val="none"/>
        </w:rPr>
        <w:t>《环境影响评价技术导则 大气环境》</w:t>
      </w:r>
      <w:r>
        <w:rPr>
          <w:rFonts w:hint="eastAsia"/>
          <w:color w:val="auto"/>
          <w:sz w:val="24"/>
          <w:highlight w:val="none"/>
          <w:lang w:eastAsia="zh-CN"/>
        </w:rPr>
        <w:t>(</w:t>
      </w:r>
      <w:r>
        <w:rPr>
          <w:rFonts w:hint="eastAsia"/>
          <w:color w:val="auto"/>
          <w:sz w:val="24"/>
          <w:highlight w:val="none"/>
        </w:rPr>
        <w:t>HJ2.2-2018</w:t>
      </w:r>
      <w:r>
        <w:rPr>
          <w:rFonts w:hint="eastAsia"/>
          <w:color w:val="auto"/>
          <w:sz w:val="24"/>
          <w:highlight w:val="none"/>
          <w:lang w:eastAsia="zh-CN"/>
        </w:rPr>
        <w:t>)</w:t>
      </w:r>
      <w:r>
        <w:rPr>
          <w:rFonts w:hint="eastAsia"/>
          <w:color w:val="auto"/>
          <w:sz w:val="24"/>
          <w:highlight w:val="none"/>
        </w:rPr>
        <w:t>附录D中参考值</w:t>
      </w:r>
      <w:r>
        <w:rPr>
          <w:rFonts w:hint="eastAsia"/>
          <w:color w:val="auto"/>
          <w:sz w:val="24"/>
          <w:highlight w:val="none"/>
          <w:lang w:eastAsia="zh-CN"/>
        </w:rPr>
        <w:t>。</w:t>
      </w:r>
      <w:r>
        <w:rPr>
          <w:rFonts w:hint="eastAsia"/>
          <w:color w:val="auto"/>
          <w:sz w:val="24"/>
          <w:highlight w:val="none"/>
        </w:rPr>
        <w:t>各监测点的铬</w:t>
      </w:r>
      <w:r>
        <w:rPr>
          <w:rFonts w:hint="eastAsia"/>
          <w:color w:val="auto"/>
          <w:sz w:val="24"/>
          <w:highlight w:val="none"/>
          <w:lang w:eastAsia="zh-CN"/>
        </w:rPr>
        <w:t>(</w:t>
      </w:r>
      <w:r>
        <w:rPr>
          <w:rFonts w:hint="eastAsia"/>
          <w:color w:val="auto"/>
          <w:sz w:val="24"/>
          <w:highlight w:val="none"/>
        </w:rPr>
        <w:t>六价</w:t>
      </w:r>
      <w:r>
        <w:rPr>
          <w:rFonts w:hint="eastAsia"/>
          <w:color w:val="auto"/>
          <w:sz w:val="24"/>
          <w:highlight w:val="none"/>
          <w:lang w:eastAsia="zh-CN"/>
        </w:rPr>
        <w:t>)</w:t>
      </w:r>
      <w:r>
        <w:rPr>
          <w:rFonts w:hint="eastAsia"/>
          <w:color w:val="auto"/>
          <w:sz w:val="24"/>
          <w:highlight w:val="none"/>
        </w:rPr>
        <w:t>一次浓度满足《工业企业设计卫生标准》(TJ36-79)表1居住区标准。</w:t>
      </w:r>
    </w:p>
    <w:p>
      <w:pPr>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eastAsia="黑体"/>
          <w:color w:val="auto"/>
          <w:sz w:val="24"/>
          <w:highlight w:val="none"/>
        </w:rPr>
      </w:pPr>
      <w:bookmarkStart w:id="115" w:name="_Toc405999539"/>
      <w:bookmarkStart w:id="116" w:name="_Toc6614"/>
      <w:bookmarkStart w:id="117" w:name="_Toc77098079"/>
      <w:r>
        <w:rPr>
          <w:rFonts w:hint="eastAsia" w:eastAsia="黑体"/>
          <w:color w:val="auto"/>
          <w:sz w:val="24"/>
          <w:highlight w:val="none"/>
          <w:lang w:eastAsia="zh-CN"/>
        </w:rPr>
        <w:t>3.6</w:t>
      </w:r>
      <w:r>
        <w:rPr>
          <w:rFonts w:eastAsia="黑体"/>
          <w:color w:val="auto"/>
          <w:sz w:val="24"/>
          <w:highlight w:val="none"/>
        </w:rPr>
        <w:t>.</w:t>
      </w:r>
      <w:bookmarkEnd w:id="115"/>
      <w:bookmarkEnd w:id="116"/>
      <w:bookmarkEnd w:id="117"/>
      <w:bookmarkStart w:id="118" w:name="_Toc519063303"/>
      <w:bookmarkStart w:id="119" w:name="_Toc530655606"/>
      <w:bookmarkStart w:id="120" w:name="_Toc23282"/>
      <w:r>
        <w:rPr>
          <w:rFonts w:hint="eastAsia" w:eastAsia="黑体"/>
          <w:color w:val="auto"/>
          <w:sz w:val="24"/>
          <w:highlight w:val="none"/>
          <w:lang w:val="en-US" w:eastAsia="zh-CN"/>
        </w:rPr>
        <w:t>1.2</w:t>
      </w:r>
      <w:r>
        <w:rPr>
          <w:rFonts w:eastAsia="黑体"/>
          <w:color w:val="auto"/>
          <w:sz w:val="24"/>
          <w:highlight w:val="none"/>
        </w:rPr>
        <w:t>环境空气质量</w:t>
      </w:r>
      <w:r>
        <w:rPr>
          <w:rFonts w:hint="eastAsia" w:eastAsia="黑体"/>
          <w:color w:val="auto"/>
          <w:sz w:val="24"/>
          <w:highlight w:val="none"/>
        </w:rPr>
        <w:t>变化趋势</w:t>
      </w:r>
    </w:p>
    <w:p>
      <w:pPr>
        <w:adjustRightInd w:val="0"/>
        <w:snapToGrid w:val="0"/>
        <w:spacing w:line="360" w:lineRule="auto"/>
        <w:ind w:firstLine="480" w:firstLineChars="200"/>
        <w:jc w:val="left"/>
        <w:rPr>
          <w:color w:val="auto"/>
          <w:sz w:val="24"/>
          <w:highlight w:val="none"/>
        </w:rPr>
      </w:pPr>
      <w:r>
        <w:rPr>
          <w:rFonts w:hint="eastAsia"/>
          <w:color w:val="auto"/>
          <w:sz w:val="24"/>
          <w:highlight w:val="none"/>
          <w:lang w:val="zh-CN"/>
        </w:rPr>
        <w:t>项目登记表未对声环境情况进行监测和评价，本次环评期间引用</w:t>
      </w:r>
      <w:r>
        <w:rPr>
          <w:color w:val="auto"/>
          <w:sz w:val="24"/>
          <w:highlight w:val="none"/>
          <w:lang w:val="zh-CN"/>
        </w:rPr>
        <w:t>《</w:t>
      </w:r>
      <w:r>
        <w:rPr>
          <w:rFonts w:hint="eastAsia"/>
          <w:color w:val="auto"/>
          <w:sz w:val="24"/>
          <w:highlight w:val="none"/>
        </w:rPr>
        <w:t>青岛</w:t>
      </w:r>
      <w:r>
        <w:rPr>
          <w:rFonts w:hint="eastAsia"/>
          <w:color w:val="auto"/>
          <w:sz w:val="24"/>
          <w:highlight w:val="none"/>
          <w:lang w:eastAsia="zh-CN"/>
        </w:rPr>
        <w:t>金泰表面工程有限公司</w:t>
      </w:r>
      <w:r>
        <w:rPr>
          <w:rFonts w:hint="eastAsia"/>
          <w:color w:val="auto"/>
          <w:sz w:val="24"/>
          <w:highlight w:val="none"/>
        </w:rPr>
        <w:t>青岛</w:t>
      </w:r>
      <w:r>
        <w:rPr>
          <w:rFonts w:hint="eastAsia"/>
          <w:color w:val="auto"/>
          <w:sz w:val="24"/>
          <w:highlight w:val="none"/>
          <w:lang w:eastAsia="zh-CN"/>
        </w:rPr>
        <w:t>经济技术开发区电镀工业园</w:t>
      </w:r>
      <w:r>
        <w:rPr>
          <w:rFonts w:hint="eastAsia"/>
          <w:color w:val="auto"/>
          <w:sz w:val="24"/>
          <w:highlight w:val="none"/>
        </w:rPr>
        <w:t>建设项目环境影响报告书</w:t>
      </w:r>
      <w:r>
        <w:rPr>
          <w:color w:val="auto"/>
          <w:sz w:val="24"/>
          <w:highlight w:val="none"/>
          <w:lang w:val="zh-CN"/>
        </w:rPr>
        <w:t>》</w:t>
      </w:r>
      <w:r>
        <w:rPr>
          <w:rFonts w:hint="eastAsia"/>
          <w:color w:val="auto"/>
          <w:sz w:val="24"/>
          <w:highlight w:val="none"/>
          <w:lang w:val="zh-CN"/>
        </w:rPr>
        <w:t>和《</w:t>
      </w:r>
      <w:r>
        <w:rPr>
          <w:rFonts w:hint="eastAsia"/>
          <w:color w:val="auto"/>
          <w:sz w:val="24"/>
          <w:highlight w:val="none"/>
        </w:rPr>
        <w:t>青岛</w:t>
      </w:r>
      <w:r>
        <w:rPr>
          <w:rFonts w:hint="eastAsia"/>
          <w:color w:val="auto"/>
          <w:sz w:val="24"/>
          <w:highlight w:val="none"/>
          <w:lang w:eastAsia="zh-CN"/>
        </w:rPr>
        <w:t>金泰表面工程有限公司</w:t>
      </w:r>
      <w:r>
        <w:rPr>
          <w:rFonts w:hint="eastAsia"/>
          <w:color w:val="auto"/>
          <w:sz w:val="24"/>
          <w:highlight w:val="none"/>
        </w:rPr>
        <w:t>青岛</w:t>
      </w:r>
      <w:r>
        <w:rPr>
          <w:rFonts w:hint="eastAsia"/>
          <w:color w:val="auto"/>
          <w:sz w:val="24"/>
          <w:highlight w:val="none"/>
          <w:lang w:eastAsia="zh-CN"/>
        </w:rPr>
        <w:t>经济技术开发区电镀工业园二期</w:t>
      </w:r>
      <w:r>
        <w:rPr>
          <w:rFonts w:hint="eastAsia"/>
          <w:color w:val="auto"/>
          <w:sz w:val="24"/>
          <w:highlight w:val="none"/>
        </w:rPr>
        <w:t>建设项目环境影响报告书</w:t>
      </w:r>
      <w:r>
        <w:rPr>
          <w:rFonts w:hint="eastAsia"/>
          <w:color w:val="auto"/>
          <w:sz w:val="24"/>
          <w:highlight w:val="none"/>
          <w:lang w:val="zh-CN"/>
        </w:rPr>
        <w:t>》内容，</w:t>
      </w:r>
      <w:r>
        <w:rPr>
          <w:rFonts w:hint="eastAsia"/>
          <w:color w:val="auto"/>
          <w:sz w:val="24"/>
          <w:highlight w:val="none"/>
        </w:rPr>
        <w:t>监测结果见下表</w:t>
      </w:r>
      <w:r>
        <w:rPr>
          <w:rFonts w:hint="eastAsia"/>
          <w:color w:val="auto"/>
          <w:sz w:val="24"/>
          <w:highlight w:val="none"/>
          <w:lang w:eastAsia="zh-CN"/>
        </w:rPr>
        <w:t>3.6</w:t>
      </w:r>
      <w:r>
        <w:rPr>
          <w:rFonts w:hint="eastAsia"/>
          <w:color w:val="auto"/>
          <w:sz w:val="24"/>
          <w:highlight w:val="none"/>
        </w:rPr>
        <w:t>-5。</w:t>
      </w:r>
    </w:p>
    <w:p>
      <w:pPr>
        <w:tabs>
          <w:tab w:val="center" w:pos="4166"/>
          <w:tab w:val="center" w:pos="6750"/>
        </w:tabs>
        <w:autoSpaceDE w:val="0"/>
        <w:autoSpaceDN w:val="0"/>
        <w:adjustRightInd w:val="0"/>
        <w:jc w:val="center"/>
        <w:rPr>
          <w:rFonts w:eastAsia="黑体"/>
          <w:color w:val="auto"/>
          <w:kern w:val="0"/>
          <w:sz w:val="24"/>
          <w:highlight w:val="none"/>
          <w:lang w:val="zh-CN"/>
        </w:rPr>
      </w:pPr>
      <w:r>
        <w:rPr>
          <w:rFonts w:eastAsia="黑体"/>
          <w:color w:val="auto"/>
          <w:kern w:val="0"/>
          <w:sz w:val="24"/>
          <w:highlight w:val="none"/>
          <w:lang w:val="zh-CN"/>
        </w:rPr>
        <w:t>表</w:t>
      </w:r>
      <w:r>
        <w:rPr>
          <w:rFonts w:hint="eastAsia" w:eastAsia="黑体"/>
          <w:color w:val="auto"/>
          <w:kern w:val="0"/>
          <w:sz w:val="24"/>
          <w:highlight w:val="none"/>
          <w:lang w:eastAsia="zh-CN"/>
        </w:rPr>
        <w:t>3.6</w:t>
      </w:r>
      <w:r>
        <w:rPr>
          <w:rFonts w:eastAsia="黑体"/>
          <w:color w:val="auto"/>
          <w:kern w:val="0"/>
          <w:sz w:val="24"/>
          <w:highlight w:val="none"/>
        </w:rPr>
        <w:t xml:space="preserve">-5  </w:t>
      </w:r>
      <w:r>
        <w:rPr>
          <w:rFonts w:hint="eastAsia" w:eastAsia="黑体"/>
          <w:color w:val="auto"/>
          <w:kern w:val="0"/>
          <w:sz w:val="24"/>
          <w:highlight w:val="none"/>
          <w:lang w:eastAsia="zh-CN"/>
        </w:rPr>
        <w:t>区域</w:t>
      </w:r>
      <w:r>
        <w:rPr>
          <w:rFonts w:eastAsia="黑体"/>
          <w:color w:val="auto"/>
          <w:kern w:val="0"/>
          <w:sz w:val="24"/>
          <w:highlight w:val="none"/>
          <w:lang w:val="zh-CN"/>
        </w:rPr>
        <w:t>环境空气质量监测统计结果</w:t>
      </w:r>
    </w:p>
    <w:tbl>
      <w:tblPr>
        <w:tblStyle w:val="36"/>
        <w:tblW w:w="9424" w:type="dxa"/>
        <w:tblInd w:w="0"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124"/>
        <w:gridCol w:w="975"/>
        <w:gridCol w:w="853"/>
        <w:gridCol w:w="1317"/>
        <w:gridCol w:w="1705"/>
        <w:gridCol w:w="1240"/>
        <w:gridCol w:w="2210"/>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69" w:hRule="exact"/>
        </w:trPr>
        <w:tc>
          <w:tcPr>
            <w:tcW w:w="1124"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color w:val="auto"/>
                <w:szCs w:val="21"/>
                <w:highlight w:val="none"/>
                <w:lang w:eastAsia="zh-CN"/>
              </w:rPr>
            </w:pPr>
            <w:r>
              <w:rPr>
                <w:rFonts w:hint="eastAsia"/>
                <w:color w:val="auto"/>
                <w:szCs w:val="21"/>
                <w:highlight w:val="none"/>
                <w:lang w:eastAsia="zh-CN"/>
              </w:rPr>
              <w:t>监测站点</w:t>
            </w:r>
          </w:p>
        </w:tc>
        <w:tc>
          <w:tcPr>
            <w:tcW w:w="975"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color w:val="auto"/>
                <w:szCs w:val="21"/>
                <w:highlight w:val="none"/>
                <w:lang w:eastAsia="zh-CN"/>
              </w:rPr>
            </w:pPr>
            <w:r>
              <w:rPr>
                <w:rFonts w:hint="eastAsia"/>
                <w:color w:val="auto"/>
                <w:szCs w:val="21"/>
                <w:highlight w:val="none"/>
                <w:lang w:eastAsia="zh-CN"/>
              </w:rPr>
              <w:t>监测时间</w:t>
            </w:r>
          </w:p>
        </w:tc>
        <w:tc>
          <w:tcPr>
            <w:tcW w:w="853"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eastAsia="宋体"/>
                <w:color w:val="auto"/>
                <w:szCs w:val="21"/>
                <w:highlight w:val="none"/>
                <w:lang w:eastAsia="zh-CN"/>
              </w:rPr>
            </w:pPr>
            <w:r>
              <w:rPr>
                <w:rFonts w:hint="eastAsia"/>
                <w:color w:val="auto"/>
                <w:szCs w:val="21"/>
                <w:highlight w:val="none"/>
                <w:lang w:eastAsia="zh-CN"/>
              </w:rPr>
              <w:t>项目</w:t>
            </w:r>
          </w:p>
        </w:tc>
        <w:tc>
          <w:tcPr>
            <w:tcW w:w="3022" w:type="dxa"/>
            <w:gridSpan w:val="2"/>
            <w:tcBorders>
              <w:right w:val="dotted"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color w:val="auto"/>
                <w:szCs w:val="21"/>
                <w:highlight w:val="none"/>
              </w:rPr>
            </w:pPr>
            <w:r>
              <w:rPr>
                <w:rFonts w:hint="eastAsia"/>
                <w:color w:val="auto"/>
                <w:szCs w:val="21"/>
                <w:highlight w:val="none"/>
                <w:lang w:eastAsia="zh-CN"/>
              </w:rPr>
              <w:t>日(一次)</w:t>
            </w:r>
            <w:r>
              <w:rPr>
                <w:color w:val="auto"/>
                <w:szCs w:val="21"/>
                <w:highlight w:val="none"/>
              </w:rPr>
              <w:t>浓度(mg/m</w:t>
            </w:r>
            <w:r>
              <w:rPr>
                <w:color w:val="auto"/>
                <w:szCs w:val="21"/>
                <w:highlight w:val="none"/>
                <w:vertAlign w:val="superscript"/>
              </w:rPr>
              <w:t>3</w:t>
            </w:r>
            <w:r>
              <w:rPr>
                <w:color w:val="auto"/>
                <w:szCs w:val="21"/>
                <w:highlight w:val="none"/>
              </w:rPr>
              <w:t>)</w:t>
            </w:r>
          </w:p>
        </w:tc>
        <w:tc>
          <w:tcPr>
            <w:tcW w:w="3450" w:type="dxa"/>
            <w:gridSpan w:val="2"/>
            <w:tcBorders>
              <w:left w:val="dotted"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color w:val="auto"/>
                <w:szCs w:val="21"/>
                <w:highlight w:val="none"/>
              </w:rPr>
            </w:pPr>
            <w:r>
              <w:rPr>
                <w:color w:val="auto"/>
                <w:szCs w:val="21"/>
                <w:highlight w:val="none"/>
              </w:rPr>
              <w:t>日均浓度(mg/m</w:t>
            </w:r>
            <w:r>
              <w:rPr>
                <w:color w:val="auto"/>
                <w:szCs w:val="21"/>
                <w:highlight w:val="none"/>
                <w:vertAlign w:val="superscript"/>
              </w:rPr>
              <w:t>3</w:t>
            </w:r>
            <w:r>
              <w:rPr>
                <w:color w:val="auto"/>
                <w:szCs w:val="21"/>
                <w:highlight w:val="none"/>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466" w:hRule="exact"/>
        </w:trPr>
        <w:tc>
          <w:tcPr>
            <w:tcW w:w="1124"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color w:val="auto"/>
                <w:szCs w:val="21"/>
                <w:highlight w:val="none"/>
              </w:rPr>
            </w:pPr>
          </w:p>
        </w:tc>
        <w:tc>
          <w:tcPr>
            <w:tcW w:w="975"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color w:val="auto"/>
                <w:szCs w:val="21"/>
                <w:highlight w:val="none"/>
              </w:rPr>
            </w:pPr>
          </w:p>
        </w:tc>
        <w:tc>
          <w:tcPr>
            <w:tcW w:w="853"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color w:val="auto"/>
                <w:szCs w:val="21"/>
                <w:highlight w:val="none"/>
              </w:rPr>
            </w:pPr>
          </w:p>
        </w:tc>
        <w:tc>
          <w:tcPr>
            <w:tcW w:w="13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eastAsia="宋体"/>
                <w:color w:val="auto"/>
                <w:szCs w:val="21"/>
                <w:highlight w:val="none"/>
                <w:lang w:eastAsia="zh-CN"/>
              </w:rPr>
            </w:pPr>
            <w:r>
              <w:rPr>
                <w:rFonts w:hint="eastAsia"/>
                <w:color w:val="auto"/>
                <w:szCs w:val="21"/>
                <w:highlight w:val="none"/>
                <w:lang w:eastAsia="zh-CN"/>
              </w:rPr>
              <w:t>浓度范围</w:t>
            </w:r>
          </w:p>
        </w:tc>
        <w:tc>
          <w:tcPr>
            <w:tcW w:w="1705" w:type="dxa"/>
            <w:tcBorders>
              <w:right w:val="dotted"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eastAsia="宋体"/>
                <w:color w:val="auto"/>
                <w:szCs w:val="21"/>
                <w:highlight w:val="none"/>
                <w:lang w:eastAsia="zh-CN"/>
              </w:rPr>
            </w:pPr>
            <w:r>
              <w:rPr>
                <w:rFonts w:hint="eastAsia"/>
                <w:color w:val="auto"/>
                <w:szCs w:val="21"/>
                <w:highlight w:val="none"/>
                <w:lang w:eastAsia="zh-CN"/>
              </w:rPr>
              <w:t>超标率</w:t>
            </w:r>
            <w:r>
              <w:rPr>
                <w:rFonts w:hint="eastAsia"/>
                <w:color w:val="auto"/>
                <w:szCs w:val="21"/>
                <w:highlight w:val="none"/>
                <w:lang w:val="en-US" w:eastAsia="zh-CN"/>
              </w:rPr>
              <w:t>(%)</w:t>
            </w:r>
          </w:p>
        </w:tc>
        <w:tc>
          <w:tcPr>
            <w:tcW w:w="1240" w:type="dxa"/>
            <w:tcBorders>
              <w:left w:val="dotted"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color w:val="auto"/>
                <w:szCs w:val="21"/>
                <w:highlight w:val="none"/>
              </w:rPr>
            </w:pPr>
            <w:r>
              <w:rPr>
                <w:rFonts w:hint="eastAsia"/>
                <w:color w:val="auto"/>
                <w:szCs w:val="21"/>
                <w:highlight w:val="none"/>
                <w:lang w:eastAsia="zh-CN"/>
              </w:rPr>
              <w:t>浓度范围</w:t>
            </w:r>
          </w:p>
        </w:tc>
        <w:tc>
          <w:tcPr>
            <w:tcW w:w="2210" w:type="dxa"/>
            <w:tcBorders>
              <w:left w:val="dotted"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color w:val="auto"/>
                <w:szCs w:val="21"/>
                <w:highlight w:val="none"/>
              </w:rPr>
            </w:pPr>
            <w:r>
              <w:rPr>
                <w:rFonts w:hint="eastAsia"/>
                <w:color w:val="auto"/>
                <w:szCs w:val="21"/>
                <w:highlight w:val="none"/>
                <w:lang w:eastAsia="zh-CN"/>
              </w:rPr>
              <w:t>超标率</w:t>
            </w:r>
            <w:r>
              <w:rPr>
                <w:rFonts w:hint="eastAsia"/>
                <w:color w:val="auto"/>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97" w:hRule="exact"/>
        </w:trPr>
        <w:tc>
          <w:tcPr>
            <w:tcW w:w="1124"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color w:val="auto"/>
                <w:szCs w:val="21"/>
                <w:highlight w:val="none"/>
                <w:lang w:val="en-US" w:eastAsia="zh-CN"/>
              </w:rPr>
            </w:pPr>
            <w:r>
              <w:rPr>
                <w:rFonts w:hint="eastAsia"/>
                <w:color w:val="auto"/>
                <w:szCs w:val="21"/>
                <w:highlight w:val="none"/>
                <w:lang w:val="en-US" w:eastAsia="zh-CN"/>
              </w:rPr>
              <w:t>工业园北界外</w:t>
            </w:r>
          </w:p>
        </w:tc>
        <w:tc>
          <w:tcPr>
            <w:tcW w:w="975"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color w:val="auto"/>
                <w:szCs w:val="21"/>
                <w:highlight w:val="none"/>
                <w:lang w:val="en-US" w:eastAsia="zh-CN"/>
              </w:rPr>
            </w:pPr>
            <w:r>
              <w:rPr>
                <w:rFonts w:hint="eastAsia"/>
                <w:color w:val="auto"/>
                <w:szCs w:val="21"/>
                <w:highlight w:val="none"/>
                <w:lang w:val="en-US" w:eastAsia="zh-CN"/>
              </w:rPr>
              <w:t>2003年7月28日-31日</w:t>
            </w:r>
          </w:p>
        </w:tc>
        <w:tc>
          <w:tcPr>
            <w:tcW w:w="853"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eastAsia="宋体"/>
                <w:color w:val="auto"/>
                <w:szCs w:val="21"/>
                <w:highlight w:val="none"/>
                <w:lang w:val="en-US" w:eastAsia="zh-CN"/>
              </w:rPr>
            </w:pPr>
            <w:r>
              <w:rPr>
                <w:rFonts w:hint="eastAsia"/>
                <w:color w:val="auto"/>
                <w:szCs w:val="21"/>
                <w:highlight w:val="none"/>
                <w:lang w:val="en-US" w:eastAsia="zh-CN"/>
              </w:rPr>
              <w:t>TSP</w:t>
            </w:r>
          </w:p>
        </w:tc>
        <w:tc>
          <w:tcPr>
            <w:tcW w:w="13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eastAsia="宋体"/>
                <w:color w:val="auto"/>
                <w:szCs w:val="21"/>
                <w:highlight w:val="none"/>
                <w:lang w:eastAsia="zh-CN"/>
              </w:rPr>
            </w:pPr>
            <w:r>
              <w:rPr>
                <w:rFonts w:hint="eastAsia"/>
                <w:color w:val="auto"/>
                <w:szCs w:val="21"/>
                <w:highlight w:val="none"/>
                <w:lang w:eastAsia="zh-CN"/>
              </w:rPr>
              <w:t>—</w:t>
            </w:r>
          </w:p>
        </w:tc>
        <w:tc>
          <w:tcPr>
            <w:tcW w:w="1705"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color w:val="auto"/>
                <w:szCs w:val="21"/>
                <w:highlight w:val="none"/>
              </w:rPr>
            </w:pPr>
            <w:r>
              <w:rPr>
                <w:rFonts w:hint="eastAsia"/>
                <w:color w:val="auto"/>
                <w:szCs w:val="21"/>
                <w:highlight w:val="none"/>
                <w:lang w:eastAsia="zh-CN"/>
              </w:rPr>
              <w:t>—</w:t>
            </w:r>
          </w:p>
        </w:tc>
        <w:tc>
          <w:tcPr>
            <w:tcW w:w="124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eastAsia="宋体"/>
                <w:color w:val="auto"/>
                <w:szCs w:val="21"/>
                <w:highlight w:val="none"/>
                <w:lang w:val="en-US" w:eastAsia="zh-CN"/>
              </w:rPr>
            </w:pPr>
            <w:r>
              <w:rPr>
                <w:color w:val="auto"/>
                <w:szCs w:val="21"/>
                <w:highlight w:val="none"/>
              </w:rPr>
              <w:t>0.1</w:t>
            </w:r>
            <w:r>
              <w:rPr>
                <w:rFonts w:hint="eastAsia"/>
                <w:color w:val="auto"/>
                <w:szCs w:val="21"/>
                <w:highlight w:val="none"/>
                <w:lang w:val="en-US" w:eastAsia="zh-CN"/>
              </w:rPr>
              <w:t>76-0.211</w:t>
            </w:r>
          </w:p>
        </w:tc>
        <w:tc>
          <w:tcPr>
            <w:tcW w:w="221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eastAsia="宋体"/>
                <w:color w:val="auto"/>
                <w:szCs w:val="21"/>
                <w:highlight w:val="none"/>
                <w:lang w:val="en-US" w:eastAsia="zh-CN"/>
              </w:rPr>
            </w:pPr>
            <w:r>
              <w:rPr>
                <w:rFonts w:hint="eastAsia"/>
                <w:color w:val="auto"/>
                <w:szCs w:val="21"/>
                <w:highlight w:val="none"/>
                <w:lang w:val="en-US" w:eastAsia="zh-CN"/>
              </w:rPr>
              <w:t>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97" w:hRule="exact"/>
        </w:trPr>
        <w:tc>
          <w:tcPr>
            <w:tcW w:w="1124"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color w:val="auto"/>
                <w:szCs w:val="21"/>
                <w:highlight w:val="none"/>
                <w:lang w:val="en-US" w:eastAsia="zh-CN"/>
              </w:rPr>
            </w:pPr>
          </w:p>
        </w:tc>
        <w:tc>
          <w:tcPr>
            <w:tcW w:w="975"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color w:val="auto"/>
                <w:szCs w:val="21"/>
                <w:highlight w:val="none"/>
                <w:lang w:val="en-US" w:eastAsia="zh-CN"/>
              </w:rPr>
            </w:pPr>
          </w:p>
        </w:tc>
        <w:tc>
          <w:tcPr>
            <w:tcW w:w="853"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eastAsia="宋体"/>
                <w:color w:val="auto"/>
                <w:szCs w:val="21"/>
                <w:highlight w:val="none"/>
                <w:lang w:val="en-US" w:eastAsia="zh-CN"/>
              </w:rPr>
            </w:pPr>
            <w:r>
              <w:rPr>
                <w:rFonts w:hint="eastAsia"/>
                <w:color w:val="auto"/>
                <w:szCs w:val="21"/>
                <w:highlight w:val="none"/>
                <w:lang w:val="en-US" w:eastAsia="zh-CN"/>
              </w:rPr>
              <w:t>NO</w:t>
            </w:r>
            <w:r>
              <w:rPr>
                <w:rFonts w:hint="eastAsia"/>
                <w:color w:val="auto"/>
                <w:szCs w:val="21"/>
                <w:highlight w:val="none"/>
                <w:vertAlign w:val="subscript"/>
                <w:lang w:val="en-US" w:eastAsia="zh-CN"/>
              </w:rPr>
              <w:t>2</w:t>
            </w:r>
          </w:p>
        </w:tc>
        <w:tc>
          <w:tcPr>
            <w:tcW w:w="13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eastAsia="宋体"/>
                <w:color w:val="auto"/>
                <w:szCs w:val="21"/>
                <w:highlight w:val="none"/>
                <w:lang w:val="en-US" w:eastAsia="zh-CN"/>
              </w:rPr>
            </w:pPr>
            <w:r>
              <w:rPr>
                <w:color w:val="auto"/>
                <w:szCs w:val="21"/>
                <w:highlight w:val="none"/>
              </w:rPr>
              <w:t>0.0</w:t>
            </w:r>
            <w:r>
              <w:rPr>
                <w:rFonts w:hint="eastAsia"/>
                <w:color w:val="auto"/>
                <w:szCs w:val="21"/>
                <w:highlight w:val="none"/>
                <w:lang w:val="en-US" w:eastAsia="zh-CN"/>
              </w:rPr>
              <w:t>06-0.036</w:t>
            </w:r>
          </w:p>
        </w:tc>
        <w:tc>
          <w:tcPr>
            <w:tcW w:w="1705"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eastAsia="宋体"/>
                <w:color w:val="auto"/>
                <w:szCs w:val="21"/>
                <w:highlight w:val="none"/>
                <w:lang w:eastAsia="zh-CN"/>
              </w:rPr>
            </w:pPr>
            <w:r>
              <w:rPr>
                <w:rFonts w:hint="eastAsia"/>
                <w:color w:val="auto"/>
                <w:szCs w:val="21"/>
                <w:highlight w:val="none"/>
                <w:lang w:val="en-US" w:eastAsia="zh-CN"/>
              </w:rPr>
              <w:t>0</w:t>
            </w:r>
          </w:p>
        </w:tc>
        <w:tc>
          <w:tcPr>
            <w:tcW w:w="124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eastAsia="宋体"/>
                <w:color w:val="auto"/>
                <w:szCs w:val="21"/>
                <w:highlight w:val="none"/>
                <w:lang w:val="en-US" w:eastAsia="zh-CN"/>
              </w:rPr>
            </w:pPr>
            <w:r>
              <w:rPr>
                <w:color w:val="auto"/>
                <w:szCs w:val="21"/>
                <w:highlight w:val="none"/>
              </w:rPr>
              <w:t>0.</w:t>
            </w:r>
            <w:r>
              <w:rPr>
                <w:rFonts w:hint="eastAsia"/>
                <w:color w:val="auto"/>
                <w:szCs w:val="21"/>
                <w:highlight w:val="none"/>
                <w:lang w:val="en-US" w:eastAsia="zh-CN"/>
              </w:rPr>
              <w:t>014-0.030</w:t>
            </w:r>
          </w:p>
        </w:tc>
        <w:tc>
          <w:tcPr>
            <w:tcW w:w="221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eastAsia="宋体"/>
                <w:color w:val="auto"/>
                <w:szCs w:val="21"/>
                <w:highlight w:val="none"/>
                <w:lang w:val="en-US" w:eastAsia="zh-CN"/>
              </w:rPr>
            </w:pPr>
            <w:r>
              <w:rPr>
                <w:rFonts w:hint="eastAsia"/>
                <w:color w:val="auto"/>
                <w:szCs w:val="21"/>
                <w:highlight w:val="none"/>
                <w:lang w:val="en-US" w:eastAsia="zh-CN"/>
              </w:rPr>
              <w:t>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527" w:hRule="exact"/>
        </w:trPr>
        <w:tc>
          <w:tcPr>
            <w:tcW w:w="1124"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color w:val="auto"/>
                <w:sz w:val="24"/>
                <w:highlight w:val="none"/>
              </w:rPr>
            </w:pPr>
          </w:p>
        </w:tc>
        <w:tc>
          <w:tcPr>
            <w:tcW w:w="975"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color w:val="auto"/>
                <w:sz w:val="24"/>
                <w:highlight w:val="none"/>
              </w:rPr>
            </w:pPr>
          </w:p>
        </w:tc>
        <w:tc>
          <w:tcPr>
            <w:tcW w:w="853"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color w:val="auto"/>
                <w:szCs w:val="21"/>
                <w:highlight w:val="none"/>
              </w:rPr>
            </w:pPr>
            <w:r>
              <w:rPr>
                <w:color w:val="auto"/>
                <w:sz w:val="21"/>
                <w:szCs w:val="21"/>
                <w:highlight w:val="none"/>
              </w:rPr>
              <w:t>HCl</w:t>
            </w:r>
          </w:p>
        </w:tc>
        <w:tc>
          <w:tcPr>
            <w:tcW w:w="1317" w:type="dxa"/>
            <w:shd w:val="clear" w:color="auto" w:fill="EEECE1" w:themeFill="background2"/>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eastAsia="宋体"/>
                <w:color w:val="auto"/>
                <w:szCs w:val="21"/>
                <w:highlight w:val="none"/>
                <w:lang w:val="en-US" w:eastAsia="zh-CN"/>
              </w:rPr>
            </w:pPr>
            <w:r>
              <w:rPr>
                <w:color w:val="auto"/>
                <w:szCs w:val="21"/>
                <w:highlight w:val="none"/>
              </w:rPr>
              <w:t>0.0</w:t>
            </w:r>
            <w:r>
              <w:rPr>
                <w:rFonts w:hint="eastAsia"/>
                <w:color w:val="auto"/>
                <w:szCs w:val="21"/>
                <w:highlight w:val="none"/>
                <w:lang w:val="en-US" w:eastAsia="zh-CN"/>
              </w:rPr>
              <w:t>11-0.777</w:t>
            </w:r>
          </w:p>
        </w:tc>
        <w:tc>
          <w:tcPr>
            <w:tcW w:w="1705" w:type="dxa"/>
            <w:shd w:val="clear" w:color="auto" w:fill="EEECE1" w:themeFill="background2"/>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eastAsia="宋体"/>
                <w:color w:val="auto"/>
                <w:szCs w:val="21"/>
                <w:highlight w:val="none"/>
                <w:lang w:val="en-US" w:eastAsia="zh-CN"/>
              </w:rPr>
            </w:pPr>
            <w:r>
              <w:rPr>
                <w:rFonts w:hint="eastAsia"/>
                <w:color w:val="auto"/>
                <w:szCs w:val="21"/>
                <w:highlight w:val="none"/>
                <w:lang w:val="en-US" w:eastAsia="zh-CN"/>
              </w:rPr>
              <w:t>62.5(最大超14.5倍)</w:t>
            </w:r>
          </w:p>
        </w:tc>
        <w:tc>
          <w:tcPr>
            <w:tcW w:w="1240" w:type="dxa"/>
            <w:shd w:val="clear" w:color="auto" w:fill="EEECE1" w:themeFill="background2"/>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color w:val="auto"/>
                <w:szCs w:val="21"/>
                <w:highlight w:val="none"/>
              </w:rPr>
            </w:pPr>
            <w:r>
              <w:rPr>
                <w:color w:val="auto"/>
                <w:szCs w:val="21"/>
                <w:highlight w:val="none"/>
              </w:rPr>
              <w:t>0.104</w:t>
            </w:r>
          </w:p>
        </w:tc>
        <w:tc>
          <w:tcPr>
            <w:tcW w:w="2210" w:type="dxa"/>
            <w:shd w:val="clear" w:color="auto" w:fill="EEECE1" w:themeFill="background2"/>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eastAsia="宋体"/>
                <w:color w:val="auto"/>
                <w:szCs w:val="21"/>
                <w:highlight w:val="none"/>
                <w:lang w:val="en-US" w:eastAsia="zh-CN"/>
              </w:rPr>
            </w:pPr>
            <w:r>
              <w:rPr>
                <w:rFonts w:hint="eastAsia"/>
                <w:color w:val="auto"/>
                <w:szCs w:val="21"/>
                <w:highlight w:val="none"/>
                <w:lang w:val="en-US" w:eastAsia="zh-CN"/>
              </w:rPr>
              <w:t>100(最大超25.3倍)</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97" w:hRule="exact"/>
        </w:trPr>
        <w:tc>
          <w:tcPr>
            <w:tcW w:w="1124"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color w:val="auto"/>
                <w:sz w:val="21"/>
                <w:szCs w:val="21"/>
                <w:highlight w:val="none"/>
                <w:lang w:eastAsia="zh-CN"/>
              </w:rPr>
            </w:pPr>
          </w:p>
        </w:tc>
        <w:tc>
          <w:tcPr>
            <w:tcW w:w="975"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color w:val="auto"/>
                <w:sz w:val="21"/>
                <w:szCs w:val="21"/>
                <w:highlight w:val="none"/>
                <w:lang w:eastAsia="zh-CN"/>
              </w:rPr>
            </w:pPr>
          </w:p>
        </w:tc>
        <w:tc>
          <w:tcPr>
            <w:tcW w:w="853"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color w:val="auto"/>
                <w:sz w:val="21"/>
                <w:szCs w:val="21"/>
                <w:highlight w:val="none"/>
              </w:rPr>
            </w:pPr>
            <w:r>
              <w:rPr>
                <w:rFonts w:hint="eastAsia"/>
                <w:color w:val="auto"/>
                <w:sz w:val="21"/>
                <w:szCs w:val="21"/>
                <w:highlight w:val="none"/>
                <w:lang w:eastAsia="zh-CN"/>
              </w:rPr>
              <w:t>氰化氢</w:t>
            </w:r>
          </w:p>
        </w:tc>
        <w:tc>
          <w:tcPr>
            <w:tcW w:w="13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eastAsia="宋体"/>
                <w:color w:val="auto"/>
                <w:sz w:val="21"/>
                <w:szCs w:val="21"/>
                <w:highlight w:val="none"/>
                <w:lang w:val="en-US" w:eastAsia="zh-CN"/>
              </w:rPr>
            </w:pPr>
            <w:r>
              <w:rPr>
                <w:rFonts w:hint="eastAsia"/>
                <w:color w:val="auto"/>
                <w:kern w:val="0"/>
                <w:szCs w:val="21"/>
                <w:highlight w:val="none"/>
              </w:rPr>
              <w:t>未检出</w:t>
            </w:r>
          </w:p>
        </w:tc>
        <w:tc>
          <w:tcPr>
            <w:tcW w:w="1705"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eastAsia="宋体"/>
                <w:color w:val="auto"/>
                <w:szCs w:val="21"/>
                <w:highlight w:val="none"/>
                <w:lang w:val="en-US" w:eastAsia="zh-CN"/>
              </w:rPr>
            </w:pPr>
            <w:r>
              <w:rPr>
                <w:rFonts w:hint="eastAsia"/>
                <w:color w:val="auto"/>
                <w:szCs w:val="21"/>
                <w:highlight w:val="none"/>
                <w:lang w:val="en-US" w:eastAsia="zh-CN"/>
              </w:rPr>
              <w:t>0</w:t>
            </w:r>
          </w:p>
        </w:tc>
        <w:tc>
          <w:tcPr>
            <w:tcW w:w="124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color w:val="auto"/>
                <w:szCs w:val="21"/>
                <w:highlight w:val="none"/>
              </w:rPr>
            </w:pPr>
            <w:r>
              <w:rPr>
                <w:rFonts w:hint="eastAsia"/>
                <w:color w:val="auto"/>
                <w:kern w:val="0"/>
                <w:szCs w:val="21"/>
                <w:highlight w:val="none"/>
              </w:rPr>
              <w:t>未检出</w:t>
            </w:r>
          </w:p>
        </w:tc>
        <w:tc>
          <w:tcPr>
            <w:tcW w:w="221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eastAsia="宋体"/>
                <w:color w:val="auto"/>
                <w:szCs w:val="21"/>
                <w:highlight w:val="none"/>
                <w:lang w:val="en-US" w:eastAsia="zh-CN"/>
              </w:rPr>
            </w:pPr>
            <w:r>
              <w:rPr>
                <w:rFonts w:hint="eastAsia"/>
                <w:color w:val="auto"/>
                <w:szCs w:val="21"/>
                <w:highlight w:val="none"/>
                <w:lang w:val="en-US" w:eastAsia="zh-CN"/>
              </w:rPr>
              <w:t>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PrEx>
        <w:trPr>
          <w:cantSplit/>
          <w:trHeight w:val="397" w:hRule="exact"/>
        </w:trPr>
        <w:tc>
          <w:tcPr>
            <w:tcW w:w="1124"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color w:val="auto"/>
                <w:sz w:val="21"/>
                <w:szCs w:val="21"/>
                <w:highlight w:val="none"/>
                <w:lang w:eastAsia="zh-CN"/>
              </w:rPr>
            </w:pPr>
          </w:p>
        </w:tc>
        <w:tc>
          <w:tcPr>
            <w:tcW w:w="975"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color w:val="auto"/>
                <w:sz w:val="21"/>
                <w:szCs w:val="21"/>
                <w:highlight w:val="none"/>
                <w:lang w:eastAsia="zh-CN"/>
              </w:rPr>
            </w:pPr>
          </w:p>
        </w:tc>
        <w:tc>
          <w:tcPr>
            <w:tcW w:w="853"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color w:val="auto"/>
                <w:sz w:val="21"/>
                <w:szCs w:val="21"/>
                <w:highlight w:val="none"/>
              </w:rPr>
            </w:pPr>
            <w:r>
              <w:rPr>
                <w:rFonts w:hint="eastAsia"/>
                <w:color w:val="auto"/>
                <w:sz w:val="21"/>
                <w:szCs w:val="21"/>
                <w:highlight w:val="none"/>
                <w:lang w:eastAsia="zh-CN"/>
              </w:rPr>
              <w:t>铬酸雾</w:t>
            </w:r>
          </w:p>
        </w:tc>
        <w:tc>
          <w:tcPr>
            <w:tcW w:w="13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eastAsia="宋体"/>
                <w:color w:val="auto"/>
                <w:sz w:val="21"/>
                <w:szCs w:val="21"/>
                <w:highlight w:val="none"/>
                <w:lang w:val="en-US" w:eastAsia="zh-CN"/>
              </w:rPr>
            </w:pPr>
            <w:r>
              <w:rPr>
                <w:rFonts w:hint="eastAsia"/>
                <w:color w:val="auto"/>
                <w:kern w:val="0"/>
                <w:szCs w:val="21"/>
                <w:highlight w:val="none"/>
              </w:rPr>
              <w:t>未检出</w:t>
            </w:r>
          </w:p>
        </w:tc>
        <w:tc>
          <w:tcPr>
            <w:tcW w:w="1705"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eastAsia="宋体"/>
                <w:color w:val="auto"/>
                <w:szCs w:val="21"/>
                <w:highlight w:val="none"/>
                <w:lang w:eastAsia="zh-CN"/>
              </w:rPr>
            </w:pPr>
            <w:r>
              <w:rPr>
                <w:rFonts w:hint="eastAsia"/>
                <w:color w:val="auto"/>
                <w:szCs w:val="21"/>
                <w:highlight w:val="none"/>
                <w:lang w:val="en-US" w:eastAsia="zh-CN"/>
              </w:rPr>
              <w:t>0</w:t>
            </w:r>
          </w:p>
        </w:tc>
        <w:tc>
          <w:tcPr>
            <w:tcW w:w="124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color w:val="auto"/>
                <w:szCs w:val="21"/>
                <w:highlight w:val="none"/>
              </w:rPr>
            </w:pPr>
            <w:r>
              <w:rPr>
                <w:rFonts w:hint="eastAsia"/>
                <w:color w:val="auto"/>
                <w:kern w:val="0"/>
                <w:szCs w:val="21"/>
                <w:highlight w:val="none"/>
              </w:rPr>
              <w:t>未检出</w:t>
            </w:r>
          </w:p>
        </w:tc>
        <w:tc>
          <w:tcPr>
            <w:tcW w:w="221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eastAsia="宋体"/>
                <w:color w:val="auto"/>
                <w:szCs w:val="21"/>
                <w:highlight w:val="none"/>
                <w:lang w:val="en-US" w:eastAsia="zh-CN"/>
              </w:rPr>
            </w:pPr>
            <w:r>
              <w:rPr>
                <w:rFonts w:hint="eastAsia"/>
                <w:color w:val="auto"/>
                <w:szCs w:val="21"/>
                <w:highlight w:val="none"/>
                <w:lang w:val="en-US" w:eastAsia="zh-CN"/>
              </w:rPr>
              <w:t>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97" w:hRule="exact"/>
        </w:trPr>
        <w:tc>
          <w:tcPr>
            <w:tcW w:w="1124"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color w:val="auto"/>
                <w:sz w:val="21"/>
                <w:szCs w:val="21"/>
                <w:highlight w:val="none"/>
                <w:lang w:eastAsia="zh-CN"/>
              </w:rPr>
            </w:pPr>
            <w:r>
              <w:rPr>
                <w:rFonts w:hint="eastAsia"/>
                <w:color w:val="auto"/>
                <w:sz w:val="21"/>
                <w:szCs w:val="21"/>
                <w:highlight w:val="none"/>
                <w:lang w:eastAsia="zh-CN"/>
              </w:rPr>
              <w:t>管家楼</w:t>
            </w:r>
          </w:p>
        </w:tc>
        <w:tc>
          <w:tcPr>
            <w:tcW w:w="975"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color w:val="auto"/>
                <w:sz w:val="21"/>
                <w:szCs w:val="21"/>
                <w:highlight w:val="none"/>
                <w:lang w:val="en-US" w:eastAsia="zh-CN"/>
              </w:rPr>
            </w:pPr>
            <w:r>
              <w:rPr>
                <w:rFonts w:hint="eastAsia"/>
                <w:color w:val="auto"/>
                <w:sz w:val="21"/>
                <w:szCs w:val="21"/>
                <w:highlight w:val="none"/>
                <w:lang w:val="en-US" w:eastAsia="zh-CN"/>
              </w:rPr>
              <w:t>2012年3月</w:t>
            </w:r>
          </w:p>
        </w:tc>
        <w:tc>
          <w:tcPr>
            <w:tcW w:w="853" w:type="dxa"/>
            <w:vAlign w:val="center"/>
          </w:tcPr>
          <w:p>
            <w:pPr>
              <w:jc w:val="center"/>
              <w:rPr>
                <w:rFonts w:hint="eastAsia"/>
                <w:color w:val="auto"/>
                <w:sz w:val="21"/>
                <w:szCs w:val="21"/>
                <w:highlight w:val="none"/>
                <w:lang w:eastAsia="zh-CN"/>
              </w:rPr>
            </w:pPr>
            <w:r>
              <w:rPr>
                <w:color w:val="auto"/>
                <w:szCs w:val="21"/>
                <w:highlight w:val="none"/>
              </w:rPr>
              <w:t>SO</w:t>
            </w:r>
            <w:r>
              <w:rPr>
                <w:color w:val="auto"/>
                <w:szCs w:val="21"/>
                <w:highlight w:val="none"/>
                <w:vertAlign w:val="subscript"/>
              </w:rPr>
              <w:t>2</w:t>
            </w:r>
          </w:p>
        </w:tc>
        <w:tc>
          <w:tcPr>
            <w:tcW w:w="13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eastAsia="宋体"/>
                <w:color w:val="auto"/>
                <w:kern w:val="0"/>
                <w:szCs w:val="21"/>
                <w:highlight w:val="none"/>
                <w:lang w:val="en-US" w:eastAsia="zh-CN"/>
              </w:rPr>
            </w:pPr>
            <w:r>
              <w:rPr>
                <w:rFonts w:hint="eastAsia"/>
                <w:color w:val="auto"/>
                <w:kern w:val="0"/>
                <w:szCs w:val="21"/>
                <w:highlight w:val="none"/>
                <w:lang w:val="en-US" w:eastAsia="zh-CN"/>
              </w:rPr>
              <w:t>0.022-0.094</w:t>
            </w:r>
          </w:p>
        </w:tc>
        <w:tc>
          <w:tcPr>
            <w:tcW w:w="1705"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color w:val="auto"/>
                <w:sz w:val="21"/>
                <w:szCs w:val="21"/>
                <w:highlight w:val="none"/>
                <w:lang w:val="en-US" w:eastAsia="zh-CN"/>
              </w:rPr>
            </w:pPr>
            <w:r>
              <w:rPr>
                <w:rFonts w:hint="eastAsia"/>
                <w:color w:val="auto"/>
                <w:sz w:val="21"/>
                <w:szCs w:val="21"/>
                <w:highlight w:val="none"/>
                <w:lang w:val="en-US" w:eastAsia="zh-CN"/>
              </w:rPr>
              <w:t>0</w:t>
            </w:r>
          </w:p>
        </w:tc>
        <w:tc>
          <w:tcPr>
            <w:tcW w:w="124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color w:val="auto"/>
                <w:kern w:val="0"/>
                <w:szCs w:val="21"/>
                <w:highlight w:val="none"/>
              </w:rPr>
            </w:pPr>
            <w:r>
              <w:rPr>
                <w:rFonts w:hint="eastAsia"/>
                <w:color w:val="auto"/>
                <w:szCs w:val="21"/>
                <w:highlight w:val="none"/>
                <w:lang w:eastAsia="zh-CN"/>
              </w:rPr>
              <w:t>—</w:t>
            </w:r>
          </w:p>
        </w:tc>
        <w:tc>
          <w:tcPr>
            <w:tcW w:w="221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color w:val="auto"/>
                <w:szCs w:val="21"/>
                <w:highlight w:val="none"/>
                <w:lang w:val="en-US" w:eastAsia="zh-CN"/>
              </w:rPr>
            </w:pPr>
            <w:r>
              <w:rPr>
                <w:rFonts w:hint="eastAsia"/>
                <w:color w:val="auto"/>
                <w:szCs w:val="21"/>
                <w:highlight w:val="none"/>
                <w:lang w:eastAsia="zh-CN"/>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97" w:hRule="exact"/>
        </w:trPr>
        <w:tc>
          <w:tcPr>
            <w:tcW w:w="1124"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color w:val="auto"/>
                <w:sz w:val="21"/>
                <w:szCs w:val="21"/>
                <w:highlight w:val="none"/>
                <w:lang w:eastAsia="zh-CN"/>
              </w:rPr>
            </w:pPr>
          </w:p>
        </w:tc>
        <w:tc>
          <w:tcPr>
            <w:tcW w:w="975"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color w:val="auto"/>
                <w:sz w:val="21"/>
                <w:szCs w:val="21"/>
                <w:highlight w:val="none"/>
                <w:lang w:eastAsia="zh-CN"/>
              </w:rPr>
            </w:pPr>
          </w:p>
        </w:tc>
        <w:tc>
          <w:tcPr>
            <w:tcW w:w="853" w:type="dxa"/>
            <w:vAlign w:val="center"/>
          </w:tcPr>
          <w:p>
            <w:pPr>
              <w:jc w:val="center"/>
              <w:rPr>
                <w:rFonts w:hint="eastAsia"/>
                <w:color w:val="auto"/>
                <w:sz w:val="21"/>
                <w:szCs w:val="21"/>
                <w:highlight w:val="none"/>
                <w:lang w:eastAsia="zh-CN"/>
              </w:rPr>
            </w:pPr>
            <w:r>
              <w:rPr>
                <w:color w:val="auto"/>
                <w:szCs w:val="21"/>
                <w:highlight w:val="none"/>
              </w:rPr>
              <w:t>NO</w:t>
            </w:r>
            <w:r>
              <w:rPr>
                <w:rFonts w:hint="eastAsia"/>
                <w:color w:val="auto"/>
                <w:szCs w:val="21"/>
                <w:highlight w:val="none"/>
                <w:vertAlign w:val="subscript"/>
                <w:lang w:val="en-US" w:eastAsia="zh-CN"/>
              </w:rPr>
              <w:t>2</w:t>
            </w:r>
          </w:p>
        </w:tc>
        <w:tc>
          <w:tcPr>
            <w:tcW w:w="13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eastAsia="宋体"/>
                <w:color w:val="auto"/>
                <w:kern w:val="0"/>
                <w:szCs w:val="21"/>
                <w:highlight w:val="none"/>
                <w:lang w:val="en-US" w:eastAsia="zh-CN"/>
              </w:rPr>
            </w:pPr>
            <w:r>
              <w:rPr>
                <w:rFonts w:hint="eastAsia"/>
                <w:color w:val="auto"/>
                <w:kern w:val="0"/>
                <w:szCs w:val="21"/>
                <w:highlight w:val="none"/>
                <w:lang w:val="en-US" w:eastAsia="zh-CN"/>
              </w:rPr>
              <w:t>0.030-0.079</w:t>
            </w:r>
          </w:p>
        </w:tc>
        <w:tc>
          <w:tcPr>
            <w:tcW w:w="1705"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color w:val="auto"/>
                <w:sz w:val="21"/>
                <w:szCs w:val="21"/>
                <w:highlight w:val="none"/>
                <w:lang w:val="en-US" w:eastAsia="zh-CN"/>
              </w:rPr>
            </w:pPr>
            <w:r>
              <w:rPr>
                <w:rFonts w:hint="eastAsia"/>
                <w:color w:val="auto"/>
                <w:sz w:val="21"/>
                <w:szCs w:val="21"/>
                <w:highlight w:val="none"/>
                <w:lang w:val="en-US" w:eastAsia="zh-CN"/>
              </w:rPr>
              <w:t>0</w:t>
            </w:r>
          </w:p>
        </w:tc>
        <w:tc>
          <w:tcPr>
            <w:tcW w:w="124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color w:val="auto"/>
                <w:kern w:val="0"/>
                <w:szCs w:val="21"/>
                <w:highlight w:val="none"/>
              </w:rPr>
            </w:pPr>
            <w:r>
              <w:rPr>
                <w:rFonts w:hint="eastAsia"/>
                <w:color w:val="auto"/>
                <w:szCs w:val="21"/>
                <w:highlight w:val="none"/>
                <w:lang w:eastAsia="zh-CN"/>
              </w:rPr>
              <w:t>—</w:t>
            </w:r>
          </w:p>
        </w:tc>
        <w:tc>
          <w:tcPr>
            <w:tcW w:w="221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color w:val="auto"/>
                <w:szCs w:val="21"/>
                <w:highlight w:val="none"/>
                <w:lang w:val="en-US" w:eastAsia="zh-CN"/>
              </w:rPr>
            </w:pPr>
            <w:r>
              <w:rPr>
                <w:rFonts w:hint="eastAsia"/>
                <w:color w:val="auto"/>
                <w:szCs w:val="21"/>
                <w:highlight w:val="none"/>
                <w:lang w:eastAsia="zh-CN"/>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527" w:hRule="exact"/>
        </w:trPr>
        <w:tc>
          <w:tcPr>
            <w:tcW w:w="1124"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color w:val="auto"/>
                <w:sz w:val="21"/>
                <w:szCs w:val="21"/>
                <w:highlight w:val="none"/>
                <w:lang w:eastAsia="zh-CN"/>
              </w:rPr>
            </w:pPr>
          </w:p>
        </w:tc>
        <w:tc>
          <w:tcPr>
            <w:tcW w:w="975"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color w:val="auto"/>
                <w:sz w:val="21"/>
                <w:szCs w:val="21"/>
                <w:highlight w:val="none"/>
                <w:lang w:eastAsia="zh-CN"/>
              </w:rPr>
            </w:pPr>
          </w:p>
        </w:tc>
        <w:tc>
          <w:tcPr>
            <w:tcW w:w="853" w:type="dxa"/>
            <w:vAlign w:val="center"/>
          </w:tcPr>
          <w:p>
            <w:pPr>
              <w:jc w:val="center"/>
              <w:rPr>
                <w:rFonts w:hint="eastAsia"/>
                <w:color w:val="auto"/>
                <w:sz w:val="21"/>
                <w:szCs w:val="21"/>
                <w:highlight w:val="none"/>
                <w:lang w:eastAsia="zh-CN"/>
              </w:rPr>
            </w:pPr>
            <w:r>
              <w:rPr>
                <w:color w:val="auto"/>
                <w:szCs w:val="21"/>
                <w:highlight w:val="none"/>
              </w:rPr>
              <w:t>PM</w:t>
            </w:r>
            <w:r>
              <w:rPr>
                <w:color w:val="auto"/>
                <w:szCs w:val="21"/>
                <w:highlight w:val="none"/>
                <w:vertAlign w:val="subscript"/>
              </w:rPr>
              <w:t>10</w:t>
            </w:r>
          </w:p>
        </w:tc>
        <w:tc>
          <w:tcPr>
            <w:tcW w:w="13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color w:val="auto"/>
                <w:kern w:val="0"/>
                <w:szCs w:val="21"/>
                <w:highlight w:val="none"/>
              </w:rPr>
            </w:pPr>
            <w:r>
              <w:rPr>
                <w:rFonts w:hint="eastAsia"/>
                <w:color w:val="auto"/>
                <w:szCs w:val="21"/>
                <w:highlight w:val="none"/>
                <w:lang w:eastAsia="zh-CN"/>
              </w:rPr>
              <w:t>—</w:t>
            </w:r>
          </w:p>
        </w:tc>
        <w:tc>
          <w:tcPr>
            <w:tcW w:w="1705"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color w:val="auto"/>
                <w:sz w:val="21"/>
                <w:szCs w:val="21"/>
                <w:highlight w:val="none"/>
                <w:lang w:val="en-US" w:eastAsia="zh-CN"/>
              </w:rPr>
            </w:pPr>
            <w:r>
              <w:rPr>
                <w:rFonts w:hint="eastAsia"/>
                <w:color w:val="auto"/>
                <w:szCs w:val="21"/>
                <w:highlight w:val="none"/>
                <w:lang w:eastAsia="zh-CN"/>
              </w:rPr>
              <w:t>—</w:t>
            </w:r>
          </w:p>
        </w:tc>
        <w:tc>
          <w:tcPr>
            <w:tcW w:w="1240" w:type="dxa"/>
            <w:shd w:val="clear" w:color="auto" w:fill="EEECE1" w:themeFill="background2"/>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eastAsia="宋体"/>
                <w:color w:val="auto"/>
                <w:kern w:val="0"/>
                <w:szCs w:val="21"/>
                <w:highlight w:val="none"/>
                <w:lang w:val="en-US" w:eastAsia="zh-CN"/>
              </w:rPr>
            </w:pPr>
            <w:r>
              <w:rPr>
                <w:rFonts w:hint="eastAsia"/>
                <w:color w:val="auto"/>
                <w:kern w:val="0"/>
                <w:szCs w:val="21"/>
                <w:highlight w:val="none"/>
                <w:lang w:val="en-US" w:eastAsia="zh-CN"/>
              </w:rPr>
              <w:t>0.117-0.159</w:t>
            </w:r>
          </w:p>
        </w:tc>
        <w:tc>
          <w:tcPr>
            <w:tcW w:w="2210" w:type="dxa"/>
            <w:shd w:val="clear" w:color="auto" w:fill="EEECE1" w:themeFill="background2"/>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outlineLvl w:val="9"/>
              <w:rPr>
                <w:rFonts w:hint="eastAsia"/>
                <w:color w:val="auto"/>
                <w:szCs w:val="21"/>
                <w:highlight w:val="none"/>
                <w:lang w:val="en-US" w:eastAsia="zh-CN"/>
              </w:rPr>
            </w:pPr>
            <w:r>
              <w:rPr>
                <w:rFonts w:hint="eastAsia"/>
                <w:color w:val="auto"/>
                <w:szCs w:val="21"/>
                <w:highlight w:val="none"/>
                <w:lang w:val="en-US" w:eastAsia="zh-CN"/>
              </w:rPr>
              <w:t>14.29(最大超0.06倍)</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97" w:hRule="exact"/>
        </w:trPr>
        <w:tc>
          <w:tcPr>
            <w:tcW w:w="1124"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color w:val="auto"/>
                <w:sz w:val="21"/>
                <w:szCs w:val="21"/>
                <w:highlight w:val="none"/>
                <w:lang w:eastAsia="zh-CN"/>
              </w:rPr>
            </w:pPr>
          </w:p>
        </w:tc>
        <w:tc>
          <w:tcPr>
            <w:tcW w:w="975"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color w:val="auto"/>
                <w:sz w:val="21"/>
                <w:szCs w:val="21"/>
                <w:highlight w:val="none"/>
                <w:lang w:eastAsia="zh-CN"/>
              </w:rPr>
            </w:pPr>
          </w:p>
        </w:tc>
        <w:tc>
          <w:tcPr>
            <w:tcW w:w="853"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color w:val="auto"/>
                <w:sz w:val="21"/>
                <w:szCs w:val="21"/>
                <w:highlight w:val="none"/>
                <w:lang w:val="en-US" w:eastAsia="zh-CN"/>
              </w:rPr>
            </w:pPr>
            <w:r>
              <w:rPr>
                <w:rFonts w:hint="eastAsia"/>
                <w:color w:val="auto"/>
                <w:sz w:val="21"/>
                <w:szCs w:val="21"/>
                <w:highlight w:val="none"/>
                <w:lang w:val="en-US" w:eastAsia="zh-CN"/>
              </w:rPr>
              <w:t>TSP</w:t>
            </w:r>
          </w:p>
        </w:tc>
        <w:tc>
          <w:tcPr>
            <w:tcW w:w="13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color w:val="auto"/>
                <w:kern w:val="0"/>
                <w:szCs w:val="21"/>
                <w:highlight w:val="none"/>
              </w:rPr>
            </w:pPr>
            <w:r>
              <w:rPr>
                <w:rFonts w:hint="eastAsia"/>
                <w:color w:val="auto"/>
                <w:szCs w:val="21"/>
                <w:highlight w:val="none"/>
                <w:lang w:eastAsia="zh-CN"/>
              </w:rPr>
              <w:t>—</w:t>
            </w:r>
          </w:p>
        </w:tc>
        <w:tc>
          <w:tcPr>
            <w:tcW w:w="1705"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color w:val="auto"/>
                <w:sz w:val="21"/>
                <w:szCs w:val="21"/>
                <w:highlight w:val="none"/>
                <w:lang w:val="en-US" w:eastAsia="zh-CN"/>
              </w:rPr>
            </w:pPr>
            <w:r>
              <w:rPr>
                <w:rFonts w:hint="eastAsia"/>
                <w:color w:val="auto"/>
                <w:szCs w:val="21"/>
                <w:highlight w:val="none"/>
                <w:lang w:eastAsia="zh-CN"/>
              </w:rPr>
              <w:t>—</w:t>
            </w:r>
          </w:p>
        </w:tc>
        <w:tc>
          <w:tcPr>
            <w:tcW w:w="124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eastAsia="宋体"/>
                <w:color w:val="auto"/>
                <w:kern w:val="0"/>
                <w:szCs w:val="21"/>
                <w:highlight w:val="none"/>
                <w:lang w:val="en-US" w:eastAsia="zh-CN"/>
              </w:rPr>
            </w:pPr>
            <w:r>
              <w:rPr>
                <w:rFonts w:hint="eastAsia"/>
                <w:color w:val="auto"/>
                <w:kern w:val="0"/>
                <w:szCs w:val="21"/>
                <w:highlight w:val="none"/>
                <w:lang w:val="en-US" w:eastAsia="zh-CN"/>
              </w:rPr>
              <w:t>0.212-0.281</w:t>
            </w:r>
          </w:p>
        </w:tc>
        <w:tc>
          <w:tcPr>
            <w:tcW w:w="221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color w:val="auto"/>
                <w:szCs w:val="21"/>
                <w:highlight w:val="none"/>
                <w:lang w:val="en-US" w:eastAsia="zh-CN"/>
              </w:rPr>
            </w:pPr>
            <w:r>
              <w:rPr>
                <w:rFonts w:hint="eastAsia"/>
                <w:color w:val="auto"/>
                <w:szCs w:val="21"/>
                <w:highlight w:val="none"/>
                <w:lang w:val="en-US" w:eastAsia="zh-CN"/>
              </w:rPr>
              <w:t>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97" w:hRule="exact"/>
        </w:trPr>
        <w:tc>
          <w:tcPr>
            <w:tcW w:w="1124"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color w:val="auto"/>
                <w:sz w:val="21"/>
                <w:szCs w:val="21"/>
                <w:highlight w:val="none"/>
                <w:lang w:eastAsia="zh-CN"/>
              </w:rPr>
            </w:pPr>
            <w:r>
              <w:rPr>
                <w:rFonts w:hint="eastAsia"/>
                <w:color w:val="auto"/>
                <w:sz w:val="21"/>
                <w:szCs w:val="21"/>
                <w:highlight w:val="none"/>
                <w:lang w:eastAsia="zh-CN"/>
              </w:rPr>
              <w:t>港头陈家村</w:t>
            </w:r>
          </w:p>
        </w:tc>
        <w:tc>
          <w:tcPr>
            <w:tcW w:w="975"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color w:val="auto"/>
                <w:sz w:val="21"/>
                <w:szCs w:val="21"/>
                <w:highlight w:val="none"/>
                <w:lang w:eastAsia="zh-CN"/>
              </w:rPr>
            </w:pPr>
            <w:r>
              <w:rPr>
                <w:rFonts w:hint="eastAsia"/>
                <w:color w:val="auto"/>
                <w:sz w:val="21"/>
                <w:szCs w:val="21"/>
                <w:highlight w:val="none"/>
                <w:lang w:val="en-US" w:eastAsia="zh-CN"/>
              </w:rPr>
              <w:t>2012年3月</w:t>
            </w:r>
          </w:p>
        </w:tc>
        <w:tc>
          <w:tcPr>
            <w:tcW w:w="853" w:type="dxa"/>
            <w:vAlign w:val="center"/>
          </w:tcPr>
          <w:p>
            <w:pPr>
              <w:jc w:val="center"/>
              <w:rPr>
                <w:rFonts w:hint="eastAsia"/>
                <w:color w:val="auto"/>
                <w:sz w:val="21"/>
                <w:szCs w:val="21"/>
                <w:highlight w:val="none"/>
                <w:lang w:eastAsia="zh-CN"/>
              </w:rPr>
            </w:pPr>
            <w:r>
              <w:rPr>
                <w:color w:val="auto"/>
                <w:szCs w:val="21"/>
                <w:highlight w:val="none"/>
              </w:rPr>
              <w:t>SO</w:t>
            </w:r>
            <w:r>
              <w:rPr>
                <w:color w:val="auto"/>
                <w:szCs w:val="21"/>
                <w:highlight w:val="none"/>
                <w:vertAlign w:val="subscript"/>
              </w:rPr>
              <w:t>2</w:t>
            </w:r>
          </w:p>
        </w:tc>
        <w:tc>
          <w:tcPr>
            <w:tcW w:w="13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eastAsia="宋体"/>
                <w:color w:val="auto"/>
                <w:kern w:val="0"/>
                <w:szCs w:val="21"/>
                <w:highlight w:val="none"/>
                <w:lang w:val="en-US" w:eastAsia="zh-CN"/>
              </w:rPr>
            </w:pPr>
            <w:r>
              <w:rPr>
                <w:rFonts w:hint="eastAsia"/>
                <w:color w:val="auto"/>
                <w:kern w:val="0"/>
                <w:szCs w:val="21"/>
                <w:highlight w:val="none"/>
                <w:lang w:val="en-US" w:eastAsia="zh-CN"/>
              </w:rPr>
              <w:t>0.033-0.098</w:t>
            </w:r>
          </w:p>
        </w:tc>
        <w:tc>
          <w:tcPr>
            <w:tcW w:w="1705"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color w:val="auto"/>
                <w:sz w:val="21"/>
                <w:szCs w:val="21"/>
                <w:highlight w:val="none"/>
                <w:lang w:val="en-US" w:eastAsia="zh-CN"/>
              </w:rPr>
            </w:pPr>
            <w:r>
              <w:rPr>
                <w:rFonts w:hint="eastAsia"/>
                <w:color w:val="auto"/>
                <w:sz w:val="21"/>
                <w:szCs w:val="21"/>
                <w:highlight w:val="none"/>
                <w:lang w:val="en-US" w:eastAsia="zh-CN"/>
              </w:rPr>
              <w:t>0</w:t>
            </w:r>
          </w:p>
        </w:tc>
        <w:tc>
          <w:tcPr>
            <w:tcW w:w="124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color w:val="auto"/>
                <w:kern w:val="0"/>
                <w:szCs w:val="21"/>
                <w:highlight w:val="none"/>
              </w:rPr>
            </w:pPr>
            <w:r>
              <w:rPr>
                <w:rFonts w:hint="eastAsia"/>
                <w:color w:val="auto"/>
                <w:szCs w:val="21"/>
                <w:highlight w:val="none"/>
                <w:lang w:eastAsia="zh-CN"/>
              </w:rPr>
              <w:t>—</w:t>
            </w:r>
          </w:p>
        </w:tc>
        <w:tc>
          <w:tcPr>
            <w:tcW w:w="221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color w:val="auto"/>
                <w:szCs w:val="21"/>
                <w:highlight w:val="none"/>
                <w:lang w:val="en-US" w:eastAsia="zh-CN"/>
              </w:rPr>
            </w:pPr>
            <w:r>
              <w:rPr>
                <w:rFonts w:hint="eastAsia"/>
                <w:color w:val="auto"/>
                <w:szCs w:val="21"/>
                <w:highlight w:val="none"/>
                <w:lang w:eastAsia="zh-CN"/>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97" w:hRule="exact"/>
        </w:trPr>
        <w:tc>
          <w:tcPr>
            <w:tcW w:w="1124"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color w:val="auto"/>
                <w:sz w:val="21"/>
                <w:szCs w:val="21"/>
                <w:highlight w:val="none"/>
                <w:lang w:eastAsia="zh-CN"/>
              </w:rPr>
            </w:pPr>
          </w:p>
        </w:tc>
        <w:tc>
          <w:tcPr>
            <w:tcW w:w="975"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color w:val="auto"/>
                <w:sz w:val="21"/>
                <w:szCs w:val="21"/>
                <w:highlight w:val="none"/>
                <w:lang w:eastAsia="zh-CN"/>
              </w:rPr>
            </w:pPr>
          </w:p>
        </w:tc>
        <w:tc>
          <w:tcPr>
            <w:tcW w:w="853" w:type="dxa"/>
            <w:vAlign w:val="center"/>
          </w:tcPr>
          <w:p>
            <w:pPr>
              <w:jc w:val="center"/>
              <w:rPr>
                <w:rFonts w:hint="eastAsia"/>
                <w:color w:val="auto"/>
                <w:sz w:val="21"/>
                <w:szCs w:val="21"/>
                <w:highlight w:val="none"/>
                <w:lang w:eastAsia="zh-CN"/>
              </w:rPr>
            </w:pPr>
            <w:r>
              <w:rPr>
                <w:color w:val="auto"/>
                <w:szCs w:val="21"/>
                <w:highlight w:val="none"/>
              </w:rPr>
              <w:t>NO</w:t>
            </w:r>
            <w:r>
              <w:rPr>
                <w:rFonts w:hint="eastAsia"/>
                <w:color w:val="auto"/>
                <w:szCs w:val="21"/>
                <w:highlight w:val="none"/>
                <w:vertAlign w:val="subscript"/>
                <w:lang w:val="en-US" w:eastAsia="zh-CN"/>
              </w:rPr>
              <w:t>2</w:t>
            </w:r>
          </w:p>
        </w:tc>
        <w:tc>
          <w:tcPr>
            <w:tcW w:w="13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eastAsia="宋体"/>
                <w:color w:val="auto"/>
                <w:kern w:val="0"/>
                <w:szCs w:val="21"/>
                <w:highlight w:val="none"/>
                <w:lang w:val="en-US" w:eastAsia="zh-CN"/>
              </w:rPr>
            </w:pPr>
            <w:r>
              <w:rPr>
                <w:rFonts w:hint="eastAsia"/>
                <w:color w:val="auto"/>
                <w:kern w:val="0"/>
                <w:szCs w:val="21"/>
                <w:highlight w:val="none"/>
                <w:lang w:val="en-US" w:eastAsia="zh-CN"/>
              </w:rPr>
              <w:t>0.031-0.090</w:t>
            </w:r>
          </w:p>
        </w:tc>
        <w:tc>
          <w:tcPr>
            <w:tcW w:w="1705"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color w:val="auto"/>
                <w:sz w:val="21"/>
                <w:szCs w:val="21"/>
                <w:highlight w:val="none"/>
                <w:lang w:val="en-US" w:eastAsia="zh-CN"/>
              </w:rPr>
            </w:pPr>
            <w:r>
              <w:rPr>
                <w:rFonts w:hint="eastAsia"/>
                <w:color w:val="auto"/>
                <w:sz w:val="21"/>
                <w:szCs w:val="21"/>
                <w:highlight w:val="none"/>
                <w:lang w:val="en-US" w:eastAsia="zh-CN"/>
              </w:rPr>
              <w:t>0</w:t>
            </w:r>
          </w:p>
        </w:tc>
        <w:tc>
          <w:tcPr>
            <w:tcW w:w="124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color w:val="auto"/>
                <w:kern w:val="0"/>
                <w:szCs w:val="21"/>
                <w:highlight w:val="none"/>
              </w:rPr>
            </w:pPr>
            <w:r>
              <w:rPr>
                <w:rFonts w:hint="eastAsia"/>
                <w:color w:val="auto"/>
                <w:szCs w:val="21"/>
                <w:highlight w:val="none"/>
                <w:lang w:eastAsia="zh-CN"/>
              </w:rPr>
              <w:t>—</w:t>
            </w:r>
          </w:p>
        </w:tc>
        <w:tc>
          <w:tcPr>
            <w:tcW w:w="221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color w:val="auto"/>
                <w:szCs w:val="21"/>
                <w:highlight w:val="none"/>
                <w:lang w:val="en-US" w:eastAsia="zh-CN"/>
              </w:rPr>
            </w:pPr>
            <w:r>
              <w:rPr>
                <w:rFonts w:hint="eastAsia"/>
                <w:color w:val="auto"/>
                <w:szCs w:val="21"/>
                <w:highlight w:val="none"/>
                <w:lang w:eastAsia="zh-CN"/>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97" w:hRule="exact"/>
        </w:trPr>
        <w:tc>
          <w:tcPr>
            <w:tcW w:w="1124"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color w:val="auto"/>
                <w:sz w:val="21"/>
                <w:szCs w:val="21"/>
                <w:highlight w:val="none"/>
                <w:lang w:eastAsia="zh-CN"/>
              </w:rPr>
            </w:pPr>
          </w:p>
        </w:tc>
        <w:tc>
          <w:tcPr>
            <w:tcW w:w="975"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color w:val="auto"/>
                <w:sz w:val="21"/>
                <w:szCs w:val="21"/>
                <w:highlight w:val="none"/>
                <w:lang w:eastAsia="zh-CN"/>
              </w:rPr>
            </w:pPr>
          </w:p>
        </w:tc>
        <w:tc>
          <w:tcPr>
            <w:tcW w:w="853" w:type="dxa"/>
            <w:vAlign w:val="center"/>
          </w:tcPr>
          <w:p>
            <w:pPr>
              <w:jc w:val="center"/>
              <w:rPr>
                <w:rFonts w:hint="eastAsia"/>
                <w:color w:val="auto"/>
                <w:sz w:val="21"/>
                <w:szCs w:val="21"/>
                <w:highlight w:val="none"/>
                <w:lang w:eastAsia="zh-CN"/>
              </w:rPr>
            </w:pPr>
            <w:r>
              <w:rPr>
                <w:color w:val="auto"/>
                <w:szCs w:val="21"/>
                <w:highlight w:val="none"/>
              </w:rPr>
              <w:t>PM</w:t>
            </w:r>
            <w:r>
              <w:rPr>
                <w:color w:val="auto"/>
                <w:szCs w:val="21"/>
                <w:highlight w:val="none"/>
                <w:vertAlign w:val="subscript"/>
              </w:rPr>
              <w:t>10</w:t>
            </w:r>
          </w:p>
        </w:tc>
        <w:tc>
          <w:tcPr>
            <w:tcW w:w="13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color w:val="auto"/>
                <w:kern w:val="0"/>
                <w:szCs w:val="21"/>
                <w:highlight w:val="none"/>
              </w:rPr>
            </w:pPr>
            <w:r>
              <w:rPr>
                <w:rFonts w:hint="eastAsia"/>
                <w:color w:val="auto"/>
                <w:szCs w:val="21"/>
                <w:highlight w:val="none"/>
                <w:lang w:eastAsia="zh-CN"/>
              </w:rPr>
              <w:t>—</w:t>
            </w:r>
          </w:p>
        </w:tc>
        <w:tc>
          <w:tcPr>
            <w:tcW w:w="1705"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color w:val="auto"/>
                <w:sz w:val="21"/>
                <w:szCs w:val="21"/>
                <w:highlight w:val="none"/>
                <w:lang w:val="en-US" w:eastAsia="zh-CN"/>
              </w:rPr>
            </w:pPr>
            <w:r>
              <w:rPr>
                <w:rFonts w:hint="eastAsia"/>
                <w:color w:val="auto"/>
                <w:szCs w:val="21"/>
                <w:highlight w:val="none"/>
                <w:lang w:eastAsia="zh-CN"/>
              </w:rPr>
              <w:t>—</w:t>
            </w:r>
          </w:p>
        </w:tc>
        <w:tc>
          <w:tcPr>
            <w:tcW w:w="1240" w:type="dxa"/>
            <w:shd w:val="clear" w:color="auto" w:fill="EEECE1" w:themeFill="background2"/>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eastAsia="宋体"/>
                <w:color w:val="auto"/>
                <w:kern w:val="0"/>
                <w:szCs w:val="21"/>
                <w:highlight w:val="none"/>
                <w:lang w:val="en-US" w:eastAsia="zh-CN"/>
              </w:rPr>
            </w:pPr>
            <w:r>
              <w:rPr>
                <w:rFonts w:hint="eastAsia"/>
                <w:color w:val="auto"/>
                <w:kern w:val="0"/>
                <w:szCs w:val="21"/>
                <w:highlight w:val="none"/>
                <w:lang w:val="en-US" w:eastAsia="zh-CN"/>
              </w:rPr>
              <w:t>0.118-0.189</w:t>
            </w:r>
          </w:p>
        </w:tc>
        <w:tc>
          <w:tcPr>
            <w:tcW w:w="2210" w:type="dxa"/>
            <w:shd w:val="clear" w:color="auto" w:fill="EEECE1" w:themeFill="background2"/>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outlineLvl w:val="9"/>
              <w:rPr>
                <w:rFonts w:hint="eastAsia"/>
                <w:color w:val="auto"/>
                <w:szCs w:val="21"/>
                <w:highlight w:val="none"/>
                <w:lang w:val="en-US" w:eastAsia="zh-CN"/>
              </w:rPr>
            </w:pPr>
            <w:r>
              <w:rPr>
                <w:rFonts w:hint="eastAsia"/>
                <w:color w:val="auto"/>
                <w:szCs w:val="21"/>
                <w:highlight w:val="none"/>
                <w:lang w:val="en-US" w:eastAsia="zh-CN"/>
              </w:rPr>
              <w:t>42.86(最大超0.26倍)</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97" w:hRule="exact"/>
        </w:trPr>
        <w:tc>
          <w:tcPr>
            <w:tcW w:w="1124"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color w:val="auto"/>
                <w:sz w:val="21"/>
                <w:szCs w:val="21"/>
                <w:highlight w:val="none"/>
                <w:lang w:eastAsia="zh-CN"/>
              </w:rPr>
            </w:pPr>
          </w:p>
        </w:tc>
        <w:tc>
          <w:tcPr>
            <w:tcW w:w="975"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color w:val="auto"/>
                <w:sz w:val="21"/>
                <w:szCs w:val="21"/>
                <w:highlight w:val="none"/>
                <w:lang w:eastAsia="zh-CN"/>
              </w:rPr>
            </w:pPr>
          </w:p>
        </w:tc>
        <w:tc>
          <w:tcPr>
            <w:tcW w:w="853"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color w:val="auto"/>
                <w:sz w:val="21"/>
                <w:szCs w:val="21"/>
                <w:highlight w:val="none"/>
                <w:lang w:eastAsia="zh-CN"/>
              </w:rPr>
            </w:pPr>
            <w:r>
              <w:rPr>
                <w:rFonts w:hint="eastAsia"/>
                <w:color w:val="auto"/>
                <w:sz w:val="21"/>
                <w:szCs w:val="21"/>
                <w:highlight w:val="none"/>
                <w:lang w:val="en-US" w:eastAsia="zh-CN"/>
              </w:rPr>
              <w:t>TSP</w:t>
            </w:r>
          </w:p>
        </w:tc>
        <w:tc>
          <w:tcPr>
            <w:tcW w:w="13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color w:val="auto"/>
                <w:kern w:val="0"/>
                <w:szCs w:val="21"/>
                <w:highlight w:val="none"/>
              </w:rPr>
            </w:pPr>
            <w:r>
              <w:rPr>
                <w:rFonts w:hint="eastAsia"/>
                <w:color w:val="auto"/>
                <w:szCs w:val="21"/>
                <w:highlight w:val="none"/>
                <w:lang w:eastAsia="zh-CN"/>
              </w:rPr>
              <w:t>—</w:t>
            </w:r>
          </w:p>
        </w:tc>
        <w:tc>
          <w:tcPr>
            <w:tcW w:w="1705"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color w:val="auto"/>
                <w:sz w:val="21"/>
                <w:szCs w:val="21"/>
                <w:highlight w:val="none"/>
                <w:lang w:val="en-US" w:eastAsia="zh-CN"/>
              </w:rPr>
            </w:pPr>
            <w:r>
              <w:rPr>
                <w:rFonts w:hint="eastAsia"/>
                <w:color w:val="auto"/>
                <w:szCs w:val="21"/>
                <w:highlight w:val="none"/>
                <w:lang w:eastAsia="zh-CN"/>
              </w:rPr>
              <w:t>—</w:t>
            </w:r>
          </w:p>
        </w:tc>
        <w:tc>
          <w:tcPr>
            <w:tcW w:w="1240" w:type="dxa"/>
            <w:shd w:val="clear" w:color="auto" w:fill="EEECE1" w:themeFill="background2"/>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eastAsia="宋体"/>
                <w:color w:val="auto"/>
                <w:kern w:val="0"/>
                <w:szCs w:val="21"/>
                <w:highlight w:val="none"/>
                <w:lang w:val="en-US" w:eastAsia="zh-CN"/>
              </w:rPr>
            </w:pPr>
            <w:r>
              <w:rPr>
                <w:rFonts w:hint="eastAsia"/>
                <w:color w:val="auto"/>
                <w:kern w:val="0"/>
                <w:szCs w:val="21"/>
                <w:highlight w:val="none"/>
                <w:lang w:val="en-US" w:eastAsia="zh-CN"/>
              </w:rPr>
              <w:t>0.203-0.338</w:t>
            </w:r>
          </w:p>
        </w:tc>
        <w:tc>
          <w:tcPr>
            <w:tcW w:w="2210" w:type="dxa"/>
            <w:shd w:val="clear" w:color="auto" w:fill="EEECE1" w:themeFill="background2"/>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outlineLvl w:val="9"/>
              <w:rPr>
                <w:rFonts w:hint="eastAsia"/>
                <w:color w:val="auto"/>
                <w:szCs w:val="21"/>
                <w:highlight w:val="none"/>
                <w:lang w:val="en-US" w:eastAsia="zh-CN"/>
              </w:rPr>
            </w:pPr>
            <w:r>
              <w:rPr>
                <w:rFonts w:hint="eastAsia"/>
                <w:color w:val="auto"/>
                <w:szCs w:val="21"/>
                <w:highlight w:val="none"/>
                <w:lang w:val="en-US" w:eastAsia="zh-CN"/>
              </w:rPr>
              <w:t>42.86(最大超0.13倍)</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97" w:hRule="exact"/>
        </w:trPr>
        <w:tc>
          <w:tcPr>
            <w:tcW w:w="1124"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color w:val="auto"/>
                <w:sz w:val="21"/>
                <w:szCs w:val="21"/>
                <w:highlight w:val="none"/>
                <w:lang w:eastAsia="zh-CN"/>
              </w:rPr>
            </w:pPr>
            <w:r>
              <w:rPr>
                <w:rFonts w:hint="eastAsia"/>
                <w:color w:val="auto"/>
                <w:sz w:val="21"/>
                <w:szCs w:val="21"/>
                <w:highlight w:val="none"/>
                <w:lang w:eastAsia="zh-CN"/>
              </w:rPr>
              <w:t>通关大厦前靠近西侧临街商铺</w:t>
            </w:r>
          </w:p>
        </w:tc>
        <w:tc>
          <w:tcPr>
            <w:tcW w:w="975"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color w:val="auto"/>
                <w:sz w:val="21"/>
                <w:szCs w:val="21"/>
                <w:highlight w:val="none"/>
                <w:lang w:val="en-US" w:eastAsia="zh-CN"/>
              </w:rPr>
            </w:pPr>
            <w:r>
              <w:rPr>
                <w:rFonts w:hint="eastAsia"/>
                <w:color w:val="auto"/>
                <w:sz w:val="21"/>
                <w:szCs w:val="21"/>
                <w:highlight w:val="none"/>
                <w:lang w:val="en-US" w:eastAsia="zh-CN"/>
              </w:rPr>
              <w:t>2013年9月</w:t>
            </w:r>
          </w:p>
        </w:tc>
        <w:tc>
          <w:tcPr>
            <w:tcW w:w="853" w:type="dxa"/>
            <w:vAlign w:val="center"/>
          </w:tcPr>
          <w:p>
            <w:pPr>
              <w:tabs>
                <w:tab w:val="center" w:pos="4166"/>
                <w:tab w:val="center" w:pos="6750"/>
              </w:tabs>
              <w:autoSpaceDE w:val="0"/>
              <w:autoSpaceDN w:val="0"/>
              <w:adjustRightInd w:val="0"/>
              <w:jc w:val="center"/>
              <w:rPr>
                <w:rFonts w:hint="eastAsia"/>
                <w:color w:val="auto"/>
                <w:sz w:val="21"/>
                <w:szCs w:val="21"/>
                <w:highlight w:val="none"/>
                <w:lang w:eastAsia="zh-CN"/>
              </w:rPr>
            </w:pPr>
            <w:r>
              <w:rPr>
                <w:color w:val="auto"/>
                <w:kern w:val="0"/>
                <w:szCs w:val="21"/>
                <w:highlight w:val="none"/>
              </w:rPr>
              <w:t>硫酸雾</w:t>
            </w:r>
          </w:p>
        </w:tc>
        <w:tc>
          <w:tcPr>
            <w:tcW w:w="13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eastAsia="宋体"/>
                <w:color w:val="auto"/>
                <w:kern w:val="0"/>
                <w:szCs w:val="21"/>
                <w:highlight w:val="none"/>
                <w:lang w:val="en-US" w:eastAsia="zh-CN"/>
              </w:rPr>
            </w:pPr>
            <w:r>
              <w:rPr>
                <w:rFonts w:hint="eastAsia"/>
                <w:color w:val="auto"/>
                <w:kern w:val="0"/>
                <w:szCs w:val="21"/>
                <w:highlight w:val="none"/>
                <w:lang w:eastAsia="zh-CN"/>
              </w:rPr>
              <w:t>未检出</w:t>
            </w:r>
          </w:p>
        </w:tc>
        <w:tc>
          <w:tcPr>
            <w:tcW w:w="1705"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color w:val="auto"/>
                <w:sz w:val="21"/>
                <w:szCs w:val="21"/>
                <w:highlight w:val="none"/>
                <w:lang w:val="en-US" w:eastAsia="zh-CN"/>
              </w:rPr>
            </w:pPr>
            <w:r>
              <w:rPr>
                <w:rFonts w:hint="eastAsia"/>
                <w:color w:val="auto"/>
                <w:sz w:val="21"/>
                <w:szCs w:val="21"/>
                <w:highlight w:val="none"/>
                <w:lang w:val="en-US" w:eastAsia="zh-CN"/>
              </w:rPr>
              <w:t>0</w:t>
            </w:r>
          </w:p>
        </w:tc>
        <w:tc>
          <w:tcPr>
            <w:tcW w:w="124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color w:val="auto"/>
                <w:kern w:val="0"/>
                <w:szCs w:val="21"/>
                <w:highlight w:val="none"/>
              </w:rPr>
            </w:pPr>
            <w:r>
              <w:rPr>
                <w:rFonts w:hint="eastAsia"/>
                <w:color w:val="auto"/>
                <w:szCs w:val="21"/>
                <w:highlight w:val="none"/>
                <w:lang w:eastAsia="zh-CN"/>
              </w:rPr>
              <w:t>—</w:t>
            </w:r>
          </w:p>
        </w:tc>
        <w:tc>
          <w:tcPr>
            <w:tcW w:w="221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color w:val="auto"/>
                <w:szCs w:val="21"/>
                <w:highlight w:val="none"/>
                <w:lang w:val="en-US" w:eastAsia="zh-CN"/>
              </w:rPr>
            </w:pPr>
            <w:r>
              <w:rPr>
                <w:rFonts w:hint="eastAsia"/>
                <w:color w:val="auto"/>
                <w:szCs w:val="21"/>
                <w:highlight w:val="none"/>
                <w:lang w:eastAsia="zh-CN"/>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97" w:hRule="exact"/>
        </w:trPr>
        <w:tc>
          <w:tcPr>
            <w:tcW w:w="1124"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color w:val="auto"/>
                <w:sz w:val="21"/>
                <w:szCs w:val="21"/>
                <w:highlight w:val="none"/>
                <w:lang w:eastAsia="zh-CN"/>
              </w:rPr>
            </w:pPr>
          </w:p>
        </w:tc>
        <w:tc>
          <w:tcPr>
            <w:tcW w:w="975"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color w:val="auto"/>
                <w:sz w:val="21"/>
                <w:szCs w:val="21"/>
                <w:highlight w:val="none"/>
                <w:lang w:eastAsia="zh-CN"/>
              </w:rPr>
            </w:pPr>
          </w:p>
        </w:tc>
        <w:tc>
          <w:tcPr>
            <w:tcW w:w="853" w:type="dxa"/>
            <w:vAlign w:val="center"/>
          </w:tcPr>
          <w:p>
            <w:pPr>
              <w:tabs>
                <w:tab w:val="center" w:pos="4166"/>
                <w:tab w:val="center" w:pos="6750"/>
              </w:tabs>
              <w:autoSpaceDE w:val="0"/>
              <w:autoSpaceDN w:val="0"/>
              <w:adjustRightInd w:val="0"/>
              <w:jc w:val="center"/>
              <w:rPr>
                <w:rFonts w:hint="eastAsia"/>
                <w:color w:val="auto"/>
                <w:sz w:val="21"/>
                <w:szCs w:val="21"/>
                <w:highlight w:val="none"/>
                <w:lang w:eastAsia="zh-CN"/>
              </w:rPr>
            </w:pPr>
            <w:r>
              <w:rPr>
                <w:color w:val="auto"/>
                <w:kern w:val="0"/>
                <w:szCs w:val="21"/>
                <w:highlight w:val="none"/>
              </w:rPr>
              <w:t>铬酸雾</w:t>
            </w:r>
          </w:p>
        </w:tc>
        <w:tc>
          <w:tcPr>
            <w:tcW w:w="13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color w:val="auto"/>
                <w:kern w:val="0"/>
                <w:szCs w:val="21"/>
                <w:highlight w:val="none"/>
              </w:rPr>
            </w:pPr>
            <w:r>
              <w:rPr>
                <w:rFonts w:hint="eastAsia"/>
                <w:color w:val="auto"/>
                <w:kern w:val="0"/>
                <w:szCs w:val="21"/>
                <w:highlight w:val="none"/>
              </w:rPr>
              <w:t>未检出</w:t>
            </w:r>
          </w:p>
        </w:tc>
        <w:tc>
          <w:tcPr>
            <w:tcW w:w="1705"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color w:val="auto"/>
                <w:sz w:val="21"/>
                <w:szCs w:val="21"/>
                <w:highlight w:val="none"/>
                <w:lang w:val="en-US" w:eastAsia="zh-CN"/>
              </w:rPr>
            </w:pPr>
            <w:r>
              <w:rPr>
                <w:rFonts w:hint="eastAsia"/>
                <w:color w:val="auto"/>
                <w:sz w:val="21"/>
                <w:szCs w:val="21"/>
                <w:highlight w:val="none"/>
                <w:lang w:val="en-US" w:eastAsia="zh-CN"/>
              </w:rPr>
              <w:t>0</w:t>
            </w:r>
          </w:p>
        </w:tc>
        <w:tc>
          <w:tcPr>
            <w:tcW w:w="124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color w:val="auto"/>
                <w:kern w:val="0"/>
                <w:szCs w:val="21"/>
                <w:highlight w:val="none"/>
              </w:rPr>
            </w:pPr>
            <w:r>
              <w:rPr>
                <w:rFonts w:hint="eastAsia"/>
                <w:color w:val="auto"/>
                <w:szCs w:val="21"/>
                <w:highlight w:val="none"/>
                <w:lang w:eastAsia="zh-CN"/>
              </w:rPr>
              <w:t>—</w:t>
            </w:r>
          </w:p>
        </w:tc>
        <w:tc>
          <w:tcPr>
            <w:tcW w:w="221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color w:val="auto"/>
                <w:szCs w:val="21"/>
                <w:highlight w:val="none"/>
                <w:lang w:val="en-US" w:eastAsia="zh-CN"/>
              </w:rPr>
            </w:pPr>
            <w:r>
              <w:rPr>
                <w:rFonts w:hint="eastAsia"/>
                <w:color w:val="auto"/>
                <w:szCs w:val="21"/>
                <w:highlight w:val="none"/>
                <w:lang w:eastAsia="zh-CN"/>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441" w:hRule="exact"/>
        </w:trPr>
        <w:tc>
          <w:tcPr>
            <w:tcW w:w="1124"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color w:val="auto"/>
                <w:sz w:val="21"/>
                <w:szCs w:val="21"/>
                <w:highlight w:val="none"/>
                <w:lang w:eastAsia="zh-CN"/>
              </w:rPr>
            </w:pPr>
          </w:p>
        </w:tc>
        <w:tc>
          <w:tcPr>
            <w:tcW w:w="975"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color w:val="auto"/>
                <w:sz w:val="21"/>
                <w:szCs w:val="21"/>
                <w:highlight w:val="none"/>
                <w:lang w:eastAsia="zh-CN"/>
              </w:rPr>
            </w:pPr>
            <w:r>
              <w:rPr>
                <w:rFonts w:hint="eastAsia"/>
                <w:color w:val="auto"/>
                <w:sz w:val="21"/>
                <w:szCs w:val="21"/>
                <w:highlight w:val="none"/>
                <w:lang w:val="en-US" w:eastAsia="zh-CN"/>
              </w:rPr>
              <w:t>2012年3月</w:t>
            </w:r>
          </w:p>
        </w:tc>
        <w:tc>
          <w:tcPr>
            <w:tcW w:w="853"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color w:val="auto"/>
                <w:sz w:val="21"/>
                <w:szCs w:val="21"/>
                <w:highlight w:val="none"/>
                <w:lang w:eastAsia="zh-CN"/>
              </w:rPr>
            </w:pPr>
            <w:r>
              <w:rPr>
                <w:color w:val="auto"/>
                <w:sz w:val="21"/>
                <w:szCs w:val="21"/>
                <w:highlight w:val="none"/>
              </w:rPr>
              <w:t>HCl</w:t>
            </w:r>
          </w:p>
        </w:tc>
        <w:tc>
          <w:tcPr>
            <w:tcW w:w="13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eastAsia="宋体"/>
                <w:color w:val="auto"/>
                <w:kern w:val="0"/>
                <w:szCs w:val="21"/>
                <w:highlight w:val="none"/>
                <w:lang w:val="en-US" w:eastAsia="zh-CN"/>
              </w:rPr>
            </w:pPr>
            <w:r>
              <w:rPr>
                <w:rFonts w:hint="eastAsia"/>
                <w:color w:val="auto"/>
                <w:kern w:val="0"/>
                <w:szCs w:val="21"/>
                <w:highlight w:val="none"/>
                <w:lang w:val="en-US" w:eastAsia="zh-CN"/>
              </w:rPr>
              <w:t>0.012-0.029</w:t>
            </w:r>
          </w:p>
        </w:tc>
        <w:tc>
          <w:tcPr>
            <w:tcW w:w="1705"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color w:val="auto"/>
                <w:sz w:val="21"/>
                <w:szCs w:val="21"/>
                <w:highlight w:val="none"/>
                <w:lang w:val="en-US" w:eastAsia="zh-CN"/>
              </w:rPr>
            </w:pPr>
            <w:r>
              <w:rPr>
                <w:rFonts w:hint="eastAsia"/>
                <w:color w:val="auto"/>
                <w:sz w:val="21"/>
                <w:szCs w:val="21"/>
                <w:highlight w:val="none"/>
                <w:lang w:val="en-US" w:eastAsia="zh-CN"/>
              </w:rPr>
              <w:t>0</w:t>
            </w:r>
          </w:p>
        </w:tc>
        <w:tc>
          <w:tcPr>
            <w:tcW w:w="124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color w:val="auto"/>
                <w:kern w:val="0"/>
                <w:szCs w:val="21"/>
                <w:highlight w:val="none"/>
              </w:rPr>
            </w:pPr>
            <w:r>
              <w:rPr>
                <w:rFonts w:hint="eastAsia"/>
                <w:color w:val="auto"/>
                <w:szCs w:val="21"/>
                <w:highlight w:val="none"/>
                <w:lang w:eastAsia="zh-CN"/>
              </w:rPr>
              <w:t>—</w:t>
            </w:r>
          </w:p>
        </w:tc>
        <w:tc>
          <w:tcPr>
            <w:tcW w:w="221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color w:val="auto"/>
                <w:szCs w:val="21"/>
                <w:highlight w:val="none"/>
                <w:lang w:val="en-US" w:eastAsia="zh-CN"/>
              </w:rPr>
            </w:pPr>
            <w:r>
              <w:rPr>
                <w:rFonts w:hint="eastAsia"/>
                <w:color w:val="auto"/>
                <w:szCs w:val="21"/>
                <w:highlight w:val="none"/>
                <w:lang w:eastAsia="zh-CN"/>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424" w:hRule="exact"/>
        </w:trPr>
        <w:tc>
          <w:tcPr>
            <w:tcW w:w="1124"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color w:val="auto"/>
                <w:sz w:val="21"/>
                <w:szCs w:val="21"/>
                <w:highlight w:val="none"/>
                <w:lang w:eastAsia="zh-CN"/>
              </w:rPr>
            </w:pPr>
            <w:r>
              <w:rPr>
                <w:rFonts w:hint="eastAsia"/>
                <w:color w:val="auto"/>
                <w:sz w:val="21"/>
                <w:szCs w:val="21"/>
                <w:highlight w:val="none"/>
                <w:lang w:eastAsia="zh-CN"/>
              </w:rPr>
              <w:t>国融大厦</w:t>
            </w:r>
          </w:p>
        </w:tc>
        <w:tc>
          <w:tcPr>
            <w:tcW w:w="975"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color w:val="auto"/>
                <w:sz w:val="21"/>
                <w:szCs w:val="21"/>
                <w:highlight w:val="none"/>
                <w:lang w:eastAsia="zh-CN"/>
              </w:rPr>
            </w:pPr>
            <w:r>
              <w:rPr>
                <w:rFonts w:hint="eastAsia"/>
                <w:color w:val="auto"/>
                <w:sz w:val="21"/>
                <w:szCs w:val="21"/>
                <w:highlight w:val="none"/>
                <w:lang w:val="en-US" w:eastAsia="zh-CN"/>
              </w:rPr>
              <w:t>2013年9月</w:t>
            </w:r>
          </w:p>
        </w:tc>
        <w:tc>
          <w:tcPr>
            <w:tcW w:w="853" w:type="dxa"/>
            <w:vAlign w:val="center"/>
          </w:tcPr>
          <w:p>
            <w:pPr>
              <w:tabs>
                <w:tab w:val="center" w:pos="4166"/>
                <w:tab w:val="center" w:pos="6750"/>
              </w:tabs>
              <w:autoSpaceDE w:val="0"/>
              <w:autoSpaceDN w:val="0"/>
              <w:adjustRightInd w:val="0"/>
              <w:jc w:val="center"/>
              <w:rPr>
                <w:rFonts w:hint="eastAsia"/>
                <w:color w:val="auto"/>
                <w:sz w:val="21"/>
                <w:szCs w:val="21"/>
                <w:highlight w:val="none"/>
                <w:lang w:eastAsia="zh-CN"/>
              </w:rPr>
            </w:pPr>
            <w:r>
              <w:rPr>
                <w:color w:val="auto"/>
                <w:kern w:val="0"/>
                <w:szCs w:val="21"/>
                <w:highlight w:val="none"/>
              </w:rPr>
              <w:t>硫酸雾</w:t>
            </w:r>
          </w:p>
        </w:tc>
        <w:tc>
          <w:tcPr>
            <w:tcW w:w="13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color w:val="auto"/>
                <w:kern w:val="0"/>
                <w:szCs w:val="21"/>
                <w:highlight w:val="none"/>
              </w:rPr>
            </w:pPr>
            <w:r>
              <w:rPr>
                <w:rFonts w:hint="eastAsia"/>
                <w:color w:val="auto"/>
                <w:kern w:val="0"/>
                <w:szCs w:val="21"/>
                <w:highlight w:val="none"/>
                <w:lang w:eastAsia="zh-CN"/>
              </w:rPr>
              <w:t>未检出</w:t>
            </w:r>
          </w:p>
        </w:tc>
        <w:tc>
          <w:tcPr>
            <w:tcW w:w="1705"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color w:val="auto"/>
                <w:sz w:val="21"/>
                <w:szCs w:val="21"/>
                <w:highlight w:val="none"/>
                <w:lang w:val="en-US" w:eastAsia="zh-CN"/>
              </w:rPr>
            </w:pPr>
            <w:r>
              <w:rPr>
                <w:rFonts w:hint="eastAsia"/>
                <w:color w:val="auto"/>
                <w:sz w:val="21"/>
                <w:szCs w:val="21"/>
                <w:highlight w:val="none"/>
                <w:lang w:val="en-US" w:eastAsia="zh-CN"/>
              </w:rPr>
              <w:t>0</w:t>
            </w:r>
          </w:p>
        </w:tc>
        <w:tc>
          <w:tcPr>
            <w:tcW w:w="124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color w:val="auto"/>
                <w:kern w:val="0"/>
                <w:szCs w:val="21"/>
                <w:highlight w:val="none"/>
              </w:rPr>
            </w:pPr>
            <w:r>
              <w:rPr>
                <w:rFonts w:hint="eastAsia"/>
                <w:color w:val="auto"/>
                <w:szCs w:val="21"/>
                <w:highlight w:val="none"/>
                <w:lang w:eastAsia="zh-CN"/>
              </w:rPr>
              <w:t>—</w:t>
            </w:r>
          </w:p>
        </w:tc>
        <w:tc>
          <w:tcPr>
            <w:tcW w:w="221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color w:val="auto"/>
                <w:szCs w:val="21"/>
                <w:highlight w:val="none"/>
                <w:lang w:val="en-US" w:eastAsia="zh-CN"/>
              </w:rPr>
            </w:pPr>
            <w:r>
              <w:rPr>
                <w:rFonts w:hint="eastAsia"/>
                <w:color w:val="auto"/>
                <w:szCs w:val="21"/>
                <w:highlight w:val="none"/>
                <w:lang w:eastAsia="zh-CN"/>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97" w:hRule="exact"/>
        </w:trPr>
        <w:tc>
          <w:tcPr>
            <w:tcW w:w="1124"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color w:val="auto"/>
                <w:sz w:val="21"/>
                <w:szCs w:val="21"/>
                <w:highlight w:val="none"/>
                <w:lang w:eastAsia="zh-CN"/>
              </w:rPr>
            </w:pPr>
          </w:p>
        </w:tc>
        <w:tc>
          <w:tcPr>
            <w:tcW w:w="975"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color w:val="auto"/>
                <w:sz w:val="21"/>
                <w:szCs w:val="21"/>
                <w:highlight w:val="none"/>
                <w:lang w:eastAsia="zh-CN"/>
              </w:rPr>
            </w:pPr>
          </w:p>
        </w:tc>
        <w:tc>
          <w:tcPr>
            <w:tcW w:w="853" w:type="dxa"/>
            <w:vAlign w:val="center"/>
          </w:tcPr>
          <w:p>
            <w:pPr>
              <w:tabs>
                <w:tab w:val="center" w:pos="4166"/>
                <w:tab w:val="center" w:pos="6750"/>
              </w:tabs>
              <w:autoSpaceDE w:val="0"/>
              <w:autoSpaceDN w:val="0"/>
              <w:adjustRightInd w:val="0"/>
              <w:jc w:val="center"/>
              <w:rPr>
                <w:rFonts w:hint="eastAsia"/>
                <w:color w:val="auto"/>
                <w:sz w:val="21"/>
                <w:szCs w:val="21"/>
                <w:highlight w:val="none"/>
                <w:lang w:eastAsia="zh-CN"/>
              </w:rPr>
            </w:pPr>
            <w:r>
              <w:rPr>
                <w:color w:val="auto"/>
                <w:kern w:val="0"/>
                <w:szCs w:val="21"/>
                <w:highlight w:val="none"/>
              </w:rPr>
              <w:t>铬酸雾</w:t>
            </w:r>
          </w:p>
        </w:tc>
        <w:tc>
          <w:tcPr>
            <w:tcW w:w="13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color w:val="auto"/>
                <w:kern w:val="0"/>
                <w:szCs w:val="21"/>
                <w:highlight w:val="none"/>
              </w:rPr>
            </w:pPr>
            <w:r>
              <w:rPr>
                <w:rFonts w:hint="eastAsia"/>
                <w:color w:val="auto"/>
                <w:kern w:val="0"/>
                <w:szCs w:val="21"/>
                <w:highlight w:val="none"/>
              </w:rPr>
              <w:t>未检出</w:t>
            </w:r>
          </w:p>
        </w:tc>
        <w:tc>
          <w:tcPr>
            <w:tcW w:w="1705"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color w:val="auto"/>
                <w:sz w:val="21"/>
                <w:szCs w:val="21"/>
                <w:highlight w:val="none"/>
                <w:lang w:val="en-US" w:eastAsia="zh-CN"/>
              </w:rPr>
            </w:pPr>
            <w:r>
              <w:rPr>
                <w:rFonts w:hint="eastAsia"/>
                <w:color w:val="auto"/>
                <w:sz w:val="21"/>
                <w:szCs w:val="21"/>
                <w:highlight w:val="none"/>
                <w:lang w:val="en-US" w:eastAsia="zh-CN"/>
              </w:rPr>
              <w:t>0</w:t>
            </w:r>
          </w:p>
        </w:tc>
        <w:tc>
          <w:tcPr>
            <w:tcW w:w="124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color w:val="auto"/>
                <w:kern w:val="0"/>
                <w:szCs w:val="21"/>
                <w:highlight w:val="none"/>
              </w:rPr>
            </w:pPr>
            <w:r>
              <w:rPr>
                <w:rFonts w:hint="eastAsia"/>
                <w:color w:val="auto"/>
                <w:szCs w:val="21"/>
                <w:highlight w:val="none"/>
                <w:lang w:eastAsia="zh-CN"/>
              </w:rPr>
              <w:t>—</w:t>
            </w:r>
          </w:p>
        </w:tc>
        <w:tc>
          <w:tcPr>
            <w:tcW w:w="221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color w:val="auto"/>
                <w:szCs w:val="21"/>
                <w:highlight w:val="none"/>
                <w:lang w:val="en-US" w:eastAsia="zh-CN"/>
              </w:rPr>
            </w:pPr>
            <w:r>
              <w:rPr>
                <w:rFonts w:hint="eastAsia"/>
                <w:color w:val="auto"/>
                <w:szCs w:val="21"/>
                <w:highlight w:val="none"/>
                <w:lang w:eastAsia="zh-CN"/>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504" w:hRule="exact"/>
        </w:trPr>
        <w:tc>
          <w:tcPr>
            <w:tcW w:w="1124"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color w:val="auto"/>
                <w:sz w:val="21"/>
                <w:szCs w:val="21"/>
                <w:highlight w:val="none"/>
                <w:lang w:eastAsia="zh-CN"/>
              </w:rPr>
            </w:pPr>
          </w:p>
        </w:tc>
        <w:tc>
          <w:tcPr>
            <w:tcW w:w="975"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color w:val="auto"/>
                <w:sz w:val="21"/>
                <w:szCs w:val="21"/>
                <w:highlight w:val="none"/>
                <w:lang w:eastAsia="zh-CN"/>
              </w:rPr>
            </w:pPr>
            <w:r>
              <w:rPr>
                <w:rFonts w:hint="eastAsia"/>
                <w:color w:val="auto"/>
                <w:sz w:val="21"/>
                <w:szCs w:val="21"/>
                <w:highlight w:val="none"/>
                <w:lang w:val="en-US" w:eastAsia="zh-CN"/>
              </w:rPr>
              <w:t>2012年3月</w:t>
            </w:r>
          </w:p>
        </w:tc>
        <w:tc>
          <w:tcPr>
            <w:tcW w:w="853"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b/>
                <w:bCs/>
                <w:color w:val="auto"/>
                <w:sz w:val="21"/>
                <w:szCs w:val="21"/>
                <w:highlight w:val="none"/>
                <w:lang w:eastAsia="zh-CN"/>
              </w:rPr>
            </w:pPr>
            <w:r>
              <w:rPr>
                <w:color w:val="auto"/>
                <w:sz w:val="21"/>
                <w:szCs w:val="21"/>
                <w:highlight w:val="none"/>
              </w:rPr>
              <w:t>HCl</w:t>
            </w:r>
          </w:p>
        </w:tc>
        <w:tc>
          <w:tcPr>
            <w:tcW w:w="131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eastAsia="宋体"/>
                <w:color w:val="auto"/>
                <w:kern w:val="0"/>
                <w:szCs w:val="21"/>
                <w:highlight w:val="none"/>
                <w:lang w:val="en-US" w:eastAsia="zh-CN"/>
              </w:rPr>
            </w:pPr>
            <w:r>
              <w:rPr>
                <w:rFonts w:hint="eastAsia"/>
                <w:color w:val="auto"/>
                <w:kern w:val="0"/>
                <w:szCs w:val="21"/>
                <w:highlight w:val="none"/>
                <w:lang w:val="en-US" w:eastAsia="zh-CN"/>
              </w:rPr>
              <w:t>0.012-0.021</w:t>
            </w:r>
          </w:p>
        </w:tc>
        <w:tc>
          <w:tcPr>
            <w:tcW w:w="1705"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color w:val="auto"/>
                <w:sz w:val="21"/>
                <w:szCs w:val="21"/>
                <w:highlight w:val="none"/>
                <w:lang w:val="en-US" w:eastAsia="zh-CN"/>
              </w:rPr>
            </w:pPr>
            <w:r>
              <w:rPr>
                <w:rFonts w:hint="eastAsia"/>
                <w:color w:val="auto"/>
                <w:sz w:val="21"/>
                <w:szCs w:val="21"/>
                <w:highlight w:val="none"/>
                <w:lang w:val="en-US" w:eastAsia="zh-CN"/>
              </w:rPr>
              <w:t>0</w:t>
            </w:r>
          </w:p>
        </w:tc>
        <w:tc>
          <w:tcPr>
            <w:tcW w:w="124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color w:val="auto"/>
                <w:kern w:val="0"/>
                <w:szCs w:val="21"/>
                <w:highlight w:val="none"/>
              </w:rPr>
            </w:pPr>
            <w:r>
              <w:rPr>
                <w:rFonts w:hint="eastAsia"/>
                <w:color w:val="auto"/>
                <w:szCs w:val="21"/>
                <w:highlight w:val="none"/>
                <w:lang w:eastAsia="zh-CN"/>
              </w:rPr>
              <w:t>—</w:t>
            </w:r>
          </w:p>
        </w:tc>
        <w:tc>
          <w:tcPr>
            <w:tcW w:w="221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color w:val="auto"/>
                <w:szCs w:val="21"/>
                <w:highlight w:val="none"/>
                <w:lang w:val="en-US" w:eastAsia="zh-CN"/>
              </w:rPr>
            </w:pPr>
            <w:r>
              <w:rPr>
                <w:rFonts w:hint="eastAsia"/>
                <w:color w:val="auto"/>
                <w:szCs w:val="21"/>
                <w:highlight w:val="none"/>
                <w:lang w:eastAsia="zh-CN"/>
              </w:rPr>
              <w:t>—</w:t>
            </w:r>
          </w:p>
        </w:tc>
      </w:tr>
    </w:tbl>
    <w:p>
      <w:pPr>
        <w:autoSpaceDE w:val="0"/>
        <w:autoSpaceDN w:val="0"/>
        <w:adjustRightInd w:val="0"/>
        <w:spacing w:line="360" w:lineRule="auto"/>
        <w:ind w:firstLine="480" w:firstLineChars="200"/>
        <w:rPr>
          <w:rFonts w:hint="eastAsia" w:eastAsia="宋体"/>
          <w:color w:val="auto"/>
          <w:sz w:val="24"/>
          <w:highlight w:val="none"/>
          <w:lang w:val="en-US" w:eastAsia="zh-CN"/>
        </w:rPr>
      </w:pPr>
      <w:r>
        <w:rPr>
          <w:color w:val="auto"/>
          <w:sz w:val="24"/>
          <w:highlight w:val="none"/>
          <w:lang w:val="zh-CN"/>
        </w:rPr>
        <w:t>从上表可以看出，</w:t>
      </w:r>
      <w:r>
        <w:rPr>
          <w:rFonts w:hint="eastAsia"/>
          <w:color w:val="auto"/>
          <w:sz w:val="24"/>
          <w:highlight w:val="none"/>
          <w:lang w:val="en-US" w:eastAsia="zh-CN"/>
        </w:rPr>
        <w:t>2003年</w:t>
      </w:r>
      <w:r>
        <w:rPr>
          <w:color w:val="auto"/>
          <w:sz w:val="24"/>
          <w:highlight w:val="none"/>
          <w:lang w:val="zh-CN"/>
        </w:rPr>
        <w:t>监测点</w:t>
      </w:r>
      <w:r>
        <w:rPr>
          <w:rFonts w:hint="eastAsia"/>
          <w:color w:val="auto"/>
          <w:sz w:val="24"/>
          <w:highlight w:val="none"/>
          <w:lang w:val="en-US" w:eastAsia="zh-CN"/>
        </w:rPr>
        <w:t>TSP</w:t>
      </w:r>
      <w:r>
        <w:rPr>
          <w:color w:val="auto"/>
          <w:sz w:val="24"/>
          <w:highlight w:val="none"/>
          <w:lang w:val="zh-CN"/>
        </w:rPr>
        <w:t>、NO</w:t>
      </w:r>
      <w:r>
        <w:rPr>
          <w:color w:val="auto"/>
          <w:sz w:val="24"/>
          <w:highlight w:val="none"/>
          <w:vertAlign w:val="subscript"/>
          <w:lang w:val="zh-CN"/>
        </w:rPr>
        <w:t>2</w:t>
      </w:r>
      <w:r>
        <w:rPr>
          <w:color w:val="auto"/>
          <w:sz w:val="24"/>
          <w:highlight w:val="none"/>
          <w:lang w:val="zh-CN"/>
        </w:rPr>
        <w:t>日均浓度均满足《环境空气质量标准》(GB3095-2012)中二级标准要求</w:t>
      </w:r>
      <w:r>
        <w:rPr>
          <w:rFonts w:hint="eastAsia"/>
          <w:color w:val="auto"/>
          <w:sz w:val="24"/>
          <w:highlight w:val="none"/>
          <w:lang w:val="zh-CN"/>
        </w:rPr>
        <w:t>，</w:t>
      </w:r>
      <w:r>
        <w:rPr>
          <w:rFonts w:hint="eastAsia"/>
          <w:color w:val="auto"/>
          <w:sz w:val="24"/>
          <w:highlight w:val="none"/>
        </w:rPr>
        <w:t>铬</w:t>
      </w:r>
      <w:r>
        <w:rPr>
          <w:rFonts w:hint="eastAsia"/>
          <w:color w:val="auto"/>
          <w:sz w:val="24"/>
          <w:highlight w:val="none"/>
          <w:lang w:eastAsia="zh-CN"/>
        </w:rPr>
        <w:t>(</w:t>
      </w:r>
      <w:r>
        <w:rPr>
          <w:rFonts w:hint="eastAsia"/>
          <w:color w:val="auto"/>
          <w:sz w:val="24"/>
          <w:highlight w:val="none"/>
        </w:rPr>
        <w:t>六价</w:t>
      </w:r>
      <w:r>
        <w:rPr>
          <w:rFonts w:hint="eastAsia"/>
          <w:color w:val="auto"/>
          <w:sz w:val="24"/>
          <w:highlight w:val="none"/>
          <w:lang w:eastAsia="zh-CN"/>
        </w:rPr>
        <w:t>)</w:t>
      </w:r>
      <w:r>
        <w:rPr>
          <w:rFonts w:hint="eastAsia"/>
          <w:color w:val="auto"/>
          <w:sz w:val="24"/>
          <w:highlight w:val="none"/>
        </w:rPr>
        <w:t>一次浓度</w:t>
      </w:r>
      <w:r>
        <w:rPr>
          <w:rFonts w:hint="eastAsia"/>
          <w:color w:val="auto"/>
          <w:sz w:val="24"/>
          <w:highlight w:val="none"/>
          <w:lang w:eastAsia="zh-CN"/>
        </w:rPr>
        <w:t>未检出</w:t>
      </w:r>
      <w:r>
        <w:rPr>
          <w:rFonts w:hint="eastAsia"/>
          <w:color w:val="auto"/>
          <w:sz w:val="24"/>
          <w:highlight w:val="none"/>
        </w:rPr>
        <w:t>满足《工业企业设计卫生标准》(TJ36-79)表1居住区</w:t>
      </w:r>
      <w:r>
        <w:rPr>
          <w:rFonts w:hint="eastAsia"/>
          <w:color w:val="auto"/>
          <w:sz w:val="24"/>
          <w:highlight w:val="none"/>
        </w:rPr>
        <w:t>标准</w:t>
      </w:r>
      <w:r>
        <w:rPr>
          <w:rFonts w:hint="eastAsia"/>
          <w:color w:val="auto"/>
          <w:sz w:val="24"/>
          <w:highlight w:val="none"/>
          <w:lang w:eastAsia="zh-CN"/>
        </w:rPr>
        <w:t>，</w:t>
      </w:r>
      <w:r>
        <w:rPr>
          <w:color w:val="auto"/>
          <w:sz w:val="24"/>
          <w:highlight w:val="none"/>
          <w:lang w:val="zh-CN"/>
        </w:rPr>
        <w:t>监测点的</w:t>
      </w:r>
      <w:r>
        <w:rPr>
          <w:color w:val="auto"/>
          <w:sz w:val="24"/>
          <w:highlight w:val="none"/>
        </w:rPr>
        <w:t>HCl</w:t>
      </w:r>
      <w:r>
        <w:rPr>
          <w:rFonts w:hint="eastAsia"/>
          <w:color w:val="auto"/>
          <w:sz w:val="24"/>
          <w:highlight w:val="none"/>
          <w:lang w:eastAsia="zh-CN"/>
        </w:rPr>
        <w:t>一次浓度</w:t>
      </w:r>
      <w:r>
        <w:rPr>
          <w:rFonts w:hint="eastAsia"/>
          <w:color w:val="auto"/>
          <w:sz w:val="24"/>
          <w:highlight w:val="none"/>
          <w:lang w:val="zh-CN"/>
        </w:rPr>
        <w:t>最大超标倍数</w:t>
      </w:r>
      <w:r>
        <w:rPr>
          <w:rFonts w:hint="eastAsia"/>
          <w:color w:val="auto"/>
          <w:sz w:val="24"/>
          <w:highlight w:val="none"/>
          <w:lang w:val="en-US" w:eastAsia="zh-CN"/>
        </w:rPr>
        <w:t>14.5倍，日均值100%超标，最大超标25.3倍</w:t>
      </w:r>
      <w:r>
        <w:rPr>
          <w:color w:val="auto"/>
          <w:sz w:val="24"/>
          <w:highlight w:val="none"/>
          <w:lang w:val="zh-CN"/>
        </w:rPr>
        <w:t>。</w:t>
      </w:r>
    </w:p>
    <w:p>
      <w:pPr>
        <w:adjustRightInd w:val="0"/>
        <w:snapToGrid w:val="0"/>
        <w:spacing w:line="360" w:lineRule="auto"/>
        <w:ind w:firstLine="480" w:firstLineChars="200"/>
        <w:jc w:val="left"/>
        <w:rPr>
          <w:rFonts w:hint="eastAsia" w:eastAsia="宋体"/>
          <w:color w:val="auto"/>
          <w:sz w:val="24"/>
          <w:highlight w:val="none"/>
          <w:lang w:eastAsia="zh-CN"/>
        </w:rPr>
      </w:pPr>
      <w:r>
        <w:rPr>
          <w:rFonts w:hint="eastAsia"/>
          <w:color w:val="auto"/>
          <w:sz w:val="24"/>
          <w:highlight w:val="none"/>
        </w:rPr>
        <w:t>根据对比200</w:t>
      </w:r>
      <w:r>
        <w:rPr>
          <w:rFonts w:hint="eastAsia"/>
          <w:color w:val="auto"/>
          <w:sz w:val="24"/>
          <w:highlight w:val="none"/>
          <w:lang w:val="en-US" w:eastAsia="zh-CN"/>
        </w:rPr>
        <w:t>3</w:t>
      </w:r>
      <w:r>
        <w:rPr>
          <w:rFonts w:hint="eastAsia"/>
          <w:color w:val="auto"/>
          <w:sz w:val="24"/>
          <w:highlight w:val="none"/>
        </w:rPr>
        <w:t>年</w:t>
      </w:r>
      <w:r>
        <w:rPr>
          <w:rFonts w:hint="eastAsia"/>
          <w:color w:val="auto"/>
          <w:sz w:val="24"/>
          <w:highlight w:val="none"/>
          <w:lang w:eastAsia="zh-CN"/>
        </w:rPr>
        <w:t>、</w:t>
      </w:r>
      <w:r>
        <w:rPr>
          <w:rFonts w:hint="eastAsia"/>
          <w:color w:val="auto"/>
          <w:sz w:val="24"/>
          <w:highlight w:val="none"/>
          <w:lang w:val="en-US" w:eastAsia="zh-CN"/>
        </w:rPr>
        <w:t>2012年、2013年</w:t>
      </w:r>
      <w:r>
        <w:rPr>
          <w:rFonts w:hint="eastAsia"/>
          <w:color w:val="auto"/>
          <w:sz w:val="24"/>
          <w:highlight w:val="none"/>
        </w:rPr>
        <w:t>数据和201</w:t>
      </w:r>
      <w:r>
        <w:rPr>
          <w:rFonts w:hint="eastAsia"/>
          <w:color w:val="auto"/>
          <w:sz w:val="24"/>
          <w:highlight w:val="none"/>
          <w:lang w:val="en-US" w:eastAsia="zh-CN"/>
        </w:rPr>
        <w:t>9</w:t>
      </w:r>
      <w:r>
        <w:rPr>
          <w:rFonts w:hint="eastAsia"/>
          <w:color w:val="auto"/>
          <w:sz w:val="24"/>
          <w:highlight w:val="none"/>
        </w:rPr>
        <w:t>年数据，项目周边敏感点环境质量均较好，</w:t>
      </w:r>
      <w:r>
        <w:rPr>
          <w:rFonts w:hint="eastAsia"/>
          <w:color w:val="auto"/>
          <w:sz w:val="24"/>
          <w:highlight w:val="none"/>
          <w:lang w:eastAsia="zh-CN"/>
        </w:rPr>
        <w:t>基本满足相关标准要求</w:t>
      </w:r>
      <w:r>
        <w:rPr>
          <w:rFonts w:hint="eastAsia"/>
          <w:color w:val="auto"/>
          <w:sz w:val="24"/>
          <w:highlight w:val="none"/>
        </w:rPr>
        <w:t>。</w:t>
      </w:r>
      <w:r>
        <w:rPr>
          <w:rFonts w:hint="eastAsia"/>
          <w:color w:val="auto"/>
          <w:sz w:val="24"/>
          <w:highlight w:val="none"/>
          <w:lang w:eastAsia="zh-CN"/>
        </w:rPr>
        <w:t>对周边敏感点的影响不大</w:t>
      </w:r>
      <w:r>
        <w:rPr>
          <w:rFonts w:hint="eastAsia"/>
          <w:color w:val="auto"/>
          <w:sz w:val="24"/>
          <w:highlight w:val="none"/>
        </w:rPr>
        <w:t>。</w:t>
      </w:r>
      <w:r>
        <w:rPr>
          <w:rFonts w:hint="eastAsia"/>
          <w:color w:val="auto"/>
          <w:sz w:val="24"/>
          <w:highlight w:val="none"/>
          <w:lang w:eastAsia="zh-CN"/>
        </w:rPr>
        <w:t>总体来说，项目运行以来，特征污染因子对邻近周边环境有一定的影响，但区域环境空气质量总体来说与原环评时相差不大。</w:t>
      </w:r>
    </w:p>
    <w:p>
      <w:pPr>
        <w:spacing w:line="360" w:lineRule="auto"/>
        <w:outlineLvl w:val="2"/>
        <w:rPr>
          <w:rFonts w:ascii="Times New Roman" w:hAnsi="Times New Roman"/>
          <w:b w:val="0"/>
          <w:color w:val="auto"/>
          <w:sz w:val="24"/>
          <w:szCs w:val="24"/>
          <w:highlight w:val="none"/>
        </w:rPr>
      </w:pPr>
      <w:bookmarkStart w:id="121" w:name="_Toc28515"/>
      <w:bookmarkStart w:id="122" w:name="_Toc405999552"/>
      <w:bookmarkStart w:id="123" w:name="_Toc77098092"/>
      <w:r>
        <w:rPr>
          <w:rFonts w:hint="eastAsia"/>
          <w:b w:val="0"/>
          <w:color w:val="auto"/>
          <w:sz w:val="24"/>
          <w:szCs w:val="24"/>
          <w:highlight w:val="none"/>
          <w:lang w:eastAsia="zh-CN"/>
        </w:rPr>
        <w:t>3.6</w:t>
      </w:r>
      <w:r>
        <w:rPr>
          <w:rFonts w:hint="eastAsia"/>
          <w:b w:val="0"/>
          <w:color w:val="auto"/>
          <w:sz w:val="24"/>
          <w:szCs w:val="24"/>
          <w:highlight w:val="none"/>
          <w:lang w:val="en-US" w:eastAsia="zh-CN"/>
        </w:rPr>
        <w:t xml:space="preserve">.2 </w:t>
      </w:r>
      <w:r>
        <w:rPr>
          <w:rFonts w:ascii="Times New Roman" w:hAnsi="Times New Roman"/>
          <w:b w:val="0"/>
          <w:color w:val="auto"/>
          <w:sz w:val="24"/>
          <w:szCs w:val="24"/>
          <w:highlight w:val="none"/>
        </w:rPr>
        <w:t>地表水环境质量现状</w:t>
      </w:r>
      <w:bookmarkEnd w:id="118"/>
      <w:bookmarkEnd w:id="119"/>
      <w:bookmarkEnd w:id="120"/>
      <w:r>
        <w:rPr>
          <w:rFonts w:hint="eastAsia" w:ascii="Times New Roman" w:hAnsi="Times New Roman"/>
          <w:b w:val="0"/>
          <w:color w:val="auto"/>
          <w:sz w:val="24"/>
          <w:szCs w:val="24"/>
          <w:highlight w:val="none"/>
        </w:rPr>
        <w:t>及变化趋势</w:t>
      </w:r>
      <w:bookmarkEnd w:id="121"/>
    </w:p>
    <w:p>
      <w:pPr>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eastAsia="黑体"/>
          <w:color w:val="auto"/>
          <w:sz w:val="24"/>
          <w:highlight w:val="none"/>
        </w:rPr>
      </w:pPr>
      <w:r>
        <w:rPr>
          <w:rFonts w:hint="eastAsia" w:eastAsia="黑体"/>
          <w:color w:val="auto"/>
          <w:sz w:val="24"/>
          <w:highlight w:val="none"/>
          <w:lang w:eastAsia="zh-CN"/>
        </w:rPr>
        <w:t>3.6</w:t>
      </w:r>
      <w:r>
        <w:rPr>
          <w:rFonts w:eastAsia="黑体"/>
          <w:color w:val="auto"/>
          <w:sz w:val="24"/>
          <w:highlight w:val="none"/>
        </w:rPr>
        <w:t>.</w:t>
      </w:r>
      <w:r>
        <w:rPr>
          <w:rFonts w:hint="eastAsia" w:eastAsia="黑体"/>
          <w:color w:val="auto"/>
          <w:sz w:val="24"/>
          <w:highlight w:val="none"/>
          <w:lang w:val="en-US" w:eastAsia="zh-CN"/>
        </w:rPr>
        <w:t>2.</w:t>
      </w:r>
      <w:r>
        <w:rPr>
          <w:rFonts w:eastAsia="黑体"/>
          <w:color w:val="auto"/>
          <w:sz w:val="24"/>
          <w:highlight w:val="none"/>
        </w:rPr>
        <w:t>1 地表水</w:t>
      </w:r>
      <w:r>
        <w:rPr>
          <w:rFonts w:hint="eastAsia" w:eastAsia="黑体"/>
          <w:color w:val="auto"/>
          <w:sz w:val="24"/>
          <w:highlight w:val="none"/>
          <w:lang w:val="en-US" w:eastAsia="zh-CN"/>
        </w:rPr>
        <w:t>环境</w:t>
      </w:r>
      <w:r>
        <w:rPr>
          <w:rFonts w:eastAsia="黑体"/>
          <w:color w:val="auto"/>
          <w:sz w:val="24"/>
          <w:highlight w:val="none"/>
        </w:rPr>
        <w:t>现状评价</w:t>
      </w:r>
    </w:p>
    <w:p>
      <w:pPr>
        <w:adjustRightInd w:val="0"/>
        <w:snapToGrid w:val="0"/>
        <w:spacing w:line="360" w:lineRule="auto"/>
        <w:ind w:firstLine="480" w:firstLineChars="200"/>
        <w:jc w:val="left"/>
        <w:rPr>
          <w:color w:val="auto"/>
          <w:sz w:val="24"/>
          <w:highlight w:val="none"/>
        </w:rPr>
      </w:pPr>
      <w:bookmarkStart w:id="124" w:name="_Hlk518484534"/>
      <w:r>
        <w:rPr>
          <w:rFonts w:hint="eastAsia"/>
          <w:color w:val="auto"/>
          <w:sz w:val="24"/>
          <w:highlight w:val="none"/>
        </w:rPr>
        <w:t>1、监测点位</w:t>
      </w:r>
    </w:p>
    <w:bookmarkEnd w:id="124"/>
    <w:p>
      <w:pPr>
        <w:spacing w:line="360" w:lineRule="auto"/>
        <w:ind w:firstLine="480" w:firstLineChars="200"/>
        <w:rPr>
          <w:color w:val="auto"/>
          <w:sz w:val="24"/>
          <w:highlight w:val="none"/>
          <w:lang w:val="zh-CN"/>
        </w:rPr>
      </w:pPr>
      <w:r>
        <w:rPr>
          <w:rFonts w:hint="eastAsia"/>
          <w:color w:val="auto"/>
          <w:sz w:val="24"/>
          <w:highlight w:val="none"/>
          <w:lang w:val="zh-CN"/>
        </w:rPr>
        <w:t>在镰湾河污水净化厂排污口上游</w:t>
      </w:r>
      <w:r>
        <w:rPr>
          <w:color w:val="auto"/>
          <w:sz w:val="24"/>
          <w:highlight w:val="none"/>
          <w:lang w:val="zh-CN"/>
        </w:rPr>
        <w:t>5</w:t>
      </w:r>
      <w:r>
        <w:rPr>
          <w:rFonts w:hint="eastAsia"/>
          <w:color w:val="auto"/>
          <w:sz w:val="24"/>
          <w:highlight w:val="none"/>
          <w:lang w:val="zh-CN"/>
        </w:rPr>
        <w:t>00m处、排污口下游1</w:t>
      </w:r>
      <w:r>
        <w:rPr>
          <w:rFonts w:hint="eastAsia"/>
          <w:color w:val="auto"/>
          <w:sz w:val="24"/>
          <w:highlight w:val="none"/>
          <w:lang w:val="en-US" w:eastAsia="zh-CN"/>
        </w:rPr>
        <w:t>0</w:t>
      </w:r>
      <w:r>
        <w:rPr>
          <w:rFonts w:hint="eastAsia"/>
          <w:color w:val="auto"/>
          <w:sz w:val="24"/>
          <w:highlight w:val="none"/>
          <w:lang w:val="zh-CN"/>
        </w:rPr>
        <w:t>00m各设置1个断面，监测断面及监测因子详见表3.6-</w:t>
      </w:r>
      <w:r>
        <w:rPr>
          <w:rFonts w:hint="eastAsia"/>
          <w:color w:val="auto"/>
          <w:sz w:val="24"/>
          <w:highlight w:val="none"/>
          <w:lang w:val="en-US" w:eastAsia="zh-CN"/>
        </w:rPr>
        <w:t>6</w:t>
      </w:r>
      <w:r>
        <w:rPr>
          <w:color w:val="auto"/>
          <w:sz w:val="24"/>
          <w:highlight w:val="none"/>
        </w:rPr>
        <w:t>。</w:t>
      </w:r>
    </w:p>
    <w:p>
      <w:pPr>
        <w:jc w:val="center"/>
        <w:rPr>
          <w:rFonts w:eastAsia="黑体"/>
          <w:color w:val="auto"/>
          <w:kern w:val="21"/>
          <w:sz w:val="24"/>
          <w:szCs w:val="20"/>
          <w:highlight w:val="none"/>
          <w:lang w:val="zh-CN" w:eastAsia="zh-CN"/>
        </w:rPr>
      </w:pPr>
      <w:r>
        <w:rPr>
          <w:rFonts w:hint="eastAsia" w:eastAsia="黑体"/>
          <w:color w:val="auto"/>
          <w:kern w:val="21"/>
          <w:sz w:val="24"/>
          <w:szCs w:val="20"/>
          <w:highlight w:val="none"/>
          <w:lang w:val="zh-CN" w:eastAsia="zh-CN"/>
        </w:rPr>
        <w:t>表</w:t>
      </w:r>
      <w:r>
        <w:rPr>
          <w:rFonts w:hint="eastAsia" w:eastAsia="黑体"/>
          <w:color w:val="auto"/>
          <w:kern w:val="21"/>
          <w:sz w:val="24"/>
          <w:szCs w:val="20"/>
          <w:highlight w:val="none"/>
          <w:lang w:val="zh-CN"/>
        </w:rPr>
        <w:t>3.6</w:t>
      </w:r>
      <w:r>
        <w:rPr>
          <w:rFonts w:hint="eastAsia" w:eastAsia="黑体"/>
          <w:color w:val="auto"/>
          <w:kern w:val="21"/>
          <w:sz w:val="24"/>
          <w:szCs w:val="20"/>
          <w:highlight w:val="none"/>
          <w:lang w:val="zh-CN" w:eastAsia="zh-CN"/>
        </w:rPr>
        <w:t>-</w:t>
      </w:r>
      <w:r>
        <w:rPr>
          <w:rFonts w:hint="eastAsia" w:eastAsia="黑体"/>
          <w:color w:val="auto"/>
          <w:kern w:val="21"/>
          <w:sz w:val="24"/>
          <w:szCs w:val="20"/>
          <w:highlight w:val="none"/>
          <w:lang w:val="en-US" w:eastAsia="zh-CN"/>
        </w:rPr>
        <w:t>6</w:t>
      </w:r>
      <w:r>
        <w:rPr>
          <w:rFonts w:hint="eastAsia" w:eastAsia="黑体"/>
          <w:color w:val="auto"/>
          <w:kern w:val="21"/>
          <w:sz w:val="24"/>
          <w:szCs w:val="20"/>
          <w:highlight w:val="none"/>
          <w:lang w:val="zh-CN" w:eastAsia="zh-CN"/>
        </w:rPr>
        <w:t xml:space="preserve">  地表水质量现状监测点一览表</w:t>
      </w:r>
    </w:p>
    <w:tbl>
      <w:tblPr>
        <w:tblStyle w:val="36"/>
        <w:tblW w:w="9230" w:type="dxa"/>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811"/>
        <w:gridCol w:w="4043"/>
        <w:gridCol w:w="3376"/>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jc w:val="center"/>
        </w:trPr>
        <w:tc>
          <w:tcPr>
            <w:tcW w:w="1811" w:type="dxa"/>
            <w:vAlign w:val="center"/>
          </w:tcPr>
          <w:p>
            <w:pPr>
              <w:jc w:val="center"/>
              <w:rPr>
                <w:color w:val="auto"/>
                <w:szCs w:val="21"/>
                <w:highlight w:val="none"/>
              </w:rPr>
            </w:pPr>
            <w:r>
              <w:rPr>
                <w:color w:val="auto"/>
                <w:szCs w:val="21"/>
                <w:highlight w:val="none"/>
              </w:rPr>
              <w:t>测点</w:t>
            </w:r>
          </w:p>
        </w:tc>
        <w:tc>
          <w:tcPr>
            <w:tcW w:w="4043" w:type="dxa"/>
            <w:vAlign w:val="center"/>
          </w:tcPr>
          <w:p>
            <w:pPr>
              <w:jc w:val="center"/>
              <w:rPr>
                <w:color w:val="auto"/>
                <w:szCs w:val="21"/>
                <w:highlight w:val="none"/>
              </w:rPr>
            </w:pPr>
            <w:r>
              <w:rPr>
                <w:color w:val="auto"/>
                <w:szCs w:val="21"/>
                <w:highlight w:val="none"/>
              </w:rPr>
              <w:t>名称</w:t>
            </w:r>
          </w:p>
        </w:tc>
        <w:tc>
          <w:tcPr>
            <w:tcW w:w="3376" w:type="dxa"/>
            <w:vAlign w:val="center"/>
          </w:tcPr>
          <w:p>
            <w:pPr>
              <w:jc w:val="center"/>
              <w:rPr>
                <w:color w:val="auto"/>
                <w:szCs w:val="21"/>
                <w:highlight w:val="none"/>
              </w:rPr>
            </w:pPr>
            <w:r>
              <w:rPr>
                <w:rFonts w:hint="eastAsia"/>
                <w:color w:val="auto"/>
                <w:szCs w:val="21"/>
                <w:highlight w:val="none"/>
              </w:rPr>
              <w:t>设置意义</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jc w:val="center"/>
        </w:trPr>
        <w:tc>
          <w:tcPr>
            <w:tcW w:w="1811" w:type="dxa"/>
            <w:vAlign w:val="center"/>
          </w:tcPr>
          <w:p>
            <w:pPr>
              <w:jc w:val="center"/>
              <w:rPr>
                <w:color w:val="auto"/>
                <w:szCs w:val="21"/>
                <w:highlight w:val="none"/>
              </w:rPr>
            </w:pPr>
            <w:r>
              <w:rPr>
                <w:rFonts w:hint="eastAsia"/>
                <w:color w:val="auto"/>
                <w:szCs w:val="21"/>
                <w:highlight w:val="none"/>
              </w:rPr>
              <w:t>1#</w:t>
            </w:r>
          </w:p>
        </w:tc>
        <w:tc>
          <w:tcPr>
            <w:tcW w:w="4043" w:type="dxa"/>
            <w:vAlign w:val="center"/>
          </w:tcPr>
          <w:p>
            <w:pPr>
              <w:jc w:val="center"/>
              <w:rPr>
                <w:color w:val="auto"/>
                <w:szCs w:val="21"/>
                <w:highlight w:val="none"/>
              </w:rPr>
            </w:pPr>
            <w:r>
              <w:rPr>
                <w:rFonts w:hint="eastAsia"/>
                <w:color w:val="auto"/>
                <w:szCs w:val="21"/>
                <w:highlight w:val="none"/>
              </w:rPr>
              <w:t>镰湾河污水净化厂排污口上游500m</w:t>
            </w:r>
          </w:p>
        </w:tc>
        <w:tc>
          <w:tcPr>
            <w:tcW w:w="3376" w:type="dxa"/>
            <w:vAlign w:val="center"/>
          </w:tcPr>
          <w:p>
            <w:pPr>
              <w:jc w:val="center"/>
              <w:rPr>
                <w:color w:val="auto"/>
                <w:szCs w:val="21"/>
                <w:highlight w:val="none"/>
              </w:rPr>
            </w:pPr>
            <w:r>
              <w:rPr>
                <w:rFonts w:hint="eastAsia"/>
                <w:color w:val="auto"/>
                <w:szCs w:val="21"/>
                <w:highlight w:val="none"/>
              </w:rPr>
              <w:t>上游</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jc w:val="center"/>
        </w:trPr>
        <w:tc>
          <w:tcPr>
            <w:tcW w:w="1811" w:type="dxa"/>
            <w:vAlign w:val="center"/>
          </w:tcPr>
          <w:p>
            <w:pPr>
              <w:jc w:val="center"/>
              <w:rPr>
                <w:color w:val="auto"/>
                <w:szCs w:val="21"/>
                <w:highlight w:val="none"/>
              </w:rPr>
            </w:pPr>
            <w:r>
              <w:rPr>
                <w:rFonts w:hint="eastAsia"/>
                <w:color w:val="auto"/>
                <w:szCs w:val="21"/>
                <w:highlight w:val="none"/>
                <w:lang w:val="en-US" w:eastAsia="zh-CN"/>
              </w:rPr>
              <w:t>2</w:t>
            </w:r>
            <w:r>
              <w:rPr>
                <w:rFonts w:hint="eastAsia"/>
                <w:color w:val="auto"/>
                <w:szCs w:val="21"/>
                <w:highlight w:val="none"/>
              </w:rPr>
              <w:t>#</w:t>
            </w:r>
          </w:p>
        </w:tc>
        <w:tc>
          <w:tcPr>
            <w:tcW w:w="4043" w:type="dxa"/>
            <w:vAlign w:val="center"/>
          </w:tcPr>
          <w:p>
            <w:pPr>
              <w:jc w:val="center"/>
              <w:rPr>
                <w:color w:val="auto"/>
                <w:szCs w:val="21"/>
                <w:highlight w:val="none"/>
              </w:rPr>
            </w:pPr>
            <w:r>
              <w:rPr>
                <w:rFonts w:hint="eastAsia"/>
                <w:color w:val="auto"/>
                <w:szCs w:val="21"/>
                <w:highlight w:val="none"/>
              </w:rPr>
              <w:t>镰湾河污水净化厂排污口下游1</w:t>
            </w:r>
            <w:r>
              <w:rPr>
                <w:rFonts w:hint="eastAsia"/>
                <w:color w:val="auto"/>
                <w:szCs w:val="21"/>
                <w:highlight w:val="none"/>
                <w:lang w:val="en-US" w:eastAsia="zh-CN"/>
              </w:rPr>
              <w:t>0</w:t>
            </w:r>
            <w:r>
              <w:rPr>
                <w:rFonts w:hint="eastAsia"/>
                <w:color w:val="auto"/>
                <w:szCs w:val="21"/>
                <w:highlight w:val="none"/>
              </w:rPr>
              <w:t>00m</w:t>
            </w:r>
          </w:p>
        </w:tc>
        <w:tc>
          <w:tcPr>
            <w:tcW w:w="3376" w:type="dxa"/>
            <w:vAlign w:val="center"/>
          </w:tcPr>
          <w:p>
            <w:pPr>
              <w:jc w:val="center"/>
              <w:rPr>
                <w:color w:val="auto"/>
                <w:szCs w:val="21"/>
                <w:highlight w:val="none"/>
              </w:rPr>
            </w:pPr>
            <w:r>
              <w:rPr>
                <w:rFonts w:hint="eastAsia"/>
                <w:color w:val="auto"/>
                <w:szCs w:val="21"/>
                <w:highlight w:val="none"/>
              </w:rPr>
              <w:t>下游(入海口)</w:t>
            </w:r>
          </w:p>
        </w:tc>
      </w:tr>
    </w:tbl>
    <w:p>
      <w:pPr>
        <w:spacing w:line="360" w:lineRule="auto"/>
        <w:jc w:val="center"/>
        <w:rPr>
          <w:color w:val="auto"/>
          <w:highlight w:val="none"/>
        </w:rPr>
      </w:pPr>
      <w:r>
        <w:rPr>
          <w:color w:val="auto"/>
          <w:highlight w:val="none"/>
        </w:rPr>
        <w:drawing>
          <wp:inline distT="0" distB="0" distL="114300" distR="114300">
            <wp:extent cx="4819015" cy="3689985"/>
            <wp:effectExtent l="9525" t="9525" r="10160" b="15240"/>
            <wp:docPr id="3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8"/>
                    <pic:cNvPicPr>
                      <a:picLocks noChangeAspect="1"/>
                    </pic:cNvPicPr>
                  </pic:nvPicPr>
                  <pic:blipFill>
                    <a:blip r:embed="rId16"/>
                    <a:stretch>
                      <a:fillRect/>
                    </a:stretch>
                  </pic:blipFill>
                  <pic:spPr>
                    <a:xfrm>
                      <a:off x="0" y="0"/>
                      <a:ext cx="4819015" cy="3689985"/>
                    </a:xfrm>
                    <a:prstGeom prst="rect">
                      <a:avLst/>
                    </a:prstGeom>
                    <a:noFill/>
                    <a:ln w="9525">
                      <a:solidFill>
                        <a:schemeClr val="tx1"/>
                      </a:solidFill>
                    </a:ln>
                  </pic:spPr>
                </pic:pic>
              </a:graphicData>
            </a:graphic>
          </wp:inline>
        </w:drawing>
      </w:r>
    </w:p>
    <w:p>
      <w:pPr>
        <w:pStyle w:val="73"/>
        <w:rPr>
          <w:rFonts w:hint="eastAsia"/>
          <w:color w:val="auto"/>
          <w:highlight w:val="none"/>
        </w:rPr>
      </w:pPr>
      <w:r>
        <w:rPr>
          <w:bCs/>
          <w:color w:val="auto"/>
          <w:sz w:val="24"/>
          <w:szCs w:val="24"/>
          <w:highlight w:val="none"/>
        </w:rPr>
        <w:t>图</w:t>
      </w:r>
      <w:r>
        <w:rPr>
          <w:rFonts w:hint="eastAsia"/>
          <w:bCs/>
          <w:color w:val="auto"/>
          <w:sz w:val="24"/>
          <w:szCs w:val="24"/>
          <w:highlight w:val="none"/>
          <w:lang w:eastAsia="zh-CN"/>
        </w:rPr>
        <w:t>3.6</w:t>
      </w:r>
      <w:r>
        <w:rPr>
          <w:bCs/>
          <w:color w:val="auto"/>
          <w:sz w:val="24"/>
          <w:szCs w:val="24"/>
          <w:highlight w:val="none"/>
        </w:rPr>
        <w:t>-</w:t>
      </w:r>
      <w:r>
        <w:rPr>
          <w:rFonts w:hint="eastAsia"/>
          <w:bCs/>
          <w:color w:val="auto"/>
          <w:sz w:val="24"/>
          <w:szCs w:val="24"/>
          <w:highlight w:val="none"/>
          <w:lang w:val="en-US" w:eastAsia="zh-CN"/>
        </w:rPr>
        <w:t xml:space="preserve">2 </w:t>
      </w:r>
      <w:r>
        <w:rPr>
          <w:rFonts w:hint="eastAsia"/>
          <w:bCs/>
          <w:color w:val="auto"/>
          <w:sz w:val="24"/>
          <w:szCs w:val="24"/>
          <w:highlight w:val="none"/>
        </w:rPr>
        <w:t xml:space="preserve"> </w:t>
      </w:r>
      <w:r>
        <w:rPr>
          <w:rFonts w:hint="eastAsia" w:ascii="黑体" w:cs="黑体"/>
          <w:color w:val="auto"/>
          <w:sz w:val="24"/>
          <w:szCs w:val="24"/>
          <w:highlight w:val="none"/>
          <w:lang w:eastAsia="zh-CN"/>
        </w:rPr>
        <w:t>地表水</w:t>
      </w:r>
      <w:r>
        <w:rPr>
          <w:rFonts w:hint="eastAsia" w:ascii="黑体" w:cs="黑体"/>
          <w:color w:val="auto"/>
          <w:sz w:val="24"/>
          <w:szCs w:val="24"/>
          <w:highlight w:val="none"/>
        </w:rPr>
        <w:t>监测点位分布图</w:t>
      </w:r>
    </w:p>
    <w:p>
      <w:pPr>
        <w:spacing w:line="360" w:lineRule="auto"/>
        <w:ind w:firstLine="420" w:firstLineChars="200"/>
        <w:rPr>
          <w:color w:val="auto"/>
          <w:sz w:val="24"/>
          <w:highlight w:val="none"/>
        </w:rPr>
      </w:pPr>
      <w:r>
        <w:rPr>
          <w:color w:val="auto"/>
          <w:highlight w:val="none"/>
        </w:rPr>
        <w:pict>
          <v:shape id="文本框 4" o:spid="_x0000_s2693" o:spt="202" type="#_x0000_t202" style="position:absolute;left:0pt;margin-left:-1583.95pt;margin-top:83637.3pt;height:22.15pt;width:82.05pt;z-index:251710464;mso-width-relative:page;mso-height-relative:page;" fillcolor="#FFFF00"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">
            <v:path/>
            <v:fill on="f" focussize="0,0"/>
            <v:stroke on="f" joinstyle="miter"/>
            <v:imagedata o:title=""/>
            <o:lock v:ext="edit"/>
            <v:textbox>
              <w:txbxContent>
                <w:p>
                  <w:pPr>
                    <w:rPr>
                      <w:color w:val="FFFFFF"/>
                      <w:sz w:val="18"/>
                      <w:szCs w:val="18"/>
                    </w:rPr>
                  </w:pPr>
                  <w:r>
                    <w:rPr>
                      <w:rFonts w:hint="eastAsia"/>
                      <w:color w:val="FFFFFF"/>
                      <w:sz w:val="18"/>
                      <w:szCs w:val="18"/>
                      <w:highlight w:val="red"/>
                    </w:rPr>
                    <w:t>沟留家村</w:t>
                  </w:r>
                </w:p>
                <w:p/>
              </w:txbxContent>
            </v:textbox>
          </v:shape>
        </w:pict>
      </w:r>
      <w:r>
        <w:rPr>
          <w:rFonts w:hint="eastAsia"/>
          <w:color w:val="auto"/>
          <w:sz w:val="24"/>
          <w:highlight w:val="none"/>
        </w:rPr>
        <w:t>2、</w:t>
      </w:r>
      <w:r>
        <w:rPr>
          <w:color w:val="auto"/>
          <w:sz w:val="24"/>
          <w:highlight w:val="none"/>
        </w:rPr>
        <w:t>监测因子</w:t>
      </w:r>
    </w:p>
    <w:p>
      <w:pPr>
        <w:spacing w:line="360" w:lineRule="auto"/>
        <w:ind w:firstLine="480" w:firstLineChars="200"/>
        <w:rPr>
          <w:color w:val="auto"/>
          <w:sz w:val="24"/>
          <w:highlight w:val="none"/>
        </w:rPr>
      </w:pPr>
      <w:r>
        <w:rPr>
          <w:rFonts w:hint="eastAsia"/>
          <w:color w:val="auto"/>
          <w:sz w:val="24"/>
          <w:highlight w:val="none"/>
        </w:rPr>
        <w:t>监测因子：水温、pH、溶解氧、高锰酸盐指数、氨氮、总氮、总磷、化学需氧量、五日生化需氧量</w:t>
      </w:r>
      <w:r>
        <w:rPr>
          <w:rFonts w:hint="eastAsia"/>
          <w:color w:val="auto"/>
          <w:sz w:val="24"/>
          <w:highlight w:val="none"/>
        </w:rPr>
        <w:t>、铜、锌、</w:t>
      </w:r>
      <w:r>
        <w:rPr>
          <w:rFonts w:hint="eastAsia"/>
          <w:color w:val="auto"/>
          <w:sz w:val="24"/>
          <w:highlight w:val="none"/>
          <w:lang w:eastAsia="zh-CN"/>
        </w:rPr>
        <w:t>镍、</w:t>
      </w:r>
      <w:r>
        <w:rPr>
          <w:rFonts w:hint="eastAsia"/>
          <w:color w:val="auto"/>
          <w:sz w:val="24"/>
          <w:highlight w:val="none"/>
        </w:rPr>
        <w:t>六价铬</w:t>
      </w:r>
      <w:r>
        <w:rPr>
          <w:rFonts w:hint="eastAsia"/>
          <w:color w:val="auto"/>
          <w:sz w:val="24"/>
          <w:highlight w:val="none"/>
        </w:rPr>
        <w:t>、</w:t>
      </w:r>
      <w:r>
        <w:rPr>
          <w:rFonts w:hint="eastAsia"/>
          <w:color w:val="auto"/>
          <w:sz w:val="24"/>
          <w:highlight w:val="none"/>
          <w:lang w:eastAsia="zh-CN"/>
        </w:rPr>
        <w:t>硫酸盐、</w:t>
      </w:r>
      <w:r>
        <w:rPr>
          <w:rFonts w:hint="eastAsia"/>
          <w:color w:val="auto"/>
          <w:sz w:val="24"/>
          <w:highlight w:val="none"/>
        </w:rPr>
        <w:t>石油类、阴离子表面活性剂、粪大肠菌群共1</w:t>
      </w:r>
      <w:r>
        <w:rPr>
          <w:rFonts w:hint="eastAsia"/>
          <w:color w:val="auto"/>
          <w:sz w:val="24"/>
          <w:highlight w:val="none"/>
          <w:lang w:val="en-US" w:eastAsia="zh-CN"/>
        </w:rPr>
        <w:t>7</w:t>
      </w:r>
      <w:r>
        <w:rPr>
          <w:rFonts w:hint="eastAsia"/>
          <w:color w:val="auto"/>
          <w:sz w:val="24"/>
          <w:highlight w:val="none"/>
        </w:rPr>
        <w:t>项。</w:t>
      </w:r>
    </w:p>
    <w:p>
      <w:pPr>
        <w:spacing w:line="360" w:lineRule="auto"/>
        <w:ind w:firstLine="480" w:firstLineChars="200"/>
        <w:rPr>
          <w:color w:val="auto"/>
          <w:sz w:val="24"/>
          <w:highlight w:val="none"/>
        </w:rPr>
      </w:pPr>
      <w:r>
        <w:rPr>
          <w:rFonts w:hint="eastAsia"/>
          <w:color w:val="auto"/>
          <w:sz w:val="24"/>
          <w:highlight w:val="none"/>
        </w:rPr>
        <w:t>3、监测时间与频率</w:t>
      </w:r>
    </w:p>
    <w:p>
      <w:pPr>
        <w:spacing w:line="360" w:lineRule="auto"/>
        <w:ind w:firstLine="480" w:firstLineChars="200"/>
        <w:rPr>
          <w:color w:val="auto"/>
          <w:sz w:val="24"/>
          <w:highlight w:val="none"/>
        </w:rPr>
      </w:pPr>
      <w:r>
        <w:rPr>
          <w:rFonts w:hint="eastAsia"/>
          <w:color w:val="auto"/>
          <w:sz w:val="24"/>
          <w:highlight w:val="none"/>
        </w:rPr>
        <w:t>日连续采样2天，每天采样1次</w:t>
      </w:r>
      <w:r>
        <w:rPr>
          <w:color w:val="auto"/>
          <w:sz w:val="24"/>
          <w:highlight w:val="none"/>
        </w:rPr>
        <w:t>。</w:t>
      </w:r>
    </w:p>
    <w:p>
      <w:pPr>
        <w:spacing w:line="360" w:lineRule="auto"/>
        <w:ind w:firstLine="480" w:firstLineChars="200"/>
        <w:rPr>
          <w:color w:val="auto"/>
          <w:sz w:val="24"/>
          <w:highlight w:val="none"/>
        </w:rPr>
      </w:pPr>
      <w:r>
        <w:rPr>
          <w:color w:val="auto"/>
          <w:sz w:val="24"/>
          <w:highlight w:val="none"/>
        </w:rPr>
        <w:t>4、监测分析方法</w:t>
      </w:r>
    </w:p>
    <w:p>
      <w:pPr>
        <w:keepNext/>
        <w:keepLines/>
        <w:adjustRightInd w:val="0"/>
        <w:snapToGrid w:val="0"/>
        <w:spacing w:line="360" w:lineRule="auto"/>
        <w:ind w:firstLine="480" w:firstLineChars="200"/>
        <w:rPr>
          <w:color w:val="auto"/>
          <w:sz w:val="24"/>
          <w:highlight w:val="none"/>
        </w:rPr>
      </w:pPr>
      <w:r>
        <w:rPr>
          <w:color w:val="auto"/>
          <w:sz w:val="24"/>
          <w:highlight w:val="none"/>
        </w:rPr>
        <w:t>监测分析方法按《地表水环境质量标准》、《水和废水监测分析方法》及《环境水质监测质量保证手册》中的有关规定执行，同时提供项目采样监测分析方法、依据、检出限等。</w:t>
      </w:r>
      <w:r>
        <w:rPr>
          <w:rFonts w:hint="eastAsia"/>
          <w:color w:val="auto"/>
          <w:sz w:val="24"/>
          <w:highlight w:val="none"/>
        </w:rPr>
        <w:t>详见表</w:t>
      </w:r>
      <w:r>
        <w:rPr>
          <w:rFonts w:hint="eastAsia"/>
          <w:color w:val="auto"/>
          <w:sz w:val="24"/>
          <w:highlight w:val="none"/>
          <w:lang w:eastAsia="zh-CN"/>
        </w:rPr>
        <w:t>3.6</w:t>
      </w:r>
      <w:r>
        <w:rPr>
          <w:rFonts w:hint="eastAsia"/>
          <w:color w:val="auto"/>
          <w:sz w:val="24"/>
          <w:highlight w:val="none"/>
        </w:rPr>
        <w:t>-</w:t>
      </w:r>
      <w:r>
        <w:rPr>
          <w:rFonts w:hint="eastAsia"/>
          <w:color w:val="auto"/>
          <w:sz w:val="24"/>
          <w:highlight w:val="none"/>
          <w:lang w:val="en-US" w:eastAsia="zh-CN"/>
        </w:rPr>
        <w:t>7</w:t>
      </w:r>
      <w:r>
        <w:rPr>
          <w:rFonts w:hint="eastAsia"/>
          <w:color w:val="auto"/>
          <w:sz w:val="24"/>
          <w:highlight w:val="none"/>
        </w:rPr>
        <w:t>。</w:t>
      </w:r>
    </w:p>
    <w:p>
      <w:pPr>
        <w:jc w:val="center"/>
        <w:rPr>
          <w:rFonts w:eastAsia="黑体"/>
          <w:color w:val="auto"/>
          <w:kern w:val="21"/>
          <w:szCs w:val="21"/>
          <w:highlight w:val="none"/>
          <w:lang w:val="zh-CN"/>
        </w:rPr>
      </w:pPr>
      <w:r>
        <w:rPr>
          <w:rFonts w:hint="eastAsia" w:eastAsia="黑体"/>
          <w:color w:val="auto"/>
          <w:kern w:val="21"/>
          <w:sz w:val="24"/>
          <w:szCs w:val="24"/>
          <w:highlight w:val="none"/>
          <w:lang w:val="zh-CN"/>
        </w:rPr>
        <w:t>3.6-</w:t>
      </w:r>
      <w:r>
        <w:rPr>
          <w:rFonts w:hint="eastAsia" w:eastAsia="黑体"/>
          <w:color w:val="auto"/>
          <w:kern w:val="21"/>
          <w:sz w:val="24"/>
          <w:szCs w:val="24"/>
          <w:highlight w:val="none"/>
          <w:lang w:val="en-US" w:eastAsia="zh-CN"/>
        </w:rPr>
        <w:t>7</w:t>
      </w:r>
      <w:r>
        <w:rPr>
          <w:rFonts w:hint="eastAsia" w:eastAsia="黑体"/>
          <w:color w:val="auto"/>
          <w:kern w:val="21"/>
          <w:sz w:val="24"/>
          <w:szCs w:val="24"/>
          <w:highlight w:val="none"/>
          <w:lang w:val="zh-CN"/>
        </w:rPr>
        <w:t xml:space="preserve"> </w:t>
      </w:r>
      <w:r>
        <w:rPr>
          <w:rFonts w:hint="eastAsia" w:eastAsia="黑体"/>
          <w:color w:val="auto"/>
          <w:kern w:val="21"/>
          <w:sz w:val="24"/>
          <w:szCs w:val="24"/>
          <w:highlight w:val="none"/>
          <w:lang w:val="en-US" w:eastAsia="zh-CN"/>
        </w:rPr>
        <w:t xml:space="preserve"> </w:t>
      </w:r>
      <w:r>
        <w:rPr>
          <w:rFonts w:hint="eastAsia" w:eastAsia="黑体"/>
          <w:color w:val="auto"/>
          <w:kern w:val="21"/>
          <w:sz w:val="24"/>
          <w:szCs w:val="24"/>
          <w:highlight w:val="none"/>
          <w:lang w:val="zh-CN"/>
        </w:rPr>
        <w:t>地表水分析方法及检出限一览表</w:t>
      </w:r>
    </w:p>
    <w:tbl>
      <w:tblPr>
        <w:tblStyle w:val="36"/>
        <w:tblW w:w="9230" w:type="dxa"/>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641"/>
        <w:gridCol w:w="1917"/>
        <w:gridCol w:w="3617"/>
        <w:gridCol w:w="1766"/>
        <w:gridCol w:w="1289"/>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641" w:type="dxa"/>
            <w:vAlign w:val="center"/>
          </w:tcPr>
          <w:p>
            <w:pPr>
              <w:jc w:val="center"/>
              <w:rPr>
                <w:color w:val="auto"/>
                <w:highlight w:val="none"/>
              </w:rPr>
            </w:pPr>
            <w:r>
              <w:rPr>
                <w:color w:val="auto"/>
                <w:highlight w:val="none"/>
              </w:rPr>
              <w:t>序号</w:t>
            </w:r>
          </w:p>
        </w:tc>
        <w:tc>
          <w:tcPr>
            <w:tcW w:w="1917" w:type="dxa"/>
            <w:vAlign w:val="center"/>
          </w:tcPr>
          <w:p>
            <w:pPr>
              <w:jc w:val="center"/>
              <w:rPr>
                <w:color w:val="auto"/>
                <w:highlight w:val="none"/>
              </w:rPr>
            </w:pPr>
            <w:r>
              <w:rPr>
                <w:color w:val="auto"/>
                <w:highlight w:val="none"/>
              </w:rPr>
              <w:t>监测项目</w:t>
            </w:r>
          </w:p>
        </w:tc>
        <w:tc>
          <w:tcPr>
            <w:tcW w:w="3617" w:type="dxa"/>
            <w:vAlign w:val="center"/>
          </w:tcPr>
          <w:p>
            <w:pPr>
              <w:jc w:val="center"/>
              <w:rPr>
                <w:color w:val="auto"/>
                <w:highlight w:val="none"/>
              </w:rPr>
            </w:pPr>
            <w:r>
              <w:rPr>
                <w:color w:val="auto"/>
                <w:highlight w:val="none"/>
              </w:rPr>
              <w:t>分析方法</w:t>
            </w:r>
          </w:p>
        </w:tc>
        <w:tc>
          <w:tcPr>
            <w:tcW w:w="1766" w:type="dxa"/>
            <w:vAlign w:val="center"/>
          </w:tcPr>
          <w:p>
            <w:pPr>
              <w:jc w:val="center"/>
              <w:rPr>
                <w:color w:val="auto"/>
                <w:highlight w:val="none"/>
              </w:rPr>
            </w:pPr>
            <w:r>
              <w:rPr>
                <w:color w:val="auto"/>
                <w:highlight w:val="none"/>
              </w:rPr>
              <w:t>方法来源</w:t>
            </w:r>
          </w:p>
        </w:tc>
        <w:tc>
          <w:tcPr>
            <w:tcW w:w="1289" w:type="dxa"/>
            <w:vAlign w:val="center"/>
          </w:tcPr>
          <w:p>
            <w:pPr>
              <w:jc w:val="center"/>
              <w:rPr>
                <w:color w:val="auto"/>
                <w:highlight w:val="none"/>
              </w:rPr>
            </w:pPr>
            <w:r>
              <w:rPr>
                <w:color w:val="auto"/>
                <w:highlight w:val="none"/>
              </w:rPr>
              <w:t>检出限</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641" w:type="dxa"/>
            <w:vAlign w:val="center"/>
          </w:tcPr>
          <w:p>
            <w:pPr>
              <w:jc w:val="center"/>
              <w:rPr>
                <w:color w:val="auto"/>
                <w:highlight w:val="none"/>
              </w:rPr>
            </w:pPr>
            <w:r>
              <w:rPr>
                <w:color w:val="auto"/>
                <w:highlight w:val="none"/>
              </w:rPr>
              <w:t>1</w:t>
            </w:r>
          </w:p>
        </w:tc>
        <w:tc>
          <w:tcPr>
            <w:tcW w:w="1917" w:type="dxa"/>
            <w:vAlign w:val="center"/>
          </w:tcPr>
          <w:p>
            <w:pPr>
              <w:jc w:val="center"/>
              <w:rPr>
                <w:color w:val="auto"/>
                <w:highlight w:val="none"/>
              </w:rPr>
            </w:pPr>
            <w:r>
              <w:rPr>
                <w:color w:val="auto"/>
                <w:highlight w:val="none"/>
              </w:rPr>
              <w:t xml:space="preserve">pH值 </w:t>
            </w:r>
          </w:p>
        </w:tc>
        <w:tc>
          <w:tcPr>
            <w:tcW w:w="3617" w:type="dxa"/>
            <w:vAlign w:val="center"/>
          </w:tcPr>
          <w:p>
            <w:pPr>
              <w:jc w:val="center"/>
              <w:rPr>
                <w:color w:val="auto"/>
                <w:highlight w:val="none"/>
              </w:rPr>
            </w:pPr>
            <w:r>
              <w:rPr>
                <w:color w:val="auto"/>
                <w:highlight w:val="none"/>
              </w:rPr>
              <w:t>玻璃电极法</w:t>
            </w:r>
          </w:p>
        </w:tc>
        <w:tc>
          <w:tcPr>
            <w:tcW w:w="1766" w:type="dxa"/>
            <w:vAlign w:val="center"/>
          </w:tcPr>
          <w:p>
            <w:pPr>
              <w:jc w:val="center"/>
              <w:rPr>
                <w:color w:val="auto"/>
                <w:highlight w:val="none"/>
              </w:rPr>
            </w:pPr>
            <w:r>
              <w:rPr>
                <w:color w:val="auto"/>
                <w:highlight w:val="none"/>
              </w:rPr>
              <w:t>GB/T 6920-1986</w:t>
            </w:r>
          </w:p>
        </w:tc>
        <w:tc>
          <w:tcPr>
            <w:tcW w:w="1289" w:type="dxa"/>
            <w:vAlign w:val="center"/>
          </w:tcPr>
          <w:p>
            <w:pPr>
              <w:jc w:val="center"/>
              <w:rPr>
                <w:color w:val="auto"/>
                <w:highlight w:val="none"/>
              </w:rPr>
            </w:pPr>
            <w:r>
              <w:rPr>
                <w:color w:val="auto"/>
                <w:highlight w:val="none"/>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641" w:type="dxa"/>
            <w:vAlign w:val="center"/>
          </w:tcPr>
          <w:p>
            <w:pPr>
              <w:jc w:val="center"/>
              <w:rPr>
                <w:color w:val="auto"/>
                <w:highlight w:val="none"/>
              </w:rPr>
            </w:pPr>
            <w:r>
              <w:rPr>
                <w:color w:val="auto"/>
                <w:highlight w:val="none"/>
              </w:rPr>
              <w:t>2</w:t>
            </w:r>
          </w:p>
        </w:tc>
        <w:tc>
          <w:tcPr>
            <w:tcW w:w="1917" w:type="dxa"/>
            <w:vAlign w:val="center"/>
          </w:tcPr>
          <w:p>
            <w:pPr>
              <w:jc w:val="center"/>
              <w:rPr>
                <w:color w:val="auto"/>
                <w:highlight w:val="none"/>
              </w:rPr>
            </w:pPr>
            <w:r>
              <w:rPr>
                <w:color w:val="auto"/>
                <w:highlight w:val="none"/>
              </w:rPr>
              <w:t>化学需氧量</w:t>
            </w:r>
          </w:p>
        </w:tc>
        <w:tc>
          <w:tcPr>
            <w:tcW w:w="3617" w:type="dxa"/>
            <w:vAlign w:val="center"/>
          </w:tcPr>
          <w:p>
            <w:pPr>
              <w:jc w:val="center"/>
              <w:rPr>
                <w:color w:val="auto"/>
                <w:highlight w:val="none"/>
              </w:rPr>
            </w:pPr>
            <w:r>
              <w:rPr>
                <w:rFonts w:hint="eastAsia"/>
                <w:color w:val="auto"/>
                <w:highlight w:val="none"/>
              </w:rPr>
              <w:t>重铬酸盐法</w:t>
            </w:r>
          </w:p>
        </w:tc>
        <w:tc>
          <w:tcPr>
            <w:tcW w:w="1766" w:type="dxa"/>
            <w:vAlign w:val="center"/>
          </w:tcPr>
          <w:p>
            <w:pPr>
              <w:jc w:val="center"/>
              <w:rPr>
                <w:color w:val="auto"/>
                <w:highlight w:val="none"/>
              </w:rPr>
            </w:pPr>
            <w:r>
              <w:rPr>
                <w:rFonts w:hint="eastAsia"/>
                <w:color w:val="auto"/>
                <w:highlight w:val="none"/>
              </w:rPr>
              <w:t>HJ 828-2017</w:t>
            </w:r>
          </w:p>
        </w:tc>
        <w:tc>
          <w:tcPr>
            <w:tcW w:w="1289" w:type="dxa"/>
            <w:vAlign w:val="center"/>
          </w:tcPr>
          <w:p>
            <w:pPr>
              <w:jc w:val="center"/>
              <w:rPr>
                <w:color w:val="auto"/>
                <w:highlight w:val="none"/>
              </w:rPr>
            </w:pPr>
            <w:r>
              <w:rPr>
                <w:rFonts w:hint="eastAsia"/>
                <w:color w:val="auto"/>
                <w:highlight w:val="none"/>
                <w:lang w:val="en-US" w:eastAsia="zh-CN"/>
              </w:rPr>
              <w:t>4</w:t>
            </w:r>
            <w:r>
              <w:rPr>
                <w:color w:val="auto"/>
                <w:highlight w:val="none"/>
              </w:rPr>
              <w:t>mg/L</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641" w:type="dxa"/>
            <w:vAlign w:val="center"/>
          </w:tcPr>
          <w:p>
            <w:pPr>
              <w:jc w:val="center"/>
              <w:rPr>
                <w:color w:val="auto"/>
                <w:highlight w:val="none"/>
              </w:rPr>
            </w:pPr>
            <w:r>
              <w:rPr>
                <w:color w:val="auto"/>
                <w:highlight w:val="none"/>
              </w:rPr>
              <w:t>3</w:t>
            </w:r>
          </w:p>
        </w:tc>
        <w:tc>
          <w:tcPr>
            <w:tcW w:w="1917" w:type="dxa"/>
            <w:vAlign w:val="center"/>
          </w:tcPr>
          <w:p>
            <w:pPr>
              <w:jc w:val="center"/>
              <w:rPr>
                <w:color w:val="auto"/>
                <w:highlight w:val="none"/>
              </w:rPr>
            </w:pPr>
            <w:r>
              <w:rPr>
                <w:rFonts w:hint="eastAsia"/>
                <w:color w:val="auto"/>
                <w:highlight w:val="none"/>
                <w:lang w:eastAsia="zh-CN"/>
              </w:rPr>
              <w:t>五日</w:t>
            </w:r>
            <w:r>
              <w:rPr>
                <w:color w:val="auto"/>
                <w:highlight w:val="none"/>
              </w:rPr>
              <w:t>生化需氧量</w:t>
            </w:r>
          </w:p>
        </w:tc>
        <w:tc>
          <w:tcPr>
            <w:tcW w:w="3617" w:type="dxa"/>
            <w:vAlign w:val="center"/>
          </w:tcPr>
          <w:p>
            <w:pPr>
              <w:widowControl/>
              <w:jc w:val="center"/>
              <w:textAlignment w:val="center"/>
              <w:rPr>
                <w:color w:val="auto"/>
                <w:highlight w:val="none"/>
              </w:rPr>
            </w:pPr>
            <w:r>
              <w:rPr>
                <w:color w:val="auto"/>
                <w:kern w:val="0"/>
                <w:szCs w:val="21"/>
                <w:highlight w:val="none"/>
              </w:rPr>
              <w:t>稀释与接种法</w:t>
            </w:r>
          </w:p>
        </w:tc>
        <w:tc>
          <w:tcPr>
            <w:tcW w:w="1766" w:type="dxa"/>
            <w:vAlign w:val="center"/>
          </w:tcPr>
          <w:p>
            <w:pPr>
              <w:widowControl/>
              <w:jc w:val="center"/>
              <w:textAlignment w:val="center"/>
              <w:rPr>
                <w:color w:val="auto"/>
                <w:highlight w:val="none"/>
              </w:rPr>
            </w:pPr>
            <w:r>
              <w:rPr>
                <w:color w:val="auto"/>
                <w:kern w:val="0"/>
                <w:szCs w:val="21"/>
                <w:highlight w:val="none"/>
              </w:rPr>
              <w:t>HJ505-2009</w:t>
            </w:r>
          </w:p>
        </w:tc>
        <w:tc>
          <w:tcPr>
            <w:tcW w:w="1289" w:type="dxa"/>
            <w:vAlign w:val="center"/>
          </w:tcPr>
          <w:p>
            <w:pPr>
              <w:widowControl/>
              <w:jc w:val="center"/>
              <w:textAlignment w:val="center"/>
              <w:rPr>
                <w:color w:val="auto"/>
                <w:highlight w:val="none"/>
              </w:rPr>
            </w:pPr>
            <w:r>
              <w:rPr>
                <w:color w:val="auto"/>
                <w:kern w:val="0"/>
                <w:szCs w:val="21"/>
                <w:highlight w:val="none"/>
              </w:rPr>
              <w:t>0.5 mg/L</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641" w:type="dxa"/>
            <w:vAlign w:val="center"/>
          </w:tcPr>
          <w:p>
            <w:pPr>
              <w:jc w:val="center"/>
              <w:rPr>
                <w:color w:val="auto"/>
                <w:highlight w:val="none"/>
              </w:rPr>
            </w:pPr>
            <w:r>
              <w:rPr>
                <w:color w:val="auto"/>
                <w:highlight w:val="none"/>
              </w:rPr>
              <w:t>4</w:t>
            </w:r>
          </w:p>
        </w:tc>
        <w:tc>
          <w:tcPr>
            <w:tcW w:w="1917" w:type="dxa"/>
            <w:vAlign w:val="center"/>
          </w:tcPr>
          <w:p>
            <w:pPr>
              <w:jc w:val="center"/>
              <w:rPr>
                <w:color w:val="auto"/>
                <w:highlight w:val="none"/>
              </w:rPr>
            </w:pPr>
            <w:r>
              <w:rPr>
                <w:color w:val="auto"/>
                <w:highlight w:val="none"/>
              </w:rPr>
              <w:t>氨氮</w:t>
            </w:r>
          </w:p>
        </w:tc>
        <w:tc>
          <w:tcPr>
            <w:tcW w:w="3617" w:type="dxa"/>
            <w:vAlign w:val="center"/>
          </w:tcPr>
          <w:p>
            <w:pPr>
              <w:jc w:val="center"/>
              <w:rPr>
                <w:color w:val="auto"/>
                <w:highlight w:val="none"/>
              </w:rPr>
            </w:pPr>
            <w:r>
              <w:rPr>
                <w:color w:val="auto"/>
                <w:highlight w:val="none"/>
              </w:rPr>
              <w:t>纳氏试剂分光光度法</w:t>
            </w:r>
          </w:p>
        </w:tc>
        <w:tc>
          <w:tcPr>
            <w:tcW w:w="1766" w:type="dxa"/>
            <w:vAlign w:val="center"/>
          </w:tcPr>
          <w:p>
            <w:pPr>
              <w:jc w:val="center"/>
              <w:rPr>
                <w:color w:val="auto"/>
                <w:highlight w:val="none"/>
              </w:rPr>
            </w:pPr>
            <w:r>
              <w:rPr>
                <w:color w:val="auto"/>
                <w:highlight w:val="none"/>
              </w:rPr>
              <w:t>HJ535-2009</w:t>
            </w:r>
          </w:p>
        </w:tc>
        <w:tc>
          <w:tcPr>
            <w:tcW w:w="1289" w:type="dxa"/>
            <w:vAlign w:val="center"/>
          </w:tcPr>
          <w:p>
            <w:pPr>
              <w:jc w:val="center"/>
              <w:rPr>
                <w:color w:val="auto"/>
                <w:highlight w:val="none"/>
              </w:rPr>
            </w:pPr>
            <w:r>
              <w:rPr>
                <w:color w:val="auto"/>
                <w:highlight w:val="none"/>
              </w:rPr>
              <w:t>0.025 mg/L</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641" w:type="dxa"/>
            <w:vAlign w:val="center"/>
          </w:tcPr>
          <w:p>
            <w:pPr>
              <w:jc w:val="center"/>
              <w:rPr>
                <w:color w:val="auto"/>
                <w:highlight w:val="none"/>
              </w:rPr>
            </w:pPr>
            <w:r>
              <w:rPr>
                <w:color w:val="auto"/>
                <w:highlight w:val="none"/>
              </w:rPr>
              <w:t>5</w:t>
            </w:r>
          </w:p>
        </w:tc>
        <w:tc>
          <w:tcPr>
            <w:tcW w:w="1917" w:type="dxa"/>
            <w:vAlign w:val="center"/>
          </w:tcPr>
          <w:p>
            <w:pPr>
              <w:jc w:val="center"/>
              <w:rPr>
                <w:color w:val="auto"/>
                <w:highlight w:val="none"/>
              </w:rPr>
            </w:pPr>
            <w:r>
              <w:rPr>
                <w:color w:val="auto"/>
                <w:highlight w:val="none"/>
              </w:rPr>
              <w:t>溶解氧</w:t>
            </w:r>
          </w:p>
        </w:tc>
        <w:tc>
          <w:tcPr>
            <w:tcW w:w="3617" w:type="dxa"/>
            <w:vAlign w:val="center"/>
          </w:tcPr>
          <w:p>
            <w:pPr>
              <w:jc w:val="center"/>
              <w:rPr>
                <w:color w:val="auto"/>
                <w:highlight w:val="none"/>
              </w:rPr>
            </w:pPr>
            <w:r>
              <w:rPr>
                <w:color w:val="auto"/>
                <w:highlight w:val="none"/>
              </w:rPr>
              <w:t>碘量法</w:t>
            </w:r>
          </w:p>
        </w:tc>
        <w:tc>
          <w:tcPr>
            <w:tcW w:w="1766" w:type="dxa"/>
            <w:vAlign w:val="center"/>
          </w:tcPr>
          <w:p>
            <w:pPr>
              <w:jc w:val="center"/>
              <w:rPr>
                <w:color w:val="auto"/>
                <w:highlight w:val="none"/>
              </w:rPr>
            </w:pPr>
            <w:r>
              <w:rPr>
                <w:color w:val="auto"/>
                <w:highlight w:val="none"/>
              </w:rPr>
              <w:t>GB7489-1987</w:t>
            </w:r>
          </w:p>
        </w:tc>
        <w:tc>
          <w:tcPr>
            <w:tcW w:w="1289" w:type="dxa"/>
            <w:vAlign w:val="center"/>
          </w:tcPr>
          <w:p>
            <w:pPr>
              <w:jc w:val="center"/>
              <w:rPr>
                <w:color w:val="auto"/>
                <w:highlight w:val="none"/>
              </w:rPr>
            </w:pPr>
            <w:r>
              <w:rPr>
                <w:color w:val="auto"/>
                <w:highlight w:val="none"/>
              </w:rPr>
              <w:t>0.2 mg/L</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641" w:type="dxa"/>
            <w:vAlign w:val="center"/>
          </w:tcPr>
          <w:p>
            <w:pPr>
              <w:jc w:val="center"/>
              <w:rPr>
                <w:color w:val="auto"/>
                <w:highlight w:val="none"/>
              </w:rPr>
            </w:pPr>
            <w:r>
              <w:rPr>
                <w:color w:val="auto"/>
                <w:highlight w:val="none"/>
              </w:rPr>
              <w:t>6</w:t>
            </w:r>
          </w:p>
        </w:tc>
        <w:tc>
          <w:tcPr>
            <w:tcW w:w="1917" w:type="dxa"/>
            <w:vAlign w:val="center"/>
          </w:tcPr>
          <w:p>
            <w:pPr>
              <w:jc w:val="center"/>
              <w:rPr>
                <w:color w:val="auto"/>
                <w:highlight w:val="none"/>
              </w:rPr>
            </w:pPr>
            <w:r>
              <w:rPr>
                <w:color w:val="auto"/>
                <w:highlight w:val="none"/>
              </w:rPr>
              <w:t>总磷</w:t>
            </w:r>
          </w:p>
        </w:tc>
        <w:tc>
          <w:tcPr>
            <w:tcW w:w="3617" w:type="dxa"/>
            <w:vAlign w:val="center"/>
          </w:tcPr>
          <w:p>
            <w:pPr>
              <w:widowControl/>
              <w:jc w:val="center"/>
              <w:textAlignment w:val="center"/>
              <w:rPr>
                <w:color w:val="auto"/>
                <w:szCs w:val="21"/>
                <w:highlight w:val="none"/>
              </w:rPr>
            </w:pPr>
            <w:r>
              <w:rPr>
                <w:color w:val="auto"/>
                <w:kern w:val="0"/>
                <w:szCs w:val="21"/>
                <w:highlight w:val="none"/>
              </w:rPr>
              <w:t>钼酸铵分光光度法</w:t>
            </w:r>
          </w:p>
        </w:tc>
        <w:tc>
          <w:tcPr>
            <w:tcW w:w="1766" w:type="dxa"/>
            <w:vAlign w:val="center"/>
          </w:tcPr>
          <w:p>
            <w:pPr>
              <w:widowControl/>
              <w:jc w:val="center"/>
              <w:textAlignment w:val="center"/>
              <w:rPr>
                <w:color w:val="auto"/>
                <w:szCs w:val="21"/>
                <w:highlight w:val="none"/>
              </w:rPr>
            </w:pPr>
            <w:r>
              <w:rPr>
                <w:color w:val="auto"/>
                <w:kern w:val="0"/>
                <w:szCs w:val="21"/>
                <w:highlight w:val="none"/>
              </w:rPr>
              <w:t>GB11893-1989</w:t>
            </w:r>
          </w:p>
        </w:tc>
        <w:tc>
          <w:tcPr>
            <w:tcW w:w="1289" w:type="dxa"/>
            <w:vAlign w:val="center"/>
          </w:tcPr>
          <w:p>
            <w:pPr>
              <w:widowControl/>
              <w:jc w:val="center"/>
              <w:textAlignment w:val="center"/>
              <w:rPr>
                <w:color w:val="auto"/>
                <w:highlight w:val="none"/>
              </w:rPr>
            </w:pPr>
            <w:r>
              <w:rPr>
                <w:color w:val="auto"/>
                <w:kern w:val="0"/>
                <w:szCs w:val="21"/>
                <w:highlight w:val="none"/>
              </w:rPr>
              <w:t>0.01mg/L</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641" w:type="dxa"/>
            <w:vAlign w:val="center"/>
          </w:tcPr>
          <w:p>
            <w:pPr>
              <w:jc w:val="center"/>
              <w:rPr>
                <w:color w:val="auto"/>
                <w:highlight w:val="none"/>
              </w:rPr>
            </w:pPr>
            <w:r>
              <w:rPr>
                <w:color w:val="auto"/>
                <w:highlight w:val="none"/>
              </w:rPr>
              <w:t>7</w:t>
            </w:r>
          </w:p>
        </w:tc>
        <w:tc>
          <w:tcPr>
            <w:tcW w:w="1917" w:type="dxa"/>
            <w:vAlign w:val="center"/>
          </w:tcPr>
          <w:p>
            <w:pPr>
              <w:jc w:val="center"/>
              <w:rPr>
                <w:color w:val="auto"/>
                <w:highlight w:val="none"/>
              </w:rPr>
            </w:pPr>
            <w:r>
              <w:rPr>
                <w:color w:val="auto"/>
                <w:highlight w:val="none"/>
              </w:rPr>
              <w:t>粪大肠菌群</w:t>
            </w:r>
          </w:p>
        </w:tc>
        <w:tc>
          <w:tcPr>
            <w:tcW w:w="3617" w:type="dxa"/>
            <w:vAlign w:val="center"/>
          </w:tcPr>
          <w:p>
            <w:pPr>
              <w:jc w:val="center"/>
              <w:rPr>
                <w:color w:val="auto"/>
                <w:highlight w:val="none"/>
              </w:rPr>
            </w:pPr>
            <w:r>
              <w:rPr>
                <w:color w:val="auto"/>
                <w:highlight w:val="none"/>
              </w:rPr>
              <w:t>多管发酵法</w:t>
            </w:r>
          </w:p>
        </w:tc>
        <w:tc>
          <w:tcPr>
            <w:tcW w:w="1766" w:type="dxa"/>
            <w:vAlign w:val="center"/>
          </w:tcPr>
          <w:p>
            <w:pPr>
              <w:jc w:val="center"/>
              <w:rPr>
                <w:color w:val="auto"/>
                <w:highlight w:val="none"/>
              </w:rPr>
            </w:pPr>
            <w:r>
              <w:rPr>
                <w:rFonts w:hint="eastAsia"/>
                <w:color w:val="auto"/>
                <w:highlight w:val="none"/>
              </w:rPr>
              <w:t>HJ/T347-2007</w:t>
            </w:r>
          </w:p>
        </w:tc>
        <w:tc>
          <w:tcPr>
            <w:tcW w:w="1289" w:type="dxa"/>
            <w:vAlign w:val="center"/>
          </w:tcPr>
          <w:p>
            <w:pPr>
              <w:jc w:val="center"/>
              <w:rPr>
                <w:color w:val="auto"/>
                <w:highlight w:val="none"/>
              </w:rPr>
            </w:pPr>
            <w:r>
              <w:rPr>
                <w:color w:val="auto"/>
                <w:highlight w:val="none"/>
              </w:rPr>
              <w:t>20MPN/L</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641" w:type="dxa"/>
            <w:vAlign w:val="center"/>
          </w:tcPr>
          <w:p>
            <w:pPr>
              <w:jc w:val="center"/>
              <w:rPr>
                <w:color w:val="auto"/>
                <w:highlight w:val="none"/>
              </w:rPr>
            </w:pPr>
            <w:r>
              <w:rPr>
                <w:color w:val="auto"/>
                <w:highlight w:val="none"/>
              </w:rPr>
              <w:t>8</w:t>
            </w:r>
          </w:p>
        </w:tc>
        <w:tc>
          <w:tcPr>
            <w:tcW w:w="1917" w:type="dxa"/>
            <w:vAlign w:val="center"/>
          </w:tcPr>
          <w:p>
            <w:pPr>
              <w:jc w:val="center"/>
              <w:rPr>
                <w:color w:val="auto"/>
                <w:highlight w:val="none"/>
              </w:rPr>
            </w:pPr>
            <w:r>
              <w:rPr>
                <w:color w:val="auto"/>
                <w:szCs w:val="21"/>
                <w:highlight w:val="none"/>
              </w:rPr>
              <w:t>石油类</w:t>
            </w:r>
          </w:p>
        </w:tc>
        <w:tc>
          <w:tcPr>
            <w:tcW w:w="3617" w:type="dxa"/>
            <w:vAlign w:val="center"/>
          </w:tcPr>
          <w:p>
            <w:pPr>
              <w:widowControl/>
              <w:jc w:val="center"/>
              <w:textAlignment w:val="center"/>
              <w:rPr>
                <w:color w:val="auto"/>
                <w:szCs w:val="21"/>
                <w:highlight w:val="none"/>
              </w:rPr>
            </w:pPr>
            <w:r>
              <w:rPr>
                <w:color w:val="auto"/>
                <w:kern w:val="0"/>
                <w:szCs w:val="21"/>
                <w:highlight w:val="none"/>
              </w:rPr>
              <w:t>红外分光光度法</w:t>
            </w:r>
          </w:p>
        </w:tc>
        <w:tc>
          <w:tcPr>
            <w:tcW w:w="1766" w:type="dxa"/>
            <w:vAlign w:val="center"/>
          </w:tcPr>
          <w:p>
            <w:pPr>
              <w:widowControl/>
              <w:jc w:val="center"/>
              <w:textAlignment w:val="center"/>
              <w:rPr>
                <w:color w:val="auto"/>
                <w:szCs w:val="21"/>
                <w:highlight w:val="none"/>
              </w:rPr>
            </w:pPr>
            <w:r>
              <w:rPr>
                <w:color w:val="auto"/>
                <w:kern w:val="0"/>
                <w:szCs w:val="21"/>
                <w:highlight w:val="none"/>
              </w:rPr>
              <w:t>HJ637-2012</w:t>
            </w:r>
          </w:p>
        </w:tc>
        <w:tc>
          <w:tcPr>
            <w:tcW w:w="1289" w:type="dxa"/>
            <w:vAlign w:val="center"/>
          </w:tcPr>
          <w:p>
            <w:pPr>
              <w:widowControl/>
              <w:jc w:val="center"/>
              <w:textAlignment w:val="center"/>
              <w:rPr>
                <w:color w:val="auto"/>
                <w:szCs w:val="21"/>
                <w:highlight w:val="none"/>
              </w:rPr>
            </w:pPr>
            <w:r>
              <w:rPr>
                <w:color w:val="auto"/>
                <w:kern w:val="0"/>
                <w:szCs w:val="21"/>
                <w:highlight w:val="none"/>
              </w:rPr>
              <w:t>0.04 mg/L</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641" w:type="dxa"/>
            <w:vAlign w:val="center"/>
          </w:tcPr>
          <w:p>
            <w:pPr>
              <w:jc w:val="center"/>
              <w:rPr>
                <w:color w:val="auto"/>
                <w:highlight w:val="none"/>
              </w:rPr>
            </w:pPr>
            <w:r>
              <w:rPr>
                <w:color w:val="auto"/>
                <w:highlight w:val="none"/>
              </w:rPr>
              <w:t>9</w:t>
            </w:r>
          </w:p>
        </w:tc>
        <w:tc>
          <w:tcPr>
            <w:tcW w:w="1917" w:type="dxa"/>
            <w:vAlign w:val="center"/>
          </w:tcPr>
          <w:p>
            <w:pPr>
              <w:jc w:val="center"/>
              <w:rPr>
                <w:color w:val="auto"/>
                <w:szCs w:val="21"/>
                <w:highlight w:val="none"/>
              </w:rPr>
            </w:pPr>
            <w:r>
              <w:rPr>
                <w:color w:val="auto"/>
                <w:highlight w:val="none"/>
              </w:rPr>
              <w:t>高锰酸盐指数</w:t>
            </w:r>
          </w:p>
        </w:tc>
        <w:tc>
          <w:tcPr>
            <w:tcW w:w="3617" w:type="dxa"/>
            <w:vAlign w:val="center"/>
          </w:tcPr>
          <w:p>
            <w:pPr>
              <w:widowControl/>
              <w:jc w:val="center"/>
              <w:textAlignment w:val="center"/>
              <w:rPr>
                <w:color w:val="auto"/>
                <w:szCs w:val="21"/>
                <w:highlight w:val="none"/>
              </w:rPr>
            </w:pPr>
            <w:r>
              <w:rPr>
                <w:color w:val="auto"/>
                <w:kern w:val="0"/>
                <w:szCs w:val="21"/>
                <w:highlight w:val="none"/>
              </w:rPr>
              <w:t>滴定法</w:t>
            </w:r>
          </w:p>
        </w:tc>
        <w:tc>
          <w:tcPr>
            <w:tcW w:w="1766" w:type="dxa"/>
            <w:vAlign w:val="center"/>
          </w:tcPr>
          <w:p>
            <w:pPr>
              <w:widowControl/>
              <w:jc w:val="center"/>
              <w:textAlignment w:val="center"/>
              <w:rPr>
                <w:color w:val="auto"/>
                <w:szCs w:val="21"/>
                <w:highlight w:val="none"/>
              </w:rPr>
            </w:pPr>
            <w:r>
              <w:rPr>
                <w:color w:val="auto"/>
                <w:kern w:val="0"/>
                <w:szCs w:val="21"/>
                <w:highlight w:val="none"/>
              </w:rPr>
              <w:t>GB11892-1989</w:t>
            </w:r>
          </w:p>
        </w:tc>
        <w:tc>
          <w:tcPr>
            <w:tcW w:w="1289" w:type="dxa"/>
            <w:vAlign w:val="center"/>
          </w:tcPr>
          <w:p>
            <w:pPr>
              <w:widowControl/>
              <w:jc w:val="center"/>
              <w:textAlignment w:val="center"/>
              <w:rPr>
                <w:color w:val="auto"/>
                <w:szCs w:val="21"/>
                <w:highlight w:val="none"/>
              </w:rPr>
            </w:pPr>
            <w:r>
              <w:rPr>
                <w:color w:val="auto"/>
                <w:kern w:val="0"/>
                <w:szCs w:val="21"/>
                <w:highlight w:val="none"/>
              </w:rPr>
              <w:t>0.5 mg/L</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641" w:type="dxa"/>
            <w:vAlign w:val="center"/>
          </w:tcPr>
          <w:p>
            <w:pPr>
              <w:jc w:val="center"/>
              <w:rPr>
                <w:color w:val="auto"/>
                <w:highlight w:val="none"/>
              </w:rPr>
            </w:pPr>
            <w:r>
              <w:rPr>
                <w:color w:val="auto"/>
                <w:highlight w:val="none"/>
              </w:rPr>
              <w:t>10</w:t>
            </w:r>
          </w:p>
        </w:tc>
        <w:tc>
          <w:tcPr>
            <w:tcW w:w="1917" w:type="dxa"/>
            <w:vAlign w:val="center"/>
          </w:tcPr>
          <w:p>
            <w:pPr>
              <w:jc w:val="center"/>
              <w:rPr>
                <w:color w:val="auto"/>
                <w:szCs w:val="21"/>
                <w:highlight w:val="none"/>
              </w:rPr>
            </w:pPr>
            <w:r>
              <w:rPr>
                <w:color w:val="auto"/>
                <w:szCs w:val="21"/>
                <w:highlight w:val="none"/>
              </w:rPr>
              <w:t>铜</w:t>
            </w:r>
          </w:p>
        </w:tc>
        <w:tc>
          <w:tcPr>
            <w:tcW w:w="3617" w:type="dxa"/>
            <w:vAlign w:val="center"/>
          </w:tcPr>
          <w:p>
            <w:pPr>
              <w:widowControl/>
              <w:jc w:val="center"/>
              <w:textAlignment w:val="center"/>
              <w:rPr>
                <w:color w:val="auto"/>
                <w:kern w:val="0"/>
                <w:szCs w:val="21"/>
                <w:highlight w:val="none"/>
              </w:rPr>
            </w:pPr>
            <w:r>
              <w:rPr>
                <w:color w:val="auto"/>
                <w:kern w:val="0"/>
                <w:szCs w:val="21"/>
                <w:highlight w:val="none"/>
              </w:rPr>
              <w:t>原子吸收分光光度法</w:t>
            </w:r>
          </w:p>
        </w:tc>
        <w:tc>
          <w:tcPr>
            <w:tcW w:w="1766" w:type="dxa"/>
            <w:vAlign w:val="center"/>
          </w:tcPr>
          <w:p>
            <w:pPr>
              <w:widowControl/>
              <w:jc w:val="center"/>
              <w:textAlignment w:val="center"/>
              <w:rPr>
                <w:color w:val="auto"/>
                <w:kern w:val="0"/>
                <w:szCs w:val="21"/>
                <w:highlight w:val="none"/>
              </w:rPr>
            </w:pPr>
            <w:r>
              <w:rPr>
                <w:color w:val="auto"/>
                <w:kern w:val="0"/>
                <w:szCs w:val="21"/>
                <w:highlight w:val="none"/>
              </w:rPr>
              <w:t>GB7475-1987</w:t>
            </w:r>
          </w:p>
        </w:tc>
        <w:tc>
          <w:tcPr>
            <w:tcW w:w="1289" w:type="dxa"/>
            <w:vAlign w:val="center"/>
          </w:tcPr>
          <w:p>
            <w:pPr>
              <w:widowControl/>
              <w:jc w:val="center"/>
              <w:textAlignment w:val="center"/>
              <w:rPr>
                <w:color w:val="auto"/>
                <w:kern w:val="0"/>
                <w:szCs w:val="21"/>
                <w:highlight w:val="none"/>
              </w:rPr>
            </w:pPr>
            <w:r>
              <w:rPr>
                <w:color w:val="auto"/>
                <w:kern w:val="0"/>
                <w:szCs w:val="21"/>
                <w:highlight w:val="none"/>
              </w:rPr>
              <w:t>0.001mg/L</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641" w:type="dxa"/>
            <w:vAlign w:val="center"/>
          </w:tcPr>
          <w:p>
            <w:pPr>
              <w:jc w:val="center"/>
              <w:rPr>
                <w:color w:val="auto"/>
                <w:highlight w:val="none"/>
              </w:rPr>
            </w:pPr>
            <w:r>
              <w:rPr>
                <w:color w:val="auto"/>
                <w:highlight w:val="none"/>
              </w:rPr>
              <w:t>11</w:t>
            </w:r>
          </w:p>
        </w:tc>
        <w:tc>
          <w:tcPr>
            <w:tcW w:w="1917" w:type="dxa"/>
            <w:vAlign w:val="center"/>
          </w:tcPr>
          <w:p>
            <w:pPr>
              <w:jc w:val="center"/>
              <w:rPr>
                <w:color w:val="auto"/>
                <w:highlight w:val="none"/>
              </w:rPr>
            </w:pPr>
            <w:r>
              <w:rPr>
                <w:color w:val="auto"/>
                <w:highlight w:val="none"/>
              </w:rPr>
              <w:t>锌</w:t>
            </w:r>
          </w:p>
        </w:tc>
        <w:tc>
          <w:tcPr>
            <w:tcW w:w="3617" w:type="dxa"/>
            <w:vAlign w:val="center"/>
          </w:tcPr>
          <w:p>
            <w:pPr>
              <w:widowControl/>
              <w:jc w:val="center"/>
              <w:textAlignment w:val="center"/>
              <w:rPr>
                <w:color w:val="auto"/>
                <w:kern w:val="0"/>
                <w:szCs w:val="21"/>
                <w:highlight w:val="none"/>
              </w:rPr>
            </w:pPr>
            <w:r>
              <w:rPr>
                <w:color w:val="auto"/>
                <w:kern w:val="0"/>
                <w:szCs w:val="21"/>
                <w:highlight w:val="none"/>
              </w:rPr>
              <w:t>原子吸收分光光度法</w:t>
            </w:r>
          </w:p>
        </w:tc>
        <w:tc>
          <w:tcPr>
            <w:tcW w:w="1766" w:type="dxa"/>
            <w:vAlign w:val="center"/>
          </w:tcPr>
          <w:p>
            <w:pPr>
              <w:widowControl/>
              <w:jc w:val="center"/>
              <w:textAlignment w:val="center"/>
              <w:rPr>
                <w:color w:val="auto"/>
                <w:kern w:val="0"/>
                <w:szCs w:val="21"/>
                <w:highlight w:val="none"/>
              </w:rPr>
            </w:pPr>
            <w:r>
              <w:rPr>
                <w:color w:val="auto"/>
                <w:kern w:val="0"/>
                <w:szCs w:val="21"/>
                <w:highlight w:val="none"/>
              </w:rPr>
              <w:t>GB7475-1987</w:t>
            </w:r>
          </w:p>
        </w:tc>
        <w:tc>
          <w:tcPr>
            <w:tcW w:w="1289" w:type="dxa"/>
            <w:vAlign w:val="center"/>
          </w:tcPr>
          <w:p>
            <w:pPr>
              <w:widowControl/>
              <w:jc w:val="center"/>
              <w:textAlignment w:val="center"/>
              <w:rPr>
                <w:color w:val="auto"/>
                <w:kern w:val="0"/>
                <w:szCs w:val="21"/>
                <w:highlight w:val="none"/>
              </w:rPr>
            </w:pPr>
            <w:r>
              <w:rPr>
                <w:color w:val="auto"/>
                <w:kern w:val="0"/>
                <w:szCs w:val="21"/>
                <w:highlight w:val="none"/>
              </w:rPr>
              <w:t>0.005mg/L</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641" w:type="dxa"/>
            <w:vAlign w:val="center"/>
          </w:tcPr>
          <w:p>
            <w:pPr>
              <w:jc w:val="center"/>
              <w:rPr>
                <w:color w:val="auto"/>
                <w:highlight w:val="none"/>
              </w:rPr>
            </w:pPr>
            <w:r>
              <w:rPr>
                <w:color w:val="auto"/>
                <w:highlight w:val="none"/>
              </w:rPr>
              <w:t>12</w:t>
            </w:r>
          </w:p>
        </w:tc>
        <w:tc>
          <w:tcPr>
            <w:tcW w:w="1917" w:type="dxa"/>
            <w:vAlign w:val="center"/>
          </w:tcPr>
          <w:p>
            <w:pPr>
              <w:jc w:val="center"/>
              <w:rPr>
                <w:color w:val="auto"/>
                <w:highlight w:val="none"/>
              </w:rPr>
            </w:pPr>
            <w:r>
              <w:rPr>
                <w:color w:val="auto"/>
                <w:highlight w:val="none"/>
              </w:rPr>
              <w:t>六价铬</w:t>
            </w:r>
          </w:p>
        </w:tc>
        <w:tc>
          <w:tcPr>
            <w:tcW w:w="3617" w:type="dxa"/>
            <w:vAlign w:val="center"/>
          </w:tcPr>
          <w:p>
            <w:pPr>
              <w:widowControl/>
              <w:jc w:val="center"/>
              <w:textAlignment w:val="center"/>
              <w:rPr>
                <w:color w:val="auto"/>
                <w:kern w:val="0"/>
                <w:szCs w:val="21"/>
                <w:highlight w:val="none"/>
              </w:rPr>
            </w:pPr>
            <w:r>
              <w:rPr>
                <w:color w:val="auto"/>
                <w:kern w:val="0"/>
                <w:szCs w:val="21"/>
                <w:highlight w:val="none"/>
              </w:rPr>
              <w:t>二苯碳酰二肼分光光度法</w:t>
            </w:r>
          </w:p>
        </w:tc>
        <w:tc>
          <w:tcPr>
            <w:tcW w:w="1766" w:type="dxa"/>
            <w:vAlign w:val="center"/>
          </w:tcPr>
          <w:p>
            <w:pPr>
              <w:widowControl/>
              <w:jc w:val="center"/>
              <w:textAlignment w:val="center"/>
              <w:rPr>
                <w:color w:val="auto"/>
                <w:kern w:val="0"/>
                <w:szCs w:val="21"/>
                <w:highlight w:val="none"/>
              </w:rPr>
            </w:pPr>
            <w:r>
              <w:rPr>
                <w:color w:val="auto"/>
                <w:kern w:val="0"/>
                <w:szCs w:val="21"/>
                <w:highlight w:val="none"/>
              </w:rPr>
              <w:t>GB7467-1987</w:t>
            </w:r>
          </w:p>
        </w:tc>
        <w:tc>
          <w:tcPr>
            <w:tcW w:w="1289" w:type="dxa"/>
            <w:vAlign w:val="center"/>
          </w:tcPr>
          <w:p>
            <w:pPr>
              <w:widowControl/>
              <w:jc w:val="center"/>
              <w:textAlignment w:val="center"/>
              <w:rPr>
                <w:color w:val="auto"/>
                <w:kern w:val="0"/>
                <w:szCs w:val="21"/>
                <w:highlight w:val="none"/>
              </w:rPr>
            </w:pPr>
            <w:r>
              <w:rPr>
                <w:color w:val="auto"/>
                <w:kern w:val="0"/>
                <w:szCs w:val="21"/>
                <w:highlight w:val="none"/>
              </w:rPr>
              <w:t>0.004mg/L</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641" w:type="dxa"/>
            <w:vAlign w:val="center"/>
          </w:tcPr>
          <w:p>
            <w:pPr>
              <w:jc w:val="center"/>
              <w:rPr>
                <w:color w:val="auto"/>
                <w:highlight w:val="none"/>
              </w:rPr>
            </w:pPr>
            <w:r>
              <w:rPr>
                <w:color w:val="auto"/>
                <w:highlight w:val="none"/>
              </w:rPr>
              <w:t>13</w:t>
            </w:r>
          </w:p>
        </w:tc>
        <w:tc>
          <w:tcPr>
            <w:tcW w:w="1917" w:type="dxa"/>
            <w:vAlign w:val="center"/>
          </w:tcPr>
          <w:p>
            <w:pPr>
              <w:jc w:val="center"/>
              <w:rPr>
                <w:color w:val="auto"/>
                <w:highlight w:val="none"/>
              </w:rPr>
            </w:pPr>
            <w:r>
              <w:rPr>
                <w:color w:val="auto"/>
                <w:highlight w:val="none"/>
              </w:rPr>
              <w:t>阴离子表面活性剂</w:t>
            </w:r>
          </w:p>
        </w:tc>
        <w:tc>
          <w:tcPr>
            <w:tcW w:w="3617" w:type="dxa"/>
            <w:vAlign w:val="center"/>
          </w:tcPr>
          <w:p>
            <w:pPr>
              <w:widowControl/>
              <w:jc w:val="center"/>
              <w:textAlignment w:val="center"/>
              <w:rPr>
                <w:color w:val="auto"/>
                <w:kern w:val="0"/>
                <w:szCs w:val="21"/>
                <w:highlight w:val="none"/>
              </w:rPr>
            </w:pPr>
            <w:r>
              <w:rPr>
                <w:color w:val="auto"/>
                <w:kern w:val="0"/>
                <w:szCs w:val="21"/>
                <w:highlight w:val="none"/>
              </w:rPr>
              <w:t>亚甲蓝分光光度法</w:t>
            </w:r>
          </w:p>
        </w:tc>
        <w:tc>
          <w:tcPr>
            <w:tcW w:w="1766" w:type="dxa"/>
            <w:vAlign w:val="center"/>
          </w:tcPr>
          <w:p>
            <w:pPr>
              <w:widowControl/>
              <w:jc w:val="center"/>
              <w:textAlignment w:val="center"/>
              <w:rPr>
                <w:color w:val="auto"/>
                <w:kern w:val="0"/>
                <w:szCs w:val="21"/>
                <w:highlight w:val="none"/>
              </w:rPr>
            </w:pPr>
            <w:r>
              <w:rPr>
                <w:color w:val="auto"/>
                <w:kern w:val="0"/>
                <w:szCs w:val="21"/>
                <w:highlight w:val="none"/>
              </w:rPr>
              <w:t>GB7494-1987</w:t>
            </w:r>
          </w:p>
        </w:tc>
        <w:tc>
          <w:tcPr>
            <w:tcW w:w="1289" w:type="dxa"/>
            <w:vAlign w:val="center"/>
          </w:tcPr>
          <w:p>
            <w:pPr>
              <w:widowControl/>
              <w:jc w:val="center"/>
              <w:textAlignment w:val="center"/>
              <w:rPr>
                <w:color w:val="auto"/>
                <w:kern w:val="0"/>
                <w:szCs w:val="21"/>
                <w:highlight w:val="none"/>
              </w:rPr>
            </w:pPr>
            <w:r>
              <w:rPr>
                <w:color w:val="auto"/>
                <w:kern w:val="0"/>
                <w:szCs w:val="21"/>
                <w:highlight w:val="none"/>
              </w:rPr>
              <w:t>0.05mg/L</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641" w:type="dxa"/>
            <w:vAlign w:val="center"/>
          </w:tcPr>
          <w:p>
            <w:pPr>
              <w:jc w:val="center"/>
              <w:rPr>
                <w:rFonts w:hint="eastAsia" w:eastAsia="宋体"/>
                <w:color w:val="auto"/>
                <w:highlight w:val="none"/>
                <w:lang w:val="en-US" w:eastAsia="zh-CN"/>
              </w:rPr>
            </w:pPr>
            <w:r>
              <w:rPr>
                <w:color w:val="auto"/>
                <w:highlight w:val="none"/>
              </w:rPr>
              <w:t>14</w:t>
            </w:r>
          </w:p>
        </w:tc>
        <w:tc>
          <w:tcPr>
            <w:tcW w:w="1917" w:type="dxa"/>
            <w:vAlign w:val="center"/>
          </w:tcPr>
          <w:p>
            <w:pPr>
              <w:jc w:val="center"/>
              <w:rPr>
                <w:rFonts w:hint="eastAsia" w:eastAsia="宋体"/>
                <w:color w:val="auto"/>
                <w:highlight w:val="none"/>
                <w:lang w:eastAsia="zh-CN"/>
              </w:rPr>
            </w:pPr>
            <w:r>
              <w:rPr>
                <w:rFonts w:hint="eastAsia"/>
                <w:color w:val="auto"/>
                <w:highlight w:val="none"/>
                <w:lang w:eastAsia="zh-CN"/>
              </w:rPr>
              <w:t>镍</w:t>
            </w:r>
          </w:p>
        </w:tc>
        <w:tc>
          <w:tcPr>
            <w:tcW w:w="3617" w:type="dxa"/>
            <w:vAlign w:val="center"/>
          </w:tcPr>
          <w:p>
            <w:pPr>
              <w:spacing w:line="300" w:lineRule="exact"/>
              <w:jc w:val="center"/>
              <w:rPr>
                <w:color w:val="auto"/>
                <w:kern w:val="0"/>
                <w:szCs w:val="21"/>
                <w:highlight w:val="none"/>
              </w:rPr>
            </w:pPr>
            <w:r>
              <w:rPr>
                <w:color w:val="auto"/>
                <w:highlight w:val="none"/>
              </w:rPr>
              <w:t>电感耦合等离子体发射光谱法</w:t>
            </w:r>
          </w:p>
        </w:tc>
        <w:tc>
          <w:tcPr>
            <w:tcW w:w="1766" w:type="dxa"/>
            <w:vAlign w:val="center"/>
          </w:tcPr>
          <w:p>
            <w:pPr>
              <w:spacing w:line="300" w:lineRule="exact"/>
              <w:jc w:val="center"/>
              <w:rPr>
                <w:color w:val="auto"/>
                <w:kern w:val="0"/>
                <w:szCs w:val="21"/>
                <w:highlight w:val="none"/>
              </w:rPr>
            </w:pPr>
            <w:r>
              <w:rPr>
                <w:color w:val="auto"/>
                <w:highlight w:val="none"/>
              </w:rPr>
              <w:t>HJ776-2015</w:t>
            </w:r>
          </w:p>
        </w:tc>
        <w:tc>
          <w:tcPr>
            <w:tcW w:w="1289" w:type="dxa"/>
            <w:vAlign w:val="center"/>
          </w:tcPr>
          <w:p>
            <w:pPr>
              <w:spacing w:line="300" w:lineRule="exact"/>
              <w:jc w:val="center"/>
              <w:rPr>
                <w:color w:val="auto"/>
                <w:kern w:val="0"/>
                <w:szCs w:val="21"/>
                <w:highlight w:val="none"/>
              </w:rPr>
            </w:pPr>
            <w:r>
              <w:rPr>
                <w:color w:val="auto"/>
                <w:highlight w:val="none"/>
              </w:rPr>
              <w:t>0.00</w:t>
            </w:r>
            <w:r>
              <w:rPr>
                <w:rFonts w:hint="eastAsia"/>
                <w:color w:val="auto"/>
                <w:highlight w:val="none"/>
                <w:lang w:val="en-US" w:eastAsia="zh-CN"/>
              </w:rPr>
              <w:t>1</w:t>
            </w:r>
            <w:r>
              <w:rPr>
                <w:color w:val="auto"/>
                <w:highlight w:val="none"/>
              </w:rPr>
              <w:t>mg/L</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641" w:type="dxa"/>
            <w:vAlign w:val="center"/>
          </w:tcPr>
          <w:p>
            <w:pPr>
              <w:jc w:val="center"/>
              <w:rPr>
                <w:rFonts w:hint="eastAsia" w:eastAsia="宋体"/>
                <w:color w:val="auto"/>
                <w:highlight w:val="none"/>
                <w:lang w:val="en-US" w:eastAsia="zh-CN"/>
              </w:rPr>
            </w:pPr>
            <w:r>
              <w:rPr>
                <w:rFonts w:hint="eastAsia"/>
                <w:color w:val="auto"/>
                <w:highlight w:val="none"/>
                <w:lang w:val="en-US" w:eastAsia="zh-CN"/>
              </w:rPr>
              <w:t>15</w:t>
            </w:r>
          </w:p>
        </w:tc>
        <w:tc>
          <w:tcPr>
            <w:tcW w:w="1917" w:type="dxa"/>
            <w:vAlign w:val="center"/>
          </w:tcPr>
          <w:p>
            <w:pPr>
              <w:jc w:val="center"/>
              <w:rPr>
                <w:color w:val="auto"/>
                <w:highlight w:val="none"/>
              </w:rPr>
            </w:pPr>
            <w:r>
              <w:rPr>
                <w:rFonts w:hint="eastAsia"/>
                <w:color w:val="auto"/>
                <w:highlight w:val="none"/>
              </w:rPr>
              <w:t>硫酸盐</w:t>
            </w:r>
          </w:p>
        </w:tc>
        <w:tc>
          <w:tcPr>
            <w:tcW w:w="3617" w:type="dxa"/>
            <w:vAlign w:val="center"/>
          </w:tcPr>
          <w:p>
            <w:pPr>
              <w:widowControl/>
              <w:jc w:val="center"/>
              <w:textAlignment w:val="center"/>
              <w:rPr>
                <w:color w:val="auto"/>
                <w:kern w:val="0"/>
                <w:szCs w:val="21"/>
                <w:highlight w:val="none"/>
              </w:rPr>
            </w:pPr>
            <w:r>
              <w:rPr>
                <w:rFonts w:hint="eastAsia"/>
                <w:color w:val="auto"/>
                <w:kern w:val="0"/>
                <w:szCs w:val="21"/>
                <w:highlight w:val="none"/>
                <w:lang w:val="en-US" w:eastAsia="zh-CN"/>
              </w:rPr>
              <w:t>离子色谱</w:t>
            </w:r>
            <w:r>
              <w:rPr>
                <w:color w:val="auto"/>
                <w:kern w:val="0"/>
                <w:szCs w:val="21"/>
                <w:highlight w:val="none"/>
              </w:rPr>
              <w:t>法</w:t>
            </w:r>
          </w:p>
        </w:tc>
        <w:tc>
          <w:tcPr>
            <w:tcW w:w="1766" w:type="dxa"/>
            <w:vAlign w:val="center"/>
          </w:tcPr>
          <w:p>
            <w:pPr>
              <w:widowControl/>
              <w:jc w:val="center"/>
              <w:textAlignment w:val="center"/>
              <w:rPr>
                <w:color w:val="auto"/>
                <w:kern w:val="0"/>
                <w:szCs w:val="21"/>
                <w:highlight w:val="none"/>
              </w:rPr>
            </w:pPr>
            <w:r>
              <w:rPr>
                <w:rFonts w:hint="eastAsia"/>
                <w:color w:val="auto"/>
                <w:kern w:val="0"/>
                <w:szCs w:val="21"/>
                <w:highlight w:val="none"/>
              </w:rPr>
              <w:t>HJ/T84-2016</w:t>
            </w:r>
          </w:p>
        </w:tc>
        <w:tc>
          <w:tcPr>
            <w:tcW w:w="1289" w:type="dxa"/>
            <w:vAlign w:val="center"/>
          </w:tcPr>
          <w:p>
            <w:pPr>
              <w:widowControl/>
              <w:jc w:val="center"/>
              <w:textAlignment w:val="center"/>
              <w:rPr>
                <w:color w:val="auto"/>
                <w:kern w:val="0"/>
                <w:szCs w:val="21"/>
                <w:highlight w:val="none"/>
              </w:rPr>
            </w:pPr>
            <w:r>
              <w:rPr>
                <w:color w:val="auto"/>
                <w:kern w:val="0"/>
                <w:szCs w:val="21"/>
                <w:highlight w:val="none"/>
              </w:rPr>
              <w:t>0.0</w:t>
            </w:r>
            <w:r>
              <w:rPr>
                <w:rFonts w:hint="eastAsia"/>
                <w:color w:val="auto"/>
                <w:kern w:val="0"/>
                <w:szCs w:val="21"/>
                <w:highlight w:val="none"/>
                <w:lang w:val="en-US" w:eastAsia="zh-CN"/>
              </w:rPr>
              <w:t>9</w:t>
            </w:r>
            <w:r>
              <w:rPr>
                <w:color w:val="auto"/>
                <w:kern w:val="0"/>
                <w:szCs w:val="21"/>
                <w:highlight w:val="none"/>
              </w:rPr>
              <w:t>mg/L</w:t>
            </w:r>
          </w:p>
        </w:tc>
      </w:tr>
    </w:tbl>
    <w:p>
      <w:pPr>
        <w:spacing w:line="360" w:lineRule="auto"/>
        <w:ind w:firstLine="480" w:firstLineChars="200"/>
        <w:rPr>
          <w:color w:val="auto"/>
          <w:sz w:val="24"/>
          <w:highlight w:val="none"/>
        </w:rPr>
      </w:pPr>
      <w:r>
        <w:rPr>
          <w:color w:val="auto"/>
          <w:sz w:val="24"/>
          <w:highlight w:val="none"/>
        </w:rPr>
        <w:t>5、</w:t>
      </w:r>
      <w:r>
        <w:rPr>
          <w:rFonts w:hint="eastAsia"/>
          <w:color w:val="auto"/>
          <w:sz w:val="24"/>
          <w:highlight w:val="none"/>
        </w:rPr>
        <w:t>评价标准与评价方法</w:t>
      </w:r>
    </w:p>
    <w:p>
      <w:pPr>
        <w:spacing w:line="360" w:lineRule="auto"/>
        <w:ind w:firstLine="480" w:firstLineChars="200"/>
        <w:rPr>
          <w:color w:val="auto"/>
          <w:sz w:val="24"/>
          <w:highlight w:val="none"/>
        </w:rPr>
      </w:pPr>
      <w:r>
        <w:rPr>
          <w:rFonts w:hint="eastAsia"/>
          <w:color w:val="auto"/>
          <w:sz w:val="24"/>
          <w:highlight w:val="none"/>
        </w:rPr>
        <w:t>按照《地表水环境质量标准》</w:t>
      </w:r>
      <w:r>
        <w:rPr>
          <w:rFonts w:hint="eastAsia"/>
          <w:color w:val="auto"/>
          <w:sz w:val="24"/>
          <w:highlight w:val="none"/>
          <w:lang w:eastAsia="zh-CN"/>
        </w:rPr>
        <w:t>(</w:t>
      </w:r>
      <w:r>
        <w:rPr>
          <w:rFonts w:hint="eastAsia"/>
          <w:color w:val="auto"/>
          <w:sz w:val="24"/>
          <w:highlight w:val="none"/>
        </w:rPr>
        <w:t>GB3838-2002</w:t>
      </w:r>
      <w:r>
        <w:rPr>
          <w:rFonts w:hint="eastAsia"/>
          <w:color w:val="auto"/>
          <w:sz w:val="24"/>
          <w:highlight w:val="none"/>
          <w:lang w:eastAsia="zh-CN"/>
        </w:rPr>
        <w:t>)</w:t>
      </w:r>
      <w:r>
        <w:rPr>
          <w:rFonts w:hint="eastAsia"/>
          <w:color w:val="auto"/>
          <w:sz w:val="24"/>
          <w:highlight w:val="none"/>
        </w:rPr>
        <w:t>中的V类标准进行评价</w:t>
      </w:r>
      <w:r>
        <w:rPr>
          <w:color w:val="auto"/>
          <w:sz w:val="24"/>
          <w:highlight w:val="none"/>
        </w:rPr>
        <w:t>。</w:t>
      </w:r>
    </w:p>
    <w:p>
      <w:pPr>
        <w:pStyle w:val="117"/>
        <w:spacing w:line="360" w:lineRule="auto"/>
        <w:rPr>
          <w:rFonts w:ascii="Times New Roman" w:eastAsia="宋体"/>
          <w:color w:val="auto"/>
          <w:sz w:val="24"/>
          <w:szCs w:val="24"/>
          <w:highlight w:val="none"/>
        </w:rPr>
      </w:pPr>
      <w:r>
        <w:rPr>
          <w:rFonts w:ascii="Times New Roman" w:eastAsia="宋体"/>
          <w:color w:val="auto"/>
          <w:sz w:val="24"/>
          <w:szCs w:val="24"/>
          <w:highlight w:val="none"/>
        </w:rPr>
        <w:t>采用标准指数法评价地表水环境质量现状，计算公式为(pH除外)：</w:t>
      </w:r>
    </w:p>
    <w:p>
      <w:pPr>
        <w:spacing w:line="360" w:lineRule="auto"/>
        <w:ind w:firstLine="2400" w:firstLineChars="1000"/>
        <w:rPr>
          <w:color w:val="auto"/>
          <w:sz w:val="24"/>
          <w:highlight w:val="none"/>
        </w:rPr>
      </w:pPr>
      <w:r>
        <w:rPr>
          <w:color w:val="auto"/>
          <w:position w:val="-36"/>
          <w:sz w:val="24"/>
          <w:highlight w:val="none"/>
        </w:rPr>
        <w:object>
          <v:shape id="_x0000_i1027" o:spt="75" type="#_x0000_t75" style="height:36.45pt;width:43.95pt;" o:ole="t" filled="f" o:preferrelative="f" stroked="f" coordsize="21600,21600">
            <v:path/>
            <v:fill on="f" focussize="0,0"/>
            <v:stroke on="f" joinstyle="miter"/>
            <v:imagedata r:id="rId18" o:title=""/>
            <o:lock v:ext="edit" aspectratio="f"/>
            <w10:wrap type="none"/>
            <w10:anchorlock/>
          </v:shape>
          <o:OLEObject Type="Embed" ProgID="Equation.3" ShapeID="_x0000_i1027" DrawAspect="Content" ObjectID="_1468075727" r:id="rId17">
            <o:LockedField>false</o:LockedField>
          </o:OLEObject>
        </w:object>
      </w:r>
      <w:r>
        <w:rPr>
          <w:color w:val="auto"/>
          <w:position w:val="-36"/>
          <w:sz w:val="24"/>
          <w:highlight w:val="none"/>
        </w:rPr>
        <w:t xml:space="preserve">   </w:t>
      </w:r>
    </w:p>
    <w:p>
      <w:pPr>
        <w:spacing w:line="360" w:lineRule="auto"/>
        <w:ind w:firstLine="650" w:firstLineChars="271"/>
        <w:jc w:val="left"/>
        <w:rPr>
          <w:color w:val="auto"/>
          <w:sz w:val="24"/>
          <w:highlight w:val="none"/>
        </w:rPr>
      </w:pPr>
      <w:r>
        <w:rPr>
          <w:color w:val="auto"/>
          <w:sz w:val="24"/>
          <w:highlight w:val="none"/>
        </w:rPr>
        <w:t>式中：S</w:t>
      </w:r>
      <w:r>
        <w:rPr>
          <w:color w:val="auto"/>
          <w:sz w:val="24"/>
          <w:highlight w:val="none"/>
          <w:vertAlign w:val="subscript"/>
        </w:rPr>
        <w:t>i</w:t>
      </w:r>
      <w:r>
        <w:rPr>
          <w:color w:val="auto"/>
          <w:sz w:val="24"/>
          <w:highlight w:val="none"/>
        </w:rPr>
        <w:t>— 第i种污染物的标准指数；</w:t>
      </w:r>
    </w:p>
    <w:p>
      <w:pPr>
        <w:spacing w:line="360" w:lineRule="auto"/>
        <w:ind w:firstLine="1368" w:firstLineChars="570"/>
        <w:jc w:val="left"/>
        <w:rPr>
          <w:color w:val="auto"/>
          <w:sz w:val="24"/>
          <w:highlight w:val="none"/>
        </w:rPr>
      </w:pPr>
      <w:r>
        <w:rPr>
          <w:color w:val="auto"/>
          <w:sz w:val="24"/>
          <w:highlight w:val="none"/>
        </w:rPr>
        <w:t>c</w:t>
      </w:r>
      <w:r>
        <w:rPr>
          <w:color w:val="auto"/>
          <w:sz w:val="24"/>
          <w:highlight w:val="none"/>
          <w:vertAlign w:val="subscript"/>
        </w:rPr>
        <w:t>i</w:t>
      </w:r>
      <w:r>
        <w:rPr>
          <w:color w:val="auto"/>
          <w:sz w:val="24"/>
          <w:highlight w:val="none"/>
        </w:rPr>
        <w:t>—第i种污染物的监测平均值(mg/L)；</w:t>
      </w:r>
    </w:p>
    <w:p>
      <w:pPr>
        <w:spacing w:line="360" w:lineRule="auto"/>
        <w:ind w:firstLine="1368" w:firstLineChars="570"/>
        <w:jc w:val="left"/>
        <w:rPr>
          <w:color w:val="auto"/>
          <w:sz w:val="24"/>
          <w:highlight w:val="none"/>
        </w:rPr>
      </w:pPr>
      <w:r>
        <w:rPr>
          <w:color w:val="auto"/>
          <w:sz w:val="24"/>
          <w:highlight w:val="none"/>
        </w:rPr>
        <w:t>c</w:t>
      </w:r>
      <w:r>
        <w:rPr>
          <w:color w:val="auto"/>
          <w:sz w:val="24"/>
          <w:highlight w:val="none"/>
          <w:vertAlign w:val="subscript"/>
        </w:rPr>
        <w:t>0i</w:t>
      </w:r>
      <w:r>
        <w:rPr>
          <w:color w:val="auto"/>
          <w:sz w:val="24"/>
          <w:highlight w:val="none"/>
        </w:rPr>
        <w:t>—第i种污染物的评价标准(mg/L)。</w:t>
      </w:r>
    </w:p>
    <w:p>
      <w:pPr>
        <w:spacing w:line="360" w:lineRule="auto"/>
        <w:ind w:firstLine="559" w:firstLineChars="233"/>
        <w:jc w:val="left"/>
        <w:rPr>
          <w:color w:val="auto"/>
          <w:sz w:val="24"/>
          <w:highlight w:val="none"/>
        </w:rPr>
      </w:pPr>
      <w:r>
        <w:rPr>
          <w:color w:val="auto"/>
          <w:sz w:val="24"/>
          <w:highlight w:val="none"/>
        </w:rPr>
        <w:t>pH的标准指数计算公式为：</w:t>
      </w:r>
    </w:p>
    <w:p>
      <w:pPr>
        <w:spacing w:line="360" w:lineRule="auto"/>
        <w:ind w:firstLine="561"/>
        <w:jc w:val="center"/>
        <w:rPr>
          <w:color w:val="auto"/>
          <w:sz w:val="24"/>
          <w:highlight w:val="none"/>
        </w:rPr>
      </w:pPr>
      <w:r>
        <w:rPr>
          <w:color w:val="auto"/>
          <w:position w:val="-36"/>
          <w:sz w:val="24"/>
          <w:highlight w:val="none"/>
        </w:rPr>
        <w:object>
          <v:shape id="_x0000_i1028" o:spt="75" type="#_x0000_t75" style="height:28.05pt;width:115pt;" o:ole="t" fillcolor="#000005" filled="f" o:preferrelative="t" stroked="f" coordsize="21600,21600">
            <v:path/>
            <v:fill on="f" focussize="0,0"/>
            <v:stroke on="f" joinstyle="miter"/>
            <v:imagedata r:id="rId20" o:title=""/>
            <o:lock v:ext="edit" aspectratio="f"/>
            <w10:wrap type="none"/>
            <w10:anchorlock/>
          </v:shape>
          <o:OLEObject Type="Embed" ProgID="Equation.2" ShapeID="_x0000_i1028" DrawAspect="Content" ObjectID="_1468075728" r:id="rId19">
            <o:LockedField>false</o:LockedField>
          </o:OLEObject>
        </w:object>
      </w:r>
      <w:r>
        <w:rPr>
          <w:color w:val="auto"/>
          <w:sz w:val="24"/>
          <w:highlight w:val="none"/>
        </w:rPr>
        <w:t xml:space="preserve">     </w:t>
      </w:r>
      <w:r>
        <w:rPr>
          <w:color w:val="auto"/>
          <w:position w:val="-12"/>
          <w:sz w:val="24"/>
          <w:highlight w:val="none"/>
        </w:rPr>
        <w:object>
          <v:shape id="_x0000_i1029" o:spt="75" type="#_x0000_t75" style="height:14.05pt;width:64.5pt;" o:ole="t" fillcolor="#000005" filled="f" o:preferrelative="t" stroked="f" coordsize="21600,21600">
            <v:path/>
            <v:fill on="f" focussize="0,0"/>
            <v:stroke on="f" joinstyle="miter"/>
            <v:imagedata r:id="rId22" o:title=""/>
            <o:lock v:ext="edit" aspectratio="f"/>
            <w10:wrap type="none"/>
            <w10:anchorlock/>
          </v:shape>
          <o:OLEObject Type="Embed" ProgID="Equation.2" ShapeID="_x0000_i1029" DrawAspect="Content" ObjectID="_1468075729" r:id="rId21">
            <o:LockedField>false</o:LockedField>
          </o:OLEObject>
        </w:object>
      </w:r>
    </w:p>
    <w:p>
      <w:pPr>
        <w:spacing w:line="360" w:lineRule="auto"/>
        <w:ind w:firstLine="561"/>
        <w:jc w:val="center"/>
        <w:rPr>
          <w:color w:val="auto"/>
          <w:sz w:val="24"/>
          <w:highlight w:val="none"/>
        </w:rPr>
      </w:pPr>
      <w:r>
        <w:rPr>
          <w:color w:val="auto"/>
          <w:position w:val="-36"/>
          <w:sz w:val="24"/>
          <w:highlight w:val="none"/>
        </w:rPr>
        <w:object>
          <v:shape id="_x0000_i1030" o:spt="75" type="#_x0000_t75" style="height:28.05pt;width:107.55pt;" o:ole="t" fillcolor="#000005" filled="f" o:preferrelative="t" stroked="f" coordsize="21600,21600">
            <v:path/>
            <v:fill on="f" focussize="0,0"/>
            <v:stroke on="f" joinstyle="miter"/>
            <v:imagedata r:id="rId24" o:title=""/>
            <o:lock v:ext="edit" aspectratio="f"/>
            <w10:wrap type="none"/>
            <w10:anchorlock/>
          </v:shape>
          <o:OLEObject Type="Embed" ProgID="Equation.2" ShapeID="_x0000_i1030" DrawAspect="Content" ObjectID="_1468075730" r:id="rId23">
            <o:LockedField>false</o:LockedField>
          </o:OLEObject>
        </w:object>
      </w:r>
      <w:r>
        <w:rPr>
          <w:color w:val="auto"/>
          <w:sz w:val="24"/>
          <w:highlight w:val="none"/>
        </w:rPr>
        <w:t xml:space="preserve">      </w:t>
      </w:r>
      <w:r>
        <w:rPr>
          <w:color w:val="auto"/>
          <w:position w:val="-12"/>
          <w:sz w:val="24"/>
          <w:highlight w:val="none"/>
        </w:rPr>
        <w:object>
          <v:shape id="_x0000_i1031" o:spt="75" type="#_x0000_t75" style="height:21.5pt;width:57.95pt;" o:ole="t" fillcolor="#000005" filled="f" o:preferrelative="t" stroked="f" coordsize="21600,21600">
            <v:path/>
            <v:fill on="f" focussize="0,0"/>
            <v:stroke on="f" joinstyle="miter"/>
            <v:imagedata r:id="rId26" o:title=""/>
            <o:lock v:ext="edit" aspectratio="f"/>
            <w10:wrap type="none"/>
            <w10:anchorlock/>
          </v:shape>
          <o:OLEObject Type="Embed" ProgID="Equation.3" ShapeID="_x0000_i1031" DrawAspect="Content" ObjectID="_1468075731" r:id="rId25">
            <o:LockedField>false</o:LockedField>
          </o:OLEObject>
        </w:object>
      </w:r>
    </w:p>
    <w:p>
      <w:pPr>
        <w:spacing w:line="480" w:lineRule="exact"/>
        <w:ind w:firstLine="650" w:firstLineChars="271"/>
        <w:rPr>
          <w:color w:val="auto"/>
          <w:sz w:val="24"/>
          <w:highlight w:val="none"/>
        </w:rPr>
      </w:pPr>
      <w:r>
        <w:rPr>
          <w:color w:val="auto"/>
          <w:sz w:val="24"/>
          <w:highlight w:val="none"/>
        </w:rPr>
        <w:t>式中：pH</w:t>
      </w:r>
      <w:r>
        <w:rPr>
          <w:color w:val="auto"/>
          <w:sz w:val="24"/>
          <w:highlight w:val="none"/>
          <w:vertAlign w:val="subscript"/>
        </w:rPr>
        <w:t>i</w:t>
      </w:r>
      <w:r>
        <w:rPr>
          <w:color w:val="auto"/>
          <w:sz w:val="24"/>
          <w:highlight w:val="none"/>
        </w:rPr>
        <w:t>—第j点的监测平均值；</w:t>
      </w:r>
    </w:p>
    <w:p>
      <w:pPr>
        <w:spacing w:line="480" w:lineRule="exact"/>
        <w:ind w:firstLine="1368" w:firstLineChars="570"/>
        <w:rPr>
          <w:color w:val="auto"/>
          <w:sz w:val="24"/>
          <w:highlight w:val="none"/>
        </w:rPr>
      </w:pPr>
      <w:r>
        <w:rPr>
          <w:color w:val="auto"/>
          <w:sz w:val="24"/>
          <w:highlight w:val="none"/>
        </w:rPr>
        <w:t>pH</w:t>
      </w:r>
      <w:r>
        <w:rPr>
          <w:color w:val="auto"/>
          <w:sz w:val="24"/>
          <w:highlight w:val="none"/>
          <w:vertAlign w:val="subscript"/>
        </w:rPr>
        <w:t>sd</w:t>
      </w:r>
      <w:r>
        <w:rPr>
          <w:color w:val="auto"/>
          <w:sz w:val="24"/>
          <w:highlight w:val="none"/>
        </w:rPr>
        <w:t>—水质标准中规定的下限；</w:t>
      </w:r>
    </w:p>
    <w:p>
      <w:pPr>
        <w:spacing w:line="480" w:lineRule="exact"/>
        <w:ind w:firstLine="1380" w:firstLineChars="575"/>
        <w:rPr>
          <w:color w:val="auto"/>
          <w:sz w:val="24"/>
          <w:highlight w:val="none"/>
        </w:rPr>
      </w:pPr>
      <w:r>
        <w:rPr>
          <w:color w:val="auto"/>
          <w:sz w:val="24"/>
          <w:highlight w:val="none"/>
        </w:rPr>
        <w:t>pH</w:t>
      </w:r>
      <w:r>
        <w:rPr>
          <w:color w:val="auto"/>
          <w:sz w:val="24"/>
          <w:highlight w:val="none"/>
          <w:vertAlign w:val="subscript"/>
        </w:rPr>
        <w:t>su</w:t>
      </w:r>
      <w:r>
        <w:rPr>
          <w:color w:val="auto"/>
          <w:sz w:val="24"/>
          <w:highlight w:val="none"/>
        </w:rPr>
        <w:t>—水质标准中规定的上限。</w:t>
      </w:r>
    </w:p>
    <w:p>
      <w:pPr>
        <w:autoSpaceDE w:val="0"/>
        <w:autoSpaceDN w:val="0"/>
        <w:spacing w:line="480" w:lineRule="exact"/>
        <w:ind w:firstLine="600" w:firstLineChars="250"/>
        <w:rPr>
          <w:color w:val="auto"/>
          <w:kern w:val="0"/>
          <w:sz w:val="24"/>
          <w:highlight w:val="none"/>
        </w:rPr>
      </w:pPr>
      <w:r>
        <w:rPr>
          <w:color w:val="auto"/>
          <w:kern w:val="0"/>
          <w:sz w:val="24"/>
          <w:highlight w:val="none"/>
        </w:rPr>
        <w:t>DO的</w:t>
      </w:r>
      <w:r>
        <w:rPr>
          <w:color w:val="auto"/>
          <w:sz w:val="24"/>
          <w:highlight w:val="none"/>
        </w:rPr>
        <w:t>标准指数计算公式为：</w:t>
      </w:r>
    </w:p>
    <w:p>
      <w:pPr>
        <w:autoSpaceDE w:val="0"/>
        <w:autoSpaceDN w:val="0"/>
        <w:spacing w:line="480" w:lineRule="exact"/>
        <w:ind w:firstLine="2400" w:firstLineChars="1000"/>
        <w:rPr>
          <w:color w:val="auto"/>
          <w:kern w:val="0"/>
          <w:sz w:val="24"/>
          <w:highlight w:val="none"/>
          <w:vertAlign w:val="subscript"/>
          <w:lang w:val="pt-BR"/>
        </w:rPr>
      </w:pPr>
      <w:r>
        <w:rPr>
          <w:color w:val="auto"/>
          <w:kern w:val="0"/>
          <w:position w:val="-30"/>
          <w:sz w:val="24"/>
          <w:highlight w:val="none"/>
        </w:rPr>
        <w:object>
          <v:shape id="_x0000_i1032" o:spt="75" type="#_x0000_t75" style="height:34.4pt;width:88.85pt;" o:ole="t" filled="f" o:preferrelative="t" stroked="f" coordsize="21600,21600">
            <v:path/>
            <v:fill on="f" focussize="0,0"/>
            <v:stroke on="f"/>
            <v:imagedata r:id="rId28" o:title=""/>
            <o:lock v:ext="edit" aspectratio="t"/>
            <w10:wrap type="none"/>
            <w10:anchorlock/>
          </v:shape>
          <o:OLEObject Type="Embed" ProgID="Equation.3" ShapeID="_x0000_i1032" DrawAspect="Content" ObjectID="_1468075732" r:id="rId27">
            <o:LockedField>false</o:LockedField>
          </o:OLEObject>
        </w:object>
      </w:r>
      <w:r>
        <w:rPr>
          <w:color w:val="auto"/>
          <w:kern w:val="0"/>
          <w:sz w:val="24"/>
          <w:highlight w:val="none"/>
          <w:lang w:val="pt-BR"/>
        </w:rPr>
        <w:t xml:space="preserve">     DO</w:t>
      </w:r>
      <w:r>
        <w:rPr>
          <w:color w:val="auto"/>
          <w:kern w:val="0"/>
          <w:sz w:val="24"/>
          <w:highlight w:val="none"/>
          <w:vertAlign w:val="subscript"/>
          <w:lang w:val="pt-BR"/>
        </w:rPr>
        <w:t>j</w:t>
      </w:r>
      <w:r>
        <w:rPr>
          <w:color w:val="auto"/>
          <w:kern w:val="0"/>
          <w:sz w:val="24"/>
          <w:highlight w:val="none"/>
          <w:lang w:val="pt-BR"/>
        </w:rPr>
        <w:t>≥DO</w:t>
      </w:r>
      <w:r>
        <w:rPr>
          <w:color w:val="auto"/>
          <w:kern w:val="0"/>
          <w:sz w:val="24"/>
          <w:highlight w:val="none"/>
          <w:vertAlign w:val="subscript"/>
          <w:lang w:val="pt-BR"/>
        </w:rPr>
        <w:t>s</w:t>
      </w:r>
    </w:p>
    <w:p>
      <w:pPr>
        <w:autoSpaceDE w:val="0"/>
        <w:autoSpaceDN w:val="0"/>
        <w:spacing w:line="480" w:lineRule="exact"/>
        <w:ind w:firstLine="2400" w:firstLineChars="1000"/>
        <w:rPr>
          <w:color w:val="auto"/>
          <w:kern w:val="0"/>
          <w:sz w:val="24"/>
          <w:highlight w:val="none"/>
          <w:vertAlign w:val="subscript"/>
          <w:lang w:val="pt-BR"/>
        </w:rPr>
      </w:pPr>
    </w:p>
    <w:p>
      <w:pPr>
        <w:autoSpaceDE w:val="0"/>
        <w:autoSpaceDN w:val="0"/>
        <w:spacing w:line="480" w:lineRule="exact"/>
        <w:ind w:firstLine="2400" w:firstLineChars="1000"/>
        <w:rPr>
          <w:color w:val="auto"/>
          <w:kern w:val="0"/>
          <w:sz w:val="24"/>
          <w:highlight w:val="none"/>
          <w:lang w:val="pt-BR"/>
        </w:rPr>
      </w:pPr>
      <w:r>
        <w:rPr>
          <w:color w:val="auto"/>
          <w:kern w:val="0"/>
          <w:position w:val="-30"/>
          <w:sz w:val="24"/>
          <w:highlight w:val="none"/>
        </w:rPr>
        <w:object>
          <v:shape id="_x0000_i1033" o:spt="75" type="#_x0000_t75" style="height:34.2pt;width:96.95pt;" o:ole="t" filled="f" o:preferrelative="t" stroked="f" coordsize="21600,21600">
            <v:path/>
            <v:fill on="f" focussize="0,0"/>
            <v:stroke on="f"/>
            <v:imagedata r:id="rId30" o:title=""/>
            <o:lock v:ext="edit" aspectratio="t"/>
            <w10:wrap type="none"/>
            <w10:anchorlock/>
          </v:shape>
          <o:OLEObject Type="Embed" ProgID="Equation.3" ShapeID="_x0000_i1033" DrawAspect="Content" ObjectID="_1468075733" r:id="rId29">
            <o:LockedField>false</o:LockedField>
          </o:OLEObject>
        </w:object>
      </w:r>
      <w:r>
        <w:rPr>
          <w:color w:val="auto"/>
          <w:kern w:val="0"/>
          <w:sz w:val="24"/>
          <w:highlight w:val="none"/>
          <w:lang w:val="pt-BR"/>
        </w:rPr>
        <w:t xml:space="preserve">     DO</w:t>
      </w:r>
      <w:r>
        <w:rPr>
          <w:color w:val="auto"/>
          <w:kern w:val="0"/>
          <w:sz w:val="24"/>
          <w:highlight w:val="none"/>
          <w:vertAlign w:val="subscript"/>
          <w:lang w:val="pt-BR"/>
        </w:rPr>
        <w:t>j</w:t>
      </w:r>
      <w:r>
        <w:rPr>
          <w:color w:val="auto"/>
          <w:kern w:val="0"/>
          <w:sz w:val="24"/>
          <w:highlight w:val="none"/>
          <w:lang w:val="pt-BR"/>
        </w:rPr>
        <w:t>≤DO</w:t>
      </w:r>
      <w:r>
        <w:rPr>
          <w:color w:val="auto"/>
          <w:kern w:val="0"/>
          <w:sz w:val="24"/>
          <w:highlight w:val="none"/>
          <w:vertAlign w:val="subscript"/>
          <w:lang w:val="pt-BR"/>
        </w:rPr>
        <w:t>s</w:t>
      </w:r>
    </w:p>
    <w:p>
      <w:pPr>
        <w:autoSpaceDE w:val="0"/>
        <w:autoSpaceDN w:val="0"/>
        <w:spacing w:line="480" w:lineRule="exact"/>
        <w:ind w:firstLine="480" w:firstLineChars="200"/>
        <w:rPr>
          <w:color w:val="auto"/>
          <w:kern w:val="0"/>
          <w:sz w:val="24"/>
          <w:highlight w:val="none"/>
        </w:rPr>
      </w:pPr>
      <w:r>
        <w:rPr>
          <w:color w:val="auto"/>
          <w:kern w:val="0"/>
          <w:sz w:val="24"/>
          <w:highlight w:val="none"/>
        </w:rPr>
        <w:t>式中：S</w:t>
      </w:r>
      <w:r>
        <w:rPr>
          <w:color w:val="auto"/>
          <w:kern w:val="0"/>
          <w:sz w:val="24"/>
          <w:highlight w:val="none"/>
          <w:vertAlign w:val="subscript"/>
        </w:rPr>
        <w:t>DO.j</w:t>
      </w:r>
      <w:r>
        <w:rPr>
          <w:color w:val="auto"/>
          <w:kern w:val="0"/>
          <w:sz w:val="24"/>
          <w:highlight w:val="none"/>
        </w:rPr>
        <w:t>—DO的标准指数；</w:t>
      </w:r>
    </w:p>
    <w:p>
      <w:pPr>
        <w:autoSpaceDE w:val="0"/>
        <w:autoSpaceDN w:val="0"/>
        <w:spacing w:line="480" w:lineRule="exact"/>
        <w:ind w:left="1930" w:leftChars="576" w:hanging="720" w:hangingChars="300"/>
        <w:rPr>
          <w:color w:val="auto"/>
          <w:kern w:val="0"/>
          <w:sz w:val="24"/>
          <w:highlight w:val="none"/>
        </w:rPr>
      </w:pPr>
      <w:r>
        <w:rPr>
          <w:color w:val="auto"/>
          <w:kern w:val="0"/>
          <w:sz w:val="24"/>
          <w:highlight w:val="none"/>
        </w:rPr>
        <w:t>DO</w:t>
      </w:r>
      <w:r>
        <w:rPr>
          <w:color w:val="auto"/>
          <w:kern w:val="0"/>
          <w:sz w:val="24"/>
          <w:highlight w:val="none"/>
          <w:vertAlign w:val="subscript"/>
        </w:rPr>
        <w:t>f</w:t>
      </w:r>
      <w:r>
        <w:rPr>
          <w:color w:val="auto"/>
          <w:kern w:val="0"/>
          <w:sz w:val="24"/>
          <w:highlight w:val="none"/>
        </w:rPr>
        <w:t>—某水温、气压条件下的饱和溶解氧浓度，mg/L，计算公式常采用：DO</w:t>
      </w:r>
      <w:r>
        <w:rPr>
          <w:color w:val="auto"/>
          <w:kern w:val="0"/>
          <w:sz w:val="24"/>
          <w:highlight w:val="none"/>
          <w:vertAlign w:val="subscript"/>
        </w:rPr>
        <w:t>f</w:t>
      </w:r>
      <w:r>
        <w:rPr>
          <w:color w:val="auto"/>
          <w:kern w:val="0"/>
          <w:sz w:val="24"/>
          <w:highlight w:val="none"/>
        </w:rPr>
        <w:t>=468/(31.6+T)，T为水温，</w:t>
      </w:r>
      <w:r>
        <w:rPr>
          <w:rFonts w:hint="eastAsia" w:ascii="宋体" w:hAnsi="宋体" w:cs="宋体"/>
          <w:color w:val="auto"/>
          <w:kern w:val="0"/>
          <w:sz w:val="24"/>
          <w:highlight w:val="none"/>
        </w:rPr>
        <w:t>℃</w:t>
      </w:r>
      <w:r>
        <w:rPr>
          <w:color w:val="auto"/>
          <w:kern w:val="0"/>
          <w:sz w:val="24"/>
          <w:highlight w:val="none"/>
        </w:rPr>
        <w:t>；</w:t>
      </w:r>
    </w:p>
    <w:p>
      <w:pPr>
        <w:autoSpaceDE w:val="0"/>
        <w:autoSpaceDN w:val="0"/>
        <w:spacing w:line="480" w:lineRule="exact"/>
        <w:ind w:left="1917" w:leftChars="570" w:hanging="720" w:hangingChars="300"/>
        <w:rPr>
          <w:color w:val="auto"/>
          <w:kern w:val="0"/>
          <w:sz w:val="24"/>
          <w:highlight w:val="none"/>
        </w:rPr>
      </w:pPr>
      <w:r>
        <w:rPr>
          <w:color w:val="auto"/>
          <w:kern w:val="0"/>
          <w:sz w:val="24"/>
          <w:highlight w:val="none"/>
        </w:rPr>
        <w:t>DO</w:t>
      </w:r>
      <w:r>
        <w:rPr>
          <w:color w:val="auto"/>
          <w:kern w:val="0"/>
          <w:sz w:val="24"/>
          <w:highlight w:val="none"/>
          <w:vertAlign w:val="subscript"/>
        </w:rPr>
        <w:t>j</w:t>
      </w:r>
      <w:r>
        <w:rPr>
          <w:color w:val="auto"/>
          <w:kern w:val="0"/>
          <w:sz w:val="24"/>
          <w:highlight w:val="none"/>
        </w:rPr>
        <w:t>—在j点的溶解氧实测统计代表值，mg/L；</w:t>
      </w:r>
    </w:p>
    <w:p>
      <w:pPr>
        <w:autoSpaceDE w:val="0"/>
        <w:autoSpaceDN w:val="0"/>
        <w:spacing w:line="480" w:lineRule="exact"/>
        <w:ind w:left="1917" w:leftChars="570" w:hanging="720" w:hangingChars="300"/>
        <w:rPr>
          <w:color w:val="auto"/>
          <w:kern w:val="0"/>
          <w:sz w:val="24"/>
          <w:highlight w:val="none"/>
        </w:rPr>
      </w:pPr>
      <w:r>
        <w:rPr>
          <w:color w:val="auto"/>
          <w:kern w:val="0"/>
          <w:sz w:val="24"/>
          <w:highlight w:val="none"/>
        </w:rPr>
        <w:t>DO</w:t>
      </w:r>
      <w:r>
        <w:rPr>
          <w:color w:val="auto"/>
          <w:kern w:val="0"/>
          <w:sz w:val="24"/>
          <w:highlight w:val="none"/>
          <w:vertAlign w:val="subscript"/>
        </w:rPr>
        <w:t>s</w:t>
      </w:r>
      <w:r>
        <w:rPr>
          <w:color w:val="auto"/>
          <w:kern w:val="0"/>
          <w:sz w:val="24"/>
          <w:highlight w:val="none"/>
        </w:rPr>
        <w:t>—溶解氧的评价标准限值，mg/L。</w:t>
      </w:r>
    </w:p>
    <w:p>
      <w:pPr>
        <w:spacing w:line="480" w:lineRule="exact"/>
        <w:ind w:firstLine="480" w:firstLineChars="200"/>
        <w:rPr>
          <w:color w:val="auto"/>
          <w:kern w:val="0"/>
          <w:sz w:val="24"/>
          <w:highlight w:val="none"/>
        </w:rPr>
      </w:pPr>
      <w:r>
        <w:rPr>
          <w:color w:val="auto"/>
          <w:kern w:val="0"/>
          <w:sz w:val="24"/>
          <w:highlight w:val="none"/>
        </w:rPr>
        <w:t>按照标准指数法进行评价，当标准指数大于1时，表明该水质因子在评价水体中的浓度不符合环境功能及水质量标准的要求；当标准指数小于或等于1时，表明该水质因子在评价水体中的浓度符合环境功能及水质量标准的要求。</w:t>
      </w:r>
    </w:p>
    <w:p>
      <w:pPr>
        <w:spacing w:line="480" w:lineRule="exact"/>
        <w:ind w:firstLine="480" w:firstLineChars="200"/>
        <w:rPr>
          <w:color w:val="auto"/>
          <w:kern w:val="0"/>
          <w:sz w:val="24"/>
          <w:highlight w:val="none"/>
        </w:rPr>
      </w:pPr>
      <w:r>
        <w:rPr>
          <w:color w:val="auto"/>
          <w:kern w:val="0"/>
          <w:sz w:val="24"/>
          <w:highlight w:val="none"/>
        </w:rPr>
        <w:t>6、现状监测评价结果</w:t>
      </w:r>
    </w:p>
    <w:p>
      <w:pPr>
        <w:spacing w:line="480" w:lineRule="exact"/>
        <w:ind w:firstLine="480" w:firstLineChars="200"/>
        <w:rPr>
          <w:color w:val="auto"/>
          <w:kern w:val="0"/>
          <w:sz w:val="24"/>
          <w:highlight w:val="none"/>
        </w:rPr>
        <w:sectPr>
          <w:pgSz w:w="11906" w:h="16838"/>
          <w:pgMar w:top="1418" w:right="1418" w:bottom="1418" w:left="1474" w:header="851" w:footer="992" w:gutter="0"/>
          <w:pgBorders>
            <w:top w:val="none" w:sz="0" w:space="0"/>
            <w:left w:val="none" w:sz="0" w:space="0"/>
            <w:bottom w:val="none" w:sz="0" w:space="0"/>
            <w:right w:val="none" w:sz="0" w:space="0"/>
          </w:pgBorders>
          <w:pgNumType w:fmt="decimal"/>
          <w:cols w:space="425" w:num="1"/>
          <w:docGrid w:linePitch="312" w:charSpace="0"/>
        </w:sectPr>
      </w:pPr>
      <w:r>
        <w:rPr>
          <w:color w:val="auto"/>
          <w:kern w:val="0"/>
          <w:sz w:val="24"/>
          <w:highlight w:val="none"/>
        </w:rPr>
        <w:t>现状监测值及评价结果列于表</w:t>
      </w:r>
      <w:r>
        <w:rPr>
          <w:rFonts w:hint="eastAsia"/>
          <w:color w:val="auto"/>
          <w:kern w:val="0"/>
          <w:sz w:val="24"/>
          <w:highlight w:val="none"/>
          <w:lang w:eastAsia="zh-CN"/>
        </w:rPr>
        <w:t>3.6</w:t>
      </w:r>
      <w:r>
        <w:rPr>
          <w:color w:val="auto"/>
          <w:kern w:val="0"/>
          <w:sz w:val="24"/>
          <w:highlight w:val="none"/>
        </w:rPr>
        <w:t>-</w:t>
      </w:r>
      <w:r>
        <w:rPr>
          <w:rFonts w:hint="eastAsia"/>
          <w:color w:val="auto"/>
          <w:kern w:val="0"/>
          <w:sz w:val="24"/>
          <w:highlight w:val="none"/>
          <w:lang w:val="en-US" w:eastAsia="zh-CN"/>
        </w:rPr>
        <w:t>8</w:t>
      </w:r>
      <w:r>
        <w:rPr>
          <w:color w:val="auto"/>
          <w:kern w:val="0"/>
          <w:sz w:val="24"/>
          <w:highlight w:val="none"/>
        </w:rPr>
        <w:t>。</w:t>
      </w:r>
    </w:p>
    <w:p>
      <w:pPr>
        <w:keepNext/>
        <w:keepLines/>
        <w:pageBreakBefore w:val="0"/>
        <w:widowControl w:val="0"/>
        <w:kinsoku/>
        <w:wordWrap/>
        <w:overflowPunct/>
        <w:topLinePunct w:val="0"/>
        <w:autoSpaceDE/>
        <w:autoSpaceDN/>
        <w:bidi w:val="0"/>
        <w:adjustRightInd w:val="0"/>
        <w:snapToGrid w:val="0"/>
        <w:spacing w:line="240" w:lineRule="auto"/>
        <w:jc w:val="center"/>
        <w:textAlignment w:val="auto"/>
        <w:outlineLvl w:val="9"/>
        <w:rPr>
          <w:rFonts w:eastAsia="黑体"/>
          <w:color w:val="auto"/>
          <w:sz w:val="24"/>
          <w:szCs w:val="24"/>
          <w:highlight w:val="none"/>
        </w:rPr>
      </w:pPr>
      <w:r>
        <w:rPr>
          <w:rFonts w:eastAsia="黑体"/>
          <w:color w:val="auto"/>
          <w:sz w:val="24"/>
          <w:szCs w:val="24"/>
          <w:highlight w:val="none"/>
        </w:rPr>
        <w:t>表</w:t>
      </w:r>
      <w:r>
        <w:rPr>
          <w:rFonts w:hint="eastAsia" w:eastAsia="黑体"/>
          <w:color w:val="auto"/>
          <w:sz w:val="24"/>
          <w:szCs w:val="24"/>
          <w:highlight w:val="none"/>
          <w:lang w:eastAsia="zh-CN"/>
        </w:rPr>
        <w:t>3.6</w:t>
      </w:r>
      <w:r>
        <w:rPr>
          <w:rFonts w:eastAsia="黑体"/>
          <w:color w:val="auto"/>
          <w:sz w:val="24"/>
          <w:szCs w:val="24"/>
          <w:highlight w:val="none"/>
        </w:rPr>
        <w:t>-</w:t>
      </w:r>
      <w:r>
        <w:rPr>
          <w:rFonts w:hint="eastAsia" w:eastAsia="黑体"/>
          <w:color w:val="auto"/>
          <w:sz w:val="24"/>
          <w:szCs w:val="24"/>
          <w:highlight w:val="none"/>
          <w:lang w:val="en-US" w:eastAsia="zh-CN"/>
        </w:rPr>
        <w:t>8</w:t>
      </w:r>
      <w:r>
        <w:rPr>
          <w:rFonts w:eastAsia="黑体"/>
          <w:color w:val="auto"/>
          <w:sz w:val="24"/>
          <w:szCs w:val="24"/>
          <w:highlight w:val="none"/>
        </w:rPr>
        <w:t xml:space="preserve"> </w:t>
      </w:r>
      <w:r>
        <w:rPr>
          <w:rFonts w:hint="eastAsia" w:eastAsia="黑体"/>
          <w:color w:val="auto"/>
          <w:sz w:val="24"/>
          <w:szCs w:val="24"/>
          <w:highlight w:val="none"/>
          <w:lang w:val="en-US" w:eastAsia="zh-CN"/>
        </w:rPr>
        <w:t xml:space="preserve"> </w:t>
      </w:r>
      <w:r>
        <w:rPr>
          <w:rFonts w:eastAsia="黑体"/>
          <w:color w:val="auto"/>
          <w:sz w:val="24"/>
          <w:szCs w:val="24"/>
          <w:highlight w:val="none"/>
        </w:rPr>
        <w:t>地表水环境现状监测统计结果一览表</w:t>
      </w:r>
    </w:p>
    <w:tbl>
      <w:tblPr>
        <w:tblStyle w:val="36"/>
        <w:tblW w:w="14168" w:type="dxa"/>
        <w:tblInd w:w="0"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717"/>
        <w:gridCol w:w="1052"/>
        <w:gridCol w:w="711"/>
        <w:gridCol w:w="823"/>
        <w:gridCol w:w="806"/>
        <w:gridCol w:w="816"/>
        <w:gridCol w:w="816"/>
        <w:gridCol w:w="816"/>
        <w:gridCol w:w="816"/>
        <w:gridCol w:w="817"/>
        <w:gridCol w:w="752"/>
        <w:gridCol w:w="820"/>
        <w:gridCol w:w="817"/>
        <w:gridCol w:w="817"/>
        <w:gridCol w:w="769"/>
        <w:gridCol w:w="919"/>
        <w:gridCol w:w="1084"/>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PrEx>
        <w:tc>
          <w:tcPr>
            <w:tcW w:w="1769" w:type="dxa"/>
            <w:gridSpan w:val="2"/>
            <w:shd w:val="clear" w:color="auto" w:fill="auto"/>
            <w:vAlign w:val="center"/>
          </w:tcPr>
          <w:p>
            <w:pPr>
              <w:jc w:val="center"/>
              <w:rPr>
                <w:color w:val="auto"/>
                <w:sz w:val="18"/>
                <w:szCs w:val="18"/>
                <w:highlight w:val="none"/>
              </w:rPr>
            </w:pPr>
            <w:r>
              <w:rPr>
                <w:color w:val="auto"/>
                <w:sz w:val="18"/>
                <w:szCs w:val="18"/>
                <w:highlight w:val="none"/>
              </w:rPr>
              <w:t>项目</w:t>
            </w:r>
          </w:p>
        </w:tc>
        <w:tc>
          <w:tcPr>
            <w:tcW w:w="711" w:type="dxa"/>
            <w:shd w:val="clear" w:color="auto" w:fill="auto"/>
            <w:vAlign w:val="center"/>
          </w:tcPr>
          <w:p>
            <w:pPr>
              <w:jc w:val="center"/>
              <w:rPr>
                <w:color w:val="auto"/>
                <w:sz w:val="18"/>
                <w:szCs w:val="18"/>
                <w:highlight w:val="none"/>
              </w:rPr>
            </w:pPr>
            <w:r>
              <w:rPr>
                <w:color w:val="auto"/>
                <w:sz w:val="18"/>
                <w:szCs w:val="18"/>
                <w:highlight w:val="none"/>
              </w:rPr>
              <w:t>pH</w:t>
            </w:r>
            <w:r>
              <w:rPr>
                <w:rFonts w:hAnsi="宋体"/>
                <w:color w:val="auto"/>
                <w:sz w:val="18"/>
                <w:szCs w:val="18"/>
                <w:highlight w:val="none"/>
              </w:rPr>
              <w:t>值(无量纲)</w:t>
            </w:r>
          </w:p>
        </w:tc>
        <w:tc>
          <w:tcPr>
            <w:tcW w:w="823" w:type="dxa"/>
            <w:shd w:val="clear" w:color="auto" w:fill="auto"/>
            <w:vAlign w:val="center"/>
          </w:tcPr>
          <w:p>
            <w:pPr>
              <w:jc w:val="center"/>
              <w:rPr>
                <w:color w:val="auto"/>
                <w:sz w:val="18"/>
                <w:szCs w:val="18"/>
                <w:highlight w:val="none"/>
              </w:rPr>
            </w:pPr>
            <w:r>
              <w:rPr>
                <w:color w:val="auto"/>
                <w:kern w:val="0"/>
                <w:szCs w:val="21"/>
                <w:highlight w:val="none"/>
              </w:rPr>
              <w:t>COD</w:t>
            </w:r>
            <w:r>
              <w:rPr>
                <w:rFonts w:hint="eastAsia"/>
                <w:color w:val="auto"/>
                <w:kern w:val="0"/>
                <w:szCs w:val="21"/>
                <w:highlight w:val="none"/>
              </w:rPr>
              <w:t>cr</w:t>
            </w:r>
            <w:r>
              <w:rPr>
                <w:color w:val="auto"/>
                <w:sz w:val="18"/>
                <w:szCs w:val="18"/>
                <w:highlight w:val="none"/>
              </w:rPr>
              <w:t xml:space="preserve"> (mg/L)</w:t>
            </w:r>
          </w:p>
        </w:tc>
        <w:tc>
          <w:tcPr>
            <w:tcW w:w="806" w:type="dxa"/>
            <w:shd w:val="clear" w:color="auto" w:fill="auto"/>
            <w:vAlign w:val="center"/>
          </w:tcPr>
          <w:p>
            <w:pPr>
              <w:jc w:val="center"/>
              <w:rPr>
                <w:color w:val="auto"/>
                <w:sz w:val="18"/>
                <w:szCs w:val="18"/>
                <w:highlight w:val="none"/>
              </w:rPr>
            </w:pPr>
            <w:r>
              <w:rPr>
                <w:color w:val="auto"/>
                <w:szCs w:val="21"/>
                <w:highlight w:val="none"/>
              </w:rPr>
              <w:t>BOD</w:t>
            </w:r>
            <w:r>
              <w:rPr>
                <w:color w:val="auto"/>
                <w:szCs w:val="21"/>
                <w:highlight w:val="none"/>
                <w:vertAlign w:val="subscript"/>
              </w:rPr>
              <w:t>5</w:t>
            </w:r>
            <w:r>
              <w:rPr>
                <w:color w:val="auto"/>
                <w:sz w:val="18"/>
                <w:szCs w:val="18"/>
                <w:highlight w:val="none"/>
              </w:rPr>
              <w:t xml:space="preserve"> (mg/L)</w:t>
            </w:r>
          </w:p>
        </w:tc>
        <w:tc>
          <w:tcPr>
            <w:tcW w:w="816" w:type="dxa"/>
            <w:shd w:val="clear" w:color="auto" w:fill="auto"/>
            <w:vAlign w:val="center"/>
          </w:tcPr>
          <w:p>
            <w:pPr>
              <w:jc w:val="center"/>
              <w:rPr>
                <w:color w:val="auto"/>
                <w:sz w:val="18"/>
                <w:szCs w:val="18"/>
                <w:highlight w:val="none"/>
              </w:rPr>
            </w:pPr>
            <w:r>
              <w:rPr>
                <w:rFonts w:hAnsi="宋体"/>
                <w:color w:val="auto"/>
                <w:sz w:val="18"/>
                <w:szCs w:val="18"/>
                <w:highlight w:val="none"/>
              </w:rPr>
              <w:t>氨氮</w:t>
            </w:r>
            <w:r>
              <w:rPr>
                <w:color w:val="auto"/>
                <w:sz w:val="18"/>
                <w:szCs w:val="18"/>
                <w:highlight w:val="none"/>
              </w:rPr>
              <w:t>(mg/L)</w:t>
            </w:r>
          </w:p>
        </w:tc>
        <w:tc>
          <w:tcPr>
            <w:tcW w:w="816" w:type="dxa"/>
            <w:shd w:val="clear" w:color="auto" w:fill="auto"/>
            <w:vAlign w:val="center"/>
          </w:tcPr>
          <w:p>
            <w:pPr>
              <w:jc w:val="center"/>
              <w:rPr>
                <w:color w:val="auto"/>
                <w:sz w:val="18"/>
                <w:szCs w:val="18"/>
                <w:highlight w:val="none"/>
              </w:rPr>
            </w:pPr>
            <w:r>
              <w:rPr>
                <w:rFonts w:hAnsi="宋体"/>
                <w:color w:val="auto"/>
                <w:sz w:val="18"/>
                <w:szCs w:val="18"/>
                <w:highlight w:val="none"/>
              </w:rPr>
              <w:t>溶解氧</w:t>
            </w:r>
            <w:r>
              <w:rPr>
                <w:color w:val="auto"/>
                <w:sz w:val="18"/>
                <w:szCs w:val="18"/>
                <w:highlight w:val="none"/>
              </w:rPr>
              <w:t>(mg/L)</w:t>
            </w:r>
          </w:p>
        </w:tc>
        <w:tc>
          <w:tcPr>
            <w:tcW w:w="816" w:type="dxa"/>
            <w:shd w:val="clear" w:color="auto" w:fill="auto"/>
            <w:vAlign w:val="center"/>
          </w:tcPr>
          <w:p>
            <w:pPr>
              <w:jc w:val="center"/>
              <w:rPr>
                <w:color w:val="auto"/>
                <w:sz w:val="18"/>
                <w:szCs w:val="18"/>
                <w:highlight w:val="none"/>
              </w:rPr>
            </w:pPr>
            <w:r>
              <w:rPr>
                <w:rFonts w:hint="eastAsia" w:hAnsi="宋体"/>
                <w:color w:val="auto"/>
                <w:sz w:val="18"/>
                <w:szCs w:val="18"/>
                <w:highlight w:val="none"/>
              </w:rPr>
              <w:t>高锰酸盐指数</w:t>
            </w:r>
            <w:r>
              <w:rPr>
                <w:color w:val="auto"/>
                <w:sz w:val="18"/>
                <w:szCs w:val="18"/>
                <w:highlight w:val="none"/>
              </w:rPr>
              <w:t>(mg/L)</w:t>
            </w:r>
          </w:p>
        </w:tc>
        <w:tc>
          <w:tcPr>
            <w:tcW w:w="816" w:type="dxa"/>
            <w:shd w:val="clear" w:color="auto" w:fill="auto"/>
            <w:vAlign w:val="center"/>
          </w:tcPr>
          <w:p>
            <w:pPr>
              <w:jc w:val="center"/>
              <w:rPr>
                <w:color w:val="auto"/>
                <w:sz w:val="18"/>
                <w:szCs w:val="18"/>
                <w:highlight w:val="none"/>
              </w:rPr>
            </w:pPr>
            <w:r>
              <w:rPr>
                <w:rFonts w:hint="eastAsia"/>
                <w:color w:val="auto"/>
                <w:sz w:val="18"/>
                <w:szCs w:val="18"/>
                <w:highlight w:val="none"/>
              </w:rPr>
              <w:t>总磷</w:t>
            </w:r>
            <w:r>
              <w:rPr>
                <w:color w:val="auto"/>
                <w:sz w:val="18"/>
                <w:szCs w:val="18"/>
                <w:highlight w:val="none"/>
              </w:rPr>
              <w:t>(mg/L)</w:t>
            </w:r>
          </w:p>
        </w:tc>
        <w:tc>
          <w:tcPr>
            <w:tcW w:w="817" w:type="dxa"/>
            <w:shd w:val="clear" w:color="auto" w:fill="auto"/>
            <w:vAlign w:val="center"/>
          </w:tcPr>
          <w:p>
            <w:pPr>
              <w:jc w:val="center"/>
              <w:rPr>
                <w:color w:val="auto"/>
                <w:sz w:val="18"/>
                <w:szCs w:val="18"/>
                <w:highlight w:val="none"/>
              </w:rPr>
            </w:pPr>
            <w:r>
              <w:rPr>
                <w:rFonts w:hint="eastAsia"/>
                <w:color w:val="auto"/>
                <w:sz w:val="18"/>
                <w:szCs w:val="18"/>
                <w:highlight w:val="none"/>
              </w:rPr>
              <w:t>石油类</w:t>
            </w:r>
            <w:r>
              <w:rPr>
                <w:color w:val="auto"/>
                <w:sz w:val="18"/>
                <w:szCs w:val="18"/>
                <w:highlight w:val="none"/>
              </w:rPr>
              <w:t>(mg/L)</w:t>
            </w:r>
          </w:p>
        </w:tc>
        <w:tc>
          <w:tcPr>
            <w:tcW w:w="752" w:type="dxa"/>
            <w:shd w:val="clear" w:color="auto" w:fill="auto"/>
            <w:vAlign w:val="center"/>
          </w:tcPr>
          <w:p>
            <w:pPr>
              <w:jc w:val="center"/>
              <w:rPr>
                <w:color w:val="auto"/>
                <w:sz w:val="18"/>
                <w:szCs w:val="18"/>
                <w:highlight w:val="none"/>
              </w:rPr>
            </w:pPr>
            <w:r>
              <w:rPr>
                <w:rFonts w:hint="eastAsia"/>
                <w:color w:val="auto"/>
                <w:sz w:val="18"/>
                <w:szCs w:val="18"/>
                <w:highlight w:val="none"/>
              </w:rPr>
              <w:t>铜</w:t>
            </w:r>
            <w:r>
              <w:rPr>
                <w:color w:val="auto"/>
                <w:sz w:val="18"/>
                <w:szCs w:val="18"/>
                <w:highlight w:val="none"/>
              </w:rPr>
              <w:t>(mg/L)</w:t>
            </w:r>
          </w:p>
        </w:tc>
        <w:tc>
          <w:tcPr>
            <w:tcW w:w="820" w:type="dxa"/>
            <w:shd w:val="clear" w:color="auto" w:fill="auto"/>
            <w:vAlign w:val="center"/>
          </w:tcPr>
          <w:p>
            <w:pPr>
              <w:jc w:val="center"/>
              <w:rPr>
                <w:color w:val="auto"/>
                <w:sz w:val="18"/>
                <w:szCs w:val="18"/>
                <w:highlight w:val="none"/>
              </w:rPr>
            </w:pPr>
            <w:r>
              <w:rPr>
                <w:rFonts w:hint="eastAsia"/>
                <w:color w:val="auto"/>
                <w:sz w:val="18"/>
                <w:szCs w:val="18"/>
                <w:highlight w:val="none"/>
              </w:rPr>
              <w:t>锌</w:t>
            </w:r>
            <w:r>
              <w:rPr>
                <w:color w:val="auto"/>
                <w:sz w:val="18"/>
                <w:szCs w:val="18"/>
                <w:highlight w:val="none"/>
              </w:rPr>
              <w:t>(mg/L)</w:t>
            </w:r>
          </w:p>
        </w:tc>
        <w:tc>
          <w:tcPr>
            <w:tcW w:w="817" w:type="dxa"/>
            <w:shd w:val="clear" w:color="auto" w:fill="auto"/>
            <w:vAlign w:val="center"/>
          </w:tcPr>
          <w:p>
            <w:pPr>
              <w:jc w:val="center"/>
              <w:rPr>
                <w:rFonts w:hint="eastAsia" w:eastAsia="宋体"/>
                <w:color w:val="auto"/>
                <w:sz w:val="18"/>
                <w:szCs w:val="18"/>
                <w:highlight w:val="none"/>
                <w:lang w:eastAsia="zh-CN"/>
              </w:rPr>
            </w:pPr>
            <w:r>
              <w:rPr>
                <w:rFonts w:hint="eastAsia"/>
                <w:color w:val="auto"/>
                <w:sz w:val="18"/>
                <w:szCs w:val="18"/>
                <w:highlight w:val="none"/>
                <w:lang w:eastAsia="zh-CN"/>
              </w:rPr>
              <w:t>镍</w:t>
            </w:r>
            <w:r>
              <w:rPr>
                <w:rFonts w:hint="eastAsia"/>
                <w:color w:val="auto"/>
                <w:sz w:val="18"/>
                <w:szCs w:val="18"/>
                <w:highlight w:val="none"/>
                <w:lang w:val="en-US" w:eastAsia="zh-CN"/>
              </w:rPr>
              <w:t>*</w:t>
            </w:r>
            <w:r>
              <w:rPr>
                <w:color w:val="auto"/>
                <w:sz w:val="18"/>
                <w:szCs w:val="18"/>
                <w:highlight w:val="none"/>
              </w:rPr>
              <w:t>(mg/L)</w:t>
            </w:r>
          </w:p>
        </w:tc>
        <w:tc>
          <w:tcPr>
            <w:tcW w:w="817" w:type="dxa"/>
            <w:shd w:val="clear" w:color="auto" w:fill="auto"/>
            <w:vAlign w:val="center"/>
          </w:tcPr>
          <w:p>
            <w:pPr>
              <w:jc w:val="center"/>
              <w:rPr>
                <w:rFonts w:hint="eastAsia" w:eastAsia="宋体"/>
                <w:color w:val="auto"/>
                <w:sz w:val="18"/>
                <w:szCs w:val="18"/>
                <w:highlight w:val="none"/>
                <w:lang w:eastAsia="zh-CN"/>
              </w:rPr>
            </w:pPr>
            <w:r>
              <w:rPr>
                <w:rFonts w:hint="eastAsia"/>
                <w:color w:val="auto"/>
                <w:sz w:val="18"/>
                <w:szCs w:val="18"/>
                <w:highlight w:val="none"/>
                <w:lang w:eastAsia="zh-CN"/>
              </w:rPr>
              <w:t>硫酸盐</w:t>
            </w:r>
            <w:r>
              <w:rPr>
                <w:rFonts w:hint="eastAsia"/>
                <w:color w:val="auto"/>
                <w:sz w:val="18"/>
                <w:szCs w:val="18"/>
                <w:highlight w:val="none"/>
                <w:lang w:val="en-US" w:eastAsia="zh-CN"/>
              </w:rPr>
              <w:t>*</w:t>
            </w:r>
            <w:r>
              <w:rPr>
                <w:color w:val="auto"/>
                <w:sz w:val="18"/>
                <w:szCs w:val="18"/>
                <w:highlight w:val="none"/>
              </w:rPr>
              <w:t>(mg/L)</w:t>
            </w:r>
          </w:p>
        </w:tc>
        <w:tc>
          <w:tcPr>
            <w:tcW w:w="769" w:type="dxa"/>
            <w:shd w:val="clear" w:color="auto" w:fill="auto"/>
            <w:vAlign w:val="center"/>
          </w:tcPr>
          <w:p>
            <w:pPr>
              <w:jc w:val="center"/>
              <w:rPr>
                <w:color w:val="auto"/>
                <w:sz w:val="18"/>
                <w:szCs w:val="18"/>
                <w:highlight w:val="none"/>
              </w:rPr>
            </w:pPr>
            <w:r>
              <w:rPr>
                <w:rFonts w:hint="eastAsia"/>
                <w:color w:val="auto"/>
                <w:sz w:val="18"/>
                <w:szCs w:val="18"/>
                <w:highlight w:val="none"/>
              </w:rPr>
              <w:t>六价铬</w:t>
            </w:r>
            <w:r>
              <w:rPr>
                <w:color w:val="auto"/>
                <w:sz w:val="18"/>
                <w:szCs w:val="18"/>
                <w:highlight w:val="none"/>
              </w:rPr>
              <w:t>(mg/L)</w:t>
            </w:r>
          </w:p>
        </w:tc>
        <w:tc>
          <w:tcPr>
            <w:tcW w:w="919" w:type="dxa"/>
            <w:shd w:val="clear" w:color="auto" w:fill="auto"/>
            <w:vAlign w:val="center"/>
          </w:tcPr>
          <w:p>
            <w:pPr>
              <w:jc w:val="center"/>
              <w:rPr>
                <w:color w:val="auto"/>
                <w:sz w:val="18"/>
                <w:szCs w:val="18"/>
                <w:highlight w:val="none"/>
              </w:rPr>
            </w:pPr>
            <w:r>
              <w:rPr>
                <w:rFonts w:hint="eastAsia"/>
                <w:color w:val="auto"/>
                <w:sz w:val="18"/>
                <w:szCs w:val="18"/>
                <w:highlight w:val="none"/>
              </w:rPr>
              <w:t>阴离子表面活性剂</w:t>
            </w:r>
            <w:r>
              <w:rPr>
                <w:color w:val="auto"/>
                <w:sz w:val="18"/>
                <w:szCs w:val="18"/>
                <w:highlight w:val="none"/>
              </w:rPr>
              <w:t>(mg/L)</w:t>
            </w:r>
          </w:p>
        </w:tc>
        <w:tc>
          <w:tcPr>
            <w:tcW w:w="1084" w:type="dxa"/>
            <w:shd w:val="clear" w:color="auto" w:fill="auto"/>
            <w:vAlign w:val="center"/>
          </w:tcPr>
          <w:p>
            <w:pPr>
              <w:jc w:val="center"/>
              <w:rPr>
                <w:color w:val="auto"/>
                <w:sz w:val="18"/>
                <w:szCs w:val="18"/>
                <w:highlight w:val="none"/>
              </w:rPr>
            </w:pPr>
            <w:r>
              <w:rPr>
                <w:rFonts w:hint="eastAsia"/>
                <w:color w:val="auto"/>
                <w:sz w:val="18"/>
                <w:szCs w:val="18"/>
                <w:highlight w:val="none"/>
              </w:rPr>
              <w:t>粪大肠菌群</w:t>
            </w:r>
            <w:r>
              <w:rPr>
                <w:color w:val="auto"/>
                <w:sz w:val="18"/>
                <w:szCs w:val="18"/>
                <w:highlight w:val="none"/>
              </w:rPr>
              <w:t>(MPN/L)</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717" w:type="dxa"/>
            <w:vMerge w:val="restart"/>
            <w:shd w:val="clear" w:color="auto" w:fill="auto"/>
            <w:vAlign w:val="center"/>
          </w:tcPr>
          <w:p>
            <w:pPr>
              <w:jc w:val="center"/>
              <w:rPr>
                <w:color w:val="auto"/>
                <w:sz w:val="18"/>
                <w:szCs w:val="18"/>
                <w:highlight w:val="none"/>
              </w:rPr>
            </w:pPr>
            <w:r>
              <w:rPr>
                <w:rFonts w:hint="eastAsia"/>
                <w:color w:val="auto"/>
                <w:sz w:val="18"/>
                <w:szCs w:val="18"/>
                <w:highlight w:val="none"/>
              </w:rPr>
              <w:t>1#镰湾河污水净化有限公司排水口上游500m</w:t>
            </w:r>
          </w:p>
        </w:tc>
        <w:tc>
          <w:tcPr>
            <w:tcW w:w="1052" w:type="dxa"/>
            <w:shd w:val="clear" w:color="auto" w:fill="auto"/>
            <w:vAlign w:val="center"/>
          </w:tcPr>
          <w:p>
            <w:pPr>
              <w:jc w:val="center"/>
              <w:rPr>
                <w:rFonts w:hint="eastAsia" w:eastAsia="宋体"/>
                <w:color w:val="auto"/>
                <w:sz w:val="18"/>
                <w:szCs w:val="18"/>
                <w:highlight w:val="none"/>
                <w:lang w:val="en-US" w:eastAsia="zh-CN"/>
              </w:rPr>
            </w:pPr>
            <w:r>
              <w:rPr>
                <w:rFonts w:hint="eastAsia"/>
                <w:color w:val="auto"/>
                <w:sz w:val="18"/>
                <w:szCs w:val="18"/>
                <w:highlight w:val="none"/>
              </w:rPr>
              <w:t>0</w:t>
            </w:r>
            <w:r>
              <w:rPr>
                <w:rFonts w:hint="eastAsia"/>
                <w:color w:val="auto"/>
                <w:sz w:val="18"/>
                <w:szCs w:val="18"/>
                <w:highlight w:val="none"/>
                <w:lang w:val="en-US" w:eastAsia="zh-CN"/>
              </w:rPr>
              <w:t>9.13</w:t>
            </w:r>
            <w:r>
              <w:rPr>
                <w:rFonts w:hint="eastAsia"/>
                <w:color w:val="auto"/>
                <w:sz w:val="18"/>
                <w:szCs w:val="18"/>
                <w:highlight w:val="none"/>
              </w:rPr>
              <w:t xml:space="preserve">  1</w:t>
            </w:r>
            <w:r>
              <w:rPr>
                <w:rFonts w:hint="eastAsia"/>
                <w:color w:val="auto"/>
                <w:sz w:val="18"/>
                <w:szCs w:val="18"/>
                <w:highlight w:val="none"/>
                <w:lang w:val="en-US" w:eastAsia="zh-CN"/>
              </w:rPr>
              <w:t>3:33</w:t>
            </w:r>
          </w:p>
        </w:tc>
        <w:tc>
          <w:tcPr>
            <w:tcW w:w="711" w:type="dxa"/>
            <w:shd w:val="clear" w:color="auto" w:fill="auto"/>
            <w:vAlign w:val="center"/>
          </w:tcPr>
          <w:p>
            <w:pPr>
              <w:jc w:val="center"/>
              <w:rPr>
                <w:rFonts w:hint="eastAsia" w:eastAsia="宋体"/>
                <w:color w:val="auto"/>
                <w:sz w:val="18"/>
                <w:szCs w:val="18"/>
                <w:highlight w:val="none"/>
                <w:lang w:val="en-US" w:eastAsia="zh-CN"/>
              </w:rPr>
            </w:pPr>
            <w:r>
              <w:rPr>
                <w:rFonts w:hint="eastAsia"/>
                <w:color w:val="auto"/>
                <w:sz w:val="18"/>
                <w:szCs w:val="18"/>
                <w:highlight w:val="none"/>
              </w:rPr>
              <w:t>7.</w:t>
            </w:r>
            <w:r>
              <w:rPr>
                <w:rFonts w:hint="eastAsia"/>
                <w:color w:val="auto"/>
                <w:sz w:val="18"/>
                <w:szCs w:val="18"/>
                <w:highlight w:val="none"/>
                <w:lang w:val="en-US" w:eastAsia="zh-CN"/>
              </w:rPr>
              <w:t>75</w:t>
            </w:r>
          </w:p>
        </w:tc>
        <w:tc>
          <w:tcPr>
            <w:tcW w:w="823" w:type="dxa"/>
            <w:shd w:val="clear" w:color="auto" w:fill="auto"/>
            <w:vAlign w:val="center"/>
          </w:tcPr>
          <w:p>
            <w:pPr>
              <w:adjustRightInd w:val="0"/>
              <w:snapToGrid w:val="0"/>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32</w:t>
            </w:r>
          </w:p>
        </w:tc>
        <w:tc>
          <w:tcPr>
            <w:tcW w:w="806" w:type="dxa"/>
            <w:shd w:val="clear" w:color="auto" w:fill="auto"/>
            <w:vAlign w:val="center"/>
          </w:tcPr>
          <w:p>
            <w:pPr>
              <w:adjustRightInd w:val="0"/>
              <w:snapToGrid w:val="0"/>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8.7</w:t>
            </w:r>
          </w:p>
        </w:tc>
        <w:tc>
          <w:tcPr>
            <w:tcW w:w="816" w:type="dxa"/>
            <w:shd w:val="clear" w:color="auto" w:fill="auto"/>
            <w:vAlign w:val="center"/>
          </w:tcPr>
          <w:p>
            <w:pPr>
              <w:jc w:val="center"/>
              <w:rPr>
                <w:rFonts w:hint="eastAsia" w:eastAsia="宋体"/>
                <w:color w:val="auto"/>
                <w:sz w:val="18"/>
                <w:szCs w:val="18"/>
                <w:highlight w:val="none"/>
                <w:lang w:val="en-US" w:eastAsia="zh-CN"/>
              </w:rPr>
            </w:pPr>
            <w:r>
              <w:rPr>
                <w:rFonts w:hint="eastAsia"/>
                <w:color w:val="auto"/>
                <w:sz w:val="18"/>
                <w:szCs w:val="18"/>
                <w:highlight w:val="none"/>
              </w:rPr>
              <w:t>0.</w:t>
            </w:r>
            <w:r>
              <w:rPr>
                <w:rFonts w:hint="eastAsia"/>
                <w:color w:val="auto"/>
                <w:sz w:val="18"/>
                <w:szCs w:val="18"/>
                <w:highlight w:val="none"/>
                <w:lang w:val="en-US" w:eastAsia="zh-CN"/>
              </w:rPr>
              <w:t>596</w:t>
            </w:r>
          </w:p>
        </w:tc>
        <w:tc>
          <w:tcPr>
            <w:tcW w:w="816" w:type="dxa"/>
            <w:shd w:val="clear" w:color="auto" w:fill="auto"/>
            <w:vAlign w:val="center"/>
          </w:tcPr>
          <w:p>
            <w:pPr>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6.9</w:t>
            </w:r>
          </w:p>
        </w:tc>
        <w:tc>
          <w:tcPr>
            <w:tcW w:w="816" w:type="dxa"/>
            <w:shd w:val="clear" w:color="auto" w:fill="auto"/>
            <w:vAlign w:val="center"/>
          </w:tcPr>
          <w:p>
            <w:pPr>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5.2</w:t>
            </w:r>
          </w:p>
        </w:tc>
        <w:tc>
          <w:tcPr>
            <w:tcW w:w="816" w:type="dxa"/>
            <w:shd w:val="clear" w:color="auto" w:fill="EEECE1" w:themeFill="background2"/>
            <w:vAlign w:val="center"/>
          </w:tcPr>
          <w:p>
            <w:pPr>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0.51</w:t>
            </w:r>
          </w:p>
        </w:tc>
        <w:tc>
          <w:tcPr>
            <w:tcW w:w="817" w:type="dxa"/>
            <w:shd w:val="clear" w:color="auto" w:fill="auto"/>
            <w:vAlign w:val="center"/>
          </w:tcPr>
          <w:p>
            <w:pPr>
              <w:jc w:val="center"/>
              <w:rPr>
                <w:rFonts w:hint="eastAsia" w:eastAsia="宋体"/>
                <w:color w:val="auto"/>
                <w:sz w:val="18"/>
                <w:szCs w:val="18"/>
                <w:highlight w:val="none"/>
                <w:lang w:val="en-US" w:eastAsia="zh-CN"/>
              </w:rPr>
            </w:pPr>
            <w:r>
              <w:rPr>
                <w:rFonts w:hint="eastAsia"/>
                <w:color w:val="auto"/>
                <w:sz w:val="18"/>
                <w:szCs w:val="18"/>
                <w:highlight w:val="none"/>
              </w:rPr>
              <w:t>0.</w:t>
            </w:r>
            <w:r>
              <w:rPr>
                <w:rFonts w:hint="eastAsia"/>
                <w:color w:val="auto"/>
                <w:sz w:val="18"/>
                <w:szCs w:val="18"/>
                <w:highlight w:val="none"/>
                <w:lang w:val="en-US" w:eastAsia="zh-CN"/>
              </w:rPr>
              <w:t>38</w:t>
            </w:r>
          </w:p>
        </w:tc>
        <w:tc>
          <w:tcPr>
            <w:tcW w:w="752" w:type="dxa"/>
            <w:shd w:val="clear" w:color="auto" w:fill="auto"/>
            <w:vAlign w:val="center"/>
          </w:tcPr>
          <w:p>
            <w:pPr>
              <w:jc w:val="center"/>
              <w:rPr>
                <w:rFonts w:hint="eastAsia" w:eastAsia="宋体"/>
                <w:color w:val="auto"/>
                <w:sz w:val="18"/>
                <w:szCs w:val="18"/>
                <w:highlight w:val="none"/>
                <w:lang w:val="en-US" w:eastAsia="zh-CN"/>
              </w:rPr>
            </w:pPr>
            <w:r>
              <w:rPr>
                <w:rFonts w:hint="eastAsia"/>
                <w:color w:val="auto"/>
                <w:sz w:val="18"/>
                <w:szCs w:val="18"/>
                <w:highlight w:val="none"/>
              </w:rPr>
              <w:t>0.0</w:t>
            </w:r>
            <w:r>
              <w:rPr>
                <w:rFonts w:hint="eastAsia"/>
                <w:color w:val="auto"/>
                <w:sz w:val="18"/>
                <w:szCs w:val="18"/>
                <w:highlight w:val="none"/>
                <w:lang w:val="en-US" w:eastAsia="zh-CN"/>
              </w:rPr>
              <w:t>21</w:t>
            </w:r>
          </w:p>
        </w:tc>
        <w:tc>
          <w:tcPr>
            <w:tcW w:w="820" w:type="dxa"/>
            <w:shd w:val="clear" w:color="auto" w:fill="auto"/>
            <w:vAlign w:val="center"/>
          </w:tcPr>
          <w:p>
            <w:pPr>
              <w:jc w:val="center"/>
              <w:rPr>
                <w:rFonts w:hint="eastAsia" w:eastAsia="宋体"/>
                <w:color w:val="auto"/>
                <w:sz w:val="18"/>
                <w:szCs w:val="18"/>
                <w:highlight w:val="none"/>
                <w:lang w:val="en-US" w:eastAsia="zh-CN"/>
              </w:rPr>
            </w:pPr>
            <w:r>
              <w:rPr>
                <w:rFonts w:hint="eastAsia"/>
                <w:color w:val="auto"/>
                <w:sz w:val="18"/>
                <w:szCs w:val="18"/>
                <w:highlight w:val="none"/>
              </w:rPr>
              <w:t>0.0</w:t>
            </w:r>
            <w:r>
              <w:rPr>
                <w:rFonts w:hint="eastAsia"/>
                <w:color w:val="auto"/>
                <w:sz w:val="18"/>
                <w:szCs w:val="18"/>
                <w:highlight w:val="none"/>
                <w:lang w:val="en-US" w:eastAsia="zh-CN"/>
              </w:rPr>
              <w:t>72</w:t>
            </w:r>
          </w:p>
        </w:tc>
        <w:tc>
          <w:tcPr>
            <w:tcW w:w="817" w:type="dxa"/>
            <w:shd w:val="clear" w:color="auto" w:fill="auto"/>
            <w:vAlign w:val="center"/>
          </w:tcPr>
          <w:p>
            <w:pPr>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0.005</w:t>
            </w:r>
          </w:p>
        </w:tc>
        <w:tc>
          <w:tcPr>
            <w:tcW w:w="817" w:type="dxa"/>
            <w:shd w:val="clear" w:color="auto" w:fill="auto"/>
            <w:vAlign w:val="center"/>
          </w:tcPr>
          <w:p>
            <w:pPr>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89.6</w:t>
            </w:r>
          </w:p>
        </w:tc>
        <w:tc>
          <w:tcPr>
            <w:tcW w:w="769" w:type="dxa"/>
            <w:shd w:val="clear" w:color="auto" w:fill="auto"/>
            <w:vAlign w:val="center"/>
          </w:tcPr>
          <w:p>
            <w:pPr>
              <w:jc w:val="center"/>
              <w:rPr>
                <w:rFonts w:hint="eastAsia" w:eastAsia="宋体"/>
                <w:color w:val="auto"/>
                <w:sz w:val="18"/>
                <w:szCs w:val="18"/>
                <w:highlight w:val="none"/>
                <w:lang w:val="en-US" w:eastAsia="zh-CN"/>
              </w:rPr>
            </w:pPr>
            <w:r>
              <w:rPr>
                <w:rFonts w:hint="eastAsia"/>
                <w:color w:val="auto"/>
                <w:sz w:val="18"/>
                <w:szCs w:val="18"/>
                <w:highlight w:val="none"/>
                <w:lang w:eastAsia="zh-CN"/>
              </w:rPr>
              <w:t>＜</w:t>
            </w:r>
            <w:r>
              <w:rPr>
                <w:rFonts w:hint="eastAsia"/>
                <w:color w:val="auto"/>
                <w:sz w:val="18"/>
                <w:szCs w:val="18"/>
                <w:highlight w:val="none"/>
                <w:lang w:val="en-US" w:eastAsia="zh-CN"/>
              </w:rPr>
              <w:t>0.004</w:t>
            </w:r>
          </w:p>
        </w:tc>
        <w:tc>
          <w:tcPr>
            <w:tcW w:w="919" w:type="dxa"/>
            <w:shd w:val="clear" w:color="auto" w:fill="EEECE1" w:themeFill="background2"/>
            <w:vAlign w:val="center"/>
          </w:tcPr>
          <w:p>
            <w:pPr>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0.88</w:t>
            </w:r>
          </w:p>
        </w:tc>
        <w:tc>
          <w:tcPr>
            <w:tcW w:w="1084" w:type="dxa"/>
            <w:shd w:val="clear" w:color="auto" w:fill="auto"/>
            <w:vAlign w:val="center"/>
          </w:tcPr>
          <w:p>
            <w:pPr>
              <w:jc w:val="center"/>
              <w:rPr>
                <w:rFonts w:hint="eastAsia" w:eastAsia="宋体"/>
                <w:color w:val="auto"/>
                <w:sz w:val="18"/>
                <w:szCs w:val="18"/>
                <w:highlight w:val="none"/>
                <w:lang w:val="en-US" w:eastAsia="zh-CN"/>
              </w:rPr>
            </w:pPr>
            <w:r>
              <w:rPr>
                <w:rFonts w:hint="eastAsia" w:hAnsi="宋体"/>
                <w:color w:val="auto"/>
                <w:sz w:val="18"/>
                <w:szCs w:val="18"/>
                <w:highlight w:val="none"/>
                <w:lang w:eastAsia="zh-CN"/>
              </w:rPr>
              <w:t>≥</w:t>
            </w:r>
            <w:r>
              <w:rPr>
                <w:rFonts w:hint="eastAsia" w:hAnsi="宋体"/>
                <w:color w:val="auto"/>
                <w:sz w:val="18"/>
                <w:szCs w:val="18"/>
                <w:highlight w:val="none"/>
                <w:lang w:val="en-US" w:eastAsia="zh-CN"/>
              </w:rPr>
              <w:t>24000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717" w:type="dxa"/>
            <w:vMerge w:val="continue"/>
            <w:shd w:val="clear" w:color="auto" w:fill="auto"/>
            <w:vAlign w:val="center"/>
          </w:tcPr>
          <w:p>
            <w:pPr>
              <w:jc w:val="center"/>
              <w:rPr>
                <w:color w:val="auto"/>
                <w:sz w:val="18"/>
                <w:szCs w:val="18"/>
                <w:highlight w:val="none"/>
              </w:rPr>
            </w:pPr>
          </w:p>
        </w:tc>
        <w:tc>
          <w:tcPr>
            <w:tcW w:w="1052" w:type="dxa"/>
            <w:shd w:val="clear" w:color="auto" w:fill="auto"/>
            <w:vAlign w:val="center"/>
          </w:tcPr>
          <w:p>
            <w:pPr>
              <w:jc w:val="center"/>
              <w:rPr>
                <w:color w:val="auto"/>
                <w:sz w:val="18"/>
                <w:szCs w:val="18"/>
                <w:highlight w:val="none"/>
                <w:lang w:val="en-US"/>
              </w:rPr>
            </w:pPr>
            <w:r>
              <w:rPr>
                <w:rFonts w:hint="eastAsia"/>
                <w:color w:val="auto"/>
                <w:sz w:val="18"/>
                <w:szCs w:val="18"/>
                <w:highlight w:val="none"/>
              </w:rPr>
              <w:t>0</w:t>
            </w:r>
            <w:r>
              <w:rPr>
                <w:rFonts w:hint="eastAsia"/>
                <w:color w:val="auto"/>
                <w:sz w:val="18"/>
                <w:szCs w:val="18"/>
                <w:highlight w:val="none"/>
                <w:lang w:val="en-US" w:eastAsia="zh-CN"/>
              </w:rPr>
              <w:t>9.14</w:t>
            </w:r>
            <w:r>
              <w:rPr>
                <w:rFonts w:hint="eastAsia"/>
                <w:color w:val="auto"/>
                <w:sz w:val="18"/>
                <w:szCs w:val="18"/>
                <w:highlight w:val="none"/>
              </w:rPr>
              <w:t xml:space="preserve">  1</w:t>
            </w:r>
            <w:r>
              <w:rPr>
                <w:rFonts w:hint="eastAsia"/>
                <w:color w:val="auto"/>
                <w:sz w:val="18"/>
                <w:szCs w:val="18"/>
                <w:highlight w:val="none"/>
                <w:lang w:val="en-US" w:eastAsia="zh-CN"/>
              </w:rPr>
              <w:t>4:00</w:t>
            </w:r>
          </w:p>
        </w:tc>
        <w:tc>
          <w:tcPr>
            <w:tcW w:w="711" w:type="dxa"/>
            <w:shd w:val="clear" w:color="auto" w:fill="auto"/>
            <w:vAlign w:val="center"/>
          </w:tcPr>
          <w:p>
            <w:pPr>
              <w:jc w:val="center"/>
              <w:rPr>
                <w:rFonts w:hint="eastAsia" w:eastAsia="宋体"/>
                <w:color w:val="auto"/>
                <w:sz w:val="18"/>
                <w:szCs w:val="18"/>
                <w:highlight w:val="none"/>
                <w:lang w:val="en-US" w:eastAsia="zh-CN"/>
              </w:rPr>
            </w:pPr>
            <w:r>
              <w:rPr>
                <w:rFonts w:hint="eastAsia"/>
                <w:color w:val="auto"/>
                <w:sz w:val="18"/>
                <w:szCs w:val="18"/>
                <w:highlight w:val="none"/>
              </w:rPr>
              <w:t>7.</w:t>
            </w:r>
            <w:r>
              <w:rPr>
                <w:rFonts w:hint="eastAsia"/>
                <w:color w:val="auto"/>
                <w:sz w:val="18"/>
                <w:szCs w:val="18"/>
                <w:highlight w:val="none"/>
                <w:lang w:val="en-US" w:eastAsia="zh-CN"/>
              </w:rPr>
              <w:t>71</w:t>
            </w:r>
          </w:p>
        </w:tc>
        <w:tc>
          <w:tcPr>
            <w:tcW w:w="823" w:type="dxa"/>
            <w:shd w:val="clear" w:color="auto" w:fill="auto"/>
            <w:vAlign w:val="center"/>
          </w:tcPr>
          <w:p>
            <w:pPr>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34</w:t>
            </w:r>
          </w:p>
        </w:tc>
        <w:tc>
          <w:tcPr>
            <w:tcW w:w="806" w:type="dxa"/>
            <w:shd w:val="clear" w:color="auto" w:fill="auto"/>
            <w:vAlign w:val="center"/>
          </w:tcPr>
          <w:p>
            <w:pPr>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8.9</w:t>
            </w:r>
          </w:p>
        </w:tc>
        <w:tc>
          <w:tcPr>
            <w:tcW w:w="816" w:type="dxa"/>
            <w:shd w:val="clear" w:color="auto" w:fill="auto"/>
            <w:vAlign w:val="center"/>
          </w:tcPr>
          <w:p>
            <w:pPr>
              <w:jc w:val="center"/>
              <w:rPr>
                <w:rFonts w:hint="eastAsia" w:eastAsia="宋体"/>
                <w:color w:val="auto"/>
                <w:sz w:val="18"/>
                <w:szCs w:val="18"/>
                <w:highlight w:val="none"/>
                <w:lang w:val="en-US" w:eastAsia="zh-CN"/>
              </w:rPr>
            </w:pPr>
            <w:r>
              <w:rPr>
                <w:rFonts w:hint="eastAsia"/>
                <w:color w:val="auto"/>
                <w:sz w:val="18"/>
                <w:szCs w:val="18"/>
                <w:highlight w:val="none"/>
              </w:rPr>
              <w:t>0.</w:t>
            </w:r>
            <w:r>
              <w:rPr>
                <w:rFonts w:hint="eastAsia"/>
                <w:color w:val="auto"/>
                <w:sz w:val="18"/>
                <w:szCs w:val="18"/>
                <w:highlight w:val="none"/>
                <w:lang w:val="en-US" w:eastAsia="zh-CN"/>
              </w:rPr>
              <w:t>633</w:t>
            </w:r>
          </w:p>
        </w:tc>
        <w:tc>
          <w:tcPr>
            <w:tcW w:w="816" w:type="dxa"/>
            <w:shd w:val="clear" w:color="auto" w:fill="auto"/>
            <w:vAlign w:val="center"/>
          </w:tcPr>
          <w:p>
            <w:pPr>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6.8</w:t>
            </w:r>
          </w:p>
        </w:tc>
        <w:tc>
          <w:tcPr>
            <w:tcW w:w="816" w:type="dxa"/>
            <w:shd w:val="clear" w:color="auto" w:fill="auto"/>
            <w:vAlign w:val="center"/>
          </w:tcPr>
          <w:p>
            <w:pPr>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5.5</w:t>
            </w:r>
          </w:p>
        </w:tc>
        <w:tc>
          <w:tcPr>
            <w:tcW w:w="816" w:type="dxa"/>
            <w:shd w:val="clear" w:color="auto" w:fill="EEECE1" w:themeFill="background2"/>
            <w:vAlign w:val="center"/>
          </w:tcPr>
          <w:p>
            <w:pPr>
              <w:jc w:val="center"/>
              <w:rPr>
                <w:rFonts w:hint="eastAsia" w:eastAsia="宋体"/>
                <w:color w:val="auto"/>
                <w:sz w:val="18"/>
                <w:szCs w:val="18"/>
                <w:highlight w:val="none"/>
                <w:lang w:val="en-US" w:eastAsia="zh-CN"/>
              </w:rPr>
            </w:pPr>
            <w:r>
              <w:rPr>
                <w:rFonts w:hint="eastAsia"/>
                <w:color w:val="auto"/>
                <w:sz w:val="18"/>
                <w:szCs w:val="18"/>
                <w:highlight w:val="none"/>
              </w:rPr>
              <w:t>0.</w:t>
            </w:r>
            <w:r>
              <w:rPr>
                <w:rFonts w:hint="eastAsia"/>
                <w:color w:val="auto"/>
                <w:sz w:val="18"/>
                <w:szCs w:val="18"/>
                <w:highlight w:val="none"/>
                <w:lang w:val="en-US" w:eastAsia="zh-CN"/>
              </w:rPr>
              <w:t>56</w:t>
            </w:r>
          </w:p>
        </w:tc>
        <w:tc>
          <w:tcPr>
            <w:tcW w:w="817" w:type="dxa"/>
            <w:shd w:val="clear" w:color="auto" w:fill="auto"/>
            <w:vAlign w:val="center"/>
          </w:tcPr>
          <w:p>
            <w:pPr>
              <w:jc w:val="center"/>
              <w:rPr>
                <w:rFonts w:hint="eastAsia" w:eastAsia="宋体"/>
                <w:color w:val="auto"/>
                <w:sz w:val="18"/>
                <w:szCs w:val="18"/>
                <w:highlight w:val="none"/>
                <w:lang w:val="en-US" w:eastAsia="zh-CN"/>
              </w:rPr>
            </w:pPr>
            <w:r>
              <w:rPr>
                <w:rFonts w:hint="eastAsia"/>
                <w:color w:val="auto"/>
                <w:sz w:val="18"/>
                <w:szCs w:val="18"/>
                <w:highlight w:val="none"/>
              </w:rPr>
              <w:t>0.</w:t>
            </w:r>
            <w:r>
              <w:rPr>
                <w:rFonts w:hint="eastAsia"/>
                <w:color w:val="auto"/>
                <w:sz w:val="18"/>
                <w:szCs w:val="18"/>
                <w:highlight w:val="none"/>
                <w:lang w:val="en-US" w:eastAsia="zh-CN"/>
              </w:rPr>
              <w:t>31</w:t>
            </w:r>
          </w:p>
        </w:tc>
        <w:tc>
          <w:tcPr>
            <w:tcW w:w="752" w:type="dxa"/>
            <w:shd w:val="clear" w:color="auto" w:fill="auto"/>
            <w:vAlign w:val="center"/>
          </w:tcPr>
          <w:p>
            <w:pPr>
              <w:jc w:val="center"/>
              <w:rPr>
                <w:rFonts w:hint="eastAsia" w:eastAsia="宋体"/>
                <w:color w:val="auto"/>
                <w:sz w:val="18"/>
                <w:szCs w:val="18"/>
                <w:highlight w:val="none"/>
                <w:lang w:val="en-US" w:eastAsia="zh-CN"/>
              </w:rPr>
            </w:pPr>
            <w:r>
              <w:rPr>
                <w:rFonts w:hint="eastAsia"/>
                <w:color w:val="auto"/>
                <w:sz w:val="18"/>
                <w:szCs w:val="18"/>
                <w:highlight w:val="none"/>
              </w:rPr>
              <w:t>0.0</w:t>
            </w:r>
            <w:r>
              <w:rPr>
                <w:rFonts w:hint="eastAsia"/>
                <w:color w:val="auto"/>
                <w:sz w:val="18"/>
                <w:szCs w:val="18"/>
                <w:highlight w:val="none"/>
                <w:lang w:val="en-US" w:eastAsia="zh-CN"/>
              </w:rPr>
              <w:t>18</w:t>
            </w:r>
          </w:p>
        </w:tc>
        <w:tc>
          <w:tcPr>
            <w:tcW w:w="820" w:type="dxa"/>
            <w:shd w:val="clear" w:color="auto" w:fill="auto"/>
            <w:vAlign w:val="center"/>
          </w:tcPr>
          <w:p>
            <w:pPr>
              <w:jc w:val="center"/>
              <w:rPr>
                <w:rFonts w:hint="eastAsia" w:eastAsia="宋体"/>
                <w:color w:val="auto"/>
                <w:sz w:val="18"/>
                <w:szCs w:val="18"/>
                <w:highlight w:val="none"/>
                <w:lang w:val="en-US" w:eastAsia="zh-CN"/>
              </w:rPr>
            </w:pPr>
            <w:r>
              <w:rPr>
                <w:rFonts w:hint="eastAsia"/>
                <w:color w:val="auto"/>
                <w:sz w:val="18"/>
                <w:szCs w:val="18"/>
                <w:highlight w:val="none"/>
              </w:rPr>
              <w:t>0.0</w:t>
            </w:r>
            <w:r>
              <w:rPr>
                <w:rFonts w:hint="eastAsia"/>
                <w:color w:val="auto"/>
                <w:sz w:val="18"/>
                <w:szCs w:val="18"/>
                <w:highlight w:val="none"/>
                <w:lang w:val="en-US" w:eastAsia="zh-CN"/>
              </w:rPr>
              <w:t>68</w:t>
            </w:r>
          </w:p>
        </w:tc>
        <w:tc>
          <w:tcPr>
            <w:tcW w:w="817" w:type="dxa"/>
            <w:shd w:val="clear" w:color="auto" w:fill="auto"/>
            <w:vAlign w:val="center"/>
          </w:tcPr>
          <w:p>
            <w:pPr>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0.008</w:t>
            </w:r>
          </w:p>
        </w:tc>
        <w:tc>
          <w:tcPr>
            <w:tcW w:w="817" w:type="dxa"/>
            <w:shd w:val="clear" w:color="auto" w:fill="auto"/>
            <w:vAlign w:val="center"/>
          </w:tcPr>
          <w:p>
            <w:pPr>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95.3</w:t>
            </w:r>
          </w:p>
        </w:tc>
        <w:tc>
          <w:tcPr>
            <w:tcW w:w="769" w:type="dxa"/>
            <w:shd w:val="clear" w:color="auto" w:fill="auto"/>
            <w:vAlign w:val="center"/>
          </w:tcPr>
          <w:p>
            <w:pPr>
              <w:jc w:val="center"/>
              <w:rPr>
                <w:color w:val="auto"/>
                <w:sz w:val="18"/>
                <w:szCs w:val="18"/>
                <w:highlight w:val="none"/>
              </w:rPr>
            </w:pPr>
            <w:r>
              <w:rPr>
                <w:rFonts w:hint="eastAsia"/>
                <w:color w:val="auto"/>
                <w:sz w:val="18"/>
                <w:szCs w:val="18"/>
                <w:highlight w:val="none"/>
                <w:lang w:eastAsia="zh-CN"/>
              </w:rPr>
              <w:t>＜</w:t>
            </w:r>
            <w:r>
              <w:rPr>
                <w:rFonts w:hint="eastAsia"/>
                <w:color w:val="auto"/>
                <w:sz w:val="18"/>
                <w:szCs w:val="18"/>
                <w:highlight w:val="none"/>
                <w:lang w:val="en-US" w:eastAsia="zh-CN"/>
              </w:rPr>
              <w:t>0.004</w:t>
            </w:r>
          </w:p>
        </w:tc>
        <w:tc>
          <w:tcPr>
            <w:tcW w:w="919" w:type="dxa"/>
            <w:shd w:val="clear" w:color="auto" w:fill="EEECE1" w:themeFill="background2"/>
            <w:vAlign w:val="center"/>
          </w:tcPr>
          <w:p>
            <w:pPr>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0.95</w:t>
            </w:r>
          </w:p>
        </w:tc>
        <w:tc>
          <w:tcPr>
            <w:tcW w:w="1084" w:type="dxa"/>
            <w:shd w:val="clear" w:color="auto" w:fill="auto"/>
            <w:vAlign w:val="center"/>
          </w:tcPr>
          <w:p>
            <w:pPr>
              <w:jc w:val="center"/>
              <w:rPr>
                <w:color w:val="auto"/>
                <w:sz w:val="18"/>
                <w:szCs w:val="18"/>
                <w:highlight w:val="none"/>
              </w:rPr>
            </w:pPr>
            <w:r>
              <w:rPr>
                <w:rFonts w:hint="eastAsia" w:hAnsi="宋体"/>
                <w:color w:val="auto"/>
                <w:sz w:val="18"/>
                <w:szCs w:val="18"/>
                <w:highlight w:val="none"/>
                <w:lang w:eastAsia="zh-CN"/>
              </w:rPr>
              <w:t>≥</w:t>
            </w:r>
            <w:r>
              <w:rPr>
                <w:rFonts w:hint="eastAsia" w:hAnsi="宋体"/>
                <w:color w:val="auto"/>
                <w:sz w:val="18"/>
                <w:szCs w:val="18"/>
                <w:highlight w:val="none"/>
                <w:lang w:val="en-US" w:eastAsia="zh-CN"/>
              </w:rPr>
              <w:t>24000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717" w:type="dxa"/>
            <w:vMerge w:val="continue"/>
            <w:shd w:val="clear" w:color="auto" w:fill="auto"/>
            <w:vAlign w:val="center"/>
          </w:tcPr>
          <w:p>
            <w:pPr>
              <w:jc w:val="center"/>
              <w:rPr>
                <w:color w:val="auto"/>
                <w:sz w:val="18"/>
                <w:szCs w:val="18"/>
                <w:highlight w:val="none"/>
              </w:rPr>
            </w:pPr>
          </w:p>
        </w:tc>
        <w:tc>
          <w:tcPr>
            <w:tcW w:w="1052" w:type="dxa"/>
            <w:shd w:val="clear" w:color="auto" w:fill="auto"/>
            <w:vAlign w:val="center"/>
          </w:tcPr>
          <w:p>
            <w:pPr>
              <w:jc w:val="center"/>
              <w:rPr>
                <w:color w:val="auto"/>
                <w:sz w:val="18"/>
                <w:szCs w:val="18"/>
                <w:highlight w:val="none"/>
              </w:rPr>
            </w:pPr>
            <w:r>
              <w:rPr>
                <w:color w:val="auto"/>
                <w:sz w:val="18"/>
                <w:szCs w:val="18"/>
                <w:highlight w:val="none"/>
              </w:rPr>
              <w:t>最大污染指数</w:t>
            </w:r>
          </w:p>
        </w:tc>
        <w:tc>
          <w:tcPr>
            <w:tcW w:w="711" w:type="dxa"/>
            <w:shd w:val="clear" w:color="auto" w:fill="auto"/>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0.36</w:t>
            </w:r>
          </w:p>
        </w:tc>
        <w:tc>
          <w:tcPr>
            <w:tcW w:w="823" w:type="dxa"/>
            <w:shd w:val="clear" w:color="auto" w:fill="auto"/>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0.85</w:t>
            </w:r>
          </w:p>
        </w:tc>
        <w:tc>
          <w:tcPr>
            <w:tcW w:w="806" w:type="dxa"/>
            <w:shd w:val="clear" w:color="auto" w:fill="auto"/>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0.89</w:t>
            </w:r>
          </w:p>
        </w:tc>
        <w:tc>
          <w:tcPr>
            <w:tcW w:w="816" w:type="dxa"/>
            <w:shd w:val="clear" w:color="auto" w:fill="auto"/>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0.32</w:t>
            </w:r>
          </w:p>
        </w:tc>
        <w:tc>
          <w:tcPr>
            <w:tcW w:w="816" w:type="dxa"/>
            <w:shd w:val="clear" w:color="auto" w:fill="auto"/>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0.33</w:t>
            </w:r>
          </w:p>
        </w:tc>
        <w:tc>
          <w:tcPr>
            <w:tcW w:w="816" w:type="dxa"/>
            <w:shd w:val="clear" w:color="auto" w:fill="auto"/>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0.37</w:t>
            </w:r>
          </w:p>
        </w:tc>
        <w:tc>
          <w:tcPr>
            <w:tcW w:w="816" w:type="dxa"/>
            <w:shd w:val="clear" w:color="auto" w:fill="auto"/>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1.4</w:t>
            </w:r>
          </w:p>
        </w:tc>
        <w:tc>
          <w:tcPr>
            <w:tcW w:w="817" w:type="dxa"/>
            <w:shd w:val="clear" w:color="auto" w:fill="auto"/>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0.38</w:t>
            </w:r>
          </w:p>
        </w:tc>
        <w:tc>
          <w:tcPr>
            <w:tcW w:w="752" w:type="dxa"/>
            <w:shd w:val="clear" w:color="auto" w:fill="auto"/>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0.021</w:t>
            </w:r>
          </w:p>
        </w:tc>
        <w:tc>
          <w:tcPr>
            <w:tcW w:w="820" w:type="dxa"/>
            <w:shd w:val="clear" w:color="auto" w:fill="auto"/>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0.036</w:t>
            </w:r>
          </w:p>
        </w:tc>
        <w:tc>
          <w:tcPr>
            <w:tcW w:w="817" w:type="dxa"/>
            <w:shd w:val="clear" w:color="auto" w:fill="auto"/>
            <w:vAlign w:val="center"/>
          </w:tcPr>
          <w:p>
            <w:pPr>
              <w:jc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0.4</w:t>
            </w:r>
          </w:p>
        </w:tc>
        <w:tc>
          <w:tcPr>
            <w:tcW w:w="817" w:type="dxa"/>
            <w:shd w:val="clear" w:color="auto" w:fill="auto"/>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0.38</w:t>
            </w:r>
          </w:p>
        </w:tc>
        <w:tc>
          <w:tcPr>
            <w:tcW w:w="769" w:type="dxa"/>
            <w:shd w:val="clear" w:color="auto" w:fill="auto"/>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w:t>
            </w:r>
          </w:p>
        </w:tc>
        <w:tc>
          <w:tcPr>
            <w:tcW w:w="919" w:type="dxa"/>
            <w:shd w:val="clear" w:color="auto" w:fill="auto"/>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3.17</w:t>
            </w:r>
          </w:p>
        </w:tc>
        <w:tc>
          <w:tcPr>
            <w:tcW w:w="1084" w:type="dxa"/>
            <w:shd w:val="clear" w:color="auto" w:fill="auto"/>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717" w:type="dxa"/>
            <w:vMerge w:val="continue"/>
            <w:shd w:val="clear" w:color="auto" w:fill="auto"/>
            <w:vAlign w:val="center"/>
          </w:tcPr>
          <w:p>
            <w:pPr>
              <w:jc w:val="center"/>
              <w:rPr>
                <w:color w:val="auto"/>
                <w:sz w:val="18"/>
                <w:szCs w:val="18"/>
                <w:highlight w:val="none"/>
              </w:rPr>
            </w:pPr>
          </w:p>
        </w:tc>
        <w:tc>
          <w:tcPr>
            <w:tcW w:w="1052" w:type="dxa"/>
            <w:shd w:val="clear" w:color="auto" w:fill="auto"/>
            <w:vAlign w:val="center"/>
          </w:tcPr>
          <w:p>
            <w:pPr>
              <w:jc w:val="center"/>
              <w:rPr>
                <w:color w:val="auto"/>
                <w:sz w:val="18"/>
                <w:szCs w:val="18"/>
                <w:highlight w:val="none"/>
              </w:rPr>
            </w:pPr>
            <w:r>
              <w:rPr>
                <w:color w:val="auto"/>
                <w:sz w:val="18"/>
                <w:szCs w:val="18"/>
                <w:highlight w:val="none"/>
              </w:rPr>
              <w:t>最大超标倍数</w:t>
            </w:r>
          </w:p>
        </w:tc>
        <w:tc>
          <w:tcPr>
            <w:tcW w:w="711" w:type="dxa"/>
            <w:shd w:val="clear" w:color="auto" w:fill="auto"/>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823" w:type="dxa"/>
            <w:shd w:val="clear" w:color="auto" w:fill="auto"/>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w:t>
            </w:r>
          </w:p>
        </w:tc>
        <w:tc>
          <w:tcPr>
            <w:tcW w:w="806" w:type="dxa"/>
            <w:shd w:val="clear" w:color="auto" w:fill="auto"/>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w:t>
            </w:r>
          </w:p>
        </w:tc>
        <w:tc>
          <w:tcPr>
            <w:tcW w:w="816" w:type="dxa"/>
            <w:shd w:val="clear" w:color="auto" w:fill="auto"/>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w:t>
            </w:r>
          </w:p>
        </w:tc>
        <w:tc>
          <w:tcPr>
            <w:tcW w:w="816" w:type="dxa"/>
            <w:shd w:val="clear" w:color="auto" w:fill="auto"/>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w:t>
            </w:r>
          </w:p>
        </w:tc>
        <w:tc>
          <w:tcPr>
            <w:tcW w:w="816" w:type="dxa"/>
            <w:shd w:val="clear" w:color="auto" w:fill="auto"/>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w:t>
            </w:r>
          </w:p>
        </w:tc>
        <w:tc>
          <w:tcPr>
            <w:tcW w:w="816" w:type="dxa"/>
            <w:shd w:val="clear" w:color="auto" w:fill="auto"/>
            <w:vAlign w:val="center"/>
          </w:tcPr>
          <w:p>
            <w:pPr>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0.4</w:t>
            </w:r>
          </w:p>
        </w:tc>
        <w:tc>
          <w:tcPr>
            <w:tcW w:w="817" w:type="dxa"/>
            <w:shd w:val="clear" w:color="auto" w:fill="auto"/>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w:t>
            </w:r>
          </w:p>
        </w:tc>
        <w:tc>
          <w:tcPr>
            <w:tcW w:w="752" w:type="dxa"/>
            <w:shd w:val="clear" w:color="auto" w:fill="auto"/>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w:t>
            </w:r>
          </w:p>
        </w:tc>
        <w:tc>
          <w:tcPr>
            <w:tcW w:w="820" w:type="dxa"/>
            <w:shd w:val="clear" w:color="auto" w:fill="auto"/>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w:t>
            </w:r>
          </w:p>
        </w:tc>
        <w:tc>
          <w:tcPr>
            <w:tcW w:w="817" w:type="dxa"/>
            <w:shd w:val="clear" w:color="auto" w:fill="auto"/>
            <w:vAlign w:val="center"/>
          </w:tcPr>
          <w:p>
            <w:pPr>
              <w:adjustRightInd w:val="0"/>
              <w:snapToGrid w:val="0"/>
              <w:jc w:val="center"/>
              <w:rPr>
                <w:rFonts w:hint="eastAsia" w:ascii="Times New Roman" w:hAnsi="Times New Roman" w:eastAsia="宋体" w:cs="Times New Roman"/>
                <w:color w:val="auto"/>
                <w:sz w:val="18"/>
                <w:szCs w:val="18"/>
                <w:highlight w:val="none"/>
                <w:lang w:eastAsia="zh-CN"/>
              </w:rPr>
            </w:pPr>
            <w:r>
              <w:rPr>
                <w:rFonts w:hint="eastAsia" w:cs="Times New Roman"/>
                <w:color w:val="auto"/>
                <w:sz w:val="18"/>
                <w:szCs w:val="18"/>
                <w:highlight w:val="none"/>
                <w:lang w:val="en-US" w:eastAsia="zh-CN"/>
              </w:rPr>
              <w:t>0</w:t>
            </w:r>
          </w:p>
        </w:tc>
        <w:tc>
          <w:tcPr>
            <w:tcW w:w="817" w:type="dxa"/>
            <w:shd w:val="clear" w:color="auto" w:fill="auto"/>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w:t>
            </w:r>
          </w:p>
        </w:tc>
        <w:tc>
          <w:tcPr>
            <w:tcW w:w="769" w:type="dxa"/>
            <w:shd w:val="clear" w:color="auto" w:fill="auto"/>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w:t>
            </w:r>
          </w:p>
        </w:tc>
        <w:tc>
          <w:tcPr>
            <w:tcW w:w="919" w:type="dxa"/>
            <w:shd w:val="clear" w:color="auto" w:fill="auto"/>
            <w:vAlign w:val="center"/>
          </w:tcPr>
          <w:p>
            <w:pPr>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100</w:t>
            </w:r>
          </w:p>
        </w:tc>
        <w:tc>
          <w:tcPr>
            <w:tcW w:w="1084" w:type="dxa"/>
            <w:shd w:val="clear" w:color="auto" w:fill="auto"/>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6" w:hRule="atLeast"/>
        </w:trPr>
        <w:tc>
          <w:tcPr>
            <w:tcW w:w="717" w:type="dxa"/>
            <w:vMerge w:val="continue"/>
            <w:shd w:val="clear" w:color="auto" w:fill="auto"/>
            <w:vAlign w:val="center"/>
          </w:tcPr>
          <w:p>
            <w:pPr>
              <w:jc w:val="center"/>
              <w:rPr>
                <w:color w:val="auto"/>
                <w:sz w:val="18"/>
                <w:szCs w:val="18"/>
                <w:highlight w:val="none"/>
              </w:rPr>
            </w:pPr>
          </w:p>
        </w:tc>
        <w:tc>
          <w:tcPr>
            <w:tcW w:w="1052" w:type="dxa"/>
            <w:shd w:val="clear" w:color="auto" w:fill="auto"/>
            <w:vAlign w:val="center"/>
          </w:tcPr>
          <w:p>
            <w:pPr>
              <w:jc w:val="center"/>
              <w:rPr>
                <w:color w:val="auto"/>
                <w:sz w:val="18"/>
                <w:szCs w:val="18"/>
                <w:highlight w:val="none"/>
              </w:rPr>
            </w:pPr>
            <w:r>
              <w:rPr>
                <w:color w:val="auto"/>
                <w:sz w:val="18"/>
                <w:szCs w:val="18"/>
                <w:highlight w:val="none"/>
              </w:rPr>
              <w:t>超标率</w:t>
            </w:r>
          </w:p>
        </w:tc>
        <w:tc>
          <w:tcPr>
            <w:tcW w:w="711" w:type="dxa"/>
            <w:shd w:val="clear" w:color="auto" w:fill="auto"/>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823" w:type="dxa"/>
            <w:shd w:val="clear" w:color="auto" w:fill="auto"/>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w:t>
            </w:r>
          </w:p>
        </w:tc>
        <w:tc>
          <w:tcPr>
            <w:tcW w:w="806" w:type="dxa"/>
            <w:shd w:val="clear" w:color="auto" w:fill="auto"/>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w:t>
            </w:r>
          </w:p>
        </w:tc>
        <w:tc>
          <w:tcPr>
            <w:tcW w:w="816" w:type="dxa"/>
            <w:shd w:val="clear" w:color="auto" w:fill="auto"/>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w:t>
            </w:r>
          </w:p>
        </w:tc>
        <w:tc>
          <w:tcPr>
            <w:tcW w:w="816" w:type="dxa"/>
            <w:shd w:val="clear" w:color="auto" w:fill="auto"/>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w:t>
            </w:r>
          </w:p>
        </w:tc>
        <w:tc>
          <w:tcPr>
            <w:tcW w:w="816" w:type="dxa"/>
            <w:shd w:val="clear" w:color="auto" w:fill="auto"/>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w:t>
            </w:r>
          </w:p>
        </w:tc>
        <w:tc>
          <w:tcPr>
            <w:tcW w:w="816" w:type="dxa"/>
            <w:shd w:val="clear" w:color="auto" w:fill="auto"/>
            <w:vAlign w:val="center"/>
          </w:tcPr>
          <w:p>
            <w:pPr>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100</w:t>
            </w:r>
          </w:p>
        </w:tc>
        <w:tc>
          <w:tcPr>
            <w:tcW w:w="817" w:type="dxa"/>
            <w:shd w:val="clear" w:color="auto" w:fill="auto"/>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w:t>
            </w:r>
          </w:p>
        </w:tc>
        <w:tc>
          <w:tcPr>
            <w:tcW w:w="752" w:type="dxa"/>
            <w:shd w:val="clear" w:color="auto" w:fill="auto"/>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w:t>
            </w:r>
          </w:p>
        </w:tc>
        <w:tc>
          <w:tcPr>
            <w:tcW w:w="820" w:type="dxa"/>
            <w:shd w:val="clear" w:color="auto" w:fill="auto"/>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w:t>
            </w:r>
          </w:p>
        </w:tc>
        <w:tc>
          <w:tcPr>
            <w:tcW w:w="817" w:type="dxa"/>
            <w:shd w:val="clear" w:color="auto" w:fill="auto"/>
            <w:vAlign w:val="center"/>
          </w:tcPr>
          <w:p>
            <w:pPr>
              <w:adjustRightInd w:val="0"/>
              <w:snapToGrid w:val="0"/>
              <w:jc w:val="center"/>
              <w:rPr>
                <w:rFonts w:hint="eastAsia" w:ascii="Times New Roman" w:hAnsi="Times New Roman" w:eastAsia="宋体" w:cs="Times New Roman"/>
                <w:color w:val="auto"/>
                <w:sz w:val="18"/>
                <w:szCs w:val="18"/>
                <w:highlight w:val="none"/>
                <w:lang w:eastAsia="zh-CN"/>
              </w:rPr>
            </w:pPr>
            <w:r>
              <w:rPr>
                <w:rFonts w:hint="eastAsia" w:cs="Times New Roman"/>
                <w:color w:val="auto"/>
                <w:sz w:val="18"/>
                <w:szCs w:val="18"/>
                <w:highlight w:val="none"/>
                <w:lang w:val="en-US" w:eastAsia="zh-CN"/>
              </w:rPr>
              <w:t>0</w:t>
            </w:r>
          </w:p>
        </w:tc>
        <w:tc>
          <w:tcPr>
            <w:tcW w:w="817" w:type="dxa"/>
            <w:shd w:val="clear" w:color="auto" w:fill="auto"/>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w:t>
            </w:r>
          </w:p>
        </w:tc>
        <w:tc>
          <w:tcPr>
            <w:tcW w:w="769" w:type="dxa"/>
            <w:shd w:val="clear" w:color="auto" w:fill="auto"/>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w:t>
            </w:r>
          </w:p>
        </w:tc>
        <w:tc>
          <w:tcPr>
            <w:tcW w:w="919" w:type="dxa"/>
            <w:shd w:val="clear" w:color="auto" w:fill="auto"/>
            <w:vAlign w:val="center"/>
          </w:tcPr>
          <w:p>
            <w:pPr>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2.17</w:t>
            </w:r>
          </w:p>
        </w:tc>
        <w:tc>
          <w:tcPr>
            <w:tcW w:w="1084" w:type="dxa"/>
            <w:shd w:val="clear" w:color="auto" w:fill="auto"/>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717" w:type="dxa"/>
            <w:vMerge w:val="continue"/>
            <w:shd w:val="clear" w:color="auto" w:fill="auto"/>
            <w:vAlign w:val="center"/>
          </w:tcPr>
          <w:p>
            <w:pPr>
              <w:jc w:val="center"/>
              <w:rPr>
                <w:color w:val="auto"/>
                <w:sz w:val="18"/>
                <w:szCs w:val="18"/>
                <w:highlight w:val="none"/>
              </w:rPr>
            </w:pPr>
          </w:p>
        </w:tc>
        <w:tc>
          <w:tcPr>
            <w:tcW w:w="1052" w:type="dxa"/>
            <w:shd w:val="clear" w:color="auto" w:fill="auto"/>
            <w:vAlign w:val="center"/>
          </w:tcPr>
          <w:p>
            <w:pPr>
              <w:jc w:val="center"/>
              <w:rPr>
                <w:color w:val="auto"/>
                <w:sz w:val="18"/>
                <w:szCs w:val="18"/>
                <w:highlight w:val="none"/>
              </w:rPr>
            </w:pPr>
            <w:r>
              <w:rPr>
                <w:color w:val="auto"/>
                <w:sz w:val="18"/>
                <w:szCs w:val="18"/>
                <w:highlight w:val="none"/>
              </w:rPr>
              <w:t>标准(</w:t>
            </w:r>
            <w:r>
              <w:rPr>
                <w:color w:val="auto"/>
                <w:sz w:val="18"/>
                <w:szCs w:val="18"/>
                <w:highlight w:val="none"/>
              </w:rPr>
              <w:fldChar w:fldCharType="begin"/>
            </w:r>
            <w:r>
              <w:rPr>
                <w:color w:val="auto"/>
                <w:sz w:val="18"/>
                <w:szCs w:val="18"/>
                <w:highlight w:val="none"/>
              </w:rPr>
              <w:instrText xml:space="preserve"> </w:instrText>
            </w:r>
            <w:r>
              <w:rPr>
                <w:rFonts w:hint="eastAsia"/>
                <w:color w:val="auto"/>
                <w:sz w:val="18"/>
                <w:szCs w:val="18"/>
                <w:highlight w:val="none"/>
              </w:rPr>
              <w:instrText xml:space="preserve">= 5 \* ROMAN</w:instrText>
            </w:r>
            <w:r>
              <w:rPr>
                <w:color w:val="auto"/>
                <w:sz w:val="18"/>
                <w:szCs w:val="18"/>
                <w:highlight w:val="none"/>
              </w:rPr>
              <w:instrText xml:space="preserve"> </w:instrText>
            </w:r>
            <w:r>
              <w:rPr>
                <w:color w:val="auto"/>
                <w:sz w:val="18"/>
                <w:szCs w:val="18"/>
                <w:highlight w:val="none"/>
              </w:rPr>
              <w:fldChar w:fldCharType="separate"/>
            </w:r>
            <w:r>
              <w:rPr>
                <w:color w:val="auto"/>
                <w:sz w:val="18"/>
                <w:szCs w:val="18"/>
                <w:highlight w:val="none"/>
              </w:rPr>
              <w:t>V</w:t>
            </w:r>
            <w:r>
              <w:rPr>
                <w:color w:val="auto"/>
                <w:sz w:val="18"/>
                <w:szCs w:val="18"/>
                <w:highlight w:val="none"/>
              </w:rPr>
              <w:fldChar w:fldCharType="end"/>
            </w:r>
            <w:r>
              <w:rPr>
                <w:color w:val="auto"/>
                <w:sz w:val="18"/>
                <w:szCs w:val="18"/>
                <w:highlight w:val="none"/>
              </w:rPr>
              <w:t>类)</w:t>
            </w:r>
          </w:p>
        </w:tc>
        <w:tc>
          <w:tcPr>
            <w:tcW w:w="711" w:type="dxa"/>
            <w:shd w:val="clear" w:color="auto" w:fill="auto"/>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6~9</w:t>
            </w:r>
          </w:p>
        </w:tc>
        <w:tc>
          <w:tcPr>
            <w:tcW w:w="823" w:type="dxa"/>
            <w:shd w:val="clear" w:color="auto" w:fill="auto"/>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40</w:t>
            </w:r>
          </w:p>
        </w:tc>
        <w:tc>
          <w:tcPr>
            <w:tcW w:w="806" w:type="dxa"/>
            <w:shd w:val="clear" w:color="auto" w:fill="auto"/>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10</w:t>
            </w:r>
          </w:p>
        </w:tc>
        <w:tc>
          <w:tcPr>
            <w:tcW w:w="816" w:type="dxa"/>
            <w:shd w:val="clear" w:color="auto" w:fill="auto"/>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2.0</w:t>
            </w:r>
          </w:p>
        </w:tc>
        <w:tc>
          <w:tcPr>
            <w:tcW w:w="816" w:type="dxa"/>
            <w:shd w:val="clear" w:color="auto" w:fill="auto"/>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w:t>
            </w:r>
          </w:p>
        </w:tc>
        <w:tc>
          <w:tcPr>
            <w:tcW w:w="816" w:type="dxa"/>
            <w:shd w:val="clear" w:color="auto" w:fill="auto"/>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15</w:t>
            </w:r>
          </w:p>
        </w:tc>
        <w:tc>
          <w:tcPr>
            <w:tcW w:w="816" w:type="dxa"/>
            <w:shd w:val="clear" w:color="auto" w:fill="auto"/>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0.4</w:t>
            </w:r>
          </w:p>
        </w:tc>
        <w:tc>
          <w:tcPr>
            <w:tcW w:w="817" w:type="dxa"/>
            <w:shd w:val="clear" w:color="auto" w:fill="auto"/>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1.0</w:t>
            </w:r>
          </w:p>
        </w:tc>
        <w:tc>
          <w:tcPr>
            <w:tcW w:w="752" w:type="dxa"/>
            <w:shd w:val="clear" w:color="auto" w:fill="auto"/>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1.0</w:t>
            </w:r>
          </w:p>
        </w:tc>
        <w:tc>
          <w:tcPr>
            <w:tcW w:w="820" w:type="dxa"/>
            <w:shd w:val="clear" w:color="auto" w:fill="auto"/>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2.0</w:t>
            </w:r>
          </w:p>
        </w:tc>
        <w:tc>
          <w:tcPr>
            <w:tcW w:w="817" w:type="dxa"/>
            <w:shd w:val="clear" w:color="auto" w:fill="auto"/>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0.02</w:t>
            </w:r>
          </w:p>
        </w:tc>
        <w:tc>
          <w:tcPr>
            <w:tcW w:w="817" w:type="dxa"/>
            <w:shd w:val="clear" w:color="auto" w:fill="auto"/>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250</w:t>
            </w:r>
          </w:p>
        </w:tc>
        <w:tc>
          <w:tcPr>
            <w:tcW w:w="769" w:type="dxa"/>
            <w:shd w:val="clear" w:color="auto" w:fill="auto"/>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0.1</w:t>
            </w:r>
          </w:p>
        </w:tc>
        <w:tc>
          <w:tcPr>
            <w:tcW w:w="919" w:type="dxa"/>
            <w:shd w:val="clear" w:color="auto" w:fill="auto"/>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0.3</w:t>
            </w:r>
          </w:p>
        </w:tc>
        <w:tc>
          <w:tcPr>
            <w:tcW w:w="1084" w:type="dxa"/>
            <w:shd w:val="clear" w:color="auto" w:fill="auto"/>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40000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717" w:type="dxa"/>
            <w:vMerge w:val="restart"/>
            <w:shd w:val="clear" w:color="auto" w:fill="auto"/>
            <w:vAlign w:val="center"/>
          </w:tcPr>
          <w:p>
            <w:pPr>
              <w:jc w:val="center"/>
              <w:rPr>
                <w:color w:val="auto"/>
                <w:sz w:val="18"/>
                <w:szCs w:val="18"/>
                <w:highlight w:val="none"/>
              </w:rPr>
            </w:pPr>
            <w:r>
              <w:rPr>
                <w:rFonts w:hint="eastAsia"/>
                <w:color w:val="auto"/>
                <w:sz w:val="18"/>
                <w:szCs w:val="18"/>
                <w:highlight w:val="none"/>
              </w:rPr>
              <w:t>2#镰湾河污水净化有限公司排水下游1000m</w:t>
            </w:r>
          </w:p>
        </w:tc>
        <w:tc>
          <w:tcPr>
            <w:tcW w:w="1052" w:type="dxa"/>
            <w:shd w:val="clear" w:color="auto" w:fill="auto"/>
            <w:vAlign w:val="center"/>
          </w:tcPr>
          <w:p>
            <w:pPr>
              <w:jc w:val="center"/>
              <w:rPr>
                <w:rFonts w:hint="eastAsia"/>
                <w:color w:val="auto"/>
                <w:sz w:val="18"/>
                <w:szCs w:val="18"/>
                <w:highlight w:val="none"/>
                <w:lang w:val="en-US" w:eastAsia="zh-CN"/>
              </w:rPr>
            </w:pPr>
            <w:r>
              <w:rPr>
                <w:rFonts w:hint="eastAsia"/>
                <w:color w:val="auto"/>
                <w:sz w:val="18"/>
                <w:szCs w:val="18"/>
                <w:highlight w:val="none"/>
              </w:rPr>
              <w:t>0</w:t>
            </w:r>
            <w:r>
              <w:rPr>
                <w:rFonts w:hint="eastAsia"/>
                <w:color w:val="auto"/>
                <w:sz w:val="18"/>
                <w:szCs w:val="18"/>
                <w:highlight w:val="none"/>
                <w:lang w:val="en-US" w:eastAsia="zh-CN"/>
              </w:rPr>
              <w:t>9.13</w:t>
            </w:r>
          </w:p>
          <w:p>
            <w:pPr>
              <w:jc w:val="center"/>
              <w:rPr>
                <w:color w:val="auto"/>
                <w:sz w:val="18"/>
                <w:szCs w:val="18"/>
                <w:highlight w:val="none"/>
                <w:lang w:val="en-US"/>
              </w:rPr>
            </w:pPr>
            <w:r>
              <w:rPr>
                <w:rFonts w:hint="eastAsia"/>
                <w:color w:val="auto"/>
                <w:sz w:val="18"/>
                <w:szCs w:val="18"/>
                <w:highlight w:val="none"/>
              </w:rPr>
              <w:t>1</w:t>
            </w:r>
            <w:r>
              <w:rPr>
                <w:rFonts w:hint="eastAsia"/>
                <w:color w:val="auto"/>
                <w:sz w:val="18"/>
                <w:szCs w:val="18"/>
                <w:highlight w:val="none"/>
                <w:lang w:val="en-US" w:eastAsia="zh-CN"/>
              </w:rPr>
              <w:t>3:25</w:t>
            </w:r>
          </w:p>
        </w:tc>
        <w:tc>
          <w:tcPr>
            <w:tcW w:w="711" w:type="dxa"/>
            <w:shd w:val="clear" w:color="auto" w:fill="auto"/>
            <w:vAlign w:val="center"/>
          </w:tcPr>
          <w:p>
            <w:pPr>
              <w:adjustRightInd w:val="0"/>
              <w:snapToGrid w:val="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rPr>
              <w:t>7.</w:t>
            </w:r>
            <w:r>
              <w:rPr>
                <w:rFonts w:hint="default" w:ascii="Times New Roman" w:hAnsi="Times New Roman" w:cs="Times New Roman"/>
                <w:color w:val="auto"/>
                <w:sz w:val="18"/>
                <w:szCs w:val="18"/>
                <w:highlight w:val="none"/>
                <w:lang w:val="en-US" w:eastAsia="zh-CN"/>
              </w:rPr>
              <w:t>62</w:t>
            </w:r>
          </w:p>
        </w:tc>
        <w:tc>
          <w:tcPr>
            <w:tcW w:w="823" w:type="dxa"/>
            <w:shd w:val="clear" w:color="auto" w:fill="auto"/>
            <w:vAlign w:val="center"/>
          </w:tcPr>
          <w:p>
            <w:pPr>
              <w:adjustRightInd w:val="0"/>
              <w:snapToGrid w:val="0"/>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rPr>
              <w:t>3</w:t>
            </w:r>
            <w:r>
              <w:rPr>
                <w:rFonts w:hint="default" w:ascii="Times New Roman" w:hAnsi="Times New Roman" w:cs="Times New Roman"/>
                <w:color w:val="auto"/>
                <w:sz w:val="18"/>
                <w:szCs w:val="18"/>
                <w:highlight w:val="none"/>
                <w:lang w:val="en-US" w:eastAsia="zh-CN"/>
              </w:rPr>
              <w:t>9</w:t>
            </w:r>
          </w:p>
        </w:tc>
        <w:tc>
          <w:tcPr>
            <w:tcW w:w="806" w:type="dxa"/>
            <w:shd w:val="clear" w:color="auto" w:fill="auto"/>
            <w:vAlign w:val="center"/>
          </w:tcPr>
          <w:p>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9.1</w:t>
            </w:r>
          </w:p>
        </w:tc>
        <w:tc>
          <w:tcPr>
            <w:tcW w:w="816" w:type="dxa"/>
            <w:shd w:val="clear" w:color="auto" w:fill="auto"/>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0.502</w:t>
            </w:r>
          </w:p>
        </w:tc>
        <w:tc>
          <w:tcPr>
            <w:tcW w:w="816" w:type="dxa"/>
            <w:shd w:val="clear" w:color="auto" w:fill="auto"/>
            <w:vAlign w:val="center"/>
          </w:tcPr>
          <w:p>
            <w:pPr>
              <w:adjustRightInd w:val="0"/>
              <w:snapToGrid w:val="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6.8</w:t>
            </w:r>
          </w:p>
        </w:tc>
        <w:tc>
          <w:tcPr>
            <w:tcW w:w="816" w:type="dxa"/>
            <w:shd w:val="clear" w:color="auto" w:fill="auto"/>
            <w:vAlign w:val="center"/>
          </w:tcPr>
          <w:p>
            <w:pPr>
              <w:adjustRightInd w:val="0"/>
              <w:snapToGrid w:val="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5.3</w:t>
            </w:r>
          </w:p>
        </w:tc>
        <w:tc>
          <w:tcPr>
            <w:tcW w:w="816" w:type="dxa"/>
            <w:shd w:val="clear" w:color="auto" w:fill="EEECE1" w:themeFill="background2"/>
            <w:vAlign w:val="center"/>
          </w:tcPr>
          <w:p>
            <w:pPr>
              <w:adjustRightInd w:val="0"/>
              <w:snapToGrid w:val="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rPr>
              <w:t>0.</w:t>
            </w:r>
            <w:r>
              <w:rPr>
                <w:rFonts w:hint="default" w:ascii="Times New Roman" w:hAnsi="Times New Roman" w:cs="Times New Roman"/>
                <w:color w:val="auto"/>
                <w:sz w:val="18"/>
                <w:szCs w:val="18"/>
                <w:highlight w:val="none"/>
                <w:lang w:val="en-US" w:eastAsia="zh-CN"/>
              </w:rPr>
              <w:t>49</w:t>
            </w:r>
          </w:p>
        </w:tc>
        <w:tc>
          <w:tcPr>
            <w:tcW w:w="817" w:type="dxa"/>
            <w:shd w:val="clear" w:color="auto" w:fill="auto"/>
            <w:vAlign w:val="center"/>
          </w:tcPr>
          <w:p>
            <w:pPr>
              <w:adjustRightInd w:val="0"/>
              <w:snapToGrid w:val="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rPr>
              <w:t>0.</w:t>
            </w:r>
            <w:r>
              <w:rPr>
                <w:rFonts w:hint="default" w:ascii="Times New Roman" w:hAnsi="Times New Roman" w:cs="Times New Roman"/>
                <w:color w:val="auto"/>
                <w:sz w:val="18"/>
                <w:szCs w:val="18"/>
                <w:highlight w:val="none"/>
                <w:lang w:val="en-US" w:eastAsia="zh-CN"/>
              </w:rPr>
              <w:t>42</w:t>
            </w:r>
          </w:p>
        </w:tc>
        <w:tc>
          <w:tcPr>
            <w:tcW w:w="752" w:type="dxa"/>
            <w:shd w:val="clear" w:color="auto" w:fill="auto"/>
            <w:vAlign w:val="center"/>
          </w:tcPr>
          <w:p>
            <w:pPr>
              <w:adjustRightInd w:val="0"/>
              <w:snapToGrid w:val="0"/>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rPr>
              <w:t>0.01</w:t>
            </w:r>
            <w:r>
              <w:rPr>
                <w:rFonts w:hint="default" w:ascii="Times New Roman" w:hAnsi="Times New Roman" w:cs="Times New Roman"/>
                <w:color w:val="auto"/>
                <w:sz w:val="18"/>
                <w:szCs w:val="18"/>
                <w:highlight w:val="none"/>
                <w:lang w:val="en-US" w:eastAsia="zh-CN"/>
              </w:rPr>
              <w:t>9</w:t>
            </w:r>
          </w:p>
        </w:tc>
        <w:tc>
          <w:tcPr>
            <w:tcW w:w="820" w:type="dxa"/>
            <w:shd w:val="clear" w:color="auto" w:fill="auto"/>
            <w:vAlign w:val="center"/>
          </w:tcPr>
          <w:p>
            <w:pPr>
              <w:adjustRightInd w:val="0"/>
              <w:snapToGrid w:val="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rPr>
              <w:t>0.0</w:t>
            </w:r>
            <w:r>
              <w:rPr>
                <w:rFonts w:hint="default" w:ascii="Times New Roman" w:hAnsi="Times New Roman" w:cs="Times New Roman"/>
                <w:color w:val="auto"/>
                <w:sz w:val="18"/>
                <w:szCs w:val="18"/>
                <w:highlight w:val="none"/>
                <w:lang w:val="en-US" w:eastAsia="zh-CN"/>
              </w:rPr>
              <w:t>62</w:t>
            </w:r>
          </w:p>
        </w:tc>
        <w:tc>
          <w:tcPr>
            <w:tcW w:w="817" w:type="dxa"/>
            <w:shd w:val="clear" w:color="auto" w:fill="auto"/>
            <w:vAlign w:val="center"/>
          </w:tcPr>
          <w:p>
            <w:pPr>
              <w:adjustRightInd w:val="0"/>
              <w:snapToGrid w:val="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0.0</w:t>
            </w:r>
            <w:r>
              <w:rPr>
                <w:rFonts w:hint="eastAsia" w:cs="Times New Roman"/>
                <w:color w:val="auto"/>
                <w:sz w:val="18"/>
                <w:szCs w:val="18"/>
                <w:highlight w:val="none"/>
                <w:lang w:val="en-US" w:eastAsia="zh-CN"/>
              </w:rPr>
              <w:t>16</w:t>
            </w:r>
          </w:p>
        </w:tc>
        <w:tc>
          <w:tcPr>
            <w:tcW w:w="817" w:type="dxa"/>
            <w:shd w:val="clear" w:color="auto" w:fill="auto"/>
            <w:vAlign w:val="center"/>
          </w:tcPr>
          <w:p>
            <w:pPr>
              <w:adjustRightInd w:val="0"/>
              <w:snapToGrid w:val="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91.7</w:t>
            </w:r>
          </w:p>
        </w:tc>
        <w:tc>
          <w:tcPr>
            <w:tcW w:w="769" w:type="dxa"/>
            <w:shd w:val="clear" w:color="auto" w:fill="auto"/>
            <w:vAlign w:val="center"/>
          </w:tcPr>
          <w:p>
            <w:pPr>
              <w:adjustRightInd w:val="0"/>
              <w:snapToGrid w:val="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eastAsia="zh-CN"/>
              </w:rPr>
              <w:t>＜</w:t>
            </w:r>
            <w:r>
              <w:rPr>
                <w:rFonts w:hint="default" w:ascii="Times New Roman" w:hAnsi="Times New Roman" w:cs="Times New Roman"/>
                <w:color w:val="auto"/>
                <w:sz w:val="18"/>
                <w:szCs w:val="18"/>
                <w:highlight w:val="none"/>
                <w:lang w:val="en-US" w:eastAsia="zh-CN"/>
              </w:rPr>
              <w:t>0.004</w:t>
            </w:r>
          </w:p>
        </w:tc>
        <w:tc>
          <w:tcPr>
            <w:tcW w:w="919" w:type="dxa"/>
            <w:shd w:val="clear" w:color="auto" w:fill="EEECE1" w:themeFill="background2"/>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0.92</w:t>
            </w:r>
          </w:p>
        </w:tc>
        <w:tc>
          <w:tcPr>
            <w:tcW w:w="1084" w:type="dxa"/>
            <w:shd w:val="clear" w:color="auto" w:fill="auto"/>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eastAsia="zh-CN"/>
              </w:rPr>
              <w:t>≥</w:t>
            </w:r>
            <w:r>
              <w:rPr>
                <w:rFonts w:hint="default" w:ascii="Times New Roman" w:hAnsi="Times New Roman" w:cs="Times New Roman"/>
                <w:color w:val="auto"/>
                <w:sz w:val="18"/>
                <w:szCs w:val="18"/>
                <w:highlight w:val="none"/>
                <w:lang w:val="en-US" w:eastAsia="zh-CN"/>
              </w:rPr>
              <w:t>24000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717" w:type="dxa"/>
            <w:vMerge w:val="continue"/>
            <w:shd w:val="clear" w:color="auto" w:fill="auto"/>
            <w:vAlign w:val="center"/>
          </w:tcPr>
          <w:p>
            <w:pPr>
              <w:jc w:val="center"/>
              <w:rPr>
                <w:color w:val="auto"/>
                <w:sz w:val="18"/>
                <w:szCs w:val="18"/>
                <w:highlight w:val="none"/>
              </w:rPr>
            </w:pPr>
          </w:p>
        </w:tc>
        <w:tc>
          <w:tcPr>
            <w:tcW w:w="1052" w:type="dxa"/>
            <w:shd w:val="clear" w:color="auto" w:fill="auto"/>
            <w:vAlign w:val="center"/>
          </w:tcPr>
          <w:p>
            <w:pPr>
              <w:jc w:val="center"/>
              <w:rPr>
                <w:color w:val="auto"/>
                <w:sz w:val="18"/>
                <w:szCs w:val="18"/>
                <w:highlight w:val="none"/>
                <w:lang w:val="en-US"/>
              </w:rPr>
            </w:pPr>
            <w:r>
              <w:rPr>
                <w:rFonts w:hint="eastAsia"/>
                <w:color w:val="auto"/>
                <w:sz w:val="18"/>
                <w:szCs w:val="18"/>
                <w:highlight w:val="none"/>
              </w:rPr>
              <w:t>0</w:t>
            </w:r>
            <w:r>
              <w:rPr>
                <w:rFonts w:hint="eastAsia"/>
                <w:color w:val="auto"/>
                <w:sz w:val="18"/>
                <w:szCs w:val="18"/>
                <w:highlight w:val="none"/>
                <w:lang w:val="en-US" w:eastAsia="zh-CN"/>
              </w:rPr>
              <w:t>9.14</w:t>
            </w:r>
            <w:r>
              <w:rPr>
                <w:rFonts w:hint="eastAsia"/>
                <w:color w:val="auto"/>
                <w:sz w:val="18"/>
                <w:szCs w:val="18"/>
                <w:highlight w:val="none"/>
              </w:rPr>
              <w:t xml:space="preserve">  1</w:t>
            </w:r>
            <w:r>
              <w:rPr>
                <w:rFonts w:hint="eastAsia"/>
                <w:color w:val="auto"/>
                <w:sz w:val="18"/>
                <w:szCs w:val="18"/>
                <w:highlight w:val="none"/>
                <w:lang w:val="en-US" w:eastAsia="zh-CN"/>
              </w:rPr>
              <w:t>3:51</w:t>
            </w:r>
          </w:p>
        </w:tc>
        <w:tc>
          <w:tcPr>
            <w:tcW w:w="711" w:type="dxa"/>
            <w:shd w:val="clear" w:color="auto" w:fill="auto"/>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rPr>
              <w:t>7.</w:t>
            </w:r>
            <w:r>
              <w:rPr>
                <w:rFonts w:hint="default" w:ascii="Times New Roman" w:hAnsi="Times New Roman" w:cs="Times New Roman"/>
                <w:color w:val="auto"/>
                <w:sz w:val="18"/>
                <w:szCs w:val="18"/>
                <w:highlight w:val="none"/>
                <w:lang w:val="en-US" w:eastAsia="zh-CN"/>
              </w:rPr>
              <w:t>73</w:t>
            </w:r>
          </w:p>
        </w:tc>
        <w:tc>
          <w:tcPr>
            <w:tcW w:w="823" w:type="dxa"/>
            <w:shd w:val="clear" w:color="auto" w:fill="auto"/>
            <w:vAlign w:val="center"/>
          </w:tcPr>
          <w:p>
            <w:pPr>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rPr>
              <w:t>3</w:t>
            </w:r>
            <w:r>
              <w:rPr>
                <w:rFonts w:hint="default" w:ascii="Times New Roman" w:hAnsi="Times New Roman" w:cs="Times New Roman"/>
                <w:color w:val="auto"/>
                <w:sz w:val="18"/>
                <w:szCs w:val="18"/>
                <w:highlight w:val="none"/>
                <w:lang w:val="en-US" w:eastAsia="zh-CN"/>
              </w:rPr>
              <w:t>6</w:t>
            </w:r>
          </w:p>
        </w:tc>
        <w:tc>
          <w:tcPr>
            <w:tcW w:w="806" w:type="dxa"/>
            <w:shd w:val="clear" w:color="auto" w:fill="auto"/>
            <w:vAlign w:val="center"/>
          </w:tcPr>
          <w:p>
            <w:pPr>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9.0</w:t>
            </w:r>
          </w:p>
        </w:tc>
        <w:tc>
          <w:tcPr>
            <w:tcW w:w="816" w:type="dxa"/>
            <w:shd w:val="clear" w:color="auto" w:fill="auto"/>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0.675</w:t>
            </w:r>
          </w:p>
        </w:tc>
        <w:tc>
          <w:tcPr>
            <w:tcW w:w="816" w:type="dxa"/>
            <w:shd w:val="clear" w:color="auto" w:fill="auto"/>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6.9</w:t>
            </w:r>
          </w:p>
        </w:tc>
        <w:tc>
          <w:tcPr>
            <w:tcW w:w="816" w:type="dxa"/>
            <w:shd w:val="clear" w:color="auto" w:fill="auto"/>
            <w:vAlign w:val="center"/>
          </w:tcPr>
          <w:p>
            <w:pPr>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rPr>
              <w:t>5.</w:t>
            </w:r>
            <w:r>
              <w:rPr>
                <w:rFonts w:hint="default" w:ascii="Times New Roman" w:hAnsi="Times New Roman" w:cs="Times New Roman"/>
                <w:color w:val="auto"/>
                <w:sz w:val="18"/>
                <w:szCs w:val="18"/>
                <w:highlight w:val="none"/>
                <w:lang w:val="en-US" w:eastAsia="zh-CN"/>
              </w:rPr>
              <w:t>3</w:t>
            </w:r>
          </w:p>
        </w:tc>
        <w:tc>
          <w:tcPr>
            <w:tcW w:w="816" w:type="dxa"/>
            <w:shd w:val="clear" w:color="auto" w:fill="EEECE1" w:themeFill="background2"/>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rPr>
              <w:t>0.</w:t>
            </w:r>
            <w:r>
              <w:rPr>
                <w:rFonts w:hint="default" w:ascii="Times New Roman" w:hAnsi="Times New Roman" w:cs="Times New Roman"/>
                <w:color w:val="auto"/>
                <w:sz w:val="18"/>
                <w:szCs w:val="18"/>
                <w:highlight w:val="none"/>
                <w:lang w:val="en-US" w:eastAsia="zh-CN"/>
              </w:rPr>
              <w:t>60</w:t>
            </w:r>
          </w:p>
        </w:tc>
        <w:tc>
          <w:tcPr>
            <w:tcW w:w="817" w:type="dxa"/>
            <w:shd w:val="clear" w:color="auto" w:fill="auto"/>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rPr>
              <w:t>0.</w:t>
            </w:r>
            <w:r>
              <w:rPr>
                <w:rFonts w:hint="default" w:ascii="Times New Roman" w:hAnsi="Times New Roman" w:cs="Times New Roman"/>
                <w:color w:val="auto"/>
                <w:sz w:val="18"/>
                <w:szCs w:val="18"/>
                <w:highlight w:val="none"/>
                <w:lang w:val="en-US" w:eastAsia="zh-CN"/>
              </w:rPr>
              <w:t>39</w:t>
            </w:r>
          </w:p>
        </w:tc>
        <w:tc>
          <w:tcPr>
            <w:tcW w:w="752" w:type="dxa"/>
            <w:shd w:val="clear" w:color="auto" w:fill="auto"/>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0.018</w:t>
            </w:r>
          </w:p>
        </w:tc>
        <w:tc>
          <w:tcPr>
            <w:tcW w:w="820" w:type="dxa"/>
            <w:shd w:val="clear" w:color="auto" w:fill="auto"/>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rPr>
              <w:t>0.0</w:t>
            </w:r>
            <w:r>
              <w:rPr>
                <w:rFonts w:hint="default" w:ascii="Times New Roman" w:hAnsi="Times New Roman" w:cs="Times New Roman"/>
                <w:color w:val="auto"/>
                <w:sz w:val="18"/>
                <w:szCs w:val="18"/>
                <w:highlight w:val="none"/>
                <w:lang w:val="en-US" w:eastAsia="zh-CN"/>
              </w:rPr>
              <w:t>70</w:t>
            </w:r>
          </w:p>
        </w:tc>
        <w:tc>
          <w:tcPr>
            <w:tcW w:w="817" w:type="dxa"/>
            <w:shd w:val="clear" w:color="auto" w:fill="auto"/>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0.0</w:t>
            </w:r>
            <w:r>
              <w:rPr>
                <w:rFonts w:hint="eastAsia" w:cs="Times New Roman"/>
                <w:color w:val="auto"/>
                <w:sz w:val="18"/>
                <w:szCs w:val="18"/>
                <w:highlight w:val="none"/>
                <w:lang w:val="en-US" w:eastAsia="zh-CN"/>
              </w:rPr>
              <w:t>1</w:t>
            </w:r>
            <w:r>
              <w:rPr>
                <w:rFonts w:hint="default" w:ascii="Times New Roman" w:hAnsi="Times New Roman" w:cs="Times New Roman"/>
                <w:color w:val="auto"/>
                <w:sz w:val="18"/>
                <w:szCs w:val="18"/>
                <w:highlight w:val="none"/>
                <w:lang w:val="en-US" w:eastAsia="zh-CN"/>
              </w:rPr>
              <w:t>3</w:t>
            </w:r>
          </w:p>
        </w:tc>
        <w:tc>
          <w:tcPr>
            <w:tcW w:w="817" w:type="dxa"/>
            <w:shd w:val="clear" w:color="auto" w:fill="auto"/>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93.4</w:t>
            </w:r>
          </w:p>
        </w:tc>
        <w:tc>
          <w:tcPr>
            <w:tcW w:w="769" w:type="dxa"/>
            <w:shd w:val="clear" w:color="auto" w:fill="auto"/>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eastAsia="zh-CN"/>
              </w:rPr>
              <w:t>＜</w:t>
            </w:r>
            <w:r>
              <w:rPr>
                <w:rFonts w:hint="default" w:ascii="Times New Roman" w:hAnsi="Times New Roman" w:cs="Times New Roman"/>
                <w:color w:val="auto"/>
                <w:sz w:val="18"/>
                <w:szCs w:val="18"/>
                <w:highlight w:val="none"/>
                <w:lang w:val="en-US" w:eastAsia="zh-CN"/>
              </w:rPr>
              <w:t>0.004</w:t>
            </w:r>
          </w:p>
        </w:tc>
        <w:tc>
          <w:tcPr>
            <w:tcW w:w="919" w:type="dxa"/>
            <w:shd w:val="clear" w:color="auto" w:fill="EEECE1" w:themeFill="background2"/>
            <w:vAlign w:val="center"/>
          </w:tcPr>
          <w:p>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0.90</w:t>
            </w:r>
          </w:p>
        </w:tc>
        <w:tc>
          <w:tcPr>
            <w:tcW w:w="1084" w:type="dxa"/>
            <w:shd w:val="clear" w:color="auto" w:fill="auto"/>
            <w:vAlign w:val="center"/>
          </w:tcPr>
          <w:p>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eastAsia="zh-CN"/>
              </w:rPr>
              <w:t>≥</w:t>
            </w:r>
            <w:r>
              <w:rPr>
                <w:rFonts w:hint="default" w:ascii="Times New Roman" w:hAnsi="Times New Roman" w:cs="Times New Roman"/>
                <w:color w:val="auto"/>
                <w:sz w:val="18"/>
                <w:szCs w:val="18"/>
                <w:highlight w:val="none"/>
                <w:lang w:val="en-US" w:eastAsia="zh-CN"/>
              </w:rPr>
              <w:t>24000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717" w:type="dxa"/>
            <w:vMerge w:val="continue"/>
            <w:shd w:val="clear" w:color="auto" w:fill="auto"/>
            <w:vAlign w:val="center"/>
          </w:tcPr>
          <w:p>
            <w:pPr>
              <w:jc w:val="center"/>
              <w:rPr>
                <w:color w:val="auto"/>
                <w:sz w:val="18"/>
                <w:szCs w:val="18"/>
                <w:highlight w:val="none"/>
              </w:rPr>
            </w:pPr>
          </w:p>
        </w:tc>
        <w:tc>
          <w:tcPr>
            <w:tcW w:w="1052" w:type="dxa"/>
            <w:shd w:val="clear" w:color="auto" w:fill="auto"/>
            <w:vAlign w:val="center"/>
          </w:tcPr>
          <w:p>
            <w:pPr>
              <w:jc w:val="center"/>
              <w:rPr>
                <w:color w:val="auto"/>
                <w:sz w:val="18"/>
                <w:szCs w:val="18"/>
                <w:highlight w:val="none"/>
              </w:rPr>
            </w:pPr>
            <w:r>
              <w:rPr>
                <w:color w:val="auto"/>
                <w:sz w:val="18"/>
                <w:szCs w:val="18"/>
                <w:highlight w:val="none"/>
              </w:rPr>
              <w:t>最大污染指数</w:t>
            </w:r>
          </w:p>
        </w:tc>
        <w:tc>
          <w:tcPr>
            <w:tcW w:w="711" w:type="dxa"/>
            <w:shd w:val="clear" w:color="auto" w:fill="auto"/>
            <w:vAlign w:val="center"/>
          </w:tcPr>
          <w:p>
            <w:pPr>
              <w:keepNext w:val="0"/>
              <w:keepLines w:val="0"/>
              <w:widowControl/>
              <w:suppressLineNumbers w:val="0"/>
              <w:jc w:val="center"/>
              <w:textAlignment w:val="bottom"/>
              <w:rPr>
                <w:rFonts w:hint="default" w:ascii="Times New Roman" w:hAnsi="Times New Roman" w:cs="Times New Roman"/>
                <w:color w:val="auto"/>
                <w:sz w:val="18"/>
                <w:szCs w:val="18"/>
                <w:highlight w:val="none"/>
              </w:rPr>
            </w:pPr>
            <w:r>
              <w:rPr>
                <w:rFonts w:hint="default" w:ascii="Times New Roman" w:hAnsi="Times New Roman" w:eastAsia="宋体" w:cs="Times New Roman"/>
                <w:i w:val="0"/>
                <w:color w:val="auto"/>
                <w:kern w:val="0"/>
                <w:sz w:val="18"/>
                <w:szCs w:val="18"/>
                <w:highlight w:val="none"/>
                <w:u w:val="none"/>
                <w:lang w:val="en-US" w:eastAsia="zh-CN" w:bidi="ar"/>
              </w:rPr>
              <w:t>0.365</w:t>
            </w:r>
          </w:p>
        </w:tc>
        <w:tc>
          <w:tcPr>
            <w:tcW w:w="823" w:type="dxa"/>
            <w:shd w:val="clear" w:color="auto" w:fill="auto"/>
            <w:vAlign w:val="center"/>
          </w:tcPr>
          <w:p>
            <w:pPr>
              <w:keepNext w:val="0"/>
              <w:keepLines w:val="0"/>
              <w:widowControl/>
              <w:suppressLineNumbers w:val="0"/>
              <w:jc w:val="center"/>
              <w:textAlignment w:val="bottom"/>
              <w:rPr>
                <w:rFonts w:hint="default" w:ascii="Times New Roman" w:hAnsi="Times New Roman" w:cs="Times New Roman"/>
                <w:color w:val="auto"/>
                <w:sz w:val="18"/>
                <w:szCs w:val="18"/>
                <w:highlight w:val="none"/>
                <w:lang w:val="en-US"/>
              </w:rPr>
            </w:pPr>
            <w:r>
              <w:rPr>
                <w:rFonts w:hint="default" w:ascii="Times New Roman" w:hAnsi="Times New Roman" w:eastAsia="宋体" w:cs="Times New Roman"/>
                <w:i w:val="0"/>
                <w:color w:val="auto"/>
                <w:kern w:val="0"/>
                <w:sz w:val="18"/>
                <w:szCs w:val="18"/>
                <w:highlight w:val="none"/>
                <w:u w:val="none"/>
                <w:lang w:val="en-US" w:eastAsia="zh-CN" w:bidi="ar"/>
              </w:rPr>
              <w:t>0.9</w:t>
            </w:r>
            <w:r>
              <w:rPr>
                <w:rFonts w:hint="eastAsia" w:ascii="Times New Roman" w:hAnsi="Times New Roman" w:cs="Times New Roman"/>
                <w:i w:val="0"/>
                <w:color w:val="auto"/>
                <w:kern w:val="0"/>
                <w:sz w:val="18"/>
                <w:szCs w:val="18"/>
                <w:highlight w:val="none"/>
                <w:u w:val="none"/>
                <w:lang w:val="en-US" w:eastAsia="zh-CN" w:bidi="ar"/>
              </w:rPr>
              <w:t>75</w:t>
            </w:r>
          </w:p>
        </w:tc>
        <w:tc>
          <w:tcPr>
            <w:tcW w:w="806" w:type="dxa"/>
            <w:shd w:val="clear" w:color="auto" w:fill="auto"/>
            <w:vAlign w:val="center"/>
          </w:tcPr>
          <w:p>
            <w:pPr>
              <w:keepNext w:val="0"/>
              <w:keepLines w:val="0"/>
              <w:widowControl/>
              <w:suppressLineNumbers w:val="0"/>
              <w:jc w:val="center"/>
              <w:textAlignment w:val="bottom"/>
              <w:rPr>
                <w:rFonts w:hint="default" w:ascii="Times New Roman" w:hAnsi="Times New Roman" w:cs="Times New Roman"/>
                <w:color w:val="auto"/>
                <w:sz w:val="18"/>
                <w:szCs w:val="18"/>
                <w:highlight w:val="none"/>
                <w:lang w:val="en-US"/>
              </w:rPr>
            </w:pPr>
            <w:r>
              <w:rPr>
                <w:rFonts w:hint="default" w:ascii="Times New Roman" w:hAnsi="Times New Roman" w:eastAsia="宋体" w:cs="Times New Roman"/>
                <w:i w:val="0"/>
                <w:color w:val="auto"/>
                <w:kern w:val="0"/>
                <w:sz w:val="18"/>
                <w:szCs w:val="18"/>
                <w:highlight w:val="none"/>
                <w:u w:val="none"/>
                <w:lang w:val="en-US" w:eastAsia="zh-CN" w:bidi="ar"/>
              </w:rPr>
              <w:t>0.9</w:t>
            </w:r>
            <w:r>
              <w:rPr>
                <w:rFonts w:hint="eastAsia" w:ascii="Times New Roman" w:hAnsi="Times New Roman" w:cs="Times New Roman"/>
                <w:i w:val="0"/>
                <w:color w:val="auto"/>
                <w:kern w:val="0"/>
                <w:sz w:val="18"/>
                <w:szCs w:val="18"/>
                <w:highlight w:val="none"/>
                <w:u w:val="none"/>
                <w:lang w:val="en-US" w:eastAsia="zh-CN" w:bidi="ar"/>
              </w:rPr>
              <w:t>1</w:t>
            </w:r>
          </w:p>
        </w:tc>
        <w:tc>
          <w:tcPr>
            <w:tcW w:w="816" w:type="dxa"/>
            <w:shd w:val="clear" w:color="auto" w:fill="auto"/>
            <w:vAlign w:val="center"/>
          </w:tcPr>
          <w:p>
            <w:pPr>
              <w:keepNext w:val="0"/>
              <w:keepLines w:val="0"/>
              <w:widowControl/>
              <w:suppressLineNumbers w:val="0"/>
              <w:jc w:val="center"/>
              <w:textAlignment w:val="bottom"/>
              <w:rPr>
                <w:rFonts w:hint="default" w:ascii="Times New Roman" w:hAnsi="Times New Roman" w:cs="Times New Roman"/>
                <w:color w:val="auto"/>
                <w:sz w:val="18"/>
                <w:szCs w:val="18"/>
                <w:highlight w:val="none"/>
              </w:rPr>
            </w:pPr>
            <w:r>
              <w:rPr>
                <w:rFonts w:hint="default" w:ascii="Times New Roman" w:hAnsi="Times New Roman" w:eastAsia="宋体" w:cs="Times New Roman"/>
                <w:i w:val="0"/>
                <w:color w:val="auto"/>
                <w:kern w:val="0"/>
                <w:sz w:val="18"/>
                <w:szCs w:val="18"/>
                <w:highlight w:val="none"/>
                <w:u w:val="none"/>
                <w:lang w:val="en-US" w:eastAsia="zh-CN" w:bidi="ar"/>
              </w:rPr>
              <w:t>0.34</w:t>
            </w:r>
          </w:p>
        </w:tc>
        <w:tc>
          <w:tcPr>
            <w:tcW w:w="816" w:type="dxa"/>
            <w:shd w:val="clear" w:color="auto" w:fill="auto"/>
            <w:vAlign w:val="center"/>
          </w:tcPr>
          <w:p>
            <w:pPr>
              <w:keepNext w:val="0"/>
              <w:keepLines w:val="0"/>
              <w:widowControl/>
              <w:suppressLineNumbers w:val="0"/>
              <w:jc w:val="center"/>
              <w:textAlignment w:val="bottom"/>
              <w:rPr>
                <w:rFonts w:hint="default" w:ascii="Times New Roman" w:hAnsi="Times New Roman" w:cs="Times New Roman"/>
                <w:color w:val="auto"/>
                <w:sz w:val="18"/>
                <w:szCs w:val="18"/>
                <w:highlight w:val="none"/>
              </w:rPr>
            </w:pPr>
            <w:r>
              <w:rPr>
                <w:rFonts w:hint="default" w:ascii="Times New Roman" w:hAnsi="Times New Roman" w:eastAsia="宋体" w:cs="Times New Roman"/>
                <w:i w:val="0"/>
                <w:color w:val="auto"/>
                <w:kern w:val="0"/>
                <w:sz w:val="18"/>
                <w:szCs w:val="18"/>
                <w:highlight w:val="none"/>
                <w:u w:val="none"/>
                <w:lang w:val="en-US" w:eastAsia="zh-CN" w:bidi="ar"/>
              </w:rPr>
              <w:t>0.33</w:t>
            </w:r>
          </w:p>
        </w:tc>
        <w:tc>
          <w:tcPr>
            <w:tcW w:w="816" w:type="dxa"/>
            <w:shd w:val="clear" w:color="auto" w:fill="auto"/>
            <w:vAlign w:val="center"/>
          </w:tcPr>
          <w:p>
            <w:pPr>
              <w:keepNext w:val="0"/>
              <w:keepLines w:val="0"/>
              <w:widowControl/>
              <w:suppressLineNumbers w:val="0"/>
              <w:jc w:val="center"/>
              <w:textAlignment w:val="bottom"/>
              <w:rPr>
                <w:rFonts w:hint="default" w:ascii="Times New Roman" w:hAnsi="Times New Roman" w:cs="Times New Roman"/>
                <w:color w:val="auto"/>
                <w:sz w:val="18"/>
                <w:szCs w:val="18"/>
                <w:highlight w:val="none"/>
              </w:rPr>
            </w:pPr>
            <w:r>
              <w:rPr>
                <w:rFonts w:hint="default" w:ascii="Times New Roman" w:hAnsi="Times New Roman" w:eastAsia="宋体" w:cs="Times New Roman"/>
                <w:i w:val="0"/>
                <w:color w:val="auto"/>
                <w:kern w:val="0"/>
                <w:sz w:val="18"/>
                <w:szCs w:val="18"/>
                <w:highlight w:val="none"/>
                <w:u w:val="none"/>
                <w:lang w:val="en-US" w:eastAsia="zh-CN" w:bidi="ar"/>
              </w:rPr>
              <w:t>0.35</w:t>
            </w:r>
          </w:p>
        </w:tc>
        <w:tc>
          <w:tcPr>
            <w:tcW w:w="816" w:type="dxa"/>
            <w:shd w:val="clear" w:color="auto" w:fill="auto"/>
            <w:vAlign w:val="center"/>
          </w:tcPr>
          <w:p>
            <w:pPr>
              <w:keepNext w:val="0"/>
              <w:keepLines w:val="0"/>
              <w:widowControl/>
              <w:suppressLineNumbers w:val="0"/>
              <w:jc w:val="center"/>
              <w:textAlignment w:val="bottom"/>
              <w:rPr>
                <w:rFonts w:hint="default" w:ascii="Times New Roman" w:hAnsi="Times New Roman" w:cs="Times New Roman"/>
                <w:color w:val="auto"/>
                <w:sz w:val="18"/>
                <w:szCs w:val="18"/>
                <w:highlight w:val="none"/>
              </w:rPr>
            </w:pPr>
            <w:r>
              <w:rPr>
                <w:rFonts w:hint="default" w:ascii="Times New Roman" w:hAnsi="Times New Roman" w:eastAsia="宋体" w:cs="Times New Roman"/>
                <w:i w:val="0"/>
                <w:color w:val="auto"/>
                <w:kern w:val="0"/>
                <w:sz w:val="18"/>
                <w:szCs w:val="18"/>
                <w:highlight w:val="none"/>
                <w:u w:val="none"/>
                <w:lang w:val="en-US" w:eastAsia="zh-CN" w:bidi="ar"/>
              </w:rPr>
              <w:t>1.5</w:t>
            </w:r>
          </w:p>
        </w:tc>
        <w:tc>
          <w:tcPr>
            <w:tcW w:w="817" w:type="dxa"/>
            <w:shd w:val="clear" w:color="auto" w:fill="auto"/>
            <w:vAlign w:val="center"/>
          </w:tcPr>
          <w:p>
            <w:pPr>
              <w:keepNext w:val="0"/>
              <w:keepLines w:val="0"/>
              <w:widowControl/>
              <w:suppressLineNumbers w:val="0"/>
              <w:jc w:val="center"/>
              <w:textAlignment w:val="bottom"/>
              <w:rPr>
                <w:rFonts w:hint="default" w:ascii="Times New Roman" w:hAnsi="Times New Roman" w:cs="Times New Roman"/>
                <w:color w:val="auto"/>
                <w:sz w:val="18"/>
                <w:szCs w:val="18"/>
                <w:highlight w:val="none"/>
              </w:rPr>
            </w:pPr>
            <w:r>
              <w:rPr>
                <w:rFonts w:hint="default" w:ascii="Times New Roman" w:hAnsi="Times New Roman" w:eastAsia="宋体" w:cs="Times New Roman"/>
                <w:i w:val="0"/>
                <w:color w:val="auto"/>
                <w:kern w:val="0"/>
                <w:sz w:val="18"/>
                <w:szCs w:val="18"/>
                <w:highlight w:val="none"/>
                <w:u w:val="none"/>
                <w:lang w:val="en-US" w:eastAsia="zh-CN" w:bidi="ar"/>
              </w:rPr>
              <w:t>0.42</w:t>
            </w:r>
          </w:p>
        </w:tc>
        <w:tc>
          <w:tcPr>
            <w:tcW w:w="752" w:type="dxa"/>
            <w:shd w:val="clear" w:color="auto" w:fill="auto"/>
            <w:vAlign w:val="center"/>
          </w:tcPr>
          <w:p>
            <w:pPr>
              <w:keepNext w:val="0"/>
              <w:keepLines w:val="0"/>
              <w:widowControl/>
              <w:suppressLineNumbers w:val="0"/>
              <w:jc w:val="center"/>
              <w:textAlignment w:val="bottom"/>
              <w:rPr>
                <w:rFonts w:hint="default" w:ascii="Times New Roman" w:hAnsi="Times New Roman" w:cs="Times New Roman"/>
                <w:color w:val="auto"/>
                <w:sz w:val="18"/>
                <w:szCs w:val="18"/>
                <w:highlight w:val="none"/>
              </w:rPr>
            </w:pPr>
            <w:r>
              <w:rPr>
                <w:rFonts w:hint="default" w:ascii="Times New Roman" w:hAnsi="Times New Roman" w:eastAsia="宋体" w:cs="Times New Roman"/>
                <w:i w:val="0"/>
                <w:color w:val="auto"/>
                <w:kern w:val="0"/>
                <w:sz w:val="18"/>
                <w:szCs w:val="18"/>
                <w:highlight w:val="none"/>
                <w:u w:val="none"/>
                <w:lang w:val="en-US" w:eastAsia="zh-CN" w:bidi="ar"/>
              </w:rPr>
              <w:t>0.019</w:t>
            </w:r>
          </w:p>
        </w:tc>
        <w:tc>
          <w:tcPr>
            <w:tcW w:w="820" w:type="dxa"/>
            <w:shd w:val="clear" w:color="auto" w:fill="auto"/>
            <w:vAlign w:val="center"/>
          </w:tcPr>
          <w:p>
            <w:pPr>
              <w:keepNext w:val="0"/>
              <w:keepLines w:val="0"/>
              <w:widowControl/>
              <w:suppressLineNumbers w:val="0"/>
              <w:jc w:val="center"/>
              <w:textAlignment w:val="bottom"/>
              <w:rPr>
                <w:rFonts w:hint="default" w:ascii="Times New Roman" w:hAnsi="Times New Roman" w:cs="Times New Roman"/>
                <w:color w:val="auto"/>
                <w:sz w:val="18"/>
                <w:szCs w:val="18"/>
                <w:highlight w:val="none"/>
              </w:rPr>
            </w:pPr>
            <w:r>
              <w:rPr>
                <w:rFonts w:hint="default" w:ascii="Times New Roman" w:hAnsi="Times New Roman" w:eastAsia="宋体" w:cs="Times New Roman"/>
                <w:i w:val="0"/>
                <w:color w:val="auto"/>
                <w:kern w:val="0"/>
                <w:sz w:val="18"/>
                <w:szCs w:val="18"/>
                <w:highlight w:val="none"/>
                <w:u w:val="none"/>
                <w:lang w:val="en-US" w:eastAsia="zh-CN" w:bidi="ar"/>
              </w:rPr>
              <w:t>0.03</w:t>
            </w:r>
            <w:r>
              <w:rPr>
                <w:rFonts w:hint="eastAsia" w:ascii="Times New Roman" w:hAnsi="Times New Roman" w:cs="Times New Roman"/>
                <w:i w:val="0"/>
                <w:color w:val="auto"/>
                <w:kern w:val="0"/>
                <w:sz w:val="18"/>
                <w:szCs w:val="18"/>
                <w:highlight w:val="none"/>
                <w:u w:val="none"/>
                <w:lang w:val="en-US" w:eastAsia="zh-CN" w:bidi="ar"/>
              </w:rPr>
              <w:t>5</w:t>
            </w:r>
          </w:p>
        </w:tc>
        <w:tc>
          <w:tcPr>
            <w:tcW w:w="817" w:type="dxa"/>
            <w:shd w:val="clear" w:color="auto" w:fill="auto"/>
            <w:vAlign w:val="center"/>
          </w:tcPr>
          <w:p>
            <w:pPr>
              <w:jc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0.8</w:t>
            </w:r>
          </w:p>
        </w:tc>
        <w:tc>
          <w:tcPr>
            <w:tcW w:w="817" w:type="dxa"/>
            <w:shd w:val="clear" w:color="auto" w:fill="auto"/>
            <w:vAlign w:val="center"/>
          </w:tcPr>
          <w:p>
            <w:pPr>
              <w:keepNext w:val="0"/>
              <w:keepLines w:val="0"/>
              <w:widowControl/>
              <w:suppressLineNumbers w:val="0"/>
              <w:jc w:val="center"/>
              <w:textAlignment w:val="bottom"/>
              <w:rPr>
                <w:rFonts w:hint="default" w:ascii="Times New Roman" w:hAnsi="Times New Roman" w:cs="Times New Roman"/>
                <w:color w:val="auto"/>
                <w:sz w:val="18"/>
                <w:szCs w:val="18"/>
                <w:highlight w:val="none"/>
              </w:rPr>
            </w:pPr>
            <w:r>
              <w:rPr>
                <w:rFonts w:hint="default" w:ascii="Times New Roman" w:hAnsi="Times New Roman" w:eastAsia="宋体" w:cs="Times New Roman"/>
                <w:i w:val="0"/>
                <w:color w:val="auto"/>
                <w:kern w:val="0"/>
                <w:sz w:val="18"/>
                <w:szCs w:val="18"/>
                <w:highlight w:val="none"/>
                <w:u w:val="none"/>
                <w:lang w:val="en-US" w:eastAsia="zh-CN" w:bidi="ar"/>
              </w:rPr>
              <w:t>0.37</w:t>
            </w:r>
          </w:p>
        </w:tc>
        <w:tc>
          <w:tcPr>
            <w:tcW w:w="769" w:type="dxa"/>
            <w:shd w:val="clear" w:color="auto" w:fill="auto"/>
            <w:vAlign w:val="center"/>
          </w:tcPr>
          <w:p>
            <w:pPr>
              <w:keepNext w:val="0"/>
              <w:keepLines w:val="0"/>
              <w:widowControl/>
              <w:suppressLineNumbers w:val="0"/>
              <w:jc w:val="center"/>
              <w:textAlignment w:val="bottom"/>
              <w:rPr>
                <w:rFonts w:hint="default" w:ascii="Times New Roman" w:hAnsi="Times New Roman" w:cs="Times New Roman"/>
                <w:color w:val="auto"/>
                <w:sz w:val="18"/>
                <w:szCs w:val="18"/>
                <w:highlight w:val="none"/>
              </w:rPr>
            </w:pPr>
            <w:r>
              <w:rPr>
                <w:rFonts w:hint="default" w:ascii="Times New Roman" w:hAnsi="Times New Roman" w:eastAsia="宋体" w:cs="Times New Roman"/>
                <w:i w:val="0"/>
                <w:color w:val="auto"/>
                <w:kern w:val="0"/>
                <w:sz w:val="18"/>
                <w:szCs w:val="18"/>
                <w:highlight w:val="none"/>
                <w:u w:val="none"/>
                <w:lang w:val="en-US" w:eastAsia="zh-CN" w:bidi="ar"/>
              </w:rPr>
              <w:t>0</w:t>
            </w:r>
          </w:p>
        </w:tc>
        <w:tc>
          <w:tcPr>
            <w:tcW w:w="919" w:type="dxa"/>
            <w:shd w:val="clear" w:color="auto" w:fill="auto"/>
            <w:vAlign w:val="center"/>
          </w:tcPr>
          <w:p>
            <w:pPr>
              <w:keepNext w:val="0"/>
              <w:keepLines w:val="0"/>
              <w:widowControl/>
              <w:suppressLineNumbers w:val="0"/>
              <w:jc w:val="center"/>
              <w:textAlignment w:val="bottom"/>
              <w:rPr>
                <w:rFonts w:hint="default" w:ascii="Times New Roman" w:hAnsi="Times New Roman" w:cs="Times New Roman"/>
                <w:color w:val="auto"/>
                <w:sz w:val="18"/>
                <w:szCs w:val="18"/>
                <w:highlight w:val="none"/>
                <w:lang w:val="en-US"/>
              </w:rPr>
            </w:pPr>
            <w:r>
              <w:rPr>
                <w:rFonts w:hint="default" w:ascii="Times New Roman" w:hAnsi="Times New Roman" w:eastAsia="宋体" w:cs="Times New Roman"/>
                <w:i w:val="0"/>
                <w:color w:val="auto"/>
                <w:kern w:val="0"/>
                <w:sz w:val="18"/>
                <w:szCs w:val="18"/>
                <w:highlight w:val="none"/>
                <w:u w:val="none"/>
                <w:lang w:val="en-US" w:eastAsia="zh-CN" w:bidi="ar"/>
              </w:rPr>
              <w:t>3</w:t>
            </w:r>
            <w:r>
              <w:rPr>
                <w:rFonts w:hint="eastAsia" w:ascii="Times New Roman" w:hAnsi="Times New Roman" w:cs="Times New Roman"/>
                <w:i w:val="0"/>
                <w:color w:val="auto"/>
                <w:kern w:val="0"/>
                <w:sz w:val="18"/>
                <w:szCs w:val="18"/>
                <w:highlight w:val="none"/>
                <w:u w:val="none"/>
                <w:lang w:val="en-US" w:eastAsia="zh-CN" w:bidi="ar"/>
              </w:rPr>
              <w:t>.07</w:t>
            </w:r>
          </w:p>
        </w:tc>
        <w:tc>
          <w:tcPr>
            <w:tcW w:w="1084" w:type="dxa"/>
            <w:shd w:val="clear" w:color="auto" w:fill="auto"/>
            <w:vAlign w:val="center"/>
          </w:tcPr>
          <w:p>
            <w:pPr>
              <w:keepNext w:val="0"/>
              <w:keepLines w:val="0"/>
              <w:widowControl/>
              <w:suppressLineNumbers w:val="0"/>
              <w:jc w:val="center"/>
              <w:textAlignment w:val="bottom"/>
              <w:rPr>
                <w:rFonts w:hint="default" w:ascii="Times New Roman" w:hAnsi="Times New Roman" w:cs="Times New Roman"/>
                <w:color w:val="auto"/>
                <w:sz w:val="18"/>
                <w:szCs w:val="18"/>
                <w:highlight w:val="none"/>
              </w:rPr>
            </w:pPr>
            <w:r>
              <w:rPr>
                <w:rFonts w:hint="default" w:ascii="Times New Roman" w:hAnsi="Times New Roman" w:eastAsia="宋体" w:cs="Times New Roman"/>
                <w:i w:val="0"/>
                <w:color w:val="auto"/>
                <w:kern w:val="0"/>
                <w:sz w:val="18"/>
                <w:szCs w:val="18"/>
                <w:highlight w:val="none"/>
                <w:u w:val="none"/>
                <w:lang w:val="en-US" w:eastAsia="zh-CN" w:bidi="ar"/>
              </w:rPr>
              <w:t>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717" w:type="dxa"/>
            <w:vMerge w:val="continue"/>
            <w:shd w:val="clear" w:color="auto" w:fill="auto"/>
            <w:vAlign w:val="center"/>
          </w:tcPr>
          <w:p>
            <w:pPr>
              <w:jc w:val="center"/>
              <w:rPr>
                <w:color w:val="auto"/>
                <w:sz w:val="18"/>
                <w:szCs w:val="18"/>
                <w:highlight w:val="none"/>
              </w:rPr>
            </w:pPr>
          </w:p>
        </w:tc>
        <w:tc>
          <w:tcPr>
            <w:tcW w:w="1052" w:type="dxa"/>
            <w:shd w:val="clear" w:color="auto" w:fill="auto"/>
            <w:vAlign w:val="center"/>
          </w:tcPr>
          <w:p>
            <w:pPr>
              <w:jc w:val="center"/>
              <w:rPr>
                <w:color w:val="auto"/>
                <w:sz w:val="18"/>
                <w:szCs w:val="18"/>
                <w:highlight w:val="none"/>
              </w:rPr>
            </w:pPr>
            <w:r>
              <w:rPr>
                <w:color w:val="auto"/>
                <w:sz w:val="18"/>
                <w:szCs w:val="18"/>
                <w:highlight w:val="none"/>
              </w:rPr>
              <w:t>最大超标倍数</w:t>
            </w:r>
          </w:p>
        </w:tc>
        <w:tc>
          <w:tcPr>
            <w:tcW w:w="711" w:type="dxa"/>
            <w:shd w:val="clear" w:color="auto" w:fill="auto"/>
            <w:vAlign w:val="center"/>
          </w:tcPr>
          <w:p>
            <w:pPr>
              <w:jc w:val="center"/>
              <w:rPr>
                <w:color w:val="auto"/>
                <w:sz w:val="18"/>
                <w:szCs w:val="18"/>
                <w:highlight w:val="none"/>
              </w:rPr>
            </w:pPr>
            <w:r>
              <w:rPr>
                <w:rFonts w:hint="eastAsia"/>
                <w:color w:val="auto"/>
                <w:sz w:val="18"/>
                <w:szCs w:val="18"/>
                <w:highlight w:val="none"/>
              </w:rPr>
              <w:t>0</w:t>
            </w:r>
          </w:p>
        </w:tc>
        <w:tc>
          <w:tcPr>
            <w:tcW w:w="823" w:type="dxa"/>
            <w:shd w:val="clear" w:color="auto" w:fill="auto"/>
            <w:vAlign w:val="center"/>
          </w:tcPr>
          <w:p>
            <w:pPr>
              <w:jc w:val="center"/>
              <w:rPr>
                <w:color w:val="auto"/>
                <w:sz w:val="18"/>
                <w:szCs w:val="18"/>
                <w:highlight w:val="none"/>
              </w:rPr>
            </w:pPr>
            <w:r>
              <w:rPr>
                <w:rFonts w:hint="eastAsia"/>
                <w:color w:val="auto"/>
                <w:sz w:val="18"/>
                <w:szCs w:val="18"/>
                <w:highlight w:val="none"/>
              </w:rPr>
              <w:t>0</w:t>
            </w:r>
          </w:p>
        </w:tc>
        <w:tc>
          <w:tcPr>
            <w:tcW w:w="806" w:type="dxa"/>
            <w:shd w:val="clear" w:color="auto" w:fill="auto"/>
            <w:vAlign w:val="center"/>
          </w:tcPr>
          <w:p>
            <w:pPr>
              <w:jc w:val="center"/>
              <w:rPr>
                <w:rFonts w:hint="eastAsia" w:eastAsia="宋体"/>
                <w:color w:val="auto"/>
                <w:sz w:val="18"/>
                <w:szCs w:val="18"/>
                <w:highlight w:val="none"/>
                <w:lang w:eastAsia="zh-CN"/>
              </w:rPr>
            </w:pPr>
            <w:r>
              <w:rPr>
                <w:rFonts w:hint="eastAsia"/>
                <w:color w:val="auto"/>
                <w:sz w:val="18"/>
                <w:szCs w:val="18"/>
                <w:highlight w:val="none"/>
                <w:lang w:val="en-US" w:eastAsia="zh-CN"/>
              </w:rPr>
              <w:t>0</w:t>
            </w:r>
          </w:p>
        </w:tc>
        <w:tc>
          <w:tcPr>
            <w:tcW w:w="816" w:type="dxa"/>
            <w:shd w:val="clear" w:color="auto" w:fill="auto"/>
            <w:vAlign w:val="center"/>
          </w:tcPr>
          <w:p>
            <w:pPr>
              <w:jc w:val="center"/>
              <w:rPr>
                <w:color w:val="auto"/>
                <w:sz w:val="18"/>
                <w:szCs w:val="18"/>
                <w:highlight w:val="none"/>
              </w:rPr>
            </w:pPr>
            <w:r>
              <w:rPr>
                <w:rFonts w:hint="eastAsia"/>
                <w:color w:val="auto"/>
                <w:sz w:val="18"/>
                <w:szCs w:val="18"/>
                <w:highlight w:val="none"/>
              </w:rPr>
              <w:t>0</w:t>
            </w:r>
          </w:p>
        </w:tc>
        <w:tc>
          <w:tcPr>
            <w:tcW w:w="816" w:type="dxa"/>
            <w:shd w:val="clear" w:color="auto" w:fill="auto"/>
            <w:vAlign w:val="center"/>
          </w:tcPr>
          <w:p>
            <w:pPr>
              <w:jc w:val="center"/>
              <w:rPr>
                <w:color w:val="auto"/>
                <w:sz w:val="18"/>
                <w:szCs w:val="18"/>
                <w:highlight w:val="none"/>
              </w:rPr>
            </w:pPr>
            <w:r>
              <w:rPr>
                <w:rFonts w:hint="eastAsia"/>
                <w:color w:val="auto"/>
                <w:sz w:val="18"/>
                <w:szCs w:val="18"/>
                <w:highlight w:val="none"/>
              </w:rPr>
              <w:t>0</w:t>
            </w:r>
          </w:p>
        </w:tc>
        <w:tc>
          <w:tcPr>
            <w:tcW w:w="816" w:type="dxa"/>
            <w:shd w:val="clear" w:color="auto" w:fill="auto"/>
            <w:vAlign w:val="center"/>
          </w:tcPr>
          <w:p>
            <w:pPr>
              <w:jc w:val="center"/>
              <w:rPr>
                <w:color w:val="auto"/>
                <w:sz w:val="18"/>
                <w:szCs w:val="18"/>
                <w:highlight w:val="none"/>
              </w:rPr>
            </w:pPr>
            <w:r>
              <w:rPr>
                <w:rFonts w:hint="eastAsia"/>
                <w:color w:val="auto"/>
                <w:sz w:val="18"/>
                <w:szCs w:val="18"/>
                <w:highlight w:val="none"/>
              </w:rPr>
              <w:t>0</w:t>
            </w:r>
          </w:p>
        </w:tc>
        <w:tc>
          <w:tcPr>
            <w:tcW w:w="816" w:type="dxa"/>
            <w:shd w:val="clear" w:color="auto" w:fill="auto"/>
            <w:vAlign w:val="center"/>
          </w:tcPr>
          <w:p>
            <w:pPr>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0.5</w:t>
            </w:r>
          </w:p>
        </w:tc>
        <w:tc>
          <w:tcPr>
            <w:tcW w:w="817" w:type="dxa"/>
            <w:shd w:val="clear" w:color="auto" w:fill="auto"/>
            <w:vAlign w:val="center"/>
          </w:tcPr>
          <w:p>
            <w:pPr>
              <w:jc w:val="center"/>
              <w:rPr>
                <w:color w:val="auto"/>
                <w:sz w:val="18"/>
                <w:szCs w:val="18"/>
                <w:highlight w:val="none"/>
              </w:rPr>
            </w:pPr>
            <w:r>
              <w:rPr>
                <w:rFonts w:hint="eastAsia"/>
                <w:color w:val="auto"/>
                <w:sz w:val="18"/>
                <w:szCs w:val="18"/>
                <w:highlight w:val="none"/>
              </w:rPr>
              <w:t>0</w:t>
            </w:r>
          </w:p>
        </w:tc>
        <w:tc>
          <w:tcPr>
            <w:tcW w:w="752" w:type="dxa"/>
            <w:shd w:val="clear" w:color="auto" w:fill="auto"/>
            <w:vAlign w:val="center"/>
          </w:tcPr>
          <w:p>
            <w:pPr>
              <w:jc w:val="center"/>
              <w:rPr>
                <w:color w:val="auto"/>
                <w:sz w:val="18"/>
                <w:szCs w:val="18"/>
                <w:highlight w:val="none"/>
              </w:rPr>
            </w:pPr>
            <w:r>
              <w:rPr>
                <w:rFonts w:hint="eastAsia"/>
                <w:color w:val="auto"/>
                <w:sz w:val="18"/>
                <w:szCs w:val="18"/>
                <w:highlight w:val="none"/>
              </w:rPr>
              <w:t>0</w:t>
            </w:r>
          </w:p>
        </w:tc>
        <w:tc>
          <w:tcPr>
            <w:tcW w:w="820" w:type="dxa"/>
            <w:shd w:val="clear" w:color="auto" w:fill="auto"/>
            <w:vAlign w:val="center"/>
          </w:tcPr>
          <w:p>
            <w:pPr>
              <w:jc w:val="center"/>
              <w:rPr>
                <w:color w:val="auto"/>
                <w:sz w:val="18"/>
                <w:szCs w:val="18"/>
                <w:highlight w:val="none"/>
              </w:rPr>
            </w:pPr>
            <w:r>
              <w:rPr>
                <w:rFonts w:hint="eastAsia"/>
                <w:color w:val="auto"/>
                <w:sz w:val="18"/>
                <w:szCs w:val="18"/>
                <w:highlight w:val="none"/>
              </w:rPr>
              <w:t>0</w:t>
            </w:r>
          </w:p>
        </w:tc>
        <w:tc>
          <w:tcPr>
            <w:tcW w:w="817" w:type="dxa"/>
            <w:shd w:val="clear" w:color="auto" w:fill="auto"/>
            <w:vAlign w:val="center"/>
          </w:tcPr>
          <w:p>
            <w:pPr>
              <w:adjustRightInd w:val="0"/>
              <w:snapToGrid w:val="0"/>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0</w:t>
            </w:r>
          </w:p>
        </w:tc>
        <w:tc>
          <w:tcPr>
            <w:tcW w:w="817" w:type="dxa"/>
            <w:shd w:val="clear" w:color="auto" w:fill="auto"/>
            <w:vAlign w:val="center"/>
          </w:tcPr>
          <w:p>
            <w:pPr>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0</w:t>
            </w:r>
          </w:p>
        </w:tc>
        <w:tc>
          <w:tcPr>
            <w:tcW w:w="769" w:type="dxa"/>
            <w:shd w:val="clear" w:color="auto" w:fill="auto"/>
            <w:vAlign w:val="center"/>
          </w:tcPr>
          <w:p>
            <w:pPr>
              <w:jc w:val="center"/>
              <w:rPr>
                <w:color w:val="auto"/>
                <w:sz w:val="18"/>
                <w:szCs w:val="18"/>
                <w:highlight w:val="none"/>
              </w:rPr>
            </w:pPr>
            <w:r>
              <w:rPr>
                <w:rFonts w:hint="eastAsia"/>
                <w:color w:val="auto"/>
                <w:sz w:val="18"/>
                <w:szCs w:val="18"/>
                <w:highlight w:val="none"/>
              </w:rPr>
              <w:t>0</w:t>
            </w:r>
          </w:p>
        </w:tc>
        <w:tc>
          <w:tcPr>
            <w:tcW w:w="919" w:type="dxa"/>
            <w:shd w:val="clear" w:color="auto" w:fill="auto"/>
            <w:vAlign w:val="center"/>
          </w:tcPr>
          <w:p>
            <w:pPr>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2.07</w:t>
            </w:r>
          </w:p>
        </w:tc>
        <w:tc>
          <w:tcPr>
            <w:tcW w:w="1084" w:type="dxa"/>
            <w:shd w:val="clear" w:color="auto" w:fill="auto"/>
            <w:vAlign w:val="center"/>
          </w:tcPr>
          <w:p>
            <w:pPr>
              <w:jc w:val="center"/>
              <w:rPr>
                <w:color w:val="auto"/>
                <w:sz w:val="18"/>
                <w:szCs w:val="18"/>
                <w:highlight w:val="none"/>
              </w:rPr>
            </w:pPr>
            <w:r>
              <w:rPr>
                <w:rFonts w:hint="eastAsia"/>
                <w:color w:val="auto"/>
                <w:sz w:val="18"/>
                <w:szCs w:val="18"/>
                <w:highlight w:val="none"/>
              </w:rPr>
              <w:t>0.035</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23" w:hRule="atLeast"/>
        </w:trPr>
        <w:tc>
          <w:tcPr>
            <w:tcW w:w="717" w:type="dxa"/>
            <w:vMerge w:val="continue"/>
            <w:shd w:val="clear" w:color="auto" w:fill="auto"/>
            <w:vAlign w:val="center"/>
          </w:tcPr>
          <w:p>
            <w:pPr>
              <w:jc w:val="center"/>
              <w:rPr>
                <w:color w:val="auto"/>
                <w:sz w:val="18"/>
                <w:szCs w:val="18"/>
                <w:highlight w:val="none"/>
              </w:rPr>
            </w:pPr>
          </w:p>
        </w:tc>
        <w:tc>
          <w:tcPr>
            <w:tcW w:w="1052" w:type="dxa"/>
            <w:shd w:val="clear" w:color="auto" w:fill="auto"/>
            <w:vAlign w:val="center"/>
          </w:tcPr>
          <w:p>
            <w:pPr>
              <w:jc w:val="center"/>
              <w:rPr>
                <w:color w:val="auto"/>
                <w:sz w:val="18"/>
                <w:szCs w:val="18"/>
                <w:highlight w:val="none"/>
              </w:rPr>
            </w:pPr>
            <w:r>
              <w:rPr>
                <w:color w:val="auto"/>
                <w:sz w:val="18"/>
                <w:szCs w:val="18"/>
                <w:highlight w:val="none"/>
              </w:rPr>
              <w:t>超标率</w:t>
            </w:r>
            <w:r>
              <w:rPr>
                <w:rFonts w:hint="eastAsia"/>
                <w:color w:val="auto"/>
                <w:sz w:val="18"/>
                <w:szCs w:val="18"/>
                <w:highlight w:val="none"/>
              </w:rPr>
              <w:t>%</w:t>
            </w:r>
          </w:p>
        </w:tc>
        <w:tc>
          <w:tcPr>
            <w:tcW w:w="711" w:type="dxa"/>
            <w:shd w:val="clear" w:color="auto" w:fill="auto"/>
            <w:vAlign w:val="center"/>
          </w:tcPr>
          <w:p>
            <w:pPr>
              <w:jc w:val="center"/>
              <w:rPr>
                <w:color w:val="auto"/>
                <w:sz w:val="18"/>
                <w:szCs w:val="18"/>
                <w:highlight w:val="none"/>
              </w:rPr>
            </w:pPr>
            <w:r>
              <w:rPr>
                <w:rFonts w:hint="eastAsia"/>
                <w:color w:val="auto"/>
                <w:sz w:val="18"/>
                <w:szCs w:val="18"/>
                <w:highlight w:val="none"/>
              </w:rPr>
              <w:t>0</w:t>
            </w:r>
          </w:p>
        </w:tc>
        <w:tc>
          <w:tcPr>
            <w:tcW w:w="823" w:type="dxa"/>
            <w:shd w:val="clear" w:color="auto" w:fill="auto"/>
            <w:vAlign w:val="center"/>
          </w:tcPr>
          <w:p>
            <w:pPr>
              <w:jc w:val="center"/>
              <w:rPr>
                <w:color w:val="auto"/>
                <w:sz w:val="18"/>
                <w:szCs w:val="18"/>
                <w:highlight w:val="none"/>
              </w:rPr>
            </w:pPr>
            <w:r>
              <w:rPr>
                <w:rFonts w:hint="eastAsia"/>
                <w:color w:val="auto"/>
                <w:sz w:val="18"/>
                <w:szCs w:val="18"/>
                <w:highlight w:val="none"/>
              </w:rPr>
              <w:t>0</w:t>
            </w:r>
          </w:p>
        </w:tc>
        <w:tc>
          <w:tcPr>
            <w:tcW w:w="806" w:type="dxa"/>
            <w:shd w:val="clear" w:color="auto" w:fill="auto"/>
            <w:vAlign w:val="center"/>
          </w:tcPr>
          <w:p>
            <w:pPr>
              <w:jc w:val="center"/>
              <w:rPr>
                <w:rFonts w:hint="eastAsia" w:eastAsia="宋体"/>
                <w:color w:val="auto"/>
                <w:sz w:val="18"/>
                <w:szCs w:val="18"/>
                <w:highlight w:val="none"/>
                <w:lang w:eastAsia="zh-CN"/>
              </w:rPr>
            </w:pPr>
            <w:r>
              <w:rPr>
                <w:rFonts w:hint="eastAsia"/>
                <w:color w:val="auto"/>
                <w:sz w:val="18"/>
                <w:szCs w:val="18"/>
                <w:highlight w:val="none"/>
                <w:lang w:val="en-US" w:eastAsia="zh-CN"/>
              </w:rPr>
              <w:t>0</w:t>
            </w:r>
          </w:p>
        </w:tc>
        <w:tc>
          <w:tcPr>
            <w:tcW w:w="816" w:type="dxa"/>
            <w:shd w:val="clear" w:color="auto" w:fill="auto"/>
            <w:vAlign w:val="center"/>
          </w:tcPr>
          <w:p>
            <w:pPr>
              <w:jc w:val="center"/>
              <w:rPr>
                <w:color w:val="auto"/>
                <w:sz w:val="18"/>
                <w:szCs w:val="18"/>
                <w:highlight w:val="none"/>
              </w:rPr>
            </w:pPr>
            <w:r>
              <w:rPr>
                <w:rFonts w:hint="eastAsia"/>
                <w:color w:val="auto"/>
                <w:sz w:val="18"/>
                <w:szCs w:val="18"/>
                <w:highlight w:val="none"/>
              </w:rPr>
              <w:t>0</w:t>
            </w:r>
          </w:p>
        </w:tc>
        <w:tc>
          <w:tcPr>
            <w:tcW w:w="816" w:type="dxa"/>
            <w:shd w:val="clear" w:color="auto" w:fill="auto"/>
            <w:vAlign w:val="center"/>
          </w:tcPr>
          <w:p>
            <w:pPr>
              <w:jc w:val="center"/>
              <w:rPr>
                <w:color w:val="auto"/>
                <w:sz w:val="18"/>
                <w:szCs w:val="18"/>
                <w:highlight w:val="none"/>
              </w:rPr>
            </w:pPr>
            <w:r>
              <w:rPr>
                <w:rFonts w:hint="eastAsia"/>
                <w:color w:val="auto"/>
                <w:sz w:val="18"/>
                <w:szCs w:val="18"/>
                <w:highlight w:val="none"/>
              </w:rPr>
              <w:t>0</w:t>
            </w:r>
          </w:p>
        </w:tc>
        <w:tc>
          <w:tcPr>
            <w:tcW w:w="816" w:type="dxa"/>
            <w:shd w:val="clear" w:color="auto" w:fill="auto"/>
            <w:vAlign w:val="center"/>
          </w:tcPr>
          <w:p>
            <w:pPr>
              <w:jc w:val="center"/>
              <w:rPr>
                <w:color w:val="auto"/>
                <w:sz w:val="18"/>
                <w:szCs w:val="18"/>
                <w:highlight w:val="none"/>
              </w:rPr>
            </w:pPr>
            <w:r>
              <w:rPr>
                <w:rFonts w:hint="eastAsia"/>
                <w:color w:val="auto"/>
                <w:sz w:val="18"/>
                <w:szCs w:val="18"/>
                <w:highlight w:val="none"/>
              </w:rPr>
              <w:t>0</w:t>
            </w:r>
          </w:p>
        </w:tc>
        <w:tc>
          <w:tcPr>
            <w:tcW w:w="816" w:type="dxa"/>
            <w:shd w:val="clear" w:color="auto" w:fill="auto"/>
            <w:vAlign w:val="center"/>
          </w:tcPr>
          <w:p>
            <w:pPr>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100</w:t>
            </w:r>
          </w:p>
        </w:tc>
        <w:tc>
          <w:tcPr>
            <w:tcW w:w="817" w:type="dxa"/>
            <w:shd w:val="clear" w:color="auto" w:fill="auto"/>
            <w:vAlign w:val="center"/>
          </w:tcPr>
          <w:p>
            <w:pPr>
              <w:jc w:val="center"/>
              <w:rPr>
                <w:color w:val="auto"/>
                <w:sz w:val="18"/>
                <w:szCs w:val="18"/>
                <w:highlight w:val="none"/>
              </w:rPr>
            </w:pPr>
            <w:r>
              <w:rPr>
                <w:rFonts w:hint="eastAsia"/>
                <w:color w:val="auto"/>
                <w:sz w:val="18"/>
                <w:szCs w:val="18"/>
                <w:highlight w:val="none"/>
              </w:rPr>
              <w:t>0</w:t>
            </w:r>
          </w:p>
        </w:tc>
        <w:tc>
          <w:tcPr>
            <w:tcW w:w="752" w:type="dxa"/>
            <w:shd w:val="clear" w:color="auto" w:fill="auto"/>
            <w:vAlign w:val="center"/>
          </w:tcPr>
          <w:p>
            <w:pPr>
              <w:jc w:val="center"/>
              <w:rPr>
                <w:color w:val="auto"/>
                <w:sz w:val="18"/>
                <w:szCs w:val="18"/>
                <w:highlight w:val="none"/>
              </w:rPr>
            </w:pPr>
            <w:r>
              <w:rPr>
                <w:rFonts w:hint="eastAsia"/>
                <w:color w:val="auto"/>
                <w:sz w:val="18"/>
                <w:szCs w:val="18"/>
                <w:highlight w:val="none"/>
              </w:rPr>
              <w:t>0</w:t>
            </w:r>
          </w:p>
        </w:tc>
        <w:tc>
          <w:tcPr>
            <w:tcW w:w="820" w:type="dxa"/>
            <w:shd w:val="clear" w:color="auto" w:fill="auto"/>
            <w:vAlign w:val="center"/>
          </w:tcPr>
          <w:p>
            <w:pPr>
              <w:jc w:val="center"/>
              <w:rPr>
                <w:color w:val="auto"/>
                <w:sz w:val="18"/>
                <w:szCs w:val="18"/>
                <w:highlight w:val="none"/>
              </w:rPr>
            </w:pPr>
            <w:r>
              <w:rPr>
                <w:rFonts w:hint="eastAsia"/>
                <w:color w:val="auto"/>
                <w:sz w:val="18"/>
                <w:szCs w:val="18"/>
                <w:highlight w:val="none"/>
              </w:rPr>
              <w:t>0</w:t>
            </w:r>
          </w:p>
        </w:tc>
        <w:tc>
          <w:tcPr>
            <w:tcW w:w="817" w:type="dxa"/>
            <w:shd w:val="clear" w:color="auto" w:fill="auto"/>
            <w:vAlign w:val="center"/>
          </w:tcPr>
          <w:p>
            <w:pPr>
              <w:jc w:val="center"/>
              <w:rPr>
                <w:rFonts w:hint="eastAsia" w:eastAsia="宋体"/>
                <w:color w:val="auto"/>
                <w:sz w:val="18"/>
                <w:szCs w:val="18"/>
                <w:highlight w:val="none"/>
                <w:lang w:eastAsia="zh-CN"/>
              </w:rPr>
            </w:pPr>
            <w:r>
              <w:rPr>
                <w:rFonts w:hint="eastAsia" w:cs="Times New Roman"/>
                <w:color w:val="auto"/>
                <w:sz w:val="18"/>
                <w:szCs w:val="18"/>
                <w:highlight w:val="none"/>
                <w:lang w:val="en-US" w:eastAsia="zh-CN"/>
              </w:rPr>
              <w:t>0</w:t>
            </w:r>
          </w:p>
        </w:tc>
        <w:tc>
          <w:tcPr>
            <w:tcW w:w="817" w:type="dxa"/>
            <w:shd w:val="clear" w:color="auto" w:fill="auto"/>
            <w:vAlign w:val="center"/>
          </w:tcPr>
          <w:p>
            <w:pPr>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0</w:t>
            </w:r>
          </w:p>
        </w:tc>
        <w:tc>
          <w:tcPr>
            <w:tcW w:w="769" w:type="dxa"/>
            <w:shd w:val="clear" w:color="auto" w:fill="auto"/>
            <w:vAlign w:val="center"/>
          </w:tcPr>
          <w:p>
            <w:pPr>
              <w:jc w:val="center"/>
              <w:rPr>
                <w:color w:val="auto"/>
                <w:sz w:val="18"/>
                <w:szCs w:val="18"/>
                <w:highlight w:val="none"/>
              </w:rPr>
            </w:pPr>
            <w:r>
              <w:rPr>
                <w:rFonts w:hint="eastAsia"/>
                <w:color w:val="auto"/>
                <w:sz w:val="18"/>
                <w:szCs w:val="18"/>
                <w:highlight w:val="none"/>
              </w:rPr>
              <w:t>0</w:t>
            </w:r>
          </w:p>
        </w:tc>
        <w:tc>
          <w:tcPr>
            <w:tcW w:w="919" w:type="dxa"/>
            <w:shd w:val="clear" w:color="auto" w:fill="auto"/>
            <w:vAlign w:val="center"/>
          </w:tcPr>
          <w:p>
            <w:pPr>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100</w:t>
            </w:r>
          </w:p>
        </w:tc>
        <w:tc>
          <w:tcPr>
            <w:tcW w:w="1084" w:type="dxa"/>
            <w:shd w:val="clear" w:color="auto" w:fill="auto"/>
            <w:vAlign w:val="center"/>
          </w:tcPr>
          <w:p>
            <w:pPr>
              <w:jc w:val="center"/>
              <w:rPr>
                <w:color w:val="auto"/>
                <w:sz w:val="18"/>
                <w:szCs w:val="18"/>
                <w:highlight w:val="none"/>
              </w:rPr>
            </w:pPr>
            <w:r>
              <w:rPr>
                <w:rFonts w:hint="eastAsia"/>
                <w:color w:val="auto"/>
                <w:sz w:val="18"/>
                <w:szCs w:val="18"/>
                <w:highlight w:val="none"/>
              </w:rPr>
              <w:t>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717" w:type="dxa"/>
            <w:vMerge w:val="continue"/>
            <w:shd w:val="clear" w:color="auto" w:fill="auto"/>
            <w:vAlign w:val="center"/>
          </w:tcPr>
          <w:p>
            <w:pPr>
              <w:jc w:val="center"/>
              <w:rPr>
                <w:color w:val="auto"/>
                <w:sz w:val="18"/>
                <w:szCs w:val="18"/>
                <w:highlight w:val="none"/>
              </w:rPr>
            </w:pPr>
          </w:p>
        </w:tc>
        <w:tc>
          <w:tcPr>
            <w:tcW w:w="1052" w:type="dxa"/>
            <w:shd w:val="clear" w:color="auto" w:fill="auto"/>
            <w:vAlign w:val="center"/>
          </w:tcPr>
          <w:p>
            <w:pPr>
              <w:jc w:val="center"/>
              <w:rPr>
                <w:color w:val="auto"/>
                <w:sz w:val="18"/>
                <w:szCs w:val="18"/>
                <w:highlight w:val="none"/>
              </w:rPr>
            </w:pPr>
            <w:r>
              <w:rPr>
                <w:color w:val="auto"/>
                <w:sz w:val="18"/>
                <w:szCs w:val="18"/>
                <w:highlight w:val="none"/>
              </w:rPr>
              <w:t>标准(</w:t>
            </w:r>
            <w:r>
              <w:rPr>
                <w:color w:val="auto"/>
                <w:sz w:val="18"/>
                <w:szCs w:val="18"/>
                <w:highlight w:val="none"/>
              </w:rPr>
              <w:fldChar w:fldCharType="begin"/>
            </w:r>
            <w:r>
              <w:rPr>
                <w:color w:val="auto"/>
                <w:sz w:val="18"/>
                <w:szCs w:val="18"/>
                <w:highlight w:val="none"/>
              </w:rPr>
              <w:instrText xml:space="preserve"> </w:instrText>
            </w:r>
            <w:r>
              <w:rPr>
                <w:rFonts w:hint="eastAsia"/>
                <w:color w:val="auto"/>
                <w:sz w:val="18"/>
                <w:szCs w:val="18"/>
                <w:highlight w:val="none"/>
              </w:rPr>
              <w:instrText xml:space="preserve">= 5 \* ROMAN</w:instrText>
            </w:r>
            <w:r>
              <w:rPr>
                <w:color w:val="auto"/>
                <w:sz w:val="18"/>
                <w:szCs w:val="18"/>
                <w:highlight w:val="none"/>
              </w:rPr>
              <w:instrText xml:space="preserve"> </w:instrText>
            </w:r>
            <w:r>
              <w:rPr>
                <w:color w:val="auto"/>
                <w:sz w:val="18"/>
                <w:szCs w:val="18"/>
                <w:highlight w:val="none"/>
              </w:rPr>
              <w:fldChar w:fldCharType="separate"/>
            </w:r>
            <w:r>
              <w:rPr>
                <w:color w:val="auto"/>
                <w:sz w:val="18"/>
                <w:szCs w:val="18"/>
                <w:highlight w:val="none"/>
              </w:rPr>
              <w:t>V</w:t>
            </w:r>
            <w:r>
              <w:rPr>
                <w:color w:val="auto"/>
                <w:sz w:val="18"/>
                <w:szCs w:val="18"/>
                <w:highlight w:val="none"/>
              </w:rPr>
              <w:fldChar w:fldCharType="end"/>
            </w:r>
            <w:r>
              <w:rPr>
                <w:color w:val="auto"/>
                <w:sz w:val="18"/>
                <w:szCs w:val="18"/>
                <w:highlight w:val="none"/>
              </w:rPr>
              <w:t>类)</w:t>
            </w:r>
          </w:p>
        </w:tc>
        <w:tc>
          <w:tcPr>
            <w:tcW w:w="711" w:type="dxa"/>
            <w:shd w:val="clear" w:color="auto" w:fill="auto"/>
            <w:vAlign w:val="center"/>
          </w:tcPr>
          <w:p>
            <w:pPr>
              <w:adjustRightInd w:val="0"/>
              <w:snapToGrid w:val="0"/>
              <w:jc w:val="center"/>
              <w:rPr>
                <w:color w:val="auto"/>
                <w:sz w:val="18"/>
                <w:szCs w:val="18"/>
                <w:highlight w:val="none"/>
              </w:rPr>
            </w:pPr>
            <w:r>
              <w:rPr>
                <w:rFonts w:hint="eastAsia"/>
                <w:color w:val="auto"/>
                <w:sz w:val="18"/>
                <w:szCs w:val="18"/>
                <w:highlight w:val="none"/>
              </w:rPr>
              <w:t>6~9</w:t>
            </w:r>
          </w:p>
        </w:tc>
        <w:tc>
          <w:tcPr>
            <w:tcW w:w="823" w:type="dxa"/>
            <w:shd w:val="clear" w:color="auto" w:fill="auto"/>
            <w:vAlign w:val="center"/>
          </w:tcPr>
          <w:p>
            <w:pPr>
              <w:adjustRightInd w:val="0"/>
              <w:snapToGrid w:val="0"/>
              <w:jc w:val="center"/>
              <w:rPr>
                <w:color w:val="auto"/>
                <w:sz w:val="18"/>
                <w:szCs w:val="18"/>
                <w:highlight w:val="none"/>
              </w:rPr>
            </w:pPr>
            <w:r>
              <w:rPr>
                <w:rFonts w:hint="eastAsia"/>
                <w:color w:val="auto"/>
                <w:sz w:val="18"/>
                <w:szCs w:val="18"/>
                <w:highlight w:val="none"/>
              </w:rPr>
              <w:t>40</w:t>
            </w:r>
          </w:p>
        </w:tc>
        <w:tc>
          <w:tcPr>
            <w:tcW w:w="806" w:type="dxa"/>
            <w:shd w:val="clear" w:color="auto" w:fill="auto"/>
            <w:vAlign w:val="center"/>
          </w:tcPr>
          <w:p>
            <w:pPr>
              <w:adjustRightInd w:val="0"/>
              <w:snapToGrid w:val="0"/>
              <w:jc w:val="center"/>
              <w:rPr>
                <w:color w:val="auto"/>
                <w:sz w:val="18"/>
                <w:szCs w:val="18"/>
                <w:highlight w:val="none"/>
              </w:rPr>
            </w:pPr>
            <w:r>
              <w:rPr>
                <w:rFonts w:hint="eastAsia"/>
                <w:color w:val="auto"/>
                <w:sz w:val="18"/>
                <w:szCs w:val="18"/>
                <w:highlight w:val="none"/>
              </w:rPr>
              <w:t>10</w:t>
            </w:r>
          </w:p>
        </w:tc>
        <w:tc>
          <w:tcPr>
            <w:tcW w:w="816" w:type="dxa"/>
            <w:shd w:val="clear" w:color="auto" w:fill="auto"/>
            <w:vAlign w:val="center"/>
          </w:tcPr>
          <w:p>
            <w:pPr>
              <w:adjustRightInd w:val="0"/>
              <w:snapToGrid w:val="0"/>
              <w:jc w:val="center"/>
              <w:rPr>
                <w:color w:val="auto"/>
                <w:sz w:val="18"/>
                <w:szCs w:val="18"/>
                <w:highlight w:val="none"/>
              </w:rPr>
            </w:pPr>
            <w:r>
              <w:rPr>
                <w:rFonts w:hint="eastAsia"/>
                <w:color w:val="auto"/>
                <w:sz w:val="18"/>
                <w:szCs w:val="18"/>
                <w:highlight w:val="none"/>
              </w:rPr>
              <w:t>2.0</w:t>
            </w:r>
          </w:p>
        </w:tc>
        <w:tc>
          <w:tcPr>
            <w:tcW w:w="816" w:type="dxa"/>
            <w:shd w:val="clear" w:color="auto" w:fill="auto"/>
            <w:vAlign w:val="center"/>
          </w:tcPr>
          <w:p>
            <w:pPr>
              <w:jc w:val="center"/>
              <w:rPr>
                <w:color w:val="auto"/>
                <w:sz w:val="18"/>
                <w:szCs w:val="18"/>
                <w:highlight w:val="none"/>
              </w:rPr>
            </w:pPr>
            <w:r>
              <w:rPr>
                <w:rFonts w:hint="eastAsia"/>
                <w:color w:val="auto"/>
                <w:sz w:val="18"/>
                <w:szCs w:val="18"/>
                <w:highlight w:val="none"/>
              </w:rPr>
              <w:t>2</w:t>
            </w:r>
          </w:p>
        </w:tc>
        <w:tc>
          <w:tcPr>
            <w:tcW w:w="816" w:type="dxa"/>
            <w:shd w:val="clear" w:color="auto" w:fill="auto"/>
            <w:vAlign w:val="center"/>
          </w:tcPr>
          <w:p>
            <w:pPr>
              <w:jc w:val="center"/>
              <w:rPr>
                <w:color w:val="auto"/>
                <w:sz w:val="18"/>
                <w:szCs w:val="18"/>
                <w:highlight w:val="none"/>
              </w:rPr>
            </w:pPr>
            <w:r>
              <w:rPr>
                <w:rFonts w:hint="eastAsia"/>
                <w:color w:val="auto"/>
                <w:sz w:val="18"/>
                <w:szCs w:val="18"/>
                <w:highlight w:val="none"/>
              </w:rPr>
              <w:t>15</w:t>
            </w:r>
          </w:p>
        </w:tc>
        <w:tc>
          <w:tcPr>
            <w:tcW w:w="816" w:type="dxa"/>
            <w:shd w:val="clear" w:color="auto" w:fill="auto"/>
            <w:vAlign w:val="center"/>
          </w:tcPr>
          <w:p>
            <w:pPr>
              <w:jc w:val="center"/>
              <w:rPr>
                <w:color w:val="auto"/>
                <w:sz w:val="18"/>
                <w:szCs w:val="18"/>
                <w:highlight w:val="none"/>
              </w:rPr>
            </w:pPr>
            <w:r>
              <w:rPr>
                <w:rFonts w:hint="eastAsia"/>
                <w:color w:val="auto"/>
                <w:sz w:val="18"/>
                <w:szCs w:val="18"/>
                <w:highlight w:val="none"/>
              </w:rPr>
              <w:t>0.4</w:t>
            </w:r>
          </w:p>
        </w:tc>
        <w:tc>
          <w:tcPr>
            <w:tcW w:w="817" w:type="dxa"/>
            <w:shd w:val="clear" w:color="auto" w:fill="auto"/>
            <w:vAlign w:val="center"/>
          </w:tcPr>
          <w:p>
            <w:pPr>
              <w:jc w:val="center"/>
              <w:rPr>
                <w:color w:val="auto"/>
                <w:sz w:val="18"/>
                <w:szCs w:val="18"/>
                <w:highlight w:val="none"/>
              </w:rPr>
            </w:pPr>
            <w:r>
              <w:rPr>
                <w:rFonts w:hint="eastAsia"/>
                <w:color w:val="auto"/>
                <w:sz w:val="18"/>
                <w:szCs w:val="18"/>
                <w:highlight w:val="none"/>
              </w:rPr>
              <w:t>1.0</w:t>
            </w:r>
          </w:p>
        </w:tc>
        <w:tc>
          <w:tcPr>
            <w:tcW w:w="752" w:type="dxa"/>
            <w:shd w:val="clear" w:color="auto" w:fill="auto"/>
            <w:vAlign w:val="center"/>
          </w:tcPr>
          <w:p>
            <w:pPr>
              <w:jc w:val="center"/>
              <w:rPr>
                <w:color w:val="auto"/>
                <w:sz w:val="18"/>
                <w:szCs w:val="18"/>
                <w:highlight w:val="none"/>
              </w:rPr>
            </w:pPr>
            <w:r>
              <w:rPr>
                <w:rFonts w:hint="eastAsia"/>
                <w:color w:val="auto"/>
                <w:sz w:val="18"/>
                <w:szCs w:val="18"/>
                <w:highlight w:val="none"/>
              </w:rPr>
              <w:t>1.0</w:t>
            </w:r>
          </w:p>
        </w:tc>
        <w:tc>
          <w:tcPr>
            <w:tcW w:w="820" w:type="dxa"/>
            <w:shd w:val="clear" w:color="auto" w:fill="auto"/>
            <w:vAlign w:val="center"/>
          </w:tcPr>
          <w:p>
            <w:pPr>
              <w:jc w:val="center"/>
              <w:rPr>
                <w:color w:val="auto"/>
                <w:sz w:val="18"/>
                <w:szCs w:val="18"/>
                <w:highlight w:val="none"/>
              </w:rPr>
            </w:pPr>
            <w:r>
              <w:rPr>
                <w:rFonts w:hint="eastAsia"/>
                <w:color w:val="auto"/>
                <w:sz w:val="18"/>
                <w:szCs w:val="18"/>
                <w:highlight w:val="none"/>
              </w:rPr>
              <w:t>2.0</w:t>
            </w:r>
          </w:p>
        </w:tc>
        <w:tc>
          <w:tcPr>
            <w:tcW w:w="817" w:type="dxa"/>
            <w:shd w:val="clear" w:color="auto" w:fill="auto"/>
            <w:vAlign w:val="center"/>
          </w:tcPr>
          <w:p>
            <w:pPr>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0.02</w:t>
            </w:r>
          </w:p>
        </w:tc>
        <w:tc>
          <w:tcPr>
            <w:tcW w:w="817" w:type="dxa"/>
            <w:shd w:val="clear" w:color="auto" w:fill="auto"/>
            <w:vAlign w:val="center"/>
          </w:tcPr>
          <w:p>
            <w:pPr>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250</w:t>
            </w:r>
          </w:p>
        </w:tc>
        <w:tc>
          <w:tcPr>
            <w:tcW w:w="769" w:type="dxa"/>
            <w:shd w:val="clear" w:color="auto" w:fill="auto"/>
            <w:vAlign w:val="center"/>
          </w:tcPr>
          <w:p>
            <w:pPr>
              <w:jc w:val="center"/>
              <w:rPr>
                <w:color w:val="auto"/>
                <w:sz w:val="18"/>
                <w:szCs w:val="18"/>
                <w:highlight w:val="none"/>
              </w:rPr>
            </w:pPr>
            <w:r>
              <w:rPr>
                <w:rFonts w:hint="eastAsia"/>
                <w:color w:val="auto"/>
                <w:sz w:val="18"/>
                <w:szCs w:val="18"/>
                <w:highlight w:val="none"/>
              </w:rPr>
              <w:t>0.1</w:t>
            </w:r>
          </w:p>
        </w:tc>
        <w:tc>
          <w:tcPr>
            <w:tcW w:w="919" w:type="dxa"/>
            <w:shd w:val="clear" w:color="auto" w:fill="auto"/>
            <w:vAlign w:val="center"/>
          </w:tcPr>
          <w:p>
            <w:pPr>
              <w:jc w:val="center"/>
              <w:rPr>
                <w:color w:val="auto"/>
                <w:sz w:val="18"/>
                <w:szCs w:val="18"/>
                <w:highlight w:val="none"/>
              </w:rPr>
            </w:pPr>
            <w:r>
              <w:rPr>
                <w:rFonts w:hint="eastAsia"/>
                <w:color w:val="auto"/>
                <w:sz w:val="18"/>
                <w:szCs w:val="18"/>
                <w:highlight w:val="none"/>
              </w:rPr>
              <w:t>0.3</w:t>
            </w:r>
          </w:p>
        </w:tc>
        <w:tc>
          <w:tcPr>
            <w:tcW w:w="1084" w:type="dxa"/>
            <w:shd w:val="clear" w:color="auto" w:fill="auto"/>
            <w:vAlign w:val="center"/>
          </w:tcPr>
          <w:p>
            <w:pPr>
              <w:jc w:val="center"/>
              <w:rPr>
                <w:color w:val="auto"/>
                <w:sz w:val="18"/>
                <w:szCs w:val="18"/>
                <w:highlight w:val="none"/>
              </w:rPr>
            </w:pPr>
            <w:r>
              <w:rPr>
                <w:rFonts w:hint="eastAsia"/>
                <w:color w:val="auto"/>
                <w:sz w:val="18"/>
                <w:szCs w:val="18"/>
                <w:highlight w:val="none"/>
              </w:rPr>
              <w:t>40000</w:t>
            </w:r>
          </w:p>
        </w:tc>
      </w:tr>
    </w:tbl>
    <w:p>
      <w:pPr>
        <w:autoSpaceDE w:val="0"/>
        <w:autoSpaceDN w:val="0"/>
        <w:adjustRightInd w:val="0"/>
        <w:spacing w:line="360" w:lineRule="auto"/>
        <w:rPr>
          <w:rFonts w:hint="eastAsia" w:eastAsia="宋体"/>
          <w:color w:val="auto"/>
          <w:sz w:val="18"/>
          <w:szCs w:val="18"/>
          <w:highlight w:val="none"/>
          <w:lang w:val="en-US" w:eastAsia="zh-CN"/>
        </w:rPr>
      </w:pPr>
      <w:r>
        <w:rPr>
          <w:rFonts w:hint="eastAsia"/>
          <w:color w:val="auto"/>
          <w:sz w:val="18"/>
          <w:szCs w:val="18"/>
          <w:highlight w:val="none"/>
          <w:lang w:val="en-US" w:eastAsia="zh-CN"/>
        </w:rPr>
        <w:t>备注：*总镍、硫酸盐为集中式生活饮用水地表水源地特定项目，评价范围内镰湾河河段为排污河段，本报告不对其进行评价。</w:t>
      </w:r>
    </w:p>
    <w:p>
      <w:pPr>
        <w:keepNext/>
        <w:keepLines/>
        <w:adjustRightInd w:val="0"/>
        <w:snapToGrid w:val="0"/>
        <w:spacing w:line="360" w:lineRule="auto"/>
        <w:ind w:firstLine="460"/>
        <w:rPr>
          <w:rFonts w:ascii="宋体"/>
          <w:color w:val="auto"/>
          <w:sz w:val="21"/>
          <w:szCs w:val="21"/>
          <w:highlight w:val="none"/>
        </w:rPr>
        <w:sectPr>
          <w:pgSz w:w="16838" w:h="11906" w:orient="landscape"/>
          <w:pgMar w:top="1797" w:right="1440" w:bottom="1797" w:left="1440" w:header="851" w:footer="992" w:gutter="0"/>
          <w:pgBorders>
            <w:top w:val="none" w:sz="0" w:space="0"/>
            <w:left w:val="none" w:sz="0" w:space="0"/>
            <w:bottom w:val="none" w:sz="0" w:space="0"/>
            <w:right w:val="none" w:sz="0" w:space="0"/>
          </w:pgBorders>
          <w:pgNumType w:fmt="decimal"/>
          <w:cols w:space="425" w:num="1"/>
          <w:docGrid w:linePitch="312" w:charSpace="0"/>
        </w:sectPr>
      </w:pPr>
    </w:p>
    <w:p>
      <w:pPr>
        <w:keepNext/>
        <w:keepLines/>
        <w:adjustRightInd w:val="0"/>
        <w:snapToGrid w:val="0"/>
        <w:spacing w:line="360" w:lineRule="auto"/>
        <w:ind w:firstLine="480"/>
        <w:rPr>
          <w:color w:val="auto"/>
          <w:sz w:val="24"/>
          <w:highlight w:val="none"/>
        </w:rPr>
      </w:pPr>
      <w:r>
        <w:rPr>
          <w:rFonts w:hint="eastAsia"/>
          <w:color w:val="auto"/>
          <w:sz w:val="24"/>
          <w:highlight w:val="none"/>
        </w:rPr>
        <w:t>根据监测结果显示</w:t>
      </w:r>
      <w:r>
        <w:rPr>
          <w:rFonts w:hint="eastAsia" w:ascii="宋体"/>
          <w:color w:val="auto"/>
          <w:sz w:val="24"/>
          <w:highlight w:val="none"/>
        </w:rPr>
        <w:t>，</w:t>
      </w:r>
      <w:r>
        <w:rPr>
          <w:rFonts w:hint="eastAsia" w:ascii="宋体"/>
          <w:color w:val="auto"/>
          <w:sz w:val="24"/>
          <w:highlight w:val="none"/>
          <w:lang w:eastAsia="zh-CN"/>
        </w:rPr>
        <w:t>镰湾河</w:t>
      </w:r>
      <w:r>
        <w:rPr>
          <w:rFonts w:hint="eastAsia"/>
          <w:color w:val="auto"/>
          <w:sz w:val="24"/>
          <w:highlight w:val="none"/>
        </w:rPr>
        <w:t>(2#镰湾河污水净化有限公司排水口处、下游1</w:t>
      </w:r>
      <w:r>
        <w:rPr>
          <w:rFonts w:hint="eastAsia"/>
          <w:color w:val="auto"/>
          <w:sz w:val="24"/>
          <w:highlight w:val="none"/>
          <w:lang w:val="en-US" w:eastAsia="zh-CN"/>
        </w:rPr>
        <w:t>0</w:t>
      </w:r>
      <w:r>
        <w:rPr>
          <w:rFonts w:hint="eastAsia"/>
          <w:color w:val="auto"/>
          <w:sz w:val="24"/>
          <w:highlight w:val="none"/>
        </w:rPr>
        <w:t>00m两个监测断面)除</w:t>
      </w:r>
      <w:r>
        <w:rPr>
          <w:rFonts w:hint="eastAsia"/>
          <w:color w:val="auto"/>
          <w:kern w:val="0"/>
          <w:sz w:val="24"/>
          <w:highlight w:val="none"/>
          <w:lang w:eastAsia="zh-CN"/>
        </w:rPr>
        <w:t>总磷、阴离子表面活性剂</w:t>
      </w:r>
      <w:r>
        <w:rPr>
          <w:rFonts w:hint="eastAsia"/>
          <w:color w:val="auto"/>
          <w:sz w:val="24"/>
          <w:highlight w:val="none"/>
        </w:rPr>
        <w:t>外，其他</w:t>
      </w:r>
      <w:r>
        <w:rPr>
          <w:rFonts w:hint="eastAsia"/>
          <w:color w:val="auto"/>
          <w:sz w:val="24"/>
          <w:highlight w:val="none"/>
          <w:lang w:val="en-US" w:eastAsia="zh-CN"/>
        </w:rPr>
        <w:t>监测指标</w:t>
      </w:r>
      <w:r>
        <w:rPr>
          <w:color w:val="auto"/>
          <w:sz w:val="24"/>
          <w:highlight w:val="none"/>
        </w:rPr>
        <w:t>均满足《地表水环境质量标准》</w:t>
      </w:r>
      <w:r>
        <w:rPr>
          <w:rFonts w:hint="eastAsia"/>
          <w:color w:val="auto"/>
          <w:sz w:val="24"/>
          <w:highlight w:val="none"/>
        </w:rPr>
        <w:t>(</w:t>
      </w:r>
      <w:r>
        <w:rPr>
          <w:color w:val="auto"/>
          <w:sz w:val="24"/>
          <w:highlight w:val="none"/>
        </w:rPr>
        <w:t>GB3838-2002</w:t>
      </w:r>
      <w:r>
        <w:rPr>
          <w:rFonts w:hint="eastAsia"/>
          <w:color w:val="auto"/>
          <w:sz w:val="24"/>
          <w:highlight w:val="none"/>
        </w:rPr>
        <w:t>)</w:t>
      </w:r>
      <w:r>
        <w:rPr>
          <w:color w:val="auto"/>
          <w:sz w:val="24"/>
          <w:highlight w:val="none"/>
        </w:rPr>
        <w:t>的V类水质标准</w:t>
      </w:r>
      <w:r>
        <w:rPr>
          <w:rFonts w:hint="eastAsia"/>
          <w:color w:val="auto"/>
          <w:sz w:val="24"/>
          <w:highlight w:val="none"/>
        </w:rPr>
        <w:t>。</w:t>
      </w:r>
      <w:bookmarkStart w:id="125" w:name="_Toc23889"/>
    </w:p>
    <w:p>
      <w:pPr>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eastAsia="黑体"/>
          <w:color w:val="auto"/>
          <w:sz w:val="24"/>
          <w:highlight w:val="none"/>
        </w:rPr>
      </w:pPr>
      <w:r>
        <w:rPr>
          <w:rFonts w:hint="eastAsia" w:eastAsia="黑体"/>
          <w:color w:val="auto"/>
          <w:sz w:val="24"/>
          <w:highlight w:val="none"/>
          <w:lang w:eastAsia="zh-CN"/>
        </w:rPr>
        <w:t>3.6</w:t>
      </w:r>
      <w:r>
        <w:rPr>
          <w:rFonts w:hint="eastAsia" w:eastAsia="黑体"/>
          <w:color w:val="auto"/>
          <w:sz w:val="24"/>
          <w:highlight w:val="none"/>
          <w:lang w:val="en-US" w:eastAsia="zh-CN"/>
        </w:rPr>
        <w:t>.2</w:t>
      </w:r>
      <w:r>
        <w:rPr>
          <w:rFonts w:eastAsia="黑体"/>
          <w:color w:val="auto"/>
          <w:sz w:val="24"/>
          <w:highlight w:val="none"/>
        </w:rPr>
        <w:t xml:space="preserve">.2 </w:t>
      </w:r>
      <w:r>
        <w:rPr>
          <w:rFonts w:hint="eastAsia" w:eastAsia="黑体"/>
          <w:color w:val="auto"/>
          <w:sz w:val="24"/>
          <w:highlight w:val="none"/>
          <w:lang w:val="en-US" w:eastAsia="zh-CN"/>
        </w:rPr>
        <w:t>地表水</w:t>
      </w:r>
      <w:r>
        <w:rPr>
          <w:rFonts w:eastAsia="黑体"/>
          <w:color w:val="auto"/>
          <w:sz w:val="24"/>
          <w:highlight w:val="none"/>
        </w:rPr>
        <w:t>质量变化趋势</w:t>
      </w:r>
    </w:p>
    <w:p>
      <w:pPr>
        <w:adjustRightInd w:val="0"/>
        <w:snapToGrid w:val="0"/>
        <w:spacing w:line="360" w:lineRule="auto"/>
        <w:ind w:firstLine="480" w:firstLineChars="200"/>
        <w:jc w:val="left"/>
        <w:rPr>
          <w:color w:val="auto"/>
          <w:sz w:val="24"/>
          <w:highlight w:val="none"/>
        </w:rPr>
      </w:pPr>
      <w:r>
        <w:rPr>
          <w:rFonts w:hint="eastAsia"/>
          <w:color w:val="auto"/>
          <w:sz w:val="24"/>
          <w:highlight w:val="none"/>
          <w:lang w:val="zh-CN"/>
        </w:rPr>
        <w:t>引用</w:t>
      </w:r>
      <w:r>
        <w:rPr>
          <w:color w:val="auto"/>
          <w:sz w:val="24"/>
          <w:highlight w:val="none"/>
          <w:lang w:val="zh-CN"/>
        </w:rPr>
        <w:t>《</w:t>
      </w:r>
      <w:r>
        <w:rPr>
          <w:rFonts w:hint="eastAsia"/>
          <w:color w:val="auto"/>
          <w:sz w:val="24"/>
          <w:highlight w:val="none"/>
        </w:rPr>
        <w:t>青岛</w:t>
      </w:r>
      <w:r>
        <w:rPr>
          <w:rFonts w:hint="eastAsia"/>
          <w:color w:val="auto"/>
          <w:sz w:val="24"/>
          <w:highlight w:val="none"/>
          <w:lang w:eastAsia="zh-CN"/>
        </w:rPr>
        <w:t>金泰表面工程有限公司</w:t>
      </w:r>
      <w:r>
        <w:rPr>
          <w:rFonts w:hint="eastAsia"/>
          <w:color w:val="auto"/>
          <w:sz w:val="24"/>
          <w:highlight w:val="none"/>
        </w:rPr>
        <w:t>青岛</w:t>
      </w:r>
      <w:r>
        <w:rPr>
          <w:rFonts w:hint="eastAsia"/>
          <w:color w:val="auto"/>
          <w:sz w:val="24"/>
          <w:highlight w:val="none"/>
          <w:lang w:eastAsia="zh-CN"/>
        </w:rPr>
        <w:t>经济技术开发区电镀工业园二期</w:t>
      </w:r>
      <w:r>
        <w:rPr>
          <w:rFonts w:hint="eastAsia"/>
          <w:color w:val="auto"/>
          <w:sz w:val="24"/>
          <w:highlight w:val="none"/>
        </w:rPr>
        <w:t>建设项目环境影响报告书</w:t>
      </w:r>
      <w:r>
        <w:rPr>
          <w:color w:val="auto"/>
          <w:sz w:val="24"/>
          <w:highlight w:val="none"/>
          <w:lang w:val="zh-CN"/>
        </w:rPr>
        <w:t>》的</w:t>
      </w:r>
      <w:r>
        <w:rPr>
          <w:rFonts w:hint="eastAsia"/>
          <w:color w:val="auto"/>
          <w:sz w:val="24"/>
          <w:highlight w:val="none"/>
          <w:lang w:val="zh-CN"/>
        </w:rPr>
        <w:t>镰湾河水质</w:t>
      </w:r>
      <w:r>
        <w:rPr>
          <w:color w:val="auto"/>
          <w:sz w:val="24"/>
          <w:highlight w:val="none"/>
          <w:lang w:val="zh-CN"/>
        </w:rPr>
        <w:t>监测数据</w:t>
      </w:r>
      <w:r>
        <w:rPr>
          <w:rFonts w:hint="eastAsia"/>
          <w:color w:val="auto"/>
          <w:sz w:val="24"/>
          <w:highlight w:val="none"/>
        </w:rPr>
        <w:t>，监测结果见表</w:t>
      </w:r>
      <w:r>
        <w:rPr>
          <w:rFonts w:hint="eastAsia"/>
          <w:color w:val="auto"/>
          <w:sz w:val="24"/>
          <w:highlight w:val="none"/>
          <w:lang w:eastAsia="zh-CN"/>
        </w:rPr>
        <w:t>3.6</w:t>
      </w:r>
      <w:r>
        <w:rPr>
          <w:rFonts w:hint="eastAsia"/>
          <w:color w:val="auto"/>
          <w:sz w:val="24"/>
          <w:highlight w:val="none"/>
        </w:rPr>
        <w:t>-</w:t>
      </w:r>
      <w:r>
        <w:rPr>
          <w:rFonts w:hint="eastAsia"/>
          <w:color w:val="auto"/>
          <w:sz w:val="24"/>
          <w:highlight w:val="none"/>
          <w:lang w:val="en-US" w:eastAsia="zh-CN"/>
        </w:rPr>
        <w:t>9</w:t>
      </w:r>
      <w:r>
        <w:rPr>
          <w:rFonts w:hint="eastAsia"/>
          <w:color w:val="auto"/>
          <w:sz w:val="24"/>
          <w:highlight w:val="none"/>
        </w:rPr>
        <w:t>。</w:t>
      </w:r>
    </w:p>
    <w:p>
      <w:pPr>
        <w:tabs>
          <w:tab w:val="center" w:pos="4166"/>
          <w:tab w:val="center" w:pos="6750"/>
        </w:tabs>
        <w:autoSpaceDE w:val="0"/>
        <w:autoSpaceDN w:val="0"/>
        <w:adjustRightInd w:val="0"/>
        <w:jc w:val="center"/>
        <w:rPr>
          <w:rFonts w:hint="eastAsia" w:ascii="黑体" w:hAnsi="黑体" w:eastAsia="黑体" w:cs="黑体"/>
          <w:b w:val="0"/>
          <w:bCs w:val="0"/>
          <w:color w:val="auto"/>
          <w:kern w:val="0"/>
          <w:sz w:val="24"/>
          <w:szCs w:val="24"/>
          <w:highlight w:val="none"/>
          <w:lang w:val="zh-CN"/>
        </w:rPr>
      </w:pPr>
      <w:r>
        <w:rPr>
          <w:rFonts w:hint="eastAsia" w:ascii="黑体" w:hAnsi="黑体" w:eastAsia="黑体" w:cs="黑体"/>
          <w:b w:val="0"/>
          <w:bCs w:val="0"/>
          <w:color w:val="auto"/>
          <w:kern w:val="0"/>
          <w:sz w:val="24"/>
          <w:szCs w:val="24"/>
          <w:highlight w:val="none"/>
          <w:lang w:val="zh-CN"/>
        </w:rPr>
        <w:t>表</w:t>
      </w:r>
      <w:r>
        <w:rPr>
          <w:rFonts w:hint="eastAsia" w:ascii="黑体" w:hAnsi="黑体" w:eastAsia="黑体" w:cs="黑体"/>
          <w:b w:val="0"/>
          <w:bCs w:val="0"/>
          <w:color w:val="auto"/>
          <w:kern w:val="0"/>
          <w:sz w:val="24"/>
          <w:szCs w:val="24"/>
          <w:highlight w:val="none"/>
          <w:lang w:eastAsia="zh-CN"/>
        </w:rPr>
        <w:t>3.6</w:t>
      </w:r>
      <w:r>
        <w:rPr>
          <w:rFonts w:hint="eastAsia" w:ascii="黑体" w:hAnsi="黑体" w:eastAsia="黑体" w:cs="黑体"/>
          <w:b w:val="0"/>
          <w:bCs w:val="0"/>
          <w:color w:val="auto"/>
          <w:kern w:val="0"/>
          <w:sz w:val="24"/>
          <w:szCs w:val="24"/>
          <w:highlight w:val="none"/>
        </w:rPr>
        <w:t>-</w:t>
      </w:r>
      <w:r>
        <w:rPr>
          <w:rFonts w:hint="eastAsia" w:ascii="黑体" w:hAnsi="黑体" w:eastAsia="黑体" w:cs="黑体"/>
          <w:b w:val="0"/>
          <w:bCs w:val="0"/>
          <w:color w:val="auto"/>
          <w:kern w:val="0"/>
          <w:sz w:val="24"/>
          <w:szCs w:val="24"/>
          <w:highlight w:val="none"/>
          <w:lang w:val="en-US" w:eastAsia="zh-CN"/>
        </w:rPr>
        <w:t>9</w:t>
      </w:r>
      <w:r>
        <w:rPr>
          <w:rFonts w:hint="eastAsia" w:ascii="黑体" w:hAnsi="黑体" w:eastAsia="黑体" w:cs="黑体"/>
          <w:b w:val="0"/>
          <w:bCs w:val="0"/>
          <w:color w:val="auto"/>
          <w:kern w:val="0"/>
          <w:sz w:val="24"/>
          <w:szCs w:val="24"/>
          <w:highlight w:val="none"/>
        </w:rPr>
        <w:t xml:space="preserve">  </w:t>
      </w:r>
      <w:r>
        <w:rPr>
          <w:rFonts w:hint="eastAsia" w:ascii="黑体" w:hAnsi="黑体" w:eastAsia="黑体" w:cs="黑体"/>
          <w:b w:val="0"/>
          <w:bCs w:val="0"/>
          <w:color w:val="auto"/>
          <w:kern w:val="0"/>
          <w:sz w:val="24"/>
          <w:szCs w:val="24"/>
          <w:highlight w:val="none"/>
          <w:lang w:val="zh-CN"/>
        </w:rPr>
        <w:t xml:space="preserve">地表水质量监测统计结果   </w:t>
      </w:r>
      <w:r>
        <w:rPr>
          <w:rFonts w:hint="eastAsia" w:ascii="黑体" w:hAnsi="黑体" w:eastAsia="黑体" w:cs="黑体"/>
          <w:b w:val="0"/>
          <w:bCs w:val="0"/>
          <w:color w:val="auto"/>
          <w:sz w:val="24"/>
          <w:szCs w:val="24"/>
          <w:highlight w:val="none"/>
        </w:rPr>
        <w:t>单位：mg/L(PH值除外)</w:t>
      </w:r>
    </w:p>
    <w:tbl>
      <w:tblPr>
        <w:tblStyle w:val="36"/>
        <w:tblW w:w="9231" w:type="dxa"/>
        <w:tblInd w:w="0"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shd w:val="clear" w:color="auto" w:fill="auto"/>
        <w:tblLayout w:type="fixed"/>
        <w:tblCellMar>
          <w:top w:w="0" w:type="dxa"/>
          <w:left w:w="108" w:type="dxa"/>
          <w:bottom w:w="0" w:type="dxa"/>
          <w:right w:w="108" w:type="dxa"/>
        </w:tblCellMar>
      </w:tblPr>
      <w:tblGrid>
        <w:gridCol w:w="1517"/>
        <w:gridCol w:w="1779"/>
        <w:gridCol w:w="1726"/>
        <w:gridCol w:w="1138"/>
        <w:gridCol w:w="1432"/>
        <w:gridCol w:w="1639"/>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97" w:hRule="atLeast"/>
        </w:trPr>
        <w:tc>
          <w:tcPr>
            <w:tcW w:w="1517" w:type="dxa"/>
            <w:vMerge w:val="restart"/>
            <w:shd w:val="clear" w:color="auto" w:fill="auto"/>
            <w:vAlign w:val="center"/>
            <mc:AlternateContent>
              <mc:Choice Requires="wpsCustomData">
                <wpsCustomData:diagonals>
                  <wpsCustomData:diagonal from="10000" to="30000">
                    <wpsCustomData:border w:val="single" w:color="auto" w:sz="12" w:space="0"/>
                  </wpsCustomData:diagonal>
                </wpsCustomData:diagonals>
              </mc:Choice>
            </mc:AlternateContent>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color w:val="auto"/>
                <w:sz w:val="21"/>
                <w:szCs w:val="21"/>
                <w:highlight w:val="none"/>
                <w:lang w:eastAsia="zh-CN"/>
              </w:r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color w:val="auto"/>
                <w:sz w:val="21"/>
                <w:szCs w:val="21"/>
                <w:highlight w:val="none"/>
                <w:lang w:eastAsia="zh-CN"/>
              </w:r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mc:AlternateContent>
                <mc:Choice Requires="wpsCustomData">
                  <wpsCustomData:diagonalParaType/>
                </mc:Choice>
              </mc:AlternateContent>
              <w:rPr>
                <w:rFonts w:hint="eastAsia" w:eastAsia="宋体"/>
                <w:color w:val="auto"/>
                <w:sz w:val="21"/>
                <w:szCs w:val="21"/>
                <w:highlight w:val="none"/>
                <w:lang w:eastAsia="zh-CN"/>
              </w:rPr>
            </w:pPr>
            <w:r>
              <w:rPr>
                <w:rFonts w:hint="eastAsia"/>
                <w:color w:val="auto"/>
                <w:sz w:val="21"/>
                <w:szCs w:val="21"/>
                <w:highlight w:val="none"/>
                <w:lang w:eastAsia="zh-CN"/>
              </w:rPr>
              <w:t>污染物</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eastAsia="宋体"/>
                <w:color w:val="auto"/>
                <w:sz w:val="21"/>
                <w:szCs w:val="21"/>
                <w:highlight w:val="none"/>
                <w:lang w:val="en-US" w:eastAsia="zh-CN"/>
              </w:rPr>
            </w:pPr>
            <w:r>
              <w:rPr>
                <w:rFonts w:hint="eastAsia"/>
                <w:color w:val="auto"/>
                <w:sz w:val="21"/>
                <w:szCs w:val="21"/>
                <w:highlight w:val="none"/>
                <w:lang w:val="en-US" w:eastAsia="zh-CN"/>
              </w:rPr>
              <w:t xml:space="preserve">    分类</w:t>
            </w:r>
          </w:p>
        </w:tc>
        <w:tc>
          <w:tcPr>
            <w:tcW w:w="3505"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eastAsia="宋体"/>
                <w:color w:val="auto"/>
                <w:sz w:val="21"/>
                <w:szCs w:val="21"/>
                <w:highlight w:val="none"/>
                <w:lang w:eastAsia="zh-CN"/>
              </w:rPr>
            </w:pPr>
            <w:r>
              <w:rPr>
                <w:color w:val="auto"/>
                <w:sz w:val="21"/>
                <w:szCs w:val="21"/>
                <w:highlight w:val="none"/>
              </w:rPr>
              <w:t>20</w:t>
            </w:r>
            <w:r>
              <w:rPr>
                <w:rFonts w:hint="eastAsia"/>
                <w:color w:val="auto"/>
                <w:sz w:val="21"/>
                <w:szCs w:val="21"/>
                <w:highlight w:val="none"/>
                <w:lang w:val="en-US" w:eastAsia="zh-CN"/>
              </w:rPr>
              <w:t>12</w:t>
            </w:r>
            <w:r>
              <w:rPr>
                <w:color w:val="auto"/>
                <w:sz w:val="21"/>
                <w:szCs w:val="21"/>
                <w:highlight w:val="none"/>
              </w:rPr>
              <w:t>.</w:t>
            </w:r>
            <w:r>
              <w:rPr>
                <w:rFonts w:hint="eastAsia"/>
                <w:color w:val="auto"/>
                <w:sz w:val="21"/>
                <w:szCs w:val="21"/>
                <w:highlight w:val="none"/>
                <w:lang w:val="en-US" w:eastAsia="zh-CN"/>
              </w:rPr>
              <w:t>7.16</w:t>
            </w:r>
            <w:r>
              <w:rPr>
                <w:rFonts w:hint="eastAsia"/>
                <w:color w:val="auto"/>
                <w:sz w:val="21"/>
                <w:szCs w:val="21"/>
                <w:highlight w:val="none"/>
                <w:lang w:eastAsia="zh-CN"/>
              </w:rPr>
              <w:t>监测值</w:t>
            </w:r>
          </w:p>
        </w:tc>
        <w:tc>
          <w:tcPr>
            <w:tcW w:w="1138"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color w:val="auto"/>
                <w:sz w:val="21"/>
                <w:szCs w:val="21"/>
                <w:highlight w:val="none"/>
              </w:rPr>
            </w:pPr>
            <w:r>
              <w:rPr>
                <w:color w:val="auto"/>
                <w:sz w:val="21"/>
                <w:szCs w:val="21"/>
                <w:highlight w:val="none"/>
              </w:rPr>
              <w:t>标准(</w:t>
            </w:r>
            <w:r>
              <w:rPr>
                <w:color w:val="auto"/>
                <w:sz w:val="21"/>
                <w:szCs w:val="21"/>
                <w:highlight w:val="none"/>
              </w:rPr>
              <w:fldChar w:fldCharType="begin"/>
            </w:r>
            <w:r>
              <w:rPr>
                <w:color w:val="auto"/>
                <w:sz w:val="21"/>
                <w:szCs w:val="21"/>
                <w:highlight w:val="none"/>
              </w:rPr>
              <w:instrText xml:space="preserve"> </w:instrText>
            </w:r>
            <w:r>
              <w:rPr>
                <w:rFonts w:hint="eastAsia"/>
                <w:color w:val="auto"/>
                <w:sz w:val="21"/>
                <w:szCs w:val="21"/>
                <w:highlight w:val="none"/>
              </w:rPr>
              <w:instrText xml:space="preserve">= 5 \* ROMAN</w:instrText>
            </w:r>
            <w:r>
              <w:rPr>
                <w:color w:val="auto"/>
                <w:sz w:val="21"/>
                <w:szCs w:val="21"/>
                <w:highlight w:val="none"/>
              </w:rPr>
              <w:instrText xml:space="preserve"> </w:instrText>
            </w:r>
            <w:r>
              <w:rPr>
                <w:color w:val="auto"/>
                <w:sz w:val="21"/>
                <w:szCs w:val="21"/>
                <w:highlight w:val="none"/>
              </w:rPr>
              <w:fldChar w:fldCharType="separate"/>
            </w:r>
            <w:r>
              <w:rPr>
                <w:color w:val="auto"/>
                <w:sz w:val="21"/>
                <w:szCs w:val="21"/>
                <w:highlight w:val="none"/>
              </w:rPr>
              <w:t>V</w:t>
            </w:r>
            <w:r>
              <w:rPr>
                <w:color w:val="auto"/>
                <w:sz w:val="21"/>
                <w:szCs w:val="21"/>
                <w:highlight w:val="none"/>
              </w:rPr>
              <w:fldChar w:fldCharType="end"/>
            </w:r>
            <w:r>
              <w:rPr>
                <w:color w:val="auto"/>
                <w:sz w:val="21"/>
                <w:szCs w:val="21"/>
                <w:highlight w:val="none"/>
              </w:rPr>
              <w:t>类)</w:t>
            </w:r>
          </w:p>
        </w:tc>
        <w:tc>
          <w:tcPr>
            <w:tcW w:w="3071"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color w:val="auto"/>
                <w:sz w:val="21"/>
                <w:szCs w:val="21"/>
                <w:highlight w:val="none"/>
              </w:rPr>
            </w:pPr>
            <w:r>
              <w:rPr>
                <w:rFonts w:hint="eastAsia"/>
                <w:color w:val="auto"/>
                <w:sz w:val="21"/>
                <w:szCs w:val="21"/>
                <w:highlight w:val="none"/>
                <w:lang w:eastAsia="zh-CN"/>
              </w:rPr>
              <w:t>评价结果</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shd w:val="clear" w:color="auto" w:fill="auto"/>
          <w:tblCellMar>
            <w:top w:w="0" w:type="dxa"/>
            <w:left w:w="108" w:type="dxa"/>
            <w:bottom w:w="0" w:type="dxa"/>
            <w:right w:w="108" w:type="dxa"/>
          </w:tblCellMar>
        </w:tblPrEx>
        <w:trPr>
          <w:cantSplit/>
          <w:trHeight w:val="90" w:hRule="atLeast"/>
        </w:trPr>
        <w:tc>
          <w:tcPr>
            <w:tcW w:w="1517"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color w:val="auto"/>
                <w:sz w:val="21"/>
                <w:szCs w:val="21"/>
                <w:highlight w:val="none"/>
              </w:rPr>
            </w:pPr>
          </w:p>
        </w:tc>
        <w:tc>
          <w:tcPr>
            <w:tcW w:w="177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eastAsia="宋体"/>
                <w:color w:val="auto"/>
                <w:sz w:val="21"/>
                <w:szCs w:val="21"/>
                <w:highlight w:val="none"/>
                <w:lang w:val="en-US" w:eastAsia="zh-CN"/>
              </w:rPr>
            </w:pPr>
            <w:r>
              <w:rPr>
                <w:rFonts w:hint="eastAsia"/>
                <w:color w:val="auto"/>
                <w:sz w:val="21"/>
                <w:szCs w:val="21"/>
                <w:highlight w:val="none"/>
                <w:lang w:eastAsia="zh-CN"/>
              </w:rPr>
              <w:t>污水厂排污口上游</w:t>
            </w:r>
            <w:r>
              <w:rPr>
                <w:rFonts w:hint="eastAsia"/>
                <w:color w:val="auto"/>
                <w:sz w:val="21"/>
                <w:szCs w:val="21"/>
                <w:highlight w:val="none"/>
                <w:lang w:val="en-US" w:eastAsia="zh-CN"/>
              </w:rPr>
              <w:t>Ci</w:t>
            </w:r>
          </w:p>
        </w:tc>
        <w:tc>
          <w:tcPr>
            <w:tcW w:w="1726"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color w:val="auto"/>
                <w:sz w:val="21"/>
                <w:szCs w:val="21"/>
                <w:highlight w:val="none"/>
              </w:rPr>
            </w:pPr>
            <w:r>
              <w:rPr>
                <w:rFonts w:hint="eastAsia"/>
                <w:color w:val="auto"/>
                <w:sz w:val="21"/>
                <w:szCs w:val="21"/>
                <w:highlight w:val="none"/>
                <w:lang w:eastAsia="zh-CN"/>
              </w:rPr>
              <w:t>污水厂排污口下游</w:t>
            </w:r>
            <w:r>
              <w:rPr>
                <w:rFonts w:hint="eastAsia"/>
                <w:color w:val="auto"/>
                <w:sz w:val="21"/>
                <w:szCs w:val="21"/>
                <w:highlight w:val="none"/>
                <w:lang w:val="en-US" w:eastAsia="zh-CN"/>
              </w:rPr>
              <w:t>Ci</w:t>
            </w:r>
          </w:p>
        </w:tc>
        <w:tc>
          <w:tcPr>
            <w:tcW w:w="1138"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color w:val="auto"/>
                <w:sz w:val="21"/>
                <w:szCs w:val="21"/>
                <w:highlight w:val="none"/>
              </w:rPr>
            </w:pPr>
          </w:p>
        </w:tc>
        <w:tc>
          <w:tcPr>
            <w:tcW w:w="1432"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color w:val="auto"/>
                <w:sz w:val="21"/>
                <w:szCs w:val="21"/>
                <w:highlight w:val="none"/>
              </w:rPr>
            </w:pPr>
            <w:r>
              <w:rPr>
                <w:rFonts w:hint="eastAsia"/>
                <w:color w:val="auto"/>
                <w:sz w:val="21"/>
                <w:szCs w:val="21"/>
                <w:highlight w:val="none"/>
                <w:lang w:eastAsia="zh-CN"/>
              </w:rPr>
              <w:t>污水厂排污口上游</w:t>
            </w:r>
            <w:r>
              <w:rPr>
                <w:rFonts w:hint="eastAsia"/>
                <w:color w:val="auto"/>
                <w:sz w:val="21"/>
                <w:szCs w:val="21"/>
                <w:highlight w:val="none"/>
                <w:lang w:val="en-US" w:eastAsia="zh-CN"/>
              </w:rPr>
              <w:t>Si</w:t>
            </w:r>
          </w:p>
        </w:tc>
        <w:tc>
          <w:tcPr>
            <w:tcW w:w="163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color w:val="auto"/>
                <w:sz w:val="21"/>
                <w:szCs w:val="21"/>
                <w:highlight w:val="none"/>
              </w:rPr>
            </w:pPr>
            <w:r>
              <w:rPr>
                <w:rFonts w:hint="eastAsia"/>
                <w:color w:val="auto"/>
                <w:sz w:val="21"/>
                <w:szCs w:val="21"/>
                <w:highlight w:val="none"/>
                <w:lang w:eastAsia="zh-CN"/>
              </w:rPr>
              <w:t>污水厂排污口下游</w:t>
            </w:r>
            <w:r>
              <w:rPr>
                <w:rFonts w:hint="eastAsia"/>
                <w:color w:val="auto"/>
                <w:sz w:val="21"/>
                <w:szCs w:val="21"/>
                <w:highlight w:val="none"/>
                <w:lang w:val="en-US" w:eastAsia="zh-CN"/>
              </w:rPr>
              <w:t>Si</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shd w:val="clear" w:color="auto" w:fill="auto"/>
          <w:tblCellMar>
            <w:top w:w="0" w:type="dxa"/>
            <w:left w:w="108" w:type="dxa"/>
            <w:bottom w:w="0" w:type="dxa"/>
            <w:right w:w="108" w:type="dxa"/>
          </w:tblCellMar>
        </w:tblPrEx>
        <w:trPr>
          <w:cantSplit/>
          <w:trHeight w:val="363" w:hRule="atLeast"/>
        </w:trPr>
        <w:tc>
          <w:tcPr>
            <w:tcW w:w="151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eastAsia="宋体"/>
                <w:color w:val="auto"/>
                <w:sz w:val="21"/>
                <w:szCs w:val="21"/>
                <w:highlight w:val="none"/>
                <w:lang w:eastAsia="zh-CN"/>
              </w:rPr>
            </w:pPr>
            <w:r>
              <w:rPr>
                <w:color w:val="auto"/>
                <w:sz w:val="21"/>
                <w:szCs w:val="21"/>
                <w:highlight w:val="none"/>
              </w:rPr>
              <w:t>pH</w:t>
            </w:r>
          </w:p>
        </w:tc>
        <w:tc>
          <w:tcPr>
            <w:tcW w:w="177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color w:val="auto"/>
                <w:sz w:val="21"/>
                <w:szCs w:val="21"/>
                <w:highlight w:val="none"/>
                <w:lang w:val="en-US" w:eastAsia="zh-CN"/>
              </w:rPr>
            </w:pPr>
            <w:r>
              <w:rPr>
                <w:rFonts w:hint="eastAsia"/>
                <w:color w:val="auto"/>
                <w:sz w:val="21"/>
                <w:szCs w:val="21"/>
                <w:highlight w:val="none"/>
                <w:lang w:val="en-US" w:eastAsia="zh-CN"/>
              </w:rPr>
              <w:t>6.93</w:t>
            </w:r>
          </w:p>
        </w:tc>
        <w:tc>
          <w:tcPr>
            <w:tcW w:w="1726"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eastAsia="宋体"/>
                <w:color w:val="auto"/>
                <w:sz w:val="21"/>
                <w:szCs w:val="21"/>
                <w:highlight w:val="none"/>
                <w:lang w:val="en-US" w:eastAsia="zh-CN"/>
              </w:rPr>
            </w:pPr>
            <w:r>
              <w:rPr>
                <w:rFonts w:hint="eastAsia"/>
                <w:color w:val="auto"/>
                <w:sz w:val="21"/>
                <w:szCs w:val="21"/>
                <w:highlight w:val="none"/>
                <w:lang w:val="en-US" w:eastAsia="zh-CN"/>
              </w:rPr>
              <w:t>6.93</w:t>
            </w:r>
          </w:p>
        </w:tc>
        <w:tc>
          <w:tcPr>
            <w:tcW w:w="113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eastAsia="宋体"/>
                <w:color w:val="auto"/>
                <w:sz w:val="21"/>
                <w:szCs w:val="21"/>
                <w:highlight w:val="none"/>
                <w:lang w:val="en-US" w:eastAsia="zh-CN"/>
              </w:rPr>
            </w:pPr>
            <w:r>
              <w:rPr>
                <w:rFonts w:hint="eastAsia"/>
                <w:color w:val="auto"/>
                <w:sz w:val="21"/>
                <w:szCs w:val="21"/>
                <w:highlight w:val="none"/>
                <w:lang w:val="en-US" w:eastAsia="zh-CN"/>
              </w:rPr>
              <w:t>6-9</w:t>
            </w:r>
          </w:p>
        </w:tc>
        <w:tc>
          <w:tcPr>
            <w:tcW w:w="1432"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eastAsia="宋体"/>
                <w:color w:val="auto"/>
                <w:sz w:val="21"/>
                <w:szCs w:val="21"/>
                <w:highlight w:val="none"/>
                <w:lang w:val="en-US" w:eastAsia="zh-CN"/>
              </w:rPr>
            </w:pPr>
            <w:r>
              <w:rPr>
                <w:rFonts w:hint="eastAsia"/>
                <w:color w:val="auto"/>
                <w:sz w:val="21"/>
                <w:szCs w:val="21"/>
                <w:highlight w:val="none"/>
                <w:lang w:val="en-US" w:eastAsia="zh-CN"/>
              </w:rPr>
              <w:t>0.07</w:t>
            </w:r>
          </w:p>
        </w:tc>
        <w:tc>
          <w:tcPr>
            <w:tcW w:w="163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eastAsia="宋体"/>
                <w:color w:val="auto"/>
                <w:sz w:val="21"/>
                <w:szCs w:val="21"/>
                <w:highlight w:val="none"/>
                <w:lang w:val="en-US" w:eastAsia="zh-CN"/>
              </w:rPr>
            </w:pPr>
            <w:r>
              <w:rPr>
                <w:rFonts w:hint="eastAsia"/>
                <w:color w:val="auto"/>
                <w:sz w:val="21"/>
                <w:szCs w:val="21"/>
                <w:highlight w:val="none"/>
                <w:lang w:val="en-US" w:eastAsia="zh-CN"/>
              </w:rPr>
              <w:t>0.07</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shd w:val="clear" w:color="auto" w:fill="auto"/>
          <w:tblCellMar>
            <w:top w:w="0" w:type="dxa"/>
            <w:left w:w="108" w:type="dxa"/>
            <w:bottom w:w="0" w:type="dxa"/>
            <w:right w:w="108" w:type="dxa"/>
          </w:tblCellMar>
        </w:tblPrEx>
        <w:trPr>
          <w:cantSplit/>
          <w:trHeight w:val="363" w:hRule="atLeast"/>
        </w:trPr>
        <w:tc>
          <w:tcPr>
            <w:tcW w:w="151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color w:val="auto"/>
                <w:sz w:val="21"/>
                <w:szCs w:val="21"/>
                <w:highlight w:val="none"/>
                <w:lang w:eastAsia="zh-CN"/>
              </w:rPr>
            </w:pPr>
            <w:r>
              <w:rPr>
                <w:color w:val="auto"/>
                <w:kern w:val="0"/>
                <w:sz w:val="21"/>
                <w:szCs w:val="21"/>
                <w:highlight w:val="none"/>
              </w:rPr>
              <w:t>COD</w:t>
            </w:r>
            <w:r>
              <w:rPr>
                <w:rFonts w:hint="eastAsia"/>
                <w:color w:val="auto"/>
                <w:kern w:val="0"/>
                <w:sz w:val="21"/>
                <w:szCs w:val="21"/>
                <w:highlight w:val="none"/>
              </w:rPr>
              <w:t>cr</w:t>
            </w:r>
          </w:p>
        </w:tc>
        <w:tc>
          <w:tcPr>
            <w:tcW w:w="177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color w:val="auto"/>
                <w:sz w:val="21"/>
                <w:szCs w:val="21"/>
                <w:highlight w:val="none"/>
                <w:lang w:val="en-US" w:eastAsia="zh-CN"/>
              </w:rPr>
            </w:pPr>
            <w:r>
              <w:rPr>
                <w:rFonts w:hint="eastAsia"/>
                <w:color w:val="auto"/>
                <w:sz w:val="21"/>
                <w:szCs w:val="21"/>
                <w:highlight w:val="none"/>
                <w:lang w:val="en-US" w:eastAsia="zh-CN"/>
              </w:rPr>
              <w:t>96</w:t>
            </w:r>
          </w:p>
        </w:tc>
        <w:tc>
          <w:tcPr>
            <w:tcW w:w="1726"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color w:val="auto"/>
                <w:sz w:val="21"/>
                <w:szCs w:val="21"/>
                <w:highlight w:val="none"/>
                <w:lang w:val="en-US"/>
              </w:rPr>
            </w:pPr>
            <w:r>
              <w:rPr>
                <w:rFonts w:hint="eastAsia"/>
                <w:color w:val="auto"/>
                <w:sz w:val="21"/>
                <w:szCs w:val="21"/>
                <w:highlight w:val="none"/>
                <w:lang w:val="en-US" w:eastAsia="zh-CN"/>
              </w:rPr>
              <w:t>38</w:t>
            </w:r>
          </w:p>
        </w:tc>
        <w:tc>
          <w:tcPr>
            <w:tcW w:w="113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eastAsia="宋体"/>
                <w:color w:val="auto"/>
                <w:sz w:val="21"/>
                <w:szCs w:val="21"/>
                <w:highlight w:val="none"/>
                <w:lang w:val="en-US" w:eastAsia="zh-CN"/>
              </w:rPr>
            </w:pPr>
            <w:r>
              <w:rPr>
                <w:rFonts w:hint="eastAsia"/>
                <w:color w:val="auto"/>
                <w:sz w:val="21"/>
                <w:szCs w:val="21"/>
                <w:highlight w:val="none"/>
                <w:lang w:val="en-US" w:eastAsia="zh-CN"/>
              </w:rPr>
              <w:t>40</w:t>
            </w:r>
          </w:p>
        </w:tc>
        <w:tc>
          <w:tcPr>
            <w:tcW w:w="1432" w:type="dxa"/>
            <w:shd w:val="clear" w:color="auto" w:fill="EEECE1" w:themeFill="background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eastAsia="宋体"/>
                <w:color w:val="auto"/>
                <w:sz w:val="21"/>
                <w:szCs w:val="21"/>
                <w:highlight w:val="none"/>
                <w:lang w:val="en-US" w:eastAsia="zh-CN"/>
              </w:rPr>
            </w:pPr>
            <w:r>
              <w:rPr>
                <w:rFonts w:hint="eastAsia"/>
                <w:color w:val="auto"/>
                <w:sz w:val="21"/>
                <w:szCs w:val="21"/>
                <w:highlight w:val="none"/>
                <w:lang w:val="en-US" w:eastAsia="zh-CN"/>
              </w:rPr>
              <w:t>2.4</w:t>
            </w:r>
          </w:p>
        </w:tc>
        <w:tc>
          <w:tcPr>
            <w:tcW w:w="163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eastAsia="宋体"/>
                <w:color w:val="auto"/>
                <w:sz w:val="21"/>
                <w:szCs w:val="21"/>
                <w:highlight w:val="none"/>
                <w:lang w:val="en-US" w:eastAsia="zh-CN"/>
              </w:rPr>
            </w:pPr>
            <w:r>
              <w:rPr>
                <w:rFonts w:hint="eastAsia"/>
                <w:color w:val="auto"/>
                <w:sz w:val="21"/>
                <w:szCs w:val="21"/>
                <w:highlight w:val="none"/>
                <w:lang w:val="en-US" w:eastAsia="zh-CN"/>
              </w:rPr>
              <w:t>0.95</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shd w:val="clear" w:color="auto" w:fill="auto"/>
          <w:tblCellMar>
            <w:top w:w="0" w:type="dxa"/>
            <w:left w:w="108" w:type="dxa"/>
            <w:bottom w:w="0" w:type="dxa"/>
            <w:right w:w="108" w:type="dxa"/>
          </w:tblCellMar>
        </w:tblPrEx>
        <w:trPr>
          <w:cantSplit/>
          <w:trHeight w:val="363" w:hRule="atLeast"/>
        </w:trPr>
        <w:tc>
          <w:tcPr>
            <w:tcW w:w="151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color w:val="auto"/>
                <w:sz w:val="21"/>
                <w:szCs w:val="21"/>
                <w:highlight w:val="none"/>
                <w:lang w:eastAsia="zh-CN"/>
              </w:rPr>
            </w:pPr>
            <w:r>
              <w:rPr>
                <w:rFonts w:hint="eastAsia" w:ascii="宋体" w:hAnsi="宋体"/>
                <w:color w:val="auto"/>
                <w:sz w:val="21"/>
                <w:szCs w:val="21"/>
                <w:highlight w:val="none"/>
              </w:rPr>
              <w:t>氨氮</w:t>
            </w:r>
          </w:p>
        </w:tc>
        <w:tc>
          <w:tcPr>
            <w:tcW w:w="177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color w:val="auto"/>
                <w:sz w:val="21"/>
                <w:szCs w:val="21"/>
                <w:highlight w:val="none"/>
                <w:lang w:val="en-US" w:eastAsia="zh-CN"/>
              </w:rPr>
            </w:pPr>
            <w:r>
              <w:rPr>
                <w:rFonts w:hint="eastAsia"/>
                <w:color w:val="auto"/>
                <w:sz w:val="21"/>
                <w:szCs w:val="21"/>
                <w:highlight w:val="none"/>
                <w:lang w:val="en-US" w:eastAsia="zh-CN"/>
              </w:rPr>
              <w:t>19.6</w:t>
            </w:r>
          </w:p>
        </w:tc>
        <w:tc>
          <w:tcPr>
            <w:tcW w:w="1726"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eastAsia="宋体"/>
                <w:color w:val="auto"/>
                <w:sz w:val="21"/>
                <w:szCs w:val="21"/>
                <w:highlight w:val="none"/>
                <w:lang w:val="en-US" w:eastAsia="zh-CN"/>
              </w:rPr>
            </w:pPr>
            <w:r>
              <w:rPr>
                <w:rFonts w:hint="eastAsia"/>
                <w:color w:val="auto"/>
                <w:sz w:val="21"/>
                <w:szCs w:val="21"/>
                <w:highlight w:val="none"/>
                <w:lang w:val="en-US" w:eastAsia="zh-CN"/>
              </w:rPr>
              <w:t>3.92</w:t>
            </w:r>
          </w:p>
        </w:tc>
        <w:tc>
          <w:tcPr>
            <w:tcW w:w="113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eastAsia="宋体"/>
                <w:color w:val="auto"/>
                <w:sz w:val="21"/>
                <w:szCs w:val="21"/>
                <w:highlight w:val="none"/>
                <w:lang w:val="en-US" w:eastAsia="zh-CN"/>
              </w:rPr>
            </w:pPr>
            <w:r>
              <w:rPr>
                <w:rFonts w:hint="eastAsia"/>
                <w:color w:val="auto"/>
                <w:sz w:val="21"/>
                <w:szCs w:val="21"/>
                <w:highlight w:val="none"/>
                <w:lang w:val="en-US" w:eastAsia="zh-CN"/>
              </w:rPr>
              <w:t>2.0</w:t>
            </w:r>
          </w:p>
        </w:tc>
        <w:tc>
          <w:tcPr>
            <w:tcW w:w="1432" w:type="dxa"/>
            <w:shd w:val="clear" w:color="auto" w:fill="EEECE1" w:themeFill="background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eastAsia="宋体"/>
                <w:color w:val="auto"/>
                <w:sz w:val="21"/>
                <w:szCs w:val="21"/>
                <w:highlight w:val="none"/>
                <w:lang w:val="en-US" w:eastAsia="zh-CN"/>
              </w:rPr>
            </w:pPr>
            <w:r>
              <w:rPr>
                <w:rFonts w:hint="eastAsia"/>
                <w:color w:val="auto"/>
                <w:sz w:val="21"/>
                <w:szCs w:val="21"/>
                <w:highlight w:val="none"/>
                <w:lang w:val="en-US" w:eastAsia="zh-CN"/>
              </w:rPr>
              <w:t>9.8</w:t>
            </w:r>
          </w:p>
        </w:tc>
        <w:tc>
          <w:tcPr>
            <w:tcW w:w="1639" w:type="dxa"/>
            <w:shd w:val="clear" w:color="auto" w:fill="EEECE1" w:themeFill="background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eastAsia="宋体"/>
                <w:color w:val="auto"/>
                <w:sz w:val="21"/>
                <w:szCs w:val="21"/>
                <w:highlight w:val="none"/>
                <w:lang w:val="en-US" w:eastAsia="zh-CN"/>
              </w:rPr>
            </w:pPr>
            <w:r>
              <w:rPr>
                <w:rFonts w:hint="eastAsia"/>
                <w:color w:val="auto"/>
                <w:sz w:val="21"/>
                <w:szCs w:val="21"/>
                <w:highlight w:val="none"/>
                <w:lang w:val="en-US" w:eastAsia="zh-CN"/>
              </w:rPr>
              <w:t>1.96</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shd w:val="clear" w:color="auto" w:fill="auto"/>
          <w:tblCellMar>
            <w:top w:w="0" w:type="dxa"/>
            <w:left w:w="108" w:type="dxa"/>
            <w:bottom w:w="0" w:type="dxa"/>
            <w:right w:w="108" w:type="dxa"/>
          </w:tblCellMar>
        </w:tblPrEx>
        <w:trPr>
          <w:cantSplit/>
          <w:trHeight w:val="363" w:hRule="atLeast"/>
        </w:trPr>
        <w:tc>
          <w:tcPr>
            <w:tcW w:w="151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color w:val="auto"/>
                <w:sz w:val="21"/>
                <w:szCs w:val="21"/>
                <w:highlight w:val="none"/>
                <w:lang w:eastAsia="zh-CN"/>
              </w:rPr>
            </w:pPr>
            <w:r>
              <w:rPr>
                <w:color w:val="auto"/>
                <w:sz w:val="21"/>
                <w:szCs w:val="21"/>
                <w:highlight w:val="none"/>
              </w:rPr>
              <w:t>BOD</w:t>
            </w:r>
            <w:r>
              <w:rPr>
                <w:color w:val="auto"/>
                <w:sz w:val="21"/>
                <w:szCs w:val="21"/>
                <w:highlight w:val="none"/>
                <w:vertAlign w:val="subscript"/>
              </w:rPr>
              <w:t>5</w:t>
            </w:r>
          </w:p>
        </w:tc>
        <w:tc>
          <w:tcPr>
            <w:tcW w:w="177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color w:val="auto"/>
                <w:sz w:val="21"/>
                <w:szCs w:val="21"/>
                <w:highlight w:val="none"/>
                <w:lang w:val="en-US" w:eastAsia="zh-CN"/>
              </w:rPr>
            </w:pPr>
            <w:r>
              <w:rPr>
                <w:rFonts w:hint="eastAsia"/>
                <w:color w:val="auto"/>
                <w:sz w:val="21"/>
                <w:szCs w:val="21"/>
                <w:highlight w:val="none"/>
                <w:lang w:val="en-US" w:eastAsia="zh-CN"/>
              </w:rPr>
              <w:t>50.4</w:t>
            </w:r>
          </w:p>
        </w:tc>
        <w:tc>
          <w:tcPr>
            <w:tcW w:w="1726"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eastAsia="宋体"/>
                <w:color w:val="auto"/>
                <w:sz w:val="21"/>
                <w:szCs w:val="21"/>
                <w:highlight w:val="none"/>
                <w:lang w:val="en-US" w:eastAsia="zh-CN"/>
              </w:rPr>
            </w:pPr>
            <w:r>
              <w:rPr>
                <w:rFonts w:hint="eastAsia"/>
                <w:color w:val="auto"/>
                <w:sz w:val="21"/>
                <w:szCs w:val="21"/>
                <w:highlight w:val="none"/>
                <w:lang w:val="en-US" w:eastAsia="zh-CN"/>
              </w:rPr>
              <w:t>11.0</w:t>
            </w:r>
          </w:p>
        </w:tc>
        <w:tc>
          <w:tcPr>
            <w:tcW w:w="113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eastAsia="宋体"/>
                <w:color w:val="auto"/>
                <w:sz w:val="21"/>
                <w:szCs w:val="21"/>
                <w:highlight w:val="none"/>
                <w:lang w:val="en-US" w:eastAsia="zh-CN"/>
              </w:rPr>
            </w:pPr>
            <w:r>
              <w:rPr>
                <w:rFonts w:hint="eastAsia"/>
                <w:color w:val="auto"/>
                <w:sz w:val="21"/>
                <w:szCs w:val="21"/>
                <w:highlight w:val="none"/>
                <w:lang w:val="en-US" w:eastAsia="zh-CN"/>
              </w:rPr>
              <w:t>10</w:t>
            </w:r>
          </w:p>
        </w:tc>
        <w:tc>
          <w:tcPr>
            <w:tcW w:w="1432" w:type="dxa"/>
            <w:shd w:val="clear" w:color="auto" w:fill="EEECE1" w:themeFill="background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eastAsia="宋体"/>
                <w:color w:val="auto"/>
                <w:sz w:val="21"/>
                <w:szCs w:val="21"/>
                <w:highlight w:val="none"/>
                <w:lang w:val="en-US" w:eastAsia="zh-CN"/>
              </w:rPr>
            </w:pPr>
            <w:r>
              <w:rPr>
                <w:rFonts w:hint="eastAsia"/>
                <w:color w:val="auto"/>
                <w:sz w:val="21"/>
                <w:szCs w:val="21"/>
                <w:highlight w:val="none"/>
                <w:lang w:val="en-US" w:eastAsia="zh-CN"/>
              </w:rPr>
              <w:t>5.04</w:t>
            </w:r>
          </w:p>
        </w:tc>
        <w:tc>
          <w:tcPr>
            <w:tcW w:w="1639" w:type="dxa"/>
            <w:shd w:val="clear" w:color="auto" w:fill="EEECE1" w:themeFill="background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eastAsia="宋体"/>
                <w:color w:val="auto"/>
                <w:sz w:val="21"/>
                <w:szCs w:val="21"/>
                <w:highlight w:val="none"/>
                <w:lang w:val="en-US" w:eastAsia="zh-CN"/>
              </w:rPr>
            </w:pPr>
            <w:r>
              <w:rPr>
                <w:rFonts w:hint="eastAsia"/>
                <w:color w:val="auto"/>
                <w:sz w:val="21"/>
                <w:szCs w:val="21"/>
                <w:highlight w:val="none"/>
                <w:lang w:val="en-US" w:eastAsia="zh-CN"/>
              </w:rPr>
              <w:t>1.1</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shd w:val="clear" w:color="auto" w:fill="auto"/>
          <w:tblCellMar>
            <w:top w:w="0" w:type="dxa"/>
            <w:left w:w="108" w:type="dxa"/>
            <w:bottom w:w="0" w:type="dxa"/>
            <w:right w:w="108" w:type="dxa"/>
          </w:tblCellMar>
        </w:tblPrEx>
        <w:trPr>
          <w:cantSplit/>
          <w:trHeight w:val="363" w:hRule="atLeast"/>
        </w:trPr>
        <w:tc>
          <w:tcPr>
            <w:tcW w:w="151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color w:val="auto"/>
                <w:sz w:val="21"/>
                <w:szCs w:val="21"/>
                <w:highlight w:val="none"/>
                <w:lang w:eastAsia="zh-CN"/>
              </w:rPr>
            </w:pPr>
            <w:r>
              <w:rPr>
                <w:rFonts w:hint="eastAsia" w:ascii="宋体" w:hAnsi="宋体"/>
                <w:color w:val="auto"/>
                <w:sz w:val="21"/>
                <w:szCs w:val="21"/>
                <w:highlight w:val="none"/>
                <w:lang w:eastAsia="zh-CN"/>
              </w:rPr>
              <w:t>总</w:t>
            </w:r>
            <w:r>
              <w:rPr>
                <w:rFonts w:hint="eastAsia" w:ascii="宋体" w:hAnsi="宋体"/>
                <w:color w:val="auto"/>
                <w:sz w:val="21"/>
                <w:szCs w:val="21"/>
                <w:highlight w:val="none"/>
              </w:rPr>
              <w:t>镍</w:t>
            </w:r>
          </w:p>
        </w:tc>
        <w:tc>
          <w:tcPr>
            <w:tcW w:w="177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color w:val="auto"/>
                <w:sz w:val="21"/>
                <w:szCs w:val="21"/>
                <w:highlight w:val="none"/>
                <w:lang w:val="en-US" w:eastAsia="zh-CN"/>
              </w:rPr>
            </w:pPr>
            <w:r>
              <w:rPr>
                <w:rFonts w:hint="eastAsia"/>
                <w:color w:val="auto"/>
                <w:sz w:val="21"/>
                <w:szCs w:val="21"/>
                <w:highlight w:val="none"/>
                <w:lang w:val="en-US" w:eastAsia="zh-CN"/>
              </w:rPr>
              <w:t>0.025</w:t>
            </w:r>
          </w:p>
        </w:tc>
        <w:tc>
          <w:tcPr>
            <w:tcW w:w="1726"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eastAsia="宋体"/>
                <w:color w:val="auto"/>
                <w:sz w:val="21"/>
                <w:szCs w:val="21"/>
                <w:highlight w:val="none"/>
                <w:lang w:val="en-US" w:eastAsia="zh-CN"/>
              </w:rPr>
            </w:pPr>
            <w:r>
              <w:rPr>
                <w:rFonts w:hint="eastAsia"/>
                <w:color w:val="auto"/>
                <w:sz w:val="21"/>
                <w:szCs w:val="21"/>
                <w:highlight w:val="none"/>
                <w:lang w:val="en-US" w:eastAsia="zh-CN"/>
              </w:rPr>
              <w:t>0.010</w:t>
            </w:r>
          </w:p>
        </w:tc>
        <w:tc>
          <w:tcPr>
            <w:tcW w:w="113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eastAsia="宋体"/>
                <w:color w:val="auto"/>
                <w:sz w:val="21"/>
                <w:szCs w:val="21"/>
                <w:highlight w:val="none"/>
                <w:lang w:val="en-US" w:eastAsia="zh-CN"/>
              </w:rPr>
            </w:pPr>
            <w:r>
              <w:rPr>
                <w:rFonts w:hint="eastAsia"/>
                <w:color w:val="auto"/>
                <w:sz w:val="21"/>
                <w:szCs w:val="21"/>
                <w:highlight w:val="none"/>
                <w:lang w:val="en-US" w:eastAsia="zh-CN"/>
              </w:rPr>
              <w:t>0.02*</w:t>
            </w:r>
          </w:p>
        </w:tc>
        <w:tc>
          <w:tcPr>
            <w:tcW w:w="1432"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c>
          <w:tcPr>
            <w:tcW w:w="163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shd w:val="clear" w:color="auto" w:fill="auto"/>
          <w:tblCellMar>
            <w:top w:w="0" w:type="dxa"/>
            <w:left w:w="108" w:type="dxa"/>
            <w:bottom w:w="0" w:type="dxa"/>
            <w:right w:w="108" w:type="dxa"/>
          </w:tblCellMar>
        </w:tblPrEx>
        <w:trPr>
          <w:cantSplit/>
          <w:trHeight w:val="363" w:hRule="atLeast"/>
        </w:trPr>
        <w:tc>
          <w:tcPr>
            <w:tcW w:w="151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color w:val="auto"/>
                <w:sz w:val="21"/>
                <w:szCs w:val="21"/>
                <w:highlight w:val="none"/>
                <w:lang w:eastAsia="zh-CN"/>
              </w:rPr>
            </w:pPr>
            <w:r>
              <w:rPr>
                <w:rFonts w:hint="eastAsia" w:ascii="宋体" w:hAnsi="宋体"/>
                <w:color w:val="auto"/>
                <w:sz w:val="21"/>
                <w:szCs w:val="21"/>
                <w:highlight w:val="none"/>
              </w:rPr>
              <w:t>总磷</w:t>
            </w:r>
          </w:p>
        </w:tc>
        <w:tc>
          <w:tcPr>
            <w:tcW w:w="177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color w:val="auto"/>
                <w:sz w:val="21"/>
                <w:szCs w:val="21"/>
                <w:highlight w:val="none"/>
                <w:lang w:val="en-US" w:eastAsia="zh-CN"/>
              </w:rPr>
            </w:pPr>
            <w:r>
              <w:rPr>
                <w:rFonts w:hint="eastAsia"/>
                <w:color w:val="auto"/>
                <w:sz w:val="21"/>
                <w:szCs w:val="21"/>
                <w:highlight w:val="none"/>
                <w:lang w:val="en-US" w:eastAsia="zh-CN"/>
              </w:rPr>
              <w:t>0.62</w:t>
            </w:r>
          </w:p>
        </w:tc>
        <w:tc>
          <w:tcPr>
            <w:tcW w:w="1726"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eastAsia="宋体"/>
                <w:color w:val="auto"/>
                <w:sz w:val="21"/>
                <w:szCs w:val="21"/>
                <w:highlight w:val="none"/>
                <w:lang w:val="en-US" w:eastAsia="zh-CN"/>
              </w:rPr>
            </w:pPr>
            <w:r>
              <w:rPr>
                <w:rFonts w:hint="eastAsia"/>
                <w:color w:val="auto"/>
                <w:sz w:val="21"/>
                <w:szCs w:val="21"/>
                <w:highlight w:val="none"/>
                <w:lang w:val="en-US" w:eastAsia="zh-CN"/>
              </w:rPr>
              <w:t>0.46</w:t>
            </w:r>
          </w:p>
        </w:tc>
        <w:tc>
          <w:tcPr>
            <w:tcW w:w="113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eastAsia="宋体"/>
                <w:color w:val="auto"/>
                <w:sz w:val="21"/>
                <w:szCs w:val="21"/>
                <w:highlight w:val="none"/>
                <w:lang w:val="en-US" w:eastAsia="zh-CN"/>
              </w:rPr>
            </w:pPr>
            <w:r>
              <w:rPr>
                <w:rFonts w:hint="eastAsia"/>
                <w:color w:val="auto"/>
                <w:sz w:val="21"/>
                <w:szCs w:val="21"/>
                <w:highlight w:val="none"/>
                <w:lang w:val="en-US" w:eastAsia="zh-CN"/>
              </w:rPr>
              <w:t>0.4</w:t>
            </w:r>
          </w:p>
        </w:tc>
        <w:tc>
          <w:tcPr>
            <w:tcW w:w="1432" w:type="dxa"/>
            <w:shd w:val="clear" w:color="auto" w:fill="EEECE1" w:themeFill="background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eastAsia="宋体"/>
                <w:color w:val="auto"/>
                <w:sz w:val="21"/>
                <w:szCs w:val="21"/>
                <w:highlight w:val="none"/>
                <w:lang w:val="en-US" w:eastAsia="zh-CN"/>
              </w:rPr>
            </w:pPr>
            <w:r>
              <w:rPr>
                <w:rFonts w:hint="eastAsia"/>
                <w:color w:val="auto"/>
                <w:sz w:val="21"/>
                <w:szCs w:val="21"/>
                <w:highlight w:val="none"/>
                <w:lang w:val="en-US" w:eastAsia="zh-CN"/>
              </w:rPr>
              <w:t>1.55</w:t>
            </w:r>
          </w:p>
        </w:tc>
        <w:tc>
          <w:tcPr>
            <w:tcW w:w="1639" w:type="dxa"/>
            <w:shd w:val="clear" w:color="auto" w:fill="EEECE1" w:themeFill="background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eastAsia="宋体"/>
                <w:color w:val="auto"/>
                <w:sz w:val="21"/>
                <w:szCs w:val="21"/>
                <w:highlight w:val="none"/>
                <w:lang w:val="en-US" w:eastAsia="zh-CN"/>
              </w:rPr>
            </w:pPr>
            <w:r>
              <w:rPr>
                <w:rFonts w:hint="eastAsia"/>
                <w:color w:val="auto"/>
                <w:sz w:val="21"/>
                <w:szCs w:val="21"/>
                <w:highlight w:val="none"/>
                <w:lang w:val="en-US" w:eastAsia="zh-CN"/>
              </w:rPr>
              <w:t>1.15</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shd w:val="clear" w:color="auto" w:fill="auto"/>
          <w:tblCellMar>
            <w:top w:w="0" w:type="dxa"/>
            <w:left w:w="108" w:type="dxa"/>
            <w:bottom w:w="0" w:type="dxa"/>
            <w:right w:w="108" w:type="dxa"/>
          </w:tblCellMar>
        </w:tblPrEx>
        <w:trPr>
          <w:cantSplit/>
          <w:trHeight w:val="363" w:hRule="atLeast"/>
        </w:trPr>
        <w:tc>
          <w:tcPr>
            <w:tcW w:w="151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color w:val="auto"/>
                <w:sz w:val="21"/>
                <w:szCs w:val="21"/>
                <w:highlight w:val="none"/>
                <w:lang w:eastAsia="zh-CN"/>
              </w:rPr>
            </w:pPr>
            <w:r>
              <w:rPr>
                <w:rFonts w:hint="eastAsia" w:ascii="宋体" w:hAnsi="宋体"/>
                <w:color w:val="auto"/>
                <w:sz w:val="21"/>
                <w:szCs w:val="21"/>
                <w:highlight w:val="none"/>
                <w:lang w:eastAsia="zh-CN"/>
              </w:rPr>
              <w:t>总</w:t>
            </w:r>
            <w:r>
              <w:rPr>
                <w:rFonts w:hint="eastAsia" w:ascii="宋体" w:hAnsi="宋体"/>
                <w:color w:val="auto"/>
                <w:sz w:val="21"/>
                <w:szCs w:val="21"/>
                <w:highlight w:val="none"/>
              </w:rPr>
              <w:t>铜</w:t>
            </w:r>
          </w:p>
        </w:tc>
        <w:tc>
          <w:tcPr>
            <w:tcW w:w="177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color w:val="auto"/>
                <w:sz w:val="21"/>
                <w:szCs w:val="21"/>
                <w:highlight w:val="none"/>
                <w:lang w:val="en-US" w:eastAsia="zh-CN"/>
              </w:rPr>
            </w:pPr>
            <w:r>
              <w:rPr>
                <w:rFonts w:hint="eastAsia"/>
                <w:color w:val="auto"/>
                <w:sz w:val="21"/>
                <w:szCs w:val="21"/>
                <w:highlight w:val="none"/>
                <w:lang w:val="en-US" w:eastAsia="zh-CN"/>
              </w:rPr>
              <w:t>0.08</w:t>
            </w:r>
          </w:p>
        </w:tc>
        <w:tc>
          <w:tcPr>
            <w:tcW w:w="1726"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eastAsia="宋体"/>
                <w:color w:val="auto"/>
                <w:sz w:val="21"/>
                <w:szCs w:val="21"/>
                <w:highlight w:val="none"/>
                <w:lang w:val="en-US" w:eastAsia="zh-CN"/>
              </w:rPr>
            </w:pPr>
            <w:r>
              <w:rPr>
                <w:rFonts w:hint="eastAsia"/>
                <w:color w:val="auto"/>
                <w:sz w:val="21"/>
                <w:szCs w:val="21"/>
                <w:highlight w:val="none"/>
                <w:lang w:val="en-US" w:eastAsia="zh-CN"/>
              </w:rPr>
              <w:t>0.09</w:t>
            </w:r>
          </w:p>
        </w:tc>
        <w:tc>
          <w:tcPr>
            <w:tcW w:w="113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eastAsia="宋体"/>
                <w:color w:val="auto"/>
                <w:sz w:val="21"/>
                <w:szCs w:val="21"/>
                <w:highlight w:val="none"/>
                <w:lang w:val="en-US" w:eastAsia="zh-CN"/>
              </w:rPr>
            </w:pPr>
            <w:r>
              <w:rPr>
                <w:rFonts w:hint="eastAsia"/>
                <w:color w:val="auto"/>
                <w:sz w:val="21"/>
                <w:szCs w:val="21"/>
                <w:highlight w:val="none"/>
                <w:lang w:val="en-US" w:eastAsia="zh-CN"/>
              </w:rPr>
              <w:t>1.0</w:t>
            </w:r>
          </w:p>
        </w:tc>
        <w:tc>
          <w:tcPr>
            <w:tcW w:w="1432"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eastAsia="宋体"/>
                <w:color w:val="auto"/>
                <w:sz w:val="21"/>
                <w:szCs w:val="21"/>
                <w:highlight w:val="none"/>
                <w:lang w:val="en-US" w:eastAsia="zh-CN"/>
              </w:rPr>
            </w:pPr>
            <w:r>
              <w:rPr>
                <w:rFonts w:hint="eastAsia"/>
                <w:color w:val="auto"/>
                <w:sz w:val="21"/>
                <w:szCs w:val="21"/>
                <w:highlight w:val="none"/>
                <w:lang w:val="en-US" w:eastAsia="zh-CN"/>
              </w:rPr>
              <w:t>0.08</w:t>
            </w:r>
          </w:p>
        </w:tc>
        <w:tc>
          <w:tcPr>
            <w:tcW w:w="163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eastAsia="宋体"/>
                <w:color w:val="auto"/>
                <w:sz w:val="21"/>
                <w:szCs w:val="21"/>
                <w:highlight w:val="none"/>
                <w:lang w:val="en-US" w:eastAsia="zh-CN"/>
              </w:rPr>
            </w:pPr>
            <w:r>
              <w:rPr>
                <w:rFonts w:hint="eastAsia"/>
                <w:color w:val="auto"/>
                <w:sz w:val="21"/>
                <w:szCs w:val="21"/>
                <w:highlight w:val="none"/>
                <w:lang w:val="en-US" w:eastAsia="zh-CN"/>
              </w:rPr>
              <w:t>0.09</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shd w:val="clear" w:color="auto" w:fill="auto"/>
          <w:tblCellMar>
            <w:top w:w="0" w:type="dxa"/>
            <w:left w:w="108" w:type="dxa"/>
            <w:bottom w:w="0" w:type="dxa"/>
            <w:right w:w="108" w:type="dxa"/>
          </w:tblCellMar>
        </w:tblPrEx>
        <w:trPr>
          <w:cantSplit/>
          <w:trHeight w:val="363" w:hRule="atLeast"/>
        </w:trPr>
        <w:tc>
          <w:tcPr>
            <w:tcW w:w="1517"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color w:val="auto"/>
                <w:sz w:val="21"/>
                <w:szCs w:val="21"/>
                <w:highlight w:val="none"/>
                <w:lang w:eastAsia="zh-CN"/>
              </w:rPr>
            </w:pPr>
            <w:r>
              <w:rPr>
                <w:rFonts w:hint="eastAsia" w:ascii="宋体" w:hAnsi="宋体"/>
                <w:color w:val="auto"/>
                <w:sz w:val="21"/>
                <w:szCs w:val="21"/>
                <w:highlight w:val="none"/>
                <w:lang w:eastAsia="zh-CN"/>
              </w:rPr>
              <w:t>总</w:t>
            </w:r>
            <w:r>
              <w:rPr>
                <w:rFonts w:hint="eastAsia" w:ascii="宋体" w:hAnsi="宋体"/>
                <w:color w:val="auto"/>
                <w:sz w:val="21"/>
                <w:szCs w:val="21"/>
                <w:highlight w:val="none"/>
              </w:rPr>
              <w:t>锌</w:t>
            </w:r>
          </w:p>
        </w:tc>
        <w:tc>
          <w:tcPr>
            <w:tcW w:w="177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color w:val="auto"/>
                <w:sz w:val="21"/>
                <w:szCs w:val="21"/>
                <w:highlight w:val="none"/>
                <w:lang w:val="en-US" w:eastAsia="zh-CN"/>
              </w:rPr>
            </w:pPr>
            <w:r>
              <w:rPr>
                <w:rFonts w:hint="eastAsia"/>
                <w:color w:val="auto"/>
                <w:sz w:val="21"/>
                <w:szCs w:val="21"/>
                <w:highlight w:val="none"/>
                <w:lang w:val="en-US" w:eastAsia="zh-CN"/>
              </w:rPr>
              <w:t>0.08</w:t>
            </w:r>
          </w:p>
        </w:tc>
        <w:tc>
          <w:tcPr>
            <w:tcW w:w="1726"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eastAsia="宋体"/>
                <w:color w:val="auto"/>
                <w:sz w:val="21"/>
                <w:szCs w:val="21"/>
                <w:highlight w:val="none"/>
                <w:lang w:val="en-US" w:eastAsia="zh-CN"/>
              </w:rPr>
            </w:pPr>
            <w:r>
              <w:rPr>
                <w:rFonts w:hint="eastAsia"/>
                <w:color w:val="auto"/>
                <w:sz w:val="21"/>
                <w:szCs w:val="21"/>
                <w:highlight w:val="none"/>
                <w:lang w:val="en-US" w:eastAsia="zh-CN"/>
              </w:rPr>
              <w:t>1.13</w:t>
            </w:r>
          </w:p>
        </w:tc>
        <w:tc>
          <w:tcPr>
            <w:tcW w:w="113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eastAsia="宋体"/>
                <w:color w:val="auto"/>
                <w:sz w:val="21"/>
                <w:szCs w:val="21"/>
                <w:highlight w:val="none"/>
                <w:lang w:val="en-US" w:eastAsia="zh-CN"/>
              </w:rPr>
            </w:pPr>
            <w:r>
              <w:rPr>
                <w:rFonts w:hint="eastAsia"/>
                <w:color w:val="auto"/>
                <w:sz w:val="21"/>
                <w:szCs w:val="21"/>
                <w:highlight w:val="none"/>
                <w:lang w:val="en-US" w:eastAsia="zh-CN"/>
              </w:rPr>
              <w:t>2.0</w:t>
            </w:r>
          </w:p>
        </w:tc>
        <w:tc>
          <w:tcPr>
            <w:tcW w:w="1432"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eastAsia="宋体"/>
                <w:color w:val="auto"/>
                <w:sz w:val="21"/>
                <w:szCs w:val="21"/>
                <w:highlight w:val="none"/>
                <w:lang w:val="en-US" w:eastAsia="zh-CN"/>
              </w:rPr>
            </w:pPr>
            <w:r>
              <w:rPr>
                <w:rFonts w:hint="eastAsia"/>
                <w:color w:val="auto"/>
                <w:sz w:val="21"/>
                <w:szCs w:val="21"/>
                <w:highlight w:val="none"/>
                <w:lang w:val="en-US" w:eastAsia="zh-CN"/>
              </w:rPr>
              <w:t>0.04</w:t>
            </w:r>
          </w:p>
        </w:tc>
        <w:tc>
          <w:tcPr>
            <w:tcW w:w="163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eastAsia="宋体"/>
                <w:color w:val="auto"/>
                <w:sz w:val="21"/>
                <w:szCs w:val="21"/>
                <w:highlight w:val="none"/>
                <w:lang w:val="en-US" w:eastAsia="zh-CN"/>
              </w:rPr>
            </w:pPr>
            <w:r>
              <w:rPr>
                <w:rFonts w:hint="eastAsia"/>
                <w:color w:val="auto"/>
                <w:sz w:val="21"/>
                <w:szCs w:val="21"/>
                <w:highlight w:val="none"/>
                <w:lang w:val="en-US" w:eastAsia="zh-CN"/>
              </w:rPr>
              <w:t>0.57</w:t>
            </w:r>
          </w:p>
        </w:tc>
      </w:tr>
    </w:tbl>
    <w:p>
      <w:pPr>
        <w:autoSpaceDE w:val="0"/>
        <w:autoSpaceDN w:val="0"/>
        <w:adjustRightInd w:val="0"/>
        <w:spacing w:line="360" w:lineRule="auto"/>
        <w:rPr>
          <w:rFonts w:hint="eastAsia" w:eastAsia="宋体"/>
          <w:color w:val="auto"/>
          <w:sz w:val="21"/>
          <w:szCs w:val="21"/>
          <w:highlight w:val="none"/>
          <w:lang w:val="en-US" w:eastAsia="zh-CN"/>
        </w:rPr>
      </w:pPr>
      <w:r>
        <w:rPr>
          <w:rFonts w:hint="eastAsia"/>
          <w:color w:val="auto"/>
          <w:sz w:val="20"/>
          <w:szCs w:val="20"/>
          <w:highlight w:val="none"/>
          <w:lang w:val="en-US" w:eastAsia="zh-CN"/>
        </w:rPr>
        <w:t>备注：*总镍为集中式生活饮用水地表水源地特定项目，评价范围内镰湾河河段为排污河段，本报告不对总镍进行评价</w:t>
      </w:r>
      <w:r>
        <w:rPr>
          <w:rFonts w:hint="eastAsia"/>
          <w:color w:val="auto"/>
          <w:sz w:val="21"/>
          <w:szCs w:val="21"/>
          <w:highlight w:val="none"/>
          <w:lang w:val="en-US" w:eastAsia="zh-CN"/>
        </w:rPr>
        <w:t>。</w:t>
      </w:r>
    </w:p>
    <w:p>
      <w:pPr>
        <w:autoSpaceDE w:val="0"/>
        <w:autoSpaceDN w:val="0"/>
        <w:adjustRightInd w:val="0"/>
        <w:spacing w:line="360" w:lineRule="auto"/>
        <w:ind w:firstLine="480" w:firstLineChars="200"/>
        <w:rPr>
          <w:color w:val="auto"/>
          <w:sz w:val="24"/>
          <w:highlight w:val="none"/>
        </w:rPr>
      </w:pPr>
      <w:r>
        <w:rPr>
          <w:color w:val="auto"/>
          <w:sz w:val="24"/>
          <w:highlight w:val="none"/>
        </w:rPr>
        <w:t>从上表可以看出，</w:t>
      </w:r>
      <w:r>
        <w:rPr>
          <w:rFonts w:hint="eastAsia"/>
          <w:color w:val="auto"/>
          <w:sz w:val="24"/>
          <w:highlight w:val="none"/>
        </w:rPr>
        <w:t>评价范围内</w:t>
      </w:r>
      <w:r>
        <w:rPr>
          <w:rFonts w:hint="eastAsia"/>
          <w:color w:val="auto"/>
          <w:sz w:val="24"/>
          <w:highlight w:val="none"/>
          <w:lang w:eastAsia="zh-CN"/>
        </w:rPr>
        <w:t>镰湾河</w:t>
      </w:r>
      <w:r>
        <w:rPr>
          <w:rFonts w:hint="eastAsia"/>
          <w:color w:val="auto"/>
          <w:sz w:val="24"/>
          <w:highlight w:val="none"/>
        </w:rPr>
        <w:t>河段除COD</w:t>
      </w:r>
      <w:r>
        <w:rPr>
          <w:rFonts w:hint="eastAsia"/>
          <w:color w:val="auto"/>
          <w:sz w:val="24"/>
          <w:highlight w:val="none"/>
          <w:vertAlign w:val="subscript"/>
        </w:rPr>
        <w:t>cr</w:t>
      </w:r>
      <w:r>
        <w:rPr>
          <w:rFonts w:hint="eastAsia"/>
          <w:color w:val="auto"/>
          <w:sz w:val="24"/>
          <w:highlight w:val="none"/>
        </w:rPr>
        <w:t>、B</w:t>
      </w:r>
      <w:r>
        <w:rPr>
          <w:color w:val="auto"/>
          <w:sz w:val="24"/>
          <w:highlight w:val="none"/>
        </w:rPr>
        <w:t>OD</w:t>
      </w:r>
      <w:r>
        <w:rPr>
          <w:color w:val="auto"/>
          <w:sz w:val="24"/>
          <w:highlight w:val="none"/>
          <w:vertAlign w:val="subscript"/>
        </w:rPr>
        <w:t>5</w:t>
      </w:r>
      <w:r>
        <w:rPr>
          <w:rFonts w:hint="eastAsia"/>
          <w:color w:val="auto"/>
          <w:sz w:val="24"/>
          <w:highlight w:val="none"/>
        </w:rPr>
        <w:t>、</w:t>
      </w:r>
      <w:r>
        <w:rPr>
          <w:rFonts w:hint="eastAsia"/>
          <w:color w:val="auto"/>
          <w:sz w:val="24"/>
          <w:highlight w:val="none"/>
          <w:lang w:eastAsia="zh-CN"/>
        </w:rPr>
        <w:t>氨氮、</w:t>
      </w:r>
      <w:r>
        <w:rPr>
          <w:rFonts w:hint="eastAsia"/>
          <w:color w:val="auto"/>
          <w:sz w:val="24"/>
          <w:highlight w:val="none"/>
        </w:rPr>
        <w:t>总磷超标，其他因子均满足《地表水环境质量标准》(GB3838-2002)的V类水质标准，主要是沿途村庄生活污水、区域企业污水混排直排引起的。</w:t>
      </w:r>
    </w:p>
    <w:p>
      <w:pPr>
        <w:autoSpaceDE w:val="0"/>
        <w:autoSpaceDN w:val="0"/>
        <w:adjustRightInd w:val="0"/>
        <w:spacing w:line="360" w:lineRule="auto"/>
        <w:ind w:firstLine="480" w:firstLineChars="200"/>
        <w:rPr>
          <w:rFonts w:hint="eastAsia" w:eastAsia="宋体"/>
          <w:color w:val="auto"/>
          <w:sz w:val="24"/>
          <w:highlight w:val="none"/>
          <w:lang w:eastAsia="zh-CN"/>
        </w:rPr>
      </w:pPr>
      <w:r>
        <w:rPr>
          <w:rFonts w:hint="eastAsia"/>
          <w:color w:val="auto"/>
          <w:sz w:val="24"/>
          <w:highlight w:val="none"/>
        </w:rPr>
        <w:t>根据对比</w:t>
      </w:r>
      <w:r>
        <w:rPr>
          <w:rFonts w:hint="eastAsia"/>
          <w:color w:val="auto"/>
          <w:sz w:val="24"/>
          <w:highlight w:val="none"/>
          <w:lang w:val="en-US" w:eastAsia="zh-CN"/>
        </w:rPr>
        <w:t>2012年</w:t>
      </w:r>
      <w:r>
        <w:rPr>
          <w:rFonts w:hint="eastAsia"/>
          <w:color w:val="auto"/>
          <w:sz w:val="24"/>
          <w:highlight w:val="none"/>
        </w:rPr>
        <w:t>数据和201</w:t>
      </w:r>
      <w:r>
        <w:rPr>
          <w:rFonts w:hint="eastAsia"/>
          <w:color w:val="auto"/>
          <w:sz w:val="24"/>
          <w:highlight w:val="none"/>
          <w:lang w:val="en-US" w:eastAsia="zh-CN"/>
        </w:rPr>
        <w:t>9</w:t>
      </w:r>
      <w:r>
        <w:rPr>
          <w:rFonts w:hint="eastAsia"/>
          <w:color w:val="auto"/>
          <w:sz w:val="24"/>
          <w:highlight w:val="none"/>
        </w:rPr>
        <w:t>年数据可知，</w:t>
      </w:r>
      <w:r>
        <w:rPr>
          <w:rFonts w:hint="eastAsia"/>
          <w:color w:val="auto"/>
          <w:sz w:val="24"/>
          <w:highlight w:val="none"/>
          <w:lang w:eastAsia="zh-CN"/>
        </w:rPr>
        <w:t>镰湾河</w:t>
      </w:r>
      <w:r>
        <w:rPr>
          <w:rFonts w:hint="eastAsia"/>
          <w:color w:val="auto"/>
          <w:sz w:val="24"/>
          <w:highlight w:val="none"/>
        </w:rPr>
        <w:t>水质中铜、锌浓度有所下降</w:t>
      </w:r>
      <w:r>
        <w:rPr>
          <w:rFonts w:hint="eastAsia"/>
          <w:color w:val="auto"/>
          <w:sz w:val="24"/>
          <w:highlight w:val="none"/>
          <w:lang w:eastAsia="zh-CN"/>
        </w:rPr>
        <w:t>，</w:t>
      </w:r>
      <w:r>
        <w:rPr>
          <w:rFonts w:hint="eastAsia"/>
          <w:color w:val="auto"/>
          <w:sz w:val="24"/>
          <w:highlight w:val="none"/>
          <w:lang w:val="en-US" w:eastAsia="zh-CN"/>
        </w:rPr>
        <w:t>项目特征因子</w:t>
      </w:r>
      <w:r>
        <w:rPr>
          <w:color w:val="auto"/>
          <w:sz w:val="24"/>
          <w:highlight w:val="none"/>
        </w:rPr>
        <w:t>均满足《地表水环境质量标准》</w:t>
      </w:r>
      <w:r>
        <w:rPr>
          <w:rFonts w:hint="eastAsia"/>
          <w:color w:val="auto"/>
          <w:sz w:val="24"/>
          <w:highlight w:val="none"/>
        </w:rPr>
        <w:t>(</w:t>
      </w:r>
      <w:r>
        <w:rPr>
          <w:color w:val="auto"/>
          <w:sz w:val="24"/>
          <w:highlight w:val="none"/>
        </w:rPr>
        <w:t>GB3838-2002</w:t>
      </w:r>
      <w:r>
        <w:rPr>
          <w:rFonts w:hint="eastAsia"/>
          <w:color w:val="auto"/>
          <w:sz w:val="24"/>
          <w:highlight w:val="none"/>
        </w:rPr>
        <w:t>)</w:t>
      </w:r>
      <w:r>
        <w:rPr>
          <w:color w:val="auto"/>
          <w:sz w:val="24"/>
          <w:highlight w:val="none"/>
        </w:rPr>
        <w:t>的V类水质标准</w:t>
      </w:r>
      <w:r>
        <w:rPr>
          <w:rFonts w:hint="eastAsia"/>
          <w:color w:val="auto"/>
          <w:sz w:val="24"/>
          <w:highlight w:val="none"/>
        </w:rPr>
        <w:t>。</w:t>
      </w:r>
    </w:p>
    <w:p>
      <w:pPr>
        <w:spacing w:line="360" w:lineRule="auto"/>
        <w:outlineLvl w:val="2"/>
        <w:rPr>
          <w:rFonts w:eastAsia="黑体"/>
          <w:color w:val="auto"/>
          <w:sz w:val="24"/>
          <w:szCs w:val="28"/>
          <w:highlight w:val="none"/>
        </w:rPr>
      </w:pPr>
      <w:bookmarkStart w:id="126" w:name="_Toc530655607"/>
      <w:bookmarkStart w:id="127" w:name="_Toc519063304"/>
      <w:bookmarkStart w:id="128" w:name="_Toc3296"/>
      <w:r>
        <w:rPr>
          <w:rFonts w:hint="eastAsia" w:eastAsia="黑体"/>
          <w:color w:val="auto"/>
          <w:sz w:val="24"/>
          <w:szCs w:val="28"/>
          <w:highlight w:val="none"/>
          <w:lang w:eastAsia="zh-CN"/>
        </w:rPr>
        <w:t>3.6</w:t>
      </w:r>
      <w:r>
        <w:rPr>
          <w:rFonts w:hint="eastAsia" w:eastAsia="黑体"/>
          <w:color w:val="auto"/>
          <w:sz w:val="24"/>
          <w:szCs w:val="28"/>
          <w:highlight w:val="none"/>
          <w:lang w:val="en-US" w:eastAsia="zh-CN"/>
        </w:rPr>
        <w:t>.3</w:t>
      </w:r>
      <w:r>
        <w:rPr>
          <w:rFonts w:eastAsia="黑体"/>
          <w:color w:val="auto"/>
          <w:sz w:val="24"/>
          <w:szCs w:val="28"/>
          <w:highlight w:val="none"/>
        </w:rPr>
        <w:t xml:space="preserve"> </w:t>
      </w:r>
      <w:r>
        <w:rPr>
          <w:rFonts w:hint="eastAsia" w:ascii="黑体" w:hAnsi="黑体" w:eastAsia="黑体" w:cs="黑体"/>
          <w:b w:val="0"/>
          <w:color w:val="auto"/>
          <w:sz w:val="24"/>
          <w:szCs w:val="24"/>
          <w:highlight w:val="none"/>
        </w:rPr>
        <w:t>地下水</w:t>
      </w:r>
      <w:r>
        <w:rPr>
          <w:rFonts w:eastAsia="黑体"/>
          <w:color w:val="auto"/>
          <w:sz w:val="24"/>
          <w:szCs w:val="28"/>
          <w:highlight w:val="none"/>
        </w:rPr>
        <w:t>环境质量现状评价</w:t>
      </w:r>
      <w:bookmarkEnd w:id="122"/>
      <w:bookmarkEnd w:id="123"/>
      <w:bookmarkEnd w:id="125"/>
      <w:bookmarkEnd w:id="126"/>
      <w:bookmarkEnd w:id="127"/>
      <w:r>
        <w:rPr>
          <w:rFonts w:hint="eastAsia" w:eastAsia="黑体"/>
          <w:color w:val="auto"/>
          <w:sz w:val="24"/>
          <w:szCs w:val="28"/>
          <w:highlight w:val="none"/>
        </w:rPr>
        <w:t>及变化趋势</w:t>
      </w:r>
      <w:bookmarkEnd w:id="128"/>
    </w:p>
    <w:p>
      <w:pPr>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eastAsia="黑体"/>
          <w:color w:val="auto"/>
          <w:sz w:val="24"/>
          <w:highlight w:val="none"/>
        </w:rPr>
      </w:pPr>
      <w:r>
        <w:rPr>
          <w:rFonts w:hint="eastAsia" w:eastAsia="黑体"/>
          <w:color w:val="auto"/>
          <w:sz w:val="24"/>
          <w:highlight w:val="none"/>
          <w:lang w:eastAsia="zh-CN"/>
        </w:rPr>
        <w:t>3.6</w:t>
      </w:r>
      <w:r>
        <w:rPr>
          <w:rFonts w:hint="eastAsia" w:eastAsia="黑体"/>
          <w:color w:val="auto"/>
          <w:sz w:val="24"/>
          <w:highlight w:val="none"/>
          <w:lang w:val="en-US" w:eastAsia="zh-CN"/>
        </w:rPr>
        <w:t>.3</w:t>
      </w:r>
      <w:r>
        <w:rPr>
          <w:rFonts w:eastAsia="黑体"/>
          <w:color w:val="auto"/>
          <w:sz w:val="24"/>
          <w:highlight w:val="none"/>
        </w:rPr>
        <w:t>.1 地下水环境质量现状评价</w:t>
      </w:r>
    </w:p>
    <w:p>
      <w:pPr>
        <w:snapToGrid w:val="0"/>
        <w:spacing w:line="360" w:lineRule="auto"/>
        <w:ind w:firstLine="480" w:firstLineChars="200"/>
        <w:rPr>
          <w:color w:val="auto"/>
          <w:sz w:val="24"/>
          <w:highlight w:val="none"/>
          <w:lang w:val="zh-CN"/>
        </w:rPr>
      </w:pPr>
      <w:r>
        <w:rPr>
          <w:rFonts w:hint="eastAsia"/>
          <w:color w:val="auto"/>
          <w:sz w:val="24"/>
          <w:highlight w:val="none"/>
        </w:rPr>
        <w:t>1、</w:t>
      </w:r>
      <w:r>
        <w:rPr>
          <w:color w:val="auto"/>
          <w:sz w:val="24"/>
          <w:highlight w:val="none"/>
        </w:rPr>
        <w:t>监测点布设</w:t>
      </w:r>
      <w:r>
        <w:rPr>
          <w:color w:val="auto"/>
          <w:sz w:val="24"/>
          <w:highlight w:val="none"/>
          <w:lang w:val="zh-CN"/>
        </w:rPr>
        <w:t>、监测日期、频次和</w:t>
      </w:r>
      <w:r>
        <w:rPr>
          <w:color w:val="auto"/>
          <w:kern w:val="0"/>
          <w:sz w:val="24"/>
          <w:highlight w:val="none"/>
        </w:rPr>
        <w:t>监测</w:t>
      </w:r>
      <w:r>
        <w:rPr>
          <w:color w:val="auto"/>
          <w:sz w:val="24"/>
          <w:highlight w:val="none"/>
          <w:lang w:val="zh-CN"/>
        </w:rPr>
        <w:t>项目</w:t>
      </w:r>
    </w:p>
    <w:p>
      <w:pPr>
        <w:keepNext w:val="0"/>
        <w:keepLines w:val="0"/>
        <w:pageBreakBefore w:val="0"/>
        <w:widowControl w:val="0"/>
        <w:tabs>
          <w:tab w:val="center" w:pos="4166"/>
          <w:tab w:val="center" w:pos="6750"/>
        </w:tabs>
        <w:kinsoku/>
        <w:wordWrap/>
        <w:overflowPunct/>
        <w:topLinePunct w:val="0"/>
        <w:autoSpaceDE w:val="0"/>
        <w:autoSpaceDN w:val="0"/>
        <w:bidi w:val="0"/>
        <w:adjustRightInd w:val="0"/>
        <w:snapToGrid/>
        <w:jc w:val="center"/>
        <w:textAlignment w:val="auto"/>
        <w:outlineLvl w:val="9"/>
        <w:rPr>
          <w:rFonts w:hint="eastAsia" w:ascii="黑体" w:hAnsi="黑体" w:eastAsia="黑体" w:cs="黑体"/>
          <w:b w:val="0"/>
          <w:bCs w:val="0"/>
          <w:color w:val="auto"/>
          <w:kern w:val="0"/>
          <w:sz w:val="24"/>
          <w:szCs w:val="24"/>
          <w:highlight w:val="none"/>
          <w:lang w:val="zh-CN"/>
        </w:rPr>
      </w:pPr>
      <w:r>
        <w:rPr>
          <w:rFonts w:hint="eastAsia" w:ascii="黑体" w:hAnsi="黑体" w:eastAsia="黑体" w:cs="黑体"/>
          <w:b w:val="0"/>
          <w:bCs w:val="0"/>
          <w:color w:val="auto"/>
          <w:kern w:val="0"/>
          <w:sz w:val="24"/>
          <w:szCs w:val="24"/>
          <w:highlight w:val="none"/>
          <w:lang w:val="zh-CN"/>
        </w:rPr>
        <w:t>表3.6-</w:t>
      </w:r>
      <w:r>
        <w:rPr>
          <w:rFonts w:hint="eastAsia" w:ascii="黑体" w:hAnsi="黑体" w:eastAsia="黑体" w:cs="黑体"/>
          <w:b w:val="0"/>
          <w:bCs w:val="0"/>
          <w:color w:val="auto"/>
          <w:kern w:val="0"/>
          <w:sz w:val="24"/>
          <w:szCs w:val="24"/>
          <w:highlight w:val="none"/>
          <w:lang w:val="en-US" w:eastAsia="zh-CN"/>
        </w:rPr>
        <w:t>10</w:t>
      </w:r>
      <w:r>
        <w:rPr>
          <w:rFonts w:hint="eastAsia" w:ascii="黑体" w:hAnsi="黑体" w:eastAsia="黑体" w:cs="黑体"/>
          <w:b w:val="0"/>
          <w:bCs w:val="0"/>
          <w:color w:val="auto"/>
          <w:kern w:val="0"/>
          <w:sz w:val="24"/>
          <w:szCs w:val="24"/>
          <w:highlight w:val="none"/>
          <w:lang w:val="zh-CN"/>
        </w:rPr>
        <w:t xml:space="preserve">  地下水监测点位</w:t>
      </w:r>
    </w:p>
    <w:tbl>
      <w:tblPr>
        <w:tblStyle w:val="36"/>
        <w:tblW w:w="9231" w:type="dxa"/>
        <w:jc w:val="center"/>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092"/>
        <w:gridCol w:w="1125"/>
        <w:gridCol w:w="1407"/>
        <w:gridCol w:w="3851"/>
        <w:gridCol w:w="1756"/>
      </w:tblGrid>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1092" w:type="dxa"/>
            <w:vMerge w:val="restart"/>
            <w:vAlign w:val="center"/>
          </w:tcPr>
          <w:p>
            <w:pPr>
              <w:snapToGrid w:val="0"/>
              <w:jc w:val="center"/>
              <w:rPr>
                <w:b/>
                <w:bCs/>
                <w:color w:val="auto"/>
                <w:kern w:val="0"/>
                <w:szCs w:val="21"/>
                <w:highlight w:val="none"/>
              </w:rPr>
            </w:pPr>
            <w:r>
              <w:rPr>
                <w:b/>
                <w:bCs/>
                <w:color w:val="auto"/>
                <w:kern w:val="0"/>
                <w:szCs w:val="21"/>
                <w:highlight w:val="none"/>
              </w:rPr>
              <w:t>点位</w:t>
            </w:r>
          </w:p>
        </w:tc>
        <w:tc>
          <w:tcPr>
            <w:tcW w:w="2532" w:type="dxa"/>
            <w:gridSpan w:val="2"/>
            <w:vAlign w:val="center"/>
          </w:tcPr>
          <w:p>
            <w:pPr>
              <w:snapToGrid w:val="0"/>
              <w:jc w:val="center"/>
              <w:rPr>
                <w:b/>
                <w:bCs/>
                <w:color w:val="auto"/>
                <w:kern w:val="0"/>
                <w:szCs w:val="21"/>
                <w:highlight w:val="none"/>
              </w:rPr>
            </w:pPr>
            <w:r>
              <w:rPr>
                <w:b/>
                <w:bCs/>
                <w:color w:val="auto"/>
                <w:kern w:val="0"/>
                <w:szCs w:val="21"/>
                <w:highlight w:val="none"/>
              </w:rPr>
              <w:t>项目相对位置</w:t>
            </w:r>
          </w:p>
        </w:tc>
        <w:tc>
          <w:tcPr>
            <w:tcW w:w="3851" w:type="dxa"/>
            <w:vMerge w:val="restart"/>
            <w:vAlign w:val="center"/>
          </w:tcPr>
          <w:p>
            <w:pPr>
              <w:snapToGrid w:val="0"/>
              <w:jc w:val="center"/>
              <w:rPr>
                <w:b/>
                <w:bCs/>
                <w:color w:val="auto"/>
                <w:kern w:val="0"/>
                <w:szCs w:val="21"/>
                <w:highlight w:val="none"/>
              </w:rPr>
            </w:pPr>
            <w:r>
              <w:rPr>
                <w:b/>
                <w:bCs/>
                <w:color w:val="auto"/>
                <w:kern w:val="0"/>
                <w:szCs w:val="21"/>
                <w:highlight w:val="none"/>
              </w:rPr>
              <w:t>监测项目</w:t>
            </w:r>
          </w:p>
        </w:tc>
        <w:tc>
          <w:tcPr>
            <w:tcW w:w="1756" w:type="dxa"/>
            <w:vMerge w:val="restart"/>
            <w:vAlign w:val="center"/>
          </w:tcPr>
          <w:p>
            <w:pPr>
              <w:snapToGrid w:val="0"/>
              <w:jc w:val="center"/>
              <w:rPr>
                <w:b/>
                <w:bCs/>
                <w:color w:val="auto"/>
                <w:kern w:val="0"/>
                <w:szCs w:val="21"/>
                <w:highlight w:val="none"/>
              </w:rPr>
            </w:pPr>
            <w:r>
              <w:rPr>
                <w:b/>
                <w:bCs/>
                <w:color w:val="auto"/>
                <w:kern w:val="0"/>
                <w:szCs w:val="21"/>
                <w:highlight w:val="none"/>
              </w:rPr>
              <w:t>监测时间及频次</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1092" w:type="dxa"/>
            <w:vMerge w:val="continue"/>
            <w:vAlign w:val="center"/>
          </w:tcPr>
          <w:p>
            <w:pPr>
              <w:snapToGrid w:val="0"/>
              <w:jc w:val="center"/>
              <w:rPr>
                <w:color w:val="auto"/>
                <w:kern w:val="0"/>
                <w:szCs w:val="21"/>
                <w:highlight w:val="none"/>
              </w:rPr>
            </w:pPr>
          </w:p>
        </w:tc>
        <w:tc>
          <w:tcPr>
            <w:tcW w:w="1125" w:type="dxa"/>
            <w:vAlign w:val="center"/>
          </w:tcPr>
          <w:p>
            <w:pPr>
              <w:snapToGrid w:val="0"/>
              <w:jc w:val="center"/>
              <w:rPr>
                <w:b/>
                <w:bCs/>
                <w:color w:val="auto"/>
                <w:kern w:val="0"/>
                <w:szCs w:val="21"/>
                <w:highlight w:val="none"/>
              </w:rPr>
            </w:pPr>
            <w:r>
              <w:rPr>
                <w:b/>
                <w:bCs/>
                <w:color w:val="auto"/>
                <w:kern w:val="0"/>
                <w:szCs w:val="21"/>
                <w:highlight w:val="none"/>
              </w:rPr>
              <w:t>方位</w:t>
            </w:r>
          </w:p>
        </w:tc>
        <w:tc>
          <w:tcPr>
            <w:tcW w:w="1407" w:type="dxa"/>
            <w:vAlign w:val="center"/>
          </w:tcPr>
          <w:p>
            <w:pPr>
              <w:snapToGrid w:val="0"/>
              <w:jc w:val="center"/>
              <w:rPr>
                <w:b/>
                <w:bCs/>
                <w:color w:val="auto"/>
                <w:kern w:val="0"/>
                <w:szCs w:val="21"/>
                <w:highlight w:val="none"/>
              </w:rPr>
            </w:pPr>
            <w:r>
              <w:rPr>
                <w:b/>
                <w:bCs/>
                <w:color w:val="auto"/>
                <w:kern w:val="0"/>
                <w:szCs w:val="21"/>
                <w:highlight w:val="none"/>
              </w:rPr>
              <w:t>距离</w:t>
            </w:r>
          </w:p>
        </w:tc>
        <w:tc>
          <w:tcPr>
            <w:tcW w:w="3851" w:type="dxa"/>
            <w:vMerge w:val="continue"/>
            <w:vAlign w:val="center"/>
          </w:tcPr>
          <w:p>
            <w:pPr>
              <w:snapToGrid w:val="0"/>
              <w:jc w:val="center"/>
              <w:rPr>
                <w:color w:val="auto"/>
                <w:kern w:val="0"/>
                <w:szCs w:val="21"/>
                <w:highlight w:val="none"/>
              </w:rPr>
            </w:pPr>
          </w:p>
        </w:tc>
        <w:tc>
          <w:tcPr>
            <w:tcW w:w="1756" w:type="dxa"/>
            <w:vMerge w:val="continue"/>
            <w:vAlign w:val="center"/>
          </w:tcPr>
          <w:p>
            <w:pPr>
              <w:snapToGrid w:val="0"/>
              <w:jc w:val="center"/>
              <w:rPr>
                <w:color w:val="auto"/>
                <w:kern w:val="0"/>
                <w:szCs w:val="21"/>
                <w:highlight w:val="none"/>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514" w:hRule="atLeast"/>
          <w:jc w:val="center"/>
        </w:trPr>
        <w:tc>
          <w:tcPr>
            <w:tcW w:w="1092" w:type="dxa"/>
            <w:vAlign w:val="center"/>
          </w:tcPr>
          <w:p>
            <w:pPr>
              <w:snapToGrid w:val="0"/>
              <w:jc w:val="center"/>
              <w:rPr>
                <w:color w:val="auto"/>
                <w:kern w:val="0"/>
                <w:szCs w:val="21"/>
                <w:highlight w:val="none"/>
              </w:rPr>
            </w:pPr>
            <w:r>
              <w:rPr>
                <w:rFonts w:hint="eastAsia"/>
                <w:color w:val="auto"/>
                <w:szCs w:val="21"/>
                <w:highlight w:val="none"/>
                <w:lang w:val="en-US" w:eastAsia="zh-CN"/>
              </w:rPr>
              <w:t>东盐滩</w:t>
            </w:r>
            <w:r>
              <w:rPr>
                <w:color w:val="auto"/>
                <w:kern w:val="0"/>
                <w:szCs w:val="21"/>
                <w:highlight w:val="none"/>
              </w:rPr>
              <w:t>村</w:t>
            </w:r>
          </w:p>
        </w:tc>
        <w:tc>
          <w:tcPr>
            <w:tcW w:w="1125"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color w:val="auto"/>
                <w:kern w:val="0"/>
                <w:szCs w:val="21"/>
                <w:highlight w:val="none"/>
              </w:rPr>
            </w:pPr>
            <w:r>
              <w:rPr>
                <w:rFonts w:hint="eastAsia"/>
                <w:color w:val="auto"/>
                <w:szCs w:val="21"/>
                <w:highlight w:val="none"/>
              </w:rPr>
              <w:t>NW</w:t>
            </w:r>
          </w:p>
        </w:tc>
        <w:tc>
          <w:tcPr>
            <w:tcW w:w="1407"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outlineLvl w:val="9"/>
              <w:rPr>
                <w:color w:val="auto"/>
                <w:kern w:val="0"/>
                <w:szCs w:val="21"/>
                <w:highlight w:val="none"/>
              </w:rPr>
            </w:pPr>
            <w:r>
              <w:rPr>
                <w:rFonts w:hint="eastAsia"/>
                <w:color w:val="auto"/>
                <w:szCs w:val="21"/>
                <w:highlight w:val="none"/>
                <w:lang w:val="en-US" w:eastAsia="zh-CN"/>
              </w:rPr>
              <w:t>113</w:t>
            </w:r>
            <w:r>
              <w:rPr>
                <w:rFonts w:hint="eastAsia"/>
                <w:color w:val="auto"/>
                <w:szCs w:val="21"/>
                <w:highlight w:val="none"/>
              </w:rPr>
              <w:t>0</w:t>
            </w:r>
          </w:p>
        </w:tc>
        <w:tc>
          <w:tcPr>
            <w:tcW w:w="3851" w:type="dxa"/>
            <w:vMerge w:val="restart"/>
            <w:vAlign w:val="center"/>
          </w:tcPr>
          <w:p>
            <w:pPr>
              <w:autoSpaceDE w:val="0"/>
              <w:autoSpaceDN w:val="0"/>
              <w:adjustRightInd w:val="0"/>
              <w:snapToGrid w:val="0"/>
              <w:jc w:val="both"/>
              <w:rPr>
                <w:color w:val="auto"/>
                <w:kern w:val="0"/>
                <w:szCs w:val="21"/>
                <w:highlight w:val="none"/>
              </w:rPr>
            </w:pPr>
            <w:r>
              <w:rPr>
                <w:rFonts w:hint="eastAsia"/>
                <w:color w:val="auto"/>
                <w:kern w:val="0"/>
                <w:szCs w:val="21"/>
                <w:highlight w:val="none"/>
              </w:rPr>
              <w:t>pH、氨氮、硝酸盐、亚硝酸盐、总硬度、溶解性总固体、硫酸盐、氯化物、挥发性酚类、锌、铜、六价铬、镍、银、铁、高锰酸盐指数、总大肠菌群</w:t>
            </w:r>
          </w:p>
        </w:tc>
        <w:tc>
          <w:tcPr>
            <w:tcW w:w="1756" w:type="dxa"/>
            <w:tcBorders>
              <w:bottom w:val="dotted" w:color="000000" w:sz="4" w:space="0"/>
            </w:tcBorders>
            <w:vAlign w:val="center"/>
          </w:tcPr>
          <w:p>
            <w:pPr>
              <w:snapToGrid w:val="0"/>
              <w:jc w:val="center"/>
              <w:rPr>
                <w:color w:val="auto"/>
                <w:kern w:val="0"/>
                <w:szCs w:val="21"/>
                <w:highlight w:val="none"/>
              </w:rPr>
            </w:pPr>
            <w:r>
              <w:rPr>
                <w:color w:val="auto"/>
                <w:kern w:val="0"/>
                <w:szCs w:val="21"/>
                <w:highlight w:val="none"/>
              </w:rPr>
              <w:t>201</w:t>
            </w:r>
            <w:r>
              <w:rPr>
                <w:rFonts w:hint="eastAsia"/>
                <w:color w:val="auto"/>
                <w:kern w:val="0"/>
                <w:szCs w:val="21"/>
                <w:highlight w:val="none"/>
                <w:lang w:val="en-US" w:eastAsia="zh-CN"/>
              </w:rPr>
              <w:t>9</w:t>
            </w:r>
            <w:r>
              <w:rPr>
                <w:color w:val="auto"/>
                <w:kern w:val="0"/>
                <w:szCs w:val="21"/>
                <w:highlight w:val="none"/>
              </w:rPr>
              <w:t>.</w:t>
            </w:r>
            <w:r>
              <w:rPr>
                <w:rFonts w:hint="eastAsia"/>
                <w:color w:val="auto"/>
                <w:kern w:val="0"/>
                <w:szCs w:val="21"/>
                <w:highlight w:val="none"/>
                <w:lang w:val="en-US" w:eastAsia="zh-CN"/>
              </w:rPr>
              <w:t>9.13</w:t>
            </w:r>
            <w:r>
              <w:rPr>
                <w:rFonts w:hint="eastAsia"/>
                <w:color w:val="auto"/>
                <w:kern w:val="0"/>
                <w:szCs w:val="21"/>
                <w:highlight w:val="none"/>
              </w:rPr>
              <w:t>每天</w:t>
            </w:r>
            <w:r>
              <w:rPr>
                <w:rFonts w:hint="eastAsia"/>
                <w:color w:val="auto"/>
                <w:kern w:val="0"/>
                <w:szCs w:val="21"/>
                <w:highlight w:val="none"/>
                <w:lang w:val="en-US" w:eastAsia="zh-CN"/>
              </w:rPr>
              <w:t>1</w:t>
            </w:r>
            <w:r>
              <w:rPr>
                <w:color w:val="auto"/>
                <w:kern w:val="0"/>
                <w:szCs w:val="21"/>
                <w:highlight w:val="none"/>
              </w:rPr>
              <w:t>次取样</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1092" w:type="dxa"/>
            <w:vAlign w:val="center"/>
          </w:tcPr>
          <w:p>
            <w:pPr>
              <w:snapToGrid w:val="0"/>
              <w:jc w:val="center"/>
              <w:rPr>
                <w:color w:val="auto"/>
                <w:kern w:val="0"/>
                <w:szCs w:val="21"/>
                <w:highlight w:val="none"/>
              </w:rPr>
            </w:pPr>
            <w:r>
              <w:rPr>
                <w:rFonts w:hint="eastAsia"/>
                <w:color w:val="auto"/>
                <w:kern w:val="0"/>
                <w:szCs w:val="21"/>
                <w:highlight w:val="none"/>
              </w:rPr>
              <w:t>项目区</w:t>
            </w:r>
          </w:p>
        </w:tc>
        <w:tc>
          <w:tcPr>
            <w:tcW w:w="1125" w:type="dxa"/>
            <w:vAlign w:val="center"/>
          </w:tcPr>
          <w:p>
            <w:pPr>
              <w:autoSpaceDE w:val="0"/>
              <w:autoSpaceDN w:val="0"/>
              <w:adjustRightInd w:val="0"/>
              <w:snapToGrid w:val="0"/>
              <w:jc w:val="center"/>
              <w:rPr>
                <w:color w:val="auto"/>
                <w:kern w:val="0"/>
                <w:szCs w:val="21"/>
                <w:highlight w:val="none"/>
              </w:rPr>
            </w:pPr>
            <w:r>
              <w:rPr>
                <w:rFonts w:hint="eastAsia"/>
                <w:color w:val="auto"/>
                <w:kern w:val="0"/>
                <w:szCs w:val="21"/>
                <w:highlight w:val="none"/>
              </w:rPr>
              <w:t>—</w:t>
            </w:r>
          </w:p>
        </w:tc>
        <w:tc>
          <w:tcPr>
            <w:tcW w:w="1407" w:type="dxa"/>
            <w:vAlign w:val="center"/>
          </w:tcPr>
          <w:p>
            <w:pPr>
              <w:autoSpaceDE w:val="0"/>
              <w:autoSpaceDN w:val="0"/>
              <w:adjustRightInd w:val="0"/>
              <w:snapToGrid w:val="0"/>
              <w:jc w:val="center"/>
              <w:rPr>
                <w:color w:val="auto"/>
                <w:kern w:val="0"/>
                <w:szCs w:val="21"/>
                <w:highlight w:val="none"/>
              </w:rPr>
            </w:pPr>
            <w:r>
              <w:rPr>
                <w:rFonts w:hint="eastAsia"/>
                <w:color w:val="auto"/>
                <w:kern w:val="0"/>
                <w:szCs w:val="21"/>
                <w:highlight w:val="none"/>
              </w:rPr>
              <w:t>—</w:t>
            </w:r>
          </w:p>
        </w:tc>
        <w:tc>
          <w:tcPr>
            <w:tcW w:w="3851" w:type="dxa"/>
            <w:vMerge w:val="continue"/>
            <w:vAlign w:val="center"/>
          </w:tcPr>
          <w:p>
            <w:pPr>
              <w:autoSpaceDE w:val="0"/>
              <w:autoSpaceDN w:val="0"/>
              <w:adjustRightInd w:val="0"/>
              <w:snapToGrid w:val="0"/>
              <w:jc w:val="center"/>
              <w:rPr>
                <w:color w:val="auto"/>
                <w:kern w:val="0"/>
                <w:szCs w:val="21"/>
                <w:highlight w:val="none"/>
              </w:rPr>
            </w:pPr>
          </w:p>
        </w:tc>
        <w:tc>
          <w:tcPr>
            <w:tcW w:w="1756" w:type="dxa"/>
            <w:tcBorders>
              <w:top w:val="dotted" w:color="000000" w:sz="4" w:space="0"/>
            </w:tcBorders>
            <w:vAlign w:val="center"/>
          </w:tcPr>
          <w:p>
            <w:pPr>
              <w:snapToGrid w:val="0"/>
              <w:jc w:val="center"/>
              <w:rPr>
                <w:color w:val="auto"/>
                <w:kern w:val="0"/>
                <w:szCs w:val="21"/>
                <w:highlight w:val="none"/>
              </w:rPr>
            </w:pPr>
            <w:r>
              <w:rPr>
                <w:color w:val="auto"/>
                <w:kern w:val="0"/>
                <w:szCs w:val="21"/>
                <w:highlight w:val="none"/>
              </w:rPr>
              <w:t>201</w:t>
            </w:r>
            <w:r>
              <w:rPr>
                <w:rFonts w:hint="eastAsia"/>
                <w:color w:val="auto"/>
                <w:kern w:val="0"/>
                <w:szCs w:val="21"/>
                <w:highlight w:val="none"/>
                <w:lang w:val="en-US" w:eastAsia="zh-CN"/>
              </w:rPr>
              <w:t>9.11.26</w:t>
            </w:r>
            <w:r>
              <w:rPr>
                <w:rFonts w:hint="eastAsia"/>
                <w:color w:val="auto"/>
                <w:kern w:val="0"/>
                <w:szCs w:val="21"/>
                <w:highlight w:val="none"/>
              </w:rPr>
              <w:t>每天</w:t>
            </w:r>
            <w:r>
              <w:rPr>
                <w:rFonts w:hint="eastAsia"/>
                <w:color w:val="auto"/>
                <w:kern w:val="0"/>
                <w:szCs w:val="21"/>
                <w:highlight w:val="none"/>
                <w:lang w:val="en-US" w:eastAsia="zh-CN"/>
              </w:rPr>
              <w:t>1</w:t>
            </w:r>
            <w:r>
              <w:rPr>
                <w:color w:val="auto"/>
                <w:kern w:val="0"/>
                <w:szCs w:val="21"/>
                <w:highlight w:val="none"/>
              </w:rPr>
              <w:t>次取样</w:t>
            </w:r>
          </w:p>
        </w:tc>
      </w:tr>
    </w:tbl>
    <w:p>
      <w:pPr>
        <w:adjustRightInd w:val="0"/>
        <w:snapToGrid w:val="0"/>
        <w:spacing w:line="360" w:lineRule="auto"/>
        <w:rPr>
          <w:rFonts w:hint="eastAsia"/>
          <w:color w:val="auto"/>
          <w:kern w:val="0"/>
          <w:sz w:val="24"/>
          <w:highlight w:val="none"/>
          <w:lang w:val="en-US" w:eastAsia="zh-CN"/>
        </w:rPr>
      </w:pPr>
      <w:r>
        <w:rPr>
          <w:color w:val="auto"/>
          <w:highlight w:val="none"/>
        </w:rPr>
        <w:drawing>
          <wp:inline distT="0" distB="0" distL="114300" distR="114300">
            <wp:extent cx="5718810" cy="3514725"/>
            <wp:effectExtent l="9525" t="9525" r="24765" b="19050"/>
            <wp:docPr id="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pic:cNvPicPr>
                      <a:picLocks noChangeAspect="1"/>
                    </pic:cNvPicPr>
                  </pic:nvPicPr>
                  <pic:blipFill>
                    <a:blip r:embed="rId31"/>
                    <a:stretch>
                      <a:fillRect/>
                    </a:stretch>
                  </pic:blipFill>
                  <pic:spPr>
                    <a:xfrm>
                      <a:off x="0" y="0"/>
                      <a:ext cx="5718810" cy="3514725"/>
                    </a:xfrm>
                    <a:prstGeom prst="rect">
                      <a:avLst/>
                    </a:prstGeom>
                    <a:noFill/>
                    <a:ln w="9525">
                      <a:solidFill>
                        <a:schemeClr val="tx1"/>
                      </a:solidFill>
                    </a:ln>
                  </pic:spPr>
                </pic:pic>
              </a:graphicData>
            </a:graphic>
          </wp:inline>
        </w:drawing>
      </w:r>
    </w:p>
    <w:p>
      <w:pPr>
        <w:pStyle w:val="73"/>
        <w:rPr>
          <w:rFonts w:hint="eastAsia"/>
          <w:color w:val="auto"/>
          <w:kern w:val="0"/>
          <w:sz w:val="24"/>
          <w:highlight w:val="none"/>
          <w:lang w:val="en-US" w:eastAsia="zh-CN"/>
        </w:rPr>
      </w:pPr>
      <w:r>
        <w:rPr>
          <w:bCs/>
          <w:color w:val="auto"/>
          <w:sz w:val="24"/>
          <w:szCs w:val="24"/>
          <w:highlight w:val="none"/>
        </w:rPr>
        <w:t>图</w:t>
      </w:r>
      <w:r>
        <w:rPr>
          <w:rFonts w:hint="eastAsia"/>
          <w:bCs/>
          <w:color w:val="auto"/>
          <w:sz w:val="24"/>
          <w:szCs w:val="24"/>
          <w:highlight w:val="none"/>
          <w:lang w:eastAsia="zh-CN"/>
        </w:rPr>
        <w:t>3.6</w:t>
      </w:r>
      <w:r>
        <w:rPr>
          <w:bCs/>
          <w:color w:val="auto"/>
          <w:sz w:val="24"/>
          <w:szCs w:val="24"/>
          <w:highlight w:val="none"/>
        </w:rPr>
        <w:t>-</w:t>
      </w:r>
      <w:r>
        <w:rPr>
          <w:rFonts w:hint="eastAsia"/>
          <w:bCs/>
          <w:color w:val="auto"/>
          <w:sz w:val="24"/>
          <w:szCs w:val="24"/>
          <w:highlight w:val="none"/>
          <w:lang w:val="en-US" w:eastAsia="zh-CN"/>
        </w:rPr>
        <w:t>3</w:t>
      </w:r>
      <w:r>
        <w:rPr>
          <w:rFonts w:hint="eastAsia"/>
          <w:bCs/>
          <w:color w:val="auto"/>
          <w:sz w:val="24"/>
          <w:szCs w:val="24"/>
          <w:highlight w:val="none"/>
        </w:rPr>
        <w:t xml:space="preserve"> </w:t>
      </w:r>
      <w:r>
        <w:rPr>
          <w:rFonts w:hint="eastAsia"/>
          <w:bCs/>
          <w:color w:val="auto"/>
          <w:sz w:val="24"/>
          <w:szCs w:val="24"/>
          <w:highlight w:val="none"/>
          <w:lang w:val="en-US" w:eastAsia="zh-CN"/>
        </w:rPr>
        <w:t xml:space="preserve"> </w:t>
      </w:r>
      <w:r>
        <w:rPr>
          <w:rFonts w:hint="eastAsia" w:ascii="黑体" w:cs="黑体"/>
          <w:color w:val="auto"/>
          <w:sz w:val="24"/>
          <w:szCs w:val="24"/>
          <w:highlight w:val="none"/>
          <w:lang w:eastAsia="zh-CN"/>
        </w:rPr>
        <w:t>地下水</w:t>
      </w:r>
      <w:r>
        <w:rPr>
          <w:rFonts w:hint="eastAsia" w:ascii="黑体" w:cs="黑体"/>
          <w:color w:val="auto"/>
          <w:sz w:val="24"/>
          <w:szCs w:val="24"/>
          <w:highlight w:val="none"/>
        </w:rPr>
        <w:t>监测点位分布图</w:t>
      </w:r>
    </w:p>
    <w:p>
      <w:pPr>
        <w:adjustRightInd w:val="0"/>
        <w:snapToGrid w:val="0"/>
        <w:spacing w:line="360" w:lineRule="auto"/>
        <w:ind w:firstLine="480" w:firstLineChars="200"/>
        <w:rPr>
          <w:color w:val="auto"/>
          <w:kern w:val="0"/>
          <w:sz w:val="24"/>
          <w:highlight w:val="none"/>
        </w:rPr>
      </w:pPr>
      <w:r>
        <w:rPr>
          <w:rFonts w:hint="eastAsia"/>
          <w:color w:val="auto"/>
          <w:kern w:val="0"/>
          <w:sz w:val="24"/>
          <w:highlight w:val="none"/>
          <w:lang w:val="en-US" w:eastAsia="zh-CN"/>
        </w:rPr>
        <w:t>2</w:t>
      </w:r>
      <w:r>
        <w:rPr>
          <w:color w:val="auto"/>
          <w:kern w:val="0"/>
          <w:sz w:val="24"/>
          <w:highlight w:val="none"/>
        </w:rPr>
        <w:t>、监测方法</w:t>
      </w:r>
    </w:p>
    <w:p>
      <w:pPr>
        <w:tabs>
          <w:tab w:val="left" w:pos="0"/>
        </w:tabs>
        <w:adjustRightInd w:val="0"/>
        <w:snapToGrid w:val="0"/>
        <w:spacing w:line="360" w:lineRule="auto"/>
        <w:ind w:firstLine="480" w:firstLineChars="200"/>
        <w:rPr>
          <w:color w:val="auto"/>
          <w:sz w:val="24"/>
          <w:highlight w:val="none"/>
        </w:rPr>
      </w:pPr>
      <w:r>
        <w:rPr>
          <w:color w:val="auto"/>
          <w:sz w:val="24"/>
          <w:highlight w:val="none"/>
        </w:rPr>
        <w:t>采用</w:t>
      </w:r>
      <w:r>
        <w:rPr>
          <w:color w:val="auto"/>
          <w:sz w:val="24"/>
          <w:highlight w:val="none"/>
          <w:lang w:val="zh-CN"/>
        </w:rPr>
        <w:t>《地下水质量标准》(GB/T14848-2017)中规定的方法进行分析。</w:t>
      </w:r>
      <w:bookmarkStart w:id="129" w:name="_Toc312867429"/>
    </w:p>
    <w:bookmarkEnd w:id="129"/>
    <w:p>
      <w:pPr>
        <w:adjustRightInd w:val="0"/>
        <w:snapToGrid w:val="0"/>
        <w:spacing w:line="360" w:lineRule="auto"/>
        <w:ind w:firstLine="480" w:firstLineChars="200"/>
        <w:rPr>
          <w:color w:val="auto"/>
          <w:kern w:val="0"/>
          <w:sz w:val="24"/>
          <w:highlight w:val="none"/>
        </w:rPr>
      </w:pPr>
      <w:bookmarkStart w:id="130" w:name="_Toc312867430"/>
      <w:r>
        <w:rPr>
          <w:rFonts w:hint="eastAsia"/>
          <w:color w:val="auto"/>
          <w:kern w:val="0"/>
          <w:sz w:val="24"/>
          <w:highlight w:val="none"/>
          <w:lang w:val="en-US" w:eastAsia="zh-CN"/>
        </w:rPr>
        <w:t>3</w:t>
      </w:r>
      <w:r>
        <w:rPr>
          <w:color w:val="auto"/>
          <w:kern w:val="0"/>
          <w:sz w:val="24"/>
          <w:highlight w:val="none"/>
        </w:rPr>
        <w:t>、评价方法</w:t>
      </w:r>
    </w:p>
    <w:p>
      <w:pPr>
        <w:snapToGrid w:val="0"/>
        <w:spacing w:line="360" w:lineRule="auto"/>
        <w:ind w:firstLine="480" w:firstLineChars="200"/>
        <w:rPr>
          <w:color w:val="auto"/>
          <w:sz w:val="24"/>
          <w:highlight w:val="none"/>
        </w:rPr>
      </w:pPr>
      <w:r>
        <w:rPr>
          <w:color w:val="auto"/>
          <w:sz w:val="24"/>
          <w:highlight w:val="none"/>
        </w:rPr>
        <w:t>采用单项水质参数评价法。单项水质参数评价采用标准指数法，其计算公式如下：</w:t>
      </w:r>
    </w:p>
    <w:p>
      <w:pPr>
        <w:snapToGrid w:val="0"/>
        <w:spacing w:line="360" w:lineRule="auto"/>
        <w:ind w:firstLine="480"/>
        <w:rPr>
          <w:color w:val="auto"/>
          <w:sz w:val="24"/>
          <w:highlight w:val="none"/>
        </w:rPr>
      </w:pPr>
      <w:r>
        <w:rPr>
          <w:color w:val="auto"/>
          <w:sz w:val="24"/>
          <w:highlight w:val="none"/>
        </w:rPr>
        <w:t>一般水质因子</w:t>
      </w:r>
    </w:p>
    <w:p>
      <w:pPr>
        <w:snapToGrid w:val="0"/>
        <w:spacing w:line="360" w:lineRule="auto"/>
        <w:ind w:left="128" w:leftChars="61" w:firstLine="2162" w:firstLineChars="901"/>
        <w:rPr>
          <w:color w:val="auto"/>
          <w:sz w:val="24"/>
          <w:highlight w:val="none"/>
        </w:rPr>
      </w:pPr>
      <w:bookmarkStart w:id="131" w:name="_Toc248569083"/>
      <w:bookmarkStart w:id="132" w:name="_Toc240767480"/>
      <w:bookmarkStart w:id="133" w:name="_Toc243859245"/>
      <w:r>
        <w:rPr>
          <w:color w:val="auto"/>
          <w:sz w:val="24"/>
          <w:highlight w:val="none"/>
        </w:rPr>
        <w:t>S</w:t>
      </w:r>
      <w:r>
        <w:rPr>
          <w:color w:val="auto"/>
          <w:sz w:val="24"/>
          <w:highlight w:val="none"/>
          <w:vertAlign w:val="subscript"/>
        </w:rPr>
        <w:t>ij</w:t>
      </w:r>
      <w:r>
        <w:rPr>
          <w:color w:val="auto"/>
          <w:sz w:val="24"/>
          <w:highlight w:val="none"/>
        </w:rPr>
        <w:t>= C</w:t>
      </w:r>
      <w:r>
        <w:rPr>
          <w:color w:val="auto"/>
          <w:sz w:val="24"/>
          <w:highlight w:val="none"/>
          <w:vertAlign w:val="subscript"/>
        </w:rPr>
        <w:t>i,j</w:t>
      </w:r>
      <w:r>
        <w:rPr>
          <w:color w:val="auto"/>
          <w:sz w:val="24"/>
          <w:highlight w:val="none"/>
        </w:rPr>
        <w:t>/C</w:t>
      </w:r>
      <w:r>
        <w:rPr>
          <w:color w:val="auto"/>
          <w:sz w:val="24"/>
          <w:highlight w:val="none"/>
          <w:vertAlign w:val="subscript"/>
        </w:rPr>
        <w:t>si</w:t>
      </w:r>
      <w:bookmarkEnd w:id="131"/>
      <w:bookmarkEnd w:id="132"/>
      <w:bookmarkEnd w:id="133"/>
    </w:p>
    <w:p>
      <w:pPr>
        <w:snapToGrid w:val="0"/>
        <w:spacing w:line="360" w:lineRule="auto"/>
        <w:ind w:firstLine="480" w:firstLineChars="200"/>
        <w:rPr>
          <w:color w:val="auto"/>
          <w:sz w:val="24"/>
          <w:highlight w:val="none"/>
        </w:rPr>
      </w:pPr>
      <w:r>
        <w:rPr>
          <w:color w:val="auto"/>
          <w:sz w:val="24"/>
          <w:highlight w:val="none"/>
        </w:rPr>
        <w:t>式中：S</w:t>
      </w:r>
      <w:r>
        <w:rPr>
          <w:color w:val="auto"/>
          <w:sz w:val="24"/>
          <w:highlight w:val="none"/>
          <w:vertAlign w:val="subscript"/>
        </w:rPr>
        <w:t>i,j</w:t>
      </w:r>
      <w:r>
        <w:rPr>
          <w:color w:val="auto"/>
          <w:sz w:val="24"/>
          <w:highlight w:val="none"/>
        </w:rPr>
        <w:t>—单项水质因子i在第j点的标准指数；</w:t>
      </w:r>
    </w:p>
    <w:p>
      <w:pPr>
        <w:snapToGrid w:val="0"/>
        <w:spacing w:line="360" w:lineRule="auto"/>
        <w:ind w:left="958" w:leftChars="456" w:firstLine="240" w:firstLineChars="100"/>
        <w:rPr>
          <w:color w:val="auto"/>
          <w:sz w:val="24"/>
          <w:highlight w:val="none"/>
        </w:rPr>
      </w:pPr>
      <w:bookmarkStart w:id="134" w:name="_Toc240767481"/>
      <w:bookmarkStart w:id="135" w:name="_Toc248569084"/>
      <w:bookmarkStart w:id="136" w:name="_Toc243859246"/>
      <w:r>
        <w:rPr>
          <w:color w:val="auto"/>
          <w:sz w:val="24"/>
          <w:highlight w:val="none"/>
        </w:rPr>
        <w:t>C</w:t>
      </w:r>
      <w:r>
        <w:rPr>
          <w:color w:val="auto"/>
          <w:sz w:val="24"/>
          <w:highlight w:val="none"/>
          <w:vertAlign w:val="subscript"/>
        </w:rPr>
        <w:t>i,j</w:t>
      </w:r>
      <w:r>
        <w:rPr>
          <w:color w:val="auto"/>
          <w:sz w:val="24"/>
          <w:highlight w:val="none"/>
        </w:rPr>
        <w:t>—(i，j)点的评价因子水质浓度或水质因子i在预测点j的水质浓度，mg/L；</w:t>
      </w:r>
      <w:bookmarkEnd w:id="134"/>
      <w:bookmarkEnd w:id="135"/>
      <w:bookmarkEnd w:id="136"/>
    </w:p>
    <w:p>
      <w:pPr>
        <w:snapToGrid w:val="0"/>
        <w:spacing w:line="360" w:lineRule="auto"/>
        <w:ind w:firstLine="480"/>
        <w:rPr>
          <w:color w:val="auto"/>
          <w:sz w:val="24"/>
          <w:highlight w:val="none"/>
        </w:rPr>
      </w:pPr>
      <w:r>
        <w:rPr>
          <w:color w:val="auto"/>
          <w:sz w:val="24"/>
          <w:highlight w:val="none"/>
        </w:rPr>
        <w:t xml:space="preserve">      Cs</w:t>
      </w:r>
      <w:r>
        <w:rPr>
          <w:color w:val="auto"/>
          <w:sz w:val="24"/>
          <w:highlight w:val="none"/>
          <w:vertAlign w:val="subscript"/>
        </w:rPr>
        <w:t>i</w:t>
      </w:r>
      <w:r>
        <w:rPr>
          <w:color w:val="auto"/>
          <w:sz w:val="24"/>
          <w:highlight w:val="none"/>
        </w:rPr>
        <w:t>—水质评价因子i的地表水质标准，mg/L。</w:t>
      </w:r>
    </w:p>
    <w:p>
      <w:pPr>
        <w:snapToGrid w:val="0"/>
        <w:spacing w:line="360" w:lineRule="auto"/>
        <w:ind w:firstLine="482"/>
        <w:rPr>
          <w:color w:val="auto"/>
          <w:sz w:val="24"/>
          <w:highlight w:val="none"/>
        </w:rPr>
      </w:pPr>
      <w:r>
        <w:rPr>
          <w:color w:val="auto"/>
          <w:sz w:val="24"/>
          <w:highlight w:val="none"/>
        </w:rPr>
        <w:t>特殊水质因子</w:t>
      </w:r>
    </w:p>
    <w:p>
      <w:pPr>
        <w:snapToGrid w:val="0"/>
        <w:spacing w:line="360" w:lineRule="auto"/>
        <w:ind w:firstLine="482"/>
        <w:rPr>
          <w:color w:val="auto"/>
          <w:sz w:val="24"/>
          <w:highlight w:val="none"/>
        </w:rPr>
      </w:pPr>
      <w:r>
        <w:rPr>
          <w:color w:val="auto"/>
          <w:sz w:val="24"/>
          <w:highlight w:val="none"/>
        </w:rPr>
        <w:t>pH的标准指数</w:t>
      </w:r>
    </w:p>
    <w:p>
      <w:pPr>
        <w:snapToGrid w:val="0"/>
        <w:spacing w:line="360" w:lineRule="auto"/>
        <w:ind w:firstLine="960" w:firstLineChars="400"/>
        <w:rPr>
          <w:color w:val="auto"/>
          <w:sz w:val="24"/>
          <w:highlight w:val="none"/>
        </w:rPr>
      </w:pPr>
      <w:r>
        <w:rPr>
          <w:color w:val="auto"/>
          <w:position w:val="-14"/>
          <w:sz w:val="24"/>
          <w:highlight w:val="none"/>
        </w:rPr>
        <w:drawing>
          <wp:inline distT="0" distB="0" distL="0" distR="0">
            <wp:extent cx="2030730" cy="23368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030730" cy="233680"/>
                    </a:xfrm>
                    <a:prstGeom prst="rect">
                      <a:avLst/>
                    </a:prstGeom>
                    <a:noFill/>
                    <a:ln>
                      <a:noFill/>
                    </a:ln>
                  </pic:spPr>
                </pic:pic>
              </a:graphicData>
            </a:graphic>
          </wp:inline>
        </w:drawing>
      </w:r>
      <w:r>
        <w:rPr>
          <w:color w:val="auto"/>
          <w:sz w:val="24"/>
          <w:highlight w:val="none"/>
        </w:rPr>
        <w:t xml:space="preserve">  </w:t>
      </w:r>
      <w:r>
        <w:rPr>
          <w:color w:val="auto"/>
          <w:position w:val="-14"/>
          <w:sz w:val="24"/>
          <w:highlight w:val="none"/>
        </w:rPr>
        <w:drawing>
          <wp:inline distT="0" distB="0" distL="0" distR="0">
            <wp:extent cx="690880" cy="23368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690880" cy="233680"/>
                    </a:xfrm>
                    <a:prstGeom prst="rect">
                      <a:avLst/>
                    </a:prstGeom>
                    <a:noFill/>
                    <a:ln>
                      <a:noFill/>
                    </a:ln>
                  </pic:spPr>
                </pic:pic>
              </a:graphicData>
            </a:graphic>
          </wp:inline>
        </w:drawing>
      </w:r>
    </w:p>
    <w:p>
      <w:pPr>
        <w:snapToGrid w:val="0"/>
        <w:spacing w:line="360" w:lineRule="auto"/>
        <w:ind w:firstLine="960" w:firstLineChars="400"/>
        <w:rPr>
          <w:color w:val="auto"/>
          <w:sz w:val="24"/>
          <w:highlight w:val="none"/>
        </w:rPr>
      </w:pPr>
      <w:r>
        <w:rPr>
          <w:color w:val="auto"/>
          <w:position w:val="-14"/>
          <w:sz w:val="24"/>
          <w:highlight w:val="none"/>
        </w:rPr>
        <w:drawing>
          <wp:inline distT="0" distB="0" distL="0" distR="0">
            <wp:extent cx="2084070" cy="23368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084070" cy="233680"/>
                    </a:xfrm>
                    <a:prstGeom prst="rect">
                      <a:avLst/>
                    </a:prstGeom>
                    <a:noFill/>
                    <a:ln>
                      <a:noFill/>
                    </a:ln>
                  </pic:spPr>
                </pic:pic>
              </a:graphicData>
            </a:graphic>
          </wp:inline>
        </w:drawing>
      </w:r>
      <w:r>
        <w:rPr>
          <w:color w:val="auto"/>
          <w:sz w:val="24"/>
          <w:highlight w:val="none"/>
        </w:rPr>
        <w:t xml:space="preserve">  </w:t>
      </w:r>
      <w:r>
        <w:rPr>
          <w:color w:val="auto"/>
          <w:position w:val="-14"/>
          <w:sz w:val="24"/>
          <w:highlight w:val="none"/>
        </w:rPr>
        <w:drawing>
          <wp:inline distT="0" distB="0" distL="0" distR="0">
            <wp:extent cx="690880" cy="23368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690880" cy="233680"/>
                    </a:xfrm>
                    <a:prstGeom prst="rect">
                      <a:avLst/>
                    </a:prstGeom>
                    <a:noFill/>
                    <a:ln>
                      <a:noFill/>
                    </a:ln>
                  </pic:spPr>
                </pic:pic>
              </a:graphicData>
            </a:graphic>
          </wp:inline>
        </w:drawing>
      </w:r>
    </w:p>
    <w:p>
      <w:pPr>
        <w:snapToGrid w:val="0"/>
        <w:spacing w:line="360" w:lineRule="auto"/>
        <w:ind w:firstLine="482"/>
        <w:rPr>
          <w:color w:val="auto"/>
          <w:sz w:val="24"/>
          <w:highlight w:val="none"/>
        </w:rPr>
      </w:pPr>
      <w:r>
        <w:rPr>
          <w:color w:val="auto"/>
          <w:sz w:val="24"/>
          <w:highlight w:val="none"/>
        </w:rPr>
        <w:t>式中：</w:t>
      </w:r>
      <w:r>
        <w:rPr>
          <w:color w:val="auto"/>
          <w:position w:val="-14"/>
          <w:sz w:val="24"/>
          <w:highlight w:val="none"/>
        </w:rPr>
        <w:drawing>
          <wp:inline distT="0" distB="0" distL="0" distR="0">
            <wp:extent cx="340360" cy="23368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340360" cy="233680"/>
                    </a:xfrm>
                    <a:prstGeom prst="rect">
                      <a:avLst/>
                    </a:prstGeom>
                    <a:noFill/>
                    <a:ln>
                      <a:noFill/>
                    </a:ln>
                  </pic:spPr>
                </pic:pic>
              </a:graphicData>
            </a:graphic>
          </wp:inline>
        </w:drawing>
      </w:r>
      <w:r>
        <w:rPr>
          <w:color w:val="auto"/>
          <w:sz w:val="24"/>
          <w:highlight w:val="none"/>
        </w:rPr>
        <w:t>——pH的标准指数；</w:t>
      </w:r>
    </w:p>
    <w:p>
      <w:pPr>
        <w:snapToGrid w:val="0"/>
        <w:spacing w:line="360" w:lineRule="auto"/>
        <w:ind w:firstLine="482"/>
        <w:rPr>
          <w:color w:val="auto"/>
          <w:sz w:val="24"/>
          <w:highlight w:val="none"/>
        </w:rPr>
      </w:pPr>
      <w:r>
        <w:rPr>
          <w:color w:val="auto"/>
          <w:sz w:val="24"/>
          <w:highlight w:val="none"/>
        </w:rPr>
        <w:t xml:space="preserve">      </w:t>
      </w:r>
      <w:r>
        <w:rPr>
          <w:color w:val="auto"/>
          <w:position w:val="-14"/>
          <w:sz w:val="24"/>
          <w:highlight w:val="none"/>
        </w:rPr>
        <w:drawing>
          <wp:inline distT="0" distB="0" distL="0" distR="0">
            <wp:extent cx="276225" cy="23368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76225" cy="233680"/>
                    </a:xfrm>
                    <a:prstGeom prst="rect">
                      <a:avLst/>
                    </a:prstGeom>
                    <a:noFill/>
                    <a:ln>
                      <a:noFill/>
                    </a:ln>
                  </pic:spPr>
                </pic:pic>
              </a:graphicData>
            </a:graphic>
          </wp:inline>
        </w:drawing>
      </w:r>
      <w:r>
        <w:rPr>
          <w:color w:val="auto"/>
          <w:sz w:val="24"/>
          <w:highlight w:val="none"/>
        </w:rPr>
        <w:t>——pH实测值；</w:t>
      </w:r>
    </w:p>
    <w:p>
      <w:pPr>
        <w:snapToGrid w:val="0"/>
        <w:spacing w:line="360" w:lineRule="auto"/>
        <w:ind w:firstLine="482"/>
        <w:rPr>
          <w:color w:val="auto"/>
          <w:sz w:val="24"/>
          <w:highlight w:val="none"/>
        </w:rPr>
      </w:pPr>
      <w:r>
        <w:rPr>
          <w:color w:val="auto"/>
          <w:sz w:val="24"/>
          <w:highlight w:val="none"/>
        </w:rPr>
        <w:t xml:space="preserve">      </w:t>
      </w:r>
      <w:r>
        <w:rPr>
          <w:color w:val="auto"/>
          <w:position w:val="-12"/>
          <w:sz w:val="24"/>
          <w:highlight w:val="none"/>
        </w:rPr>
        <w:drawing>
          <wp:inline distT="0" distB="0" distL="0" distR="0">
            <wp:extent cx="329565" cy="23368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329565" cy="233680"/>
                    </a:xfrm>
                    <a:prstGeom prst="rect">
                      <a:avLst/>
                    </a:prstGeom>
                    <a:noFill/>
                    <a:ln>
                      <a:noFill/>
                    </a:ln>
                  </pic:spPr>
                </pic:pic>
              </a:graphicData>
            </a:graphic>
          </wp:inline>
        </w:drawing>
      </w:r>
      <w:r>
        <w:rPr>
          <w:color w:val="auto"/>
          <w:sz w:val="24"/>
          <w:highlight w:val="none"/>
        </w:rPr>
        <w:t>——地表(下)水质标准中规定的pH下限；</w:t>
      </w:r>
    </w:p>
    <w:p>
      <w:pPr>
        <w:snapToGrid w:val="0"/>
        <w:spacing w:line="360" w:lineRule="auto"/>
        <w:ind w:firstLine="482"/>
        <w:rPr>
          <w:color w:val="auto"/>
          <w:sz w:val="24"/>
          <w:highlight w:val="none"/>
        </w:rPr>
      </w:pPr>
      <w:r>
        <w:rPr>
          <w:color w:val="auto"/>
          <w:sz w:val="24"/>
          <w:highlight w:val="none"/>
        </w:rPr>
        <w:t xml:space="preserve">      </w:t>
      </w:r>
      <w:r>
        <w:rPr>
          <w:color w:val="auto"/>
          <w:position w:val="-12"/>
          <w:sz w:val="24"/>
          <w:highlight w:val="none"/>
        </w:rPr>
        <w:drawing>
          <wp:inline distT="0" distB="0" distL="0" distR="0">
            <wp:extent cx="329565" cy="23368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329565" cy="233680"/>
                    </a:xfrm>
                    <a:prstGeom prst="rect">
                      <a:avLst/>
                    </a:prstGeom>
                    <a:noFill/>
                    <a:ln>
                      <a:noFill/>
                    </a:ln>
                  </pic:spPr>
                </pic:pic>
              </a:graphicData>
            </a:graphic>
          </wp:inline>
        </w:drawing>
      </w:r>
      <w:r>
        <w:rPr>
          <w:color w:val="auto"/>
          <w:sz w:val="24"/>
          <w:highlight w:val="none"/>
        </w:rPr>
        <w:t>——地表(下)水质标准中规定的pH上限。</w:t>
      </w:r>
    </w:p>
    <w:p>
      <w:pPr>
        <w:snapToGrid w:val="0"/>
        <w:spacing w:line="360" w:lineRule="auto"/>
        <w:ind w:firstLine="510"/>
        <w:rPr>
          <w:color w:val="auto"/>
          <w:kern w:val="0"/>
          <w:sz w:val="24"/>
          <w:highlight w:val="none"/>
          <w:lang w:val="zh-CN" w:eastAsia="zh-CN"/>
        </w:rPr>
      </w:pPr>
      <w:r>
        <w:rPr>
          <w:color w:val="auto"/>
          <w:kern w:val="0"/>
          <w:sz w:val="24"/>
          <w:highlight w:val="none"/>
          <w:lang w:val="zh-CN" w:eastAsia="zh-CN"/>
        </w:rPr>
        <w:t>DO采用如下公式：</w:t>
      </w:r>
    </w:p>
    <w:p>
      <w:pPr>
        <w:snapToGrid w:val="0"/>
        <w:spacing w:line="360" w:lineRule="auto"/>
        <w:jc w:val="left"/>
        <w:rPr>
          <w:color w:val="auto"/>
          <w:sz w:val="24"/>
          <w:highlight w:val="none"/>
        </w:rPr>
      </w:pPr>
      <w:r>
        <w:rPr>
          <w:color w:val="auto"/>
          <w:sz w:val="24"/>
          <w:highlight w:val="none"/>
        </w:rPr>
        <w:t xml:space="preserve">       </w:t>
      </w:r>
      <w:r>
        <w:rPr>
          <w:color w:val="auto"/>
          <w:position w:val="-32"/>
          <w:sz w:val="24"/>
          <w:highlight w:val="none"/>
        </w:rPr>
        <w:drawing>
          <wp:inline distT="0" distB="0" distL="0" distR="0">
            <wp:extent cx="871855" cy="46799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871855" cy="467995"/>
                    </a:xfrm>
                    <a:prstGeom prst="rect">
                      <a:avLst/>
                    </a:prstGeom>
                    <a:noFill/>
                    <a:ln>
                      <a:noFill/>
                    </a:ln>
                  </pic:spPr>
                </pic:pic>
              </a:graphicData>
            </a:graphic>
          </wp:inline>
        </w:drawing>
      </w:r>
      <w:r>
        <w:rPr>
          <w:color w:val="auto"/>
          <w:sz w:val="24"/>
          <w:highlight w:val="none"/>
        </w:rPr>
        <w:t xml:space="preserve">  ( </w:t>
      </w:r>
      <w:r>
        <w:rPr>
          <w:color w:val="auto"/>
          <w:position w:val="-12"/>
          <w:sz w:val="24"/>
          <w:highlight w:val="none"/>
        </w:rPr>
        <w:drawing>
          <wp:inline distT="0" distB="0" distL="0" distR="0">
            <wp:extent cx="180975" cy="23368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80975" cy="233680"/>
                    </a:xfrm>
                    <a:prstGeom prst="rect">
                      <a:avLst/>
                    </a:prstGeom>
                    <a:noFill/>
                    <a:ln>
                      <a:noFill/>
                    </a:ln>
                  </pic:spPr>
                </pic:pic>
              </a:graphicData>
            </a:graphic>
          </wp:inline>
        </w:drawing>
      </w:r>
      <w:r>
        <w:rPr>
          <w:color w:val="auto"/>
          <w:sz w:val="24"/>
          <w:highlight w:val="none"/>
        </w:rPr>
        <w:t>≥</w:t>
      </w:r>
      <w:r>
        <w:rPr>
          <w:color w:val="auto"/>
          <w:position w:val="-12"/>
          <w:sz w:val="24"/>
          <w:highlight w:val="none"/>
        </w:rPr>
        <w:drawing>
          <wp:inline distT="0" distB="0" distL="0" distR="0">
            <wp:extent cx="201930" cy="2336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201930" cy="233680"/>
                    </a:xfrm>
                    <a:prstGeom prst="rect">
                      <a:avLst/>
                    </a:prstGeom>
                    <a:noFill/>
                    <a:ln>
                      <a:noFill/>
                    </a:ln>
                  </pic:spPr>
                </pic:pic>
              </a:graphicData>
            </a:graphic>
          </wp:inline>
        </w:drawing>
      </w:r>
      <w:r>
        <w:rPr>
          <w:color w:val="auto"/>
          <w:sz w:val="24"/>
          <w:highlight w:val="none"/>
        </w:rPr>
        <w:t xml:space="preserve">)；  </w:t>
      </w:r>
      <w:r>
        <w:rPr>
          <w:color w:val="auto"/>
          <w:position w:val="-30"/>
          <w:sz w:val="24"/>
          <w:highlight w:val="none"/>
        </w:rPr>
        <w:drawing>
          <wp:inline distT="0" distB="0" distL="0" distR="0">
            <wp:extent cx="850900" cy="44640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850900" cy="446405"/>
                    </a:xfrm>
                    <a:prstGeom prst="rect">
                      <a:avLst/>
                    </a:prstGeom>
                    <a:noFill/>
                    <a:ln>
                      <a:noFill/>
                    </a:ln>
                  </pic:spPr>
                </pic:pic>
              </a:graphicData>
            </a:graphic>
          </wp:inline>
        </w:drawing>
      </w:r>
      <w:r>
        <w:rPr>
          <w:color w:val="auto"/>
          <w:sz w:val="24"/>
          <w:highlight w:val="none"/>
        </w:rPr>
        <w:t xml:space="preserve">  (</w:t>
      </w:r>
      <w:r>
        <w:rPr>
          <w:color w:val="auto"/>
          <w:position w:val="-12"/>
          <w:sz w:val="24"/>
          <w:highlight w:val="none"/>
        </w:rPr>
        <w:drawing>
          <wp:inline distT="0" distB="0" distL="0" distR="0">
            <wp:extent cx="180975" cy="23368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80975" cy="233680"/>
                    </a:xfrm>
                    <a:prstGeom prst="rect">
                      <a:avLst/>
                    </a:prstGeom>
                    <a:noFill/>
                    <a:ln>
                      <a:noFill/>
                    </a:ln>
                  </pic:spPr>
                </pic:pic>
              </a:graphicData>
            </a:graphic>
          </wp:inline>
        </w:drawing>
      </w:r>
      <w:r>
        <w:rPr>
          <w:color w:val="auto"/>
          <w:sz w:val="24"/>
          <w:highlight w:val="none"/>
        </w:rPr>
        <w:t>&lt;</w:t>
      </w:r>
      <w:r>
        <w:rPr>
          <w:color w:val="auto"/>
          <w:position w:val="-12"/>
          <w:sz w:val="24"/>
          <w:highlight w:val="none"/>
        </w:rPr>
        <w:drawing>
          <wp:inline distT="0" distB="0" distL="0" distR="0">
            <wp:extent cx="201930" cy="23368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201930" cy="233680"/>
                    </a:xfrm>
                    <a:prstGeom prst="rect">
                      <a:avLst/>
                    </a:prstGeom>
                    <a:noFill/>
                    <a:ln>
                      <a:noFill/>
                    </a:ln>
                  </pic:spPr>
                </pic:pic>
              </a:graphicData>
            </a:graphic>
          </wp:inline>
        </w:drawing>
      </w:r>
      <w:r>
        <w:rPr>
          <w:color w:val="auto"/>
          <w:sz w:val="24"/>
          <w:highlight w:val="none"/>
        </w:rPr>
        <w:t>)；</w:t>
      </w:r>
    </w:p>
    <w:p>
      <w:pPr>
        <w:snapToGrid w:val="0"/>
        <w:spacing w:line="360" w:lineRule="auto"/>
        <w:rPr>
          <w:color w:val="auto"/>
          <w:sz w:val="24"/>
          <w:highlight w:val="none"/>
        </w:rPr>
      </w:pPr>
      <w:r>
        <w:rPr>
          <w:color w:val="auto"/>
          <w:sz w:val="24"/>
          <w:highlight w:val="none"/>
        </w:rPr>
        <w:t xml:space="preserve">       </w:t>
      </w:r>
      <w:r>
        <w:rPr>
          <w:color w:val="auto"/>
          <w:position w:val="-24"/>
          <w:sz w:val="24"/>
          <w:highlight w:val="none"/>
        </w:rPr>
        <w:drawing>
          <wp:inline distT="0" distB="0" distL="0" distR="0">
            <wp:extent cx="925195" cy="3937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925195" cy="393700"/>
                    </a:xfrm>
                    <a:prstGeom prst="rect">
                      <a:avLst/>
                    </a:prstGeom>
                    <a:noFill/>
                    <a:ln>
                      <a:noFill/>
                    </a:ln>
                  </pic:spPr>
                </pic:pic>
              </a:graphicData>
            </a:graphic>
          </wp:inline>
        </w:drawing>
      </w:r>
    </w:p>
    <w:p>
      <w:pPr>
        <w:snapToGrid w:val="0"/>
        <w:spacing w:line="360" w:lineRule="auto"/>
        <w:ind w:firstLine="482"/>
        <w:rPr>
          <w:color w:val="auto"/>
          <w:sz w:val="24"/>
          <w:highlight w:val="none"/>
        </w:rPr>
      </w:pPr>
      <w:r>
        <w:rPr>
          <w:color w:val="auto"/>
          <w:sz w:val="24"/>
          <w:highlight w:val="none"/>
        </w:rPr>
        <w:t>式中：</w:t>
      </w:r>
      <w:r>
        <w:rPr>
          <w:color w:val="auto"/>
          <w:sz w:val="24"/>
          <w:highlight w:val="none"/>
        </w:rPr>
        <w:drawing>
          <wp:inline distT="0" distB="0" distL="0" distR="0">
            <wp:extent cx="212725" cy="23368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212725" cy="233680"/>
                    </a:xfrm>
                    <a:prstGeom prst="rect">
                      <a:avLst/>
                    </a:prstGeom>
                    <a:noFill/>
                    <a:ln>
                      <a:noFill/>
                    </a:ln>
                  </pic:spPr>
                </pic:pic>
              </a:graphicData>
            </a:graphic>
          </wp:inline>
        </w:drawing>
      </w:r>
      <w:r>
        <w:rPr>
          <w:color w:val="auto"/>
          <w:sz w:val="24"/>
          <w:highlight w:val="none"/>
        </w:rPr>
        <w:t>----饱和溶解氧浓度值(mg/L)。</w:t>
      </w:r>
    </w:p>
    <w:p>
      <w:pPr>
        <w:snapToGrid w:val="0"/>
        <w:spacing w:line="360" w:lineRule="auto"/>
        <w:ind w:firstLine="480" w:firstLineChars="200"/>
        <w:rPr>
          <w:color w:val="auto"/>
          <w:sz w:val="24"/>
          <w:highlight w:val="none"/>
        </w:rPr>
      </w:pPr>
      <w:r>
        <w:rPr>
          <w:color w:val="auto"/>
          <w:sz w:val="24"/>
          <w:highlight w:val="none"/>
        </w:rPr>
        <w:t>水质评价因子的标准指数&gt;1，表明该评价因子的水质超过了规定的水质标准，已不能满足使用功能要求。</w:t>
      </w:r>
    </w:p>
    <w:bookmarkEnd w:id="130"/>
    <w:p>
      <w:pPr>
        <w:adjustRightInd w:val="0"/>
        <w:snapToGrid w:val="0"/>
        <w:spacing w:line="360" w:lineRule="auto"/>
        <w:ind w:firstLine="480" w:firstLineChars="200"/>
        <w:rPr>
          <w:color w:val="auto"/>
          <w:kern w:val="0"/>
          <w:sz w:val="24"/>
          <w:highlight w:val="none"/>
        </w:rPr>
      </w:pPr>
      <w:r>
        <w:rPr>
          <w:rFonts w:hint="eastAsia"/>
          <w:color w:val="auto"/>
          <w:kern w:val="0"/>
          <w:sz w:val="24"/>
          <w:highlight w:val="none"/>
          <w:lang w:val="en-US" w:eastAsia="zh-CN"/>
        </w:rPr>
        <w:t>4</w:t>
      </w:r>
      <w:r>
        <w:rPr>
          <w:color w:val="auto"/>
          <w:kern w:val="0"/>
          <w:sz w:val="24"/>
          <w:highlight w:val="none"/>
        </w:rPr>
        <w:t>、评价结果</w:t>
      </w:r>
    </w:p>
    <w:p>
      <w:pPr>
        <w:adjustRightInd w:val="0"/>
        <w:snapToGrid w:val="0"/>
        <w:spacing w:line="360" w:lineRule="auto"/>
        <w:ind w:firstLine="480" w:firstLineChars="200"/>
        <w:rPr>
          <w:rStyle w:val="72"/>
          <w:rFonts w:cs="Times New Roman" w:eastAsiaTheme="minorEastAsia"/>
          <w:color w:val="auto"/>
          <w:sz w:val="24"/>
          <w:highlight w:val="none"/>
        </w:rPr>
      </w:pPr>
      <w:r>
        <w:rPr>
          <w:color w:val="auto"/>
          <w:sz w:val="24"/>
          <w:highlight w:val="none"/>
        </w:rPr>
        <w:t>项目地下水水质评价结果如表</w:t>
      </w:r>
      <w:r>
        <w:rPr>
          <w:rFonts w:hint="eastAsia"/>
          <w:color w:val="auto"/>
          <w:sz w:val="24"/>
          <w:highlight w:val="none"/>
          <w:lang w:eastAsia="zh-CN"/>
        </w:rPr>
        <w:t>3.6</w:t>
      </w:r>
      <w:r>
        <w:rPr>
          <w:color w:val="auto"/>
          <w:sz w:val="24"/>
          <w:highlight w:val="none"/>
        </w:rPr>
        <w:t>-</w:t>
      </w:r>
      <w:r>
        <w:rPr>
          <w:rFonts w:hint="eastAsia"/>
          <w:color w:val="auto"/>
          <w:sz w:val="24"/>
          <w:highlight w:val="none"/>
          <w:lang w:val="en-US" w:eastAsia="zh-CN"/>
        </w:rPr>
        <w:t>11</w:t>
      </w:r>
      <w:r>
        <w:rPr>
          <w:color w:val="auto"/>
          <w:sz w:val="24"/>
          <w:highlight w:val="none"/>
        </w:rPr>
        <w:t>所示。</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b/>
          <w:color w:val="auto"/>
          <w:sz w:val="28"/>
          <w:highlight w:val="none"/>
        </w:rPr>
      </w:pPr>
      <w:r>
        <w:rPr>
          <w:rFonts w:hint="eastAsia" w:ascii="黑体" w:hAnsi="黑体" w:eastAsia="黑体" w:cs="黑体"/>
          <w:b w:val="0"/>
          <w:bCs w:val="0"/>
          <w:color w:val="auto"/>
          <w:kern w:val="0"/>
          <w:sz w:val="24"/>
          <w:szCs w:val="24"/>
          <w:highlight w:val="none"/>
          <w:lang w:val="zh-CN"/>
        </w:rPr>
        <w:t>表3.6-</w:t>
      </w:r>
      <w:r>
        <w:rPr>
          <w:rFonts w:hint="eastAsia" w:ascii="黑体" w:hAnsi="黑体" w:eastAsia="黑体" w:cs="黑体"/>
          <w:b w:val="0"/>
          <w:bCs w:val="0"/>
          <w:color w:val="auto"/>
          <w:kern w:val="0"/>
          <w:sz w:val="24"/>
          <w:szCs w:val="24"/>
          <w:highlight w:val="none"/>
          <w:lang w:val="en-US" w:eastAsia="zh-CN"/>
        </w:rPr>
        <w:t>11</w:t>
      </w:r>
      <w:r>
        <w:rPr>
          <w:rFonts w:hint="eastAsia" w:ascii="黑体" w:hAnsi="黑体" w:eastAsia="黑体" w:cs="黑体"/>
          <w:b w:val="0"/>
          <w:bCs w:val="0"/>
          <w:color w:val="auto"/>
          <w:kern w:val="0"/>
          <w:sz w:val="24"/>
          <w:szCs w:val="24"/>
          <w:highlight w:val="none"/>
          <w:lang w:val="zh-CN"/>
        </w:rPr>
        <w:t xml:space="preserve"> </w:t>
      </w:r>
      <w:r>
        <w:rPr>
          <w:rFonts w:hint="eastAsia" w:ascii="黑体" w:hAnsi="黑体" w:eastAsia="黑体" w:cs="黑体"/>
          <w:b w:val="0"/>
          <w:bCs w:val="0"/>
          <w:color w:val="auto"/>
          <w:kern w:val="0"/>
          <w:sz w:val="24"/>
          <w:szCs w:val="24"/>
          <w:highlight w:val="none"/>
          <w:lang w:val="en-US" w:eastAsia="zh-CN"/>
        </w:rPr>
        <w:t xml:space="preserve"> </w:t>
      </w:r>
      <w:r>
        <w:rPr>
          <w:rFonts w:hint="eastAsia" w:ascii="黑体" w:hAnsi="黑体" w:eastAsia="黑体" w:cs="黑体"/>
          <w:b w:val="0"/>
          <w:bCs w:val="0"/>
          <w:color w:val="auto"/>
          <w:kern w:val="0"/>
          <w:sz w:val="24"/>
          <w:szCs w:val="24"/>
          <w:highlight w:val="none"/>
          <w:lang w:val="zh-CN"/>
        </w:rPr>
        <w:t>地下水水质监测结果评价表</w:t>
      </w:r>
      <w:r>
        <w:rPr>
          <w:rStyle w:val="72"/>
          <w:rFonts w:hint="eastAsia"/>
          <w:color w:val="auto"/>
          <w:highlight w:val="none"/>
        </w:rPr>
        <w:t xml:space="preserve"> </w:t>
      </w:r>
      <w:r>
        <w:rPr>
          <w:rFonts w:hint="eastAsia"/>
          <w:b/>
          <w:color w:val="auto"/>
          <w:sz w:val="28"/>
          <w:highlight w:val="none"/>
        </w:rPr>
        <w:t xml:space="preserve"> </w:t>
      </w:r>
    </w:p>
    <w:tbl>
      <w:tblPr>
        <w:tblStyle w:val="36"/>
        <w:tblW w:w="9231" w:type="dxa"/>
        <w:tblInd w:w="0" w:type="dxa"/>
        <w:tblBorders>
          <w:top w:val="single" w:color="auto" w:sz="12" w:space="0"/>
          <w:left w:val="none" w:color="auto" w:sz="0" w:space="0"/>
          <w:bottom w:val="dotted" w:color="auto" w:sz="4" w:space="0"/>
          <w:right w:val="none" w:color="auto" w:sz="0" w:space="0"/>
          <w:insideH w:val="dotted" w:color="auto" w:sz="4" w:space="0"/>
          <w:insideV w:val="dotted" w:color="auto" w:sz="4" w:space="0"/>
        </w:tblBorders>
        <w:shd w:val="clear" w:color="auto" w:fill="auto"/>
        <w:tblLayout w:type="fixed"/>
        <w:tblCellMar>
          <w:top w:w="0" w:type="dxa"/>
          <w:left w:w="108" w:type="dxa"/>
          <w:bottom w:w="0" w:type="dxa"/>
          <w:right w:w="108" w:type="dxa"/>
        </w:tblCellMar>
      </w:tblPr>
      <w:tblGrid>
        <w:gridCol w:w="1899"/>
        <w:gridCol w:w="1488"/>
        <w:gridCol w:w="1541"/>
        <w:gridCol w:w="1566"/>
        <w:gridCol w:w="1372"/>
        <w:gridCol w:w="1365"/>
      </w:tblGrid>
      <w:tr>
        <w:tblPrEx>
          <w:tblBorders>
            <w:top w:val="single" w:color="auto" w:sz="12" w:space="0"/>
            <w:left w:val="none" w:color="auto" w:sz="0" w:space="0"/>
            <w:bottom w:val="dotted" w:color="auto" w:sz="4" w:space="0"/>
            <w:right w:val="none" w:color="auto" w:sz="0" w:space="0"/>
            <w:insideH w:val="dotted" w:color="auto" w:sz="4" w:space="0"/>
            <w:insideV w:val="dotted" w:color="auto" w:sz="4" w:space="0"/>
          </w:tblBorders>
          <w:shd w:val="clear" w:color="auto" w:fill="auto"/>
          <w:tblCellMar>
            <w:top w:w="0" w:type="dxa"/>
            <w:left w:w="108" w:type="dxa"/>
            <w:bottom w:w="0" w:type="dxa"/>
            <w:right w:w="108" w:type="dxa"/>
          </w:tblCellMar>
        </w:tblPrEx>
        <w:trPr>
          <w:trHeight w:val="315" w:hRule="atLeast"/>
        </w:trPr>
        <w:tc>
          <w:tcPr>
            <w:tcW w:w="1899" w:type="dxa"/>
            <w:vMerge w:val="restart"/>
            <w:tcBorders>
              <w:tl2br w:val="nil"/>
              <w:tr2bl w:val="nil"/>
            </w:tcBorders>
            <w:shd w:val="clear" w:color="auto" w:fill="auto"/>
            <w:vAlign w:val="center"/>
          </w:tcPr>
          <w:p>
            <w:pPr>
              <w:jc w:val="center"/>
              <w:rPr>
                <w:color w:val="auto"/>
                <w:kern w:val="0"/>
                <w:szCs w:val="21"/>
                <w:highlight w:val="none"/>
              </w:rPr>
            </w:pPr>
            <w:r>
              <w:rPr>
                <w:color w:val="auto"/>
                <w:kern w:val="0"/>
                <w:szCs w:val="21"/>
                <w:highlight w:val="none"/>
              </w:rPr>
              <w:t>监测项目</w:t>
            </w:r>
          </w:p>
        </w:tc>
        <w:tc>
          <w:tcPr>
            <w:tcW w:w="3029" w:type="dxa"/>
            <w:gridSpan w:val="2"/>
            <w:tcBorders>
              <w:right w:val="dotted" w:color="000000" w:sz="4" w:space="0"/>
              <w:tl2br w:val="nil"/>
              <w:tr2bl w:val="nil"/>
            </w:tcBorders>
            <w:shd w:val="clear" w:color="auto" w:fill="auto"/>
            <w:vAlign w:val="center"/>
          </w:tcPr>
          <w:p>
            <w:pPr>
              <w:widowControl/>
              <w:jc w:val="center"/>
              <w:rPr>
                <w:color w:val="auto"/>
                <w:kern w:val="0"/>
                <w:szCs w:val="21"/>
                <w:highlight w:val="none"/>
              </w:rPr>
            </w:pPr>
            <w:r>
              <w:rPr>
                <w:color w:val="auto"/>
                <w:kern w:val="0"/>
                <w:szCs w:val="21"/>
                <w:highlight w:val="none"/>
              </w:rPr>
              <w:t>201</w:t>
            </w:r>
            <w:r>
              <w:rPr>
                <w:rFonts w:hint="eastAsia"/>
                <w:color w:val="auto"/>
                <w:kern w:val="0"/>
                <w:szCs w:val="21"/>
                <w:highlight w:val="none"/>
                <w:lang w:val="en-US" w:eastAsia="zh-CN"/>
              </w:rPr>
              <w:t>9</w:t>
            </w:r>
            <w:r>
              <w:rPr>
                <w:color w:val="auto"/>
                <w:kern w:val="0"/>
                <w:szCs w:val="21"/>
                <w:highlight w:val="none"/>
              </w:rPr>
              <w:t>-0</w:t>
            </w:r>
            <w:r>
              <w:rPr>
                <w:rFonts w:hint="eastAsia"/>
                <w:color w:val="auto"/>
                <w:kern w:val="0"/>
                <w:szCs w:val="21"/>
                <w:highlight w:val="none"/>
                <w:lang w:val="en-US" w:eastAsia="zh-CN"/>
              </w:rPr>
              <w:t>9</w:t>
            </w:r>
            <w:r>
              <w:rPr>
                <w:color w:val="auto"/>
                <w:kern w:val="0"/>
                <w:szCs w:val="21"/>
                <w:highlight w:val="none"/>
              </w:rPr>
              <w:t>-</w:t>
            </w:r>
            <w:r>
              <w:rPr>
                <w:rFonts w:hint="eastAsia"/>
                <w:color w:val="auto"/>
                <w:kern w:val="0"/>
                <w:szCs w:val="21"/>
                <w:highlight w:val="none"/>
                <w:lang w:val="en-US" w:eastAsia="zh-CN"/>
              </w:rPr>
              <w:t>13</w:t>
            </w:r>
          </w:p>
        </w:tc>
        <w:tc>
          <w:tcPr>
            <w:tcW w:w="2938" w:type="dxa"/>
            <w:gridSpan w:val="2"/>
            <w:tcBorders>
              <w:left w:val="dotted" w:color="000000" w:sz="4" w:space="0"/>
              <w:tl2br w:val="nil"/>
              <w:tr2bl w:val="nil"/>
            </w:tcBorders>
            <w:shd w:val="clear" w:color="auto" w:fill="auto"/>
            <w:vAlign w:val="center"/>
          </w:tcPr>
          <w:p>
            <w:pPr>
              <w:widowControl/>
              <w:jc w:val="center"/>
              <w:rPr>
                <w:rFonts w:hint="default"/>
                <w:color w:val="auto"/>
                <w:kern w:val="0"/>
                <w:szCs w:val="21"/>
                <w:highlight w:val="none"/>
                <w:lang w:val="en-US"/>
              </w:rPr>
            </w:pPr>
            <w:r>
              <w:rPr>
                <w:color w:val="auto"/>
                <w:kern w:val="0"/>
                <w:szCs w:val="21"/>
                <w:highlight w:val="none"/>
              </w:rPr>
              <w:t>201</w:t>
            </w:r>
            <w:r>
              <w:rPr>
                <w:rFonts w:hint="eastAsia"/>
                <w:color w:val="auto"/>
                <w:kern w:val="0"/>
                <w:szCs w:val="21"/>
                <w:highlight w:val="none"/>
                <w:lang w:val="en-US" w:eastAsia="zh-CN"/>
              </w:rPr>
              <w:t>9</w:t>
            </w:r>
            <w:r>
              <w:rPr>
                <w:color w:val="auto"/>
                <w:kern w:val="0"/>
                <w:szCs w:val="21"/>
                <w:highlight w:val="none"/>
              </w:rPr>
              <w:t>-</w:t>
            </w:r>
            <w:r>
              <w:rPr>
                <w:rFonts w:hint="eastAsia"/>
                <w:color w:val="auto"/>
                <w:kern w:val="0"/>
                <w:szCs w:val="21"/>
                <w:highlight w:val="none"/>
                <w:lang w:val="en-US" w:eastAsia="zh-CN"/>
              </w:rPr>
              <w:t>11</w:t>
            </w:r>
            <w:r>
              <w:rPr>
                <w:color w:val="auto"/>
                <w:kern w:val="0"/>
                <w:szCs w:val="21"/>
                <w:highlight w:val="none"/>
              </w:rPr>
              <w:t>-</w:t>
            </w:r>
            <w:r>
              <w:rPr>
                <w:rFonts w:hint="eastAsia"/>
                <w:color w:val="auto"/>
                <w:kern w:val="0"/>
                <w:szCs w:val="21"/>
                <w:highlight w:val="none"/>
                <w:lang w:val="en-US" w:eastAsia="zh-CN"/>
              </w:rPr>
              <w:t>26</w:t>
            </w:r>
          </w:p>
        </w:tc>
        <w:tc>
          <w:tcPr>
            <w:tcW w:w="1365" w:type="dxa"/>
            <w:vMerge w:val="restart"/>
            <w:tcBorders>
              <w:tl2br w:val="nil"/>
              <w:tr2bl w:val="nil"/>
            </w:tcBorders>
            <w:shd w:val="clear" w:color="auto" w:fill="auto"/>
            <w:noWrap/>
            <w:vAlign w:val="center"/>
          </w:tcPr>
          <w:p>
            <w:pPr>
              <w:widowControl/>
              <w:jc w:val="center"/>
              <w:rPr>
                <w:color w:val="auto"/>
                <w:kern w:val="0"/>
                <w:szCs w:val="21"/>
                <w:highlight w:val="none"/>
              </w:rPr>
            </w:pPr>
            <w:r>
              <w:rPr>
                <w:color w:val="auto"/>
                <w:kern w:val="0"/>
                <w:szCs w:val="21"/>
                <w:highlight w:val="none"/>
              </w:rPr>
              <w:t>标准值</w:t>
            </w:r>
          </w:p>
        </w:tc>
      </w:tr>
      <w:tr>
        <w:tblPrEx>
          <w:tblBorders>
            <w:top w:val="single" w:color="auto" w:sz="12" w:space="0"/>
            <w:left w:val="none" w:color="auto" w:sz="0" w:space="0"/>
            <w:bottom w:val="dotted"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15" w:hRule="atLeast"/>
        </w:trPr>
        <w:tc>
          <w:tcPr>
            <w:tcW w:w="1899" w:type="dxa"/>
            <w:vMerge w:val="continue"/>
            <w:tcBorders>
              <w:tl2br w:val="nil"/>
              <w:tr2bl w:val="nil"/>
            </w:tcBorders>
            <w:shd w:val="clear" w:color="auto" w:fill="auto"/>
            <w:vAlign w:val="center"/>
          </w:tcPr>
          <w:p>
            <w:pPr>
              <w:widowControl/>
              <w:jc w:val="center"/>
              <w:rPr>
                <w:color w:val="auto"/>
                <w:kern w:val="0"/>
                <w:szCs w:val="21"/>
                <w:highlight w:val="none"/>
              </w:rPr>
            </w:pPr>
          </w:p>
        </w:tc>
        <w:tc>
          <w:tcPr>
            <w:tcW w:w="3029" w:type="dxa"/>
            <w:gridSpan w:val="2"/>
            <w:tcBorders>
              <w:tl2br w:val="nil"/>
              <w:tr2bl w:val="nil"/>
            </w:tcBorders>
            <w:shd w:val="clear" w:color="auto" w:fill="auto"/>
            <w:noWrap/>
            <w:vAlign w:val="center"/>
          </w:tcPr>
          <w:p>
            <w:pPr>
              <w:widowControl/>
              <w:jc w:val="center"/>
              <w:rPr>
                <w:color w:val="auto"/>
                <w:kern w:val="0"/>
                <w:szCs w:val="21"/>
                <w:highlight w:val="none"/>
              </w:rPr>
            </w:pPr>
            <w:r>
              <w:rPr>
                <w:rFonts w:hint="eastAsia"/>
                <w:color w:val="auto"/>
                <w:kern w:val="0"/>
                <w:szCs w:val="21"/>
                <w:highlight w:val="none"/>
                <w:lang w:val="en-US" w:eastAsia="zh-CN"/>
              </w:rPr>
              <w:t>1#</w:t>
            </w:r>
            <w:r>
              <w:rPr>
                <w:rFonts w:hint="eastAsia"/>
                <w:color w:val="auto"/>
                <w:kern w:val="0"/>
                <w:szCs w:val="21"/>
                <w:highlight w:val="none"/>
              </w:rPr>
              <w:t>东盐滩村</w:t>
            </w:r>
          </w:p>
        </w:tc>
        <w:tc>
          <w:tcPr>
            <w:tcW w:w="2938" w:type="dxa"/>
            <w:gridSpan w:val="2"/>
            <w:tcBorders>
              <w:tl2br w:val="nil"/>
              <w:tr2bl w:val="nil"/>
            </w:tcBorders>
            <w:shd w:val="clear" w:color="auto" w:fill="auto"/>
            <w:vAlign w:val="center"/>
          </w:tcPr>
          <w:p>
            <w:pPr>
              <w:widowControl/>
              <w:jc w:val="center"/>
              <w:rPr>
                <w:color w:val="auto"/>
                <w:kern w:val="0"/>
                <w:szCs w:val="21"/>
                <w:highlight w:val="none"/>
              </w:rPr>
            </w:pPr>
            <w:r>
              <w:rPr>
                <w:rFonts w:hint="eastAsia"/>
                <w:color w:val="auto"/>
                <w:kern w:val="0"/>
                <w:szCs w:val="21"/>
                <w:highlight w:val="none"/>
                <w:lang w:val="en-US" w:eastAsia="zh-CN"/>
              </w:rPr>
              <w:t>2#</w:t>
            </w:r>
            <w:r>
              <w:rPr>
                <w:color w:val="auto"/>
                <w:kern w:val="0"/>
                <w:szCs w:val="21"/>
                <w:highlight w:val="none"/>
              </w:rPr>
              <w:t>项目区</w:t>
            </w:r>
          </w:p>
        </w:tc>
        <w:tc>
          <w:tcPr>
            <w:tcW w:w="1365" w:type="dxa"/>
            <w:vMerge w:val="continue"/>
            <w:tcBorders>
              <w:tl2br w:val="nil"/>
              <w:tr2bl w:val="nil"/>
            </w:tcBorders>
            <w:shd w:val="clear" w:color="auto" w:fill="auto"/>
            <w:noWrap/>
            <w:vAlign w:val="center"/>
          </w:tcPr>
          <w:p>
            <w:pPr>
              <w:widowControl/>
              <w:jc w:val="center"/>
              <w:rPr>
                <w:color w:val="auto"/>
                <w:szCs w:val="21"/>
                <w:highlight w:val="none"/>
              </w:rPr>
            </w:pPr>
          </w:p>
        </w:tc>
      </w:tr>
      <w:tr>
        <w:tblPrEx>
          <w:tblBorders>
            <w:top w:val="single" w:color="auto" w:sz="12" w:space="0"/>
            <w:left w:val="none" w:color="auto" w:sz="0" w:space="0"/>
            <w:bottom w:val="dotted"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15" w:hRule="atLeast"/>
        </w:trPr>
        <w:tc>
          <w:tcPr>
            <w:tcW w:w="1899" w:type="dxa"/>
            <w:vMerge w:val="continue"/>
            <w:tcBorders>
              <w:tl2br w:val="nil"/>
              <w:tr2bl w:val="nil"/>
            </w:tcBorders>
            <w:shd w:val="clear" w:color="auto" w:fill="auto"/>
            <w:vAlign w:val="center"/>
          </w:tcPr>
          <w:p>
            <w:pPr>
              <w:widowControl/>
              <w:jc w:val="center"/>
              <w:rPr>
                <w:color w:val="auto"/>
                <w:kern w:val="0"/>
                <w:szCs w:val="21"/>
                <w:highlight w:val="none"/>
              </w:rPr>
            </w:pPr>
          </w:p>
        </w:tc>
        <w:tc>
          <w:tcPr>
            <w:tcW w:w="1488" w:type="dxa"/>
            <w:tcBorders>
              <w:tl2br w:val="nil"/>
              <w:tr2bl w:val="nil"/>
            </w:tcBorders>
            <w:shd w:val="clear" w:color="auto" w:fill="auto"/>
            <w:noWrap/>
            <w:vAlign w:val="center"/>
          </w:tcPr>
          <w:p>
            <w:pPr>
              <w:widowControl/>
              <w:jc w:val="center"/>
              <w:rPr>
                <w:color w:val="auto"/>
                <w:kern w:val="0"/>
                <w:szCs w:val="21"/>
                <w:highlight w:val="none"/>
              </w:rPr>
            </w:pPr>
            <w:r>
              <w:rPr>
                <w:color w:val="auto"/>
                <w:kern w:val="0"/>
                <w:szCs w:val="21"/>
                <w:highlight w:val="none"/>
              </w:rPr>
              <w:t>监测值</w:t>
            </w:r>
          </w:p>
        </w:tc>
        <w:tc>
          <w:tcPr>
            <w:tcW w:w="1541" w:type="dxa"/>
            <w:tcBorders>
              <w:tl2br w:val="nil"/>
              <w:tr2bl w:val="nil"/>
            </w:tcBorders>
            <w:shd w:val="clear" w:color="auto" w:fill="auto"/>
            <w:vAlign w:val="center"/>
          </w:tcPr>
          <w:p>
            <w:pPr>
              <w:widowControl/>
              <w:jc w:val="center"/>
              <w:rPr>
                <w:color w:val="auto"/>
                <w:kern w:val="0"/>
                <w:szCs w:val="21"/>
                <w:highlight w:val="none"/>
              </w:rPr>
            </w:pPr>
            <w:r>
              <w:rPr>
                <w:color w:val="auto"/>
                <w:kern w:val="0"/>
                <w:szCs w:val="21"/>
                <w:highlight w:val="none"/>
              </w:rPr>
              <w:t>污染指数</w:t>
            </w:r>
          </w:p>
        </w:tc>
        <w:tc>
          <w:tcPr>
            <w:tcW w:w="1566" w:type="dxa"/>
            <w:tcBorders>
              <w:tl2br w:val="nil"/>
              <w:tr2bl w:val="nil"/>
            </w:tcBorders>
            <w:shd w:val="clear" w:color="auto" w:fill="auto"/>
            <w:vAlign w:val="center"/>
          </w:tcPr>
          <w:p>
            <w:pPr>
              <w:widowControl/>
              <w:jc w:val="center"/>
              <w:rPr>
                <w:color w:val="auto"/>
                <w:kern w:val="0"/>
                <w:szCs w:val="21"/>
                <w:highlight w:val="none"/>
              </w:rPr>
            </w:pPr>
            <w:r>
              <w:rPr>
                <w:color w:val="auto"/>
                <w:kern w:val="0"/>
                <w:szCs w:val="21"/>
                <w:highlight w:val="none"/>
              </w:rPr>
              <w:t>监测值</w:t>
            </w:r>
          </w:p>
        </w:tc>
        <w:tc>
          <w:tcPr>
            <w:tcW w:w="1372" w:type="dxa"/>
            <w:tcBorders>
              <w:tl2br w:val="nil"/>
              <w:tr2bl w:val="nil"/>
            </w:tcBorders>
            <w:shd w:val="clear" w:color="auto" w:fill="auto"/>
            <w:vAlign w:val="center"/>
          </w:tcPr>
          <w:p>
            <w:pPr>
              <w:widowControl/>
              <w:jc w:val="center"/>
              <w:rPr>
                <w:color w:val="auto"/>
                <w:kern w:val="0"/>
                <w:szCs w:val="21"/>
                <w:highlight w:val="none"/>
              </w:rPr>
            </w:pPr>
            <w:r>
              <w:rPr>
                <w:color w:val="auto"/>
                <w:kern w:val="0"/>
                <w:szCs w:val="21"/>
                <w:highlight w:val="none"/>
              </w:rPr>
              <w:t>污染指数</w:t>
            </w:r>
          </w:p>
        </w:tc>
        <w:tc>
          <w:tcPr>
            <w:tcW w:w="1365" w:type="dxa"/>
            <w:tcBorders>
              <w:tl2br w:val="nil"/>
              <w:tr2bl w:val="nil"/>
            </w:tcBorders>
            <w:shd w:val="clear" w:color="auto" w:fill="auto"/>
            <w:noWrap/>
            <w:vAlign w:val="center"/>
          </w:tcPr>
          <w:p>
            <w:pPr>
              <w:widowControl/>
              <w:jc w:val="center"/>
              <w:rPr>
                <w:color w:val="auto"/>
                <w:kern w:val="0"/>
                <w:szCs w:val="21"/>
                <w:highlight w:val="none"/>
              </w:rPr>
            </w:pPr>
            <w:r>
              <w:rPr>
                <w:rFonts w:hint="eastAsia"/>
                <w:color w:val="auto"/>
                <w:szCs w:val="21"/>
                <w:highlight w:val="none"/>
              </w:rPr>
              <w:t>IV</w:t>
            </w:r>
            <w:r>
              <w:rPr>
                <w:color w:val="auto"/>
                <w:szCs w:val="21"/>
                <w:highlight w:val="none"/>
              </w:rPr>
              <w:t>类</w:t>
            </w:r>
          </w:p>
        </w:tc>
      </w:tr>
      <w:tr>
        <w:tblPrEx>
          <w:tblBorders>
            <w:top w:val="single" w:color="auto" w:sz="12" w:space="0"/>
            <w:left w:val="none" w:color="auto" w:sz="0" w:space="0"/>
            <w:bottom w:val="dotted"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15" w:hRule="atLeast"/>
        </w:trPr>
        <w:tc>
          <w:tcPr>
            <w:tcW w:w="1899" w:type="dxa"/>
            <w:tcBorders>
              <w:tl2br w:val="nil"/>
              <w:tr2bl w:val="nil"/>
            </w:tcBorders>
            <w:shd w:val="clear" w:color="auto" w:fill="auto"/>
            <w:vAlign w:val="center"/>
          </w:tcPr>
          <w:p>
            <w:pPr>
              <w:jc w:val="center"/>
              <w:rPr>
                <w:rFonts w:hAnsi="宋体"/>
                <w:color w:val="auto"/>
                <w:szCs w:val="21"/>
                <w:highlight w:val="none"/>
              </w:rPr>
            </w:pPr>
            <w:r>
              <w:rPr>
                <w:rFonts w:hint="eastAsia" w:hAnsi="宋体"/>
                <w:color w:val="auto"/>
                <w:szCs w:val="21"/>
                <w:highlight w:val="none"/>
              </w:rPr>
              <w:t>PH</w:t>
            </w:r>
          </w:p>
        </w:tc>
        <w:tc>
          <w:tcPr>
            <w:tcW w:w="1488" w:type="dxa"/>
            <w:tcBorders>
              <w:tl2br w:val="nil"/>
              <w:tr2bl w:val="nil"/>
            </w:tcBorders>
            <w:shd w:val="clear" w:color="auto" w:fill="auto"/>
            <w:noWrap/>
            <w:vAlign w:val="bottom"/>
          </w:tcPr>
          <w:p>
            <w:pPr>
              <w:jc w:val="center"/>
              <w:rPr>
                <w:rFonts w:hint="eastAsia" w:eastAsia="宋体"/>
                <w:color w:val="auto"/>
                <w:szCs w:val="21"/>
                <w:highlight w:val="none"/>
                <w:lang w:val="en-US" w:eastAsia="zh-CN"/>
              </w:rPr>
            </w:pPr>
            <w:r>
              <w:rPr>
                <w:rFonts w:hint="eastAsia"/>
                <w:color w:val="auto"/>
                <w:szCs w:val="21"/>
                <w:highlight w:val="none"/>
                <w:lang w:val="en-US" w:eastAsia="zh-CN"/>
              </w:rPr>
              <w:t>7.70</w:t>
            </w:r>
          </w:p>
        </w:tc>
        <w:tc>
          <w:tcPr>
            <w:tcW w:w="1541" w:type="dxa"/>
            <w:tcBorders>
              <w:tl2br w:val="nil"/>
              <w:tr2bl w:val="nil"/>
            </w:tcBorders>
            <w:shd w:val="clear" w:color="auto" w:fill="auto"/>
            <w:vAlign w:val="bottom"/>
          </w:tcPr>
          <w:p>
            <w:pPr>
              <w:jc w:val="center"/>
              <w:rPr>
                <w:rFonts w:hint="eastAsia" w:eastAsia="宋体"/>
                <w:color w:val="auto"/>
                <w:szCs w:val="21"/>
                <w:highlight w:val="none"/>
                <w:lang w:eastAsia="zh-CN"/>
              </w:rPr>
            </w:pPr>
            <w:r>
              <w:rPr>
                <w:color w:val="auto"/>
                <w:szCs w:val="21"/>
                <w:highlight w:val="none"/>
              </w:rPr>
              <w:t>0.4</w:t>
            </w:r>
            <w:r>
              <w:rPr>
                <w:rFonts w:hint="eastAsia"/>
                <w:color w:val="auto"/>
                <w:szCs w:val="21"/>
                <w:highlight w:val="none"/>
                <w:lang w:val="en-US" w:eastAsia="zh-CN"/>
              </w:rPr>
              <w:t>7</w:t>
            </w:r>
          </w:p>
        </w:tc>
        <w:tc>
          <w:tcPr>
            <w:tcW w:w="1566" w:type="dxa"/>
            <w:tcBorders>
              <w:tl2br w:val="nil"/>
              <w:tr2bl w:val="nil"/>
            </w:tcBorders>
            <w:shd w:val="clear" w:color="auto" w:fill="auto"/>
            <w:vAlign w:val="bottom"/>
          </w:tcPr>
          <w:p>
            <w:pPr>
              <w:jc w:val="center"/>
              <w:rPr>
                <w:rFonts w:hint="default" w:eastAsia="宋体"/>
                <w:color w:val="auto"/>
                <w:szCs w:val="21"/>
                <w:highlight w:val="none"/>
                <w:lang w:val="en-US" w:eastAsia="zh-CN"/>
              </w:rPr>
            </w:pPr>
            <w:r>
              <w:rPr>
                <w:rFonts w:hint="eastAsia"/>
                <w:color w:val="auto"/>
                <w:szCs w:val="21"/>
                <w:highlight w:val="none"/>
                <w:lang w:val="en-US" w:eastAsia="zh-CN"/>
              </w:rPr>
              <w:t>7.08</w:t>
            </w:r>
          </w:p>
        </w:tc>
        <w:tc>
          <w:tcPr>
            <w:tcW w:w="1372" w:type="dxa"/>
            <w:tcBorders>
              <w:tl2br w:val="nil"/>
              <w:tr2bl w:val="nil"/>
            </w:tcBorders>
            <w:shd w:val="clear" w:color="auto" w:fill="auto"/>
            <w:vAlign w:val="bottom"/>
          </w:tcPr>
          <w:p>
            <w:pPr>
              <w:jc w:val="center"/>
              <w:rPr>
                <w:rFonts w:hint="eastAsia" w:eastAsia="宋体"/>
                <w:color w:val="auto"/>
                <w:szCs w:val="21"/>
                <w:highlight w:val="none"/>
                <w:lang w:val="en-US" w:eastAsia="zh-CN"/>
              </w:rPr>
            </w:pPr>
            <w:r>
              <w:rPr>
                <w:color w:val="auto"/>
                <w:szCs w:val="21"/>
                <w:highlight w:val="none"/>
              </w:rPr>
              <w:t>0.</w:t>
            </w:r>
            <w:r>
              <w:rPr>
                <w:rFonts w:hint="eastAsia"/>
                <w:color w:val="auto"/>
                <w:szCs w:val="21"/>
                <w:highlight w:val="none"/>
                <w:lang w:val="en-US" w:eastAsia="zh-CN"/>
              </w:rPr>
              <w:t>59</w:t>
            </w:r>
          </w:p>
        </w:tc>
        <w:tc>
          <w:tcPr>
            <w:tcW w:w="1365" w:type="dxa"/>
            <w:tcBorders>
              <w:tl2br w:val="nil"/>
              <w:tr2bl w:val="nil"/>
            </w:tcBorders>
            <w:shd w:val="clear" w:color="auto" w:fill="auto"/>
            <w:noWrap/>
            <w:vAlign w:val="center"/>
          </w:tcPr>
          <w:p>
            <w:pPr>
              <w:spacing w:line="300" w:lineRule="exact"/>
              <w:jc w:val="center"/>
              <w:rPr>
                <w:color w:val="auto"/>
                <w:highlight w:val="none"/>
              </w:rPr>
            </w:pPr>
            <w:r>
              <w:rPr>
                <w:rFonts w:hint="eastAsia"/>
                <w:color w:val="auto"/>
                <w:highlight w:val="none"/>
                <w:lang w:val="en-US" w:eastAsia="zh-CN"/>
              </w:rPr>
              <w:t>5</w:t>
            </w:r>
            <w:r>
              <w:rPr>
                <w:color w:val="auto"/>
                <w:highlight w:val="none"/>
              </w:rPr>
              <w:t>.5~</w:t>
            </w:r>
            <w:r>
              <w:rPr>
                <w:rFonts w:hint="eastAsia"/>
                <w:color w:val="auto"/>
                <w:highlight w:val="none"/>
                <w:lang w:val="en-US" w:eastAsia="zh-CN"/>
              </w:rPr>
              <w:t>6</w:t>
            </w:r>
            <w:r>
              <w:rPr>
                <w:color w:val="auto"/>
                <w:highlight w:val="none"/>
              </w:rPr>
              <w:t>.5</w:t>
            </w:r>
          </w:p>
          <w:p>
            <w:pPr>
              <w:widowControl/>
              <w:jc w:val="center"/>
              <w:rPr>
                <w:color w:val="auto"/>
                <w:kern w:val="0"/>
                <w:szCs w:val="21"/>
                <w:highlight w:val="none"/>
              </w:rPr>
            </w:pPr>
            <w:r>
              <w:rPr>
                <w:rFonts w:hint="eastAsia"/>
                <w:color w:val="auto"/>
                <w:szCs w:val="21"/>
                <w:highlight w:val="none"/>
                <w:lang w:val="en-US" w:eastAsia="zh-CN"/>
              </w:rPr>
              <w:t>8.5</w:t>
            </w:r>
            <w:r>
              <w:rPr>
                <w:color w:val="auto"/>
                <w:highlight w:val="none"/>
              </w:rPr>
              <w:t>~</w:t>
            </w:r>
            <w:r>
              <w:rPr>
                <w:rFonts w:hint="eastAsia"/>
                <w:color w:val="auto"/>
                <w:highlight w:val="none"/>
                <w:lang w:val="en-US" w:eastAsia="zh-CN"/>
              </w:rPr>
              <w:t>9.0</w:t>
            </w:r>
          </w:p>
        </w:tc>
      </w:tr>
      <w:tr>
        <w:tblPrEx>
          <w:tblBorders>
            <w:top w:val="single" w:color="auto" w:sz="12" w:space="0"/>
            <w:left w:val="none" w:color="auto" w:sz="0" w:space="0"/>
            <w:bottom w:val="dotted" w:color="auto" w:sz="4" w:space="0"/>
            <w:right w:val="none" w:color="auto" w:sz="0" w:space="0"/>
            <w:insideH w:val="dotted" w:color="auto" w:sz="4" w:space="0"/>
            <w:insideV w:val="dotted" w:color="auto" w:sz="4" w:space="0"/>
          </w:tblBorders>
          <w:shd w:val="clear" w:color="auto" w:fill="auto"/>
          <w:tblCellMar>
            <w:top w:w="0" w:type="dxa"/>
            <w:left w:w="108" w:type="dxa"/>
            <w:bottom w:w="0" w:type="dxa"/>
            <w:right w:w="108" w:type="dxa"/>
          </w:tblCellMar>
        </w:tblPrEx>
        <w:trPr>
          <w:trHeight w:val="300" w:hRule="atLeast"/>
        </w:trPr>
        <w:tc>
          <w:tcPr>
            <w:tcW w:w="1899" w:type="dxa"/>
            <w:tcBorders>
              <w:tl2br w:val="nil"/>
              <w:tr2bl w:val="nil"/>
            </w:tcBorders>
            <w:shd w:val="clear" w:color="auto" w:fill="auto"/>
            <w:vAlign w:val="center"/>
          </w:tcPr>
          <w:p>
            <w:pPr>
              <w:jc w:val="center"/>
              <w:rPr>
                <w:rFonts w:hAnsi="宋体"/>
                <w:color w:val="auto"/>
                <w:szCs w:val="21"/>
                <w:highlight w:val="none"/>
              </w:rPr>
            </w:pPr>
            <w:r>
              <w:rPr>
                <w:rFonts w:hint="eastAsia"/>
                <w:color w:val="auto"/>
                <w:kern w:val="0"/>
                <w:szCs w:val="21"/>
                <w:highlight w:val="none"/>
              </w:rPr>
              <w:t>总硬度</w:t>
            </w:r>
          </w:p>
        </w:tc>
        <w:tc>
          <w:tcPr>
            <w:tcW w:w="1488" w:type="dxa"/>
            <w:tcBorders>
              <w:tl2br w:val="nil"/>
              <w:tr2bl w:val="nil"/>
            </w:tcBorders>
            <w:shd w:val="clear" w:color="auto" w:fill="auto"/>
            <w:noWrap/>
            <w:vAlign w:val="bottom"/>
          </w:tcPr>
          <w:p>
            <w:pPr>
              <w:jc w:val="center"/>
              <w:rPr>
                <w:rFonts w:hint="eastAsia" w:eastAsia="宋体"/>
                <w:color w:val="auto"/>
                <w:szCs w:val="21"/>
                <w:highlight w:val="none"/>
                <w:lang w:val="en-US" w:eastAsia="zh-CN"/>
              </w:rPr>
            </w:pPr>
            <w:r>
              <w:rPr>
                <w:rFonts w:hint="eastAsia"/>
                <w:color w:val="auto"/>
                <w:szCs w:val="21"/>
                <w:highlight w:val="none"/>
                <w:lang w:val="en-US" w:eastAsia="zh-CN"/>
              </w:rPr>
              <w:t>368</w:t>
            </w:r>
          </w:p>
        </w:tc>
        <w:tc>
          <w:tcPr>
            <w:tcW w:w="1541" w:type="dxa"/>
            <w:tcBorders>
              <w:tl2br w:val="nil"/>
              <w:tr2bl w:val="nil"/>
            </w:tcBorders>
            <w:shd w:val="clear" w:color="auto" w:fill="auto"/>
            <w:vAlign w:val="bottom"/>
          </w:tcPr>
          <w:p>
            <w:pPr>
              <w:jc w:val="center"/>
              <w:rPr>
                <w:color w:val="auto"/>
                <w:szCs w:val="21"/>
                <w:highlight w:val="none"/>
              </w:rPr>
            </w:pPr>
            <w:r>
              <w:rPr>
                <w:rFonts w:hint="eastAsia"/>
                <w:color w:val="auto"/>
                <w:szCs w:val="21"/>
                <w:highlight w:val="none"/>
                <w:lang w:val="en-US" w:eastAsia="zh-CN"/>
              </w:rPr>
              <w:t>0.82</w:t>
            </w:r>
            <w:r>
              <w:rPr>
                <w:color w:val="auto"/>
                <w:szCs w:val="21"/>
                <w:highlight w:val="none"/>
              </w:rPr>
              <w:t xml:space="preserve"> </w:t>
            </w:r>
          </w:p>
        </w:tc>
        <w:tc>
          <w:tcPr>
            <w:tcW w:w="1566" w:type="dxa"/>
            <w:tcBorders>
              <w:tl2br w:val="nil"/>
              <w:tr2bl w:val="nil"/>
            </w:tcBorders>
            <w:shd w:val="clear" w:color="auto" w:fill="EEECE1" w:themeFill="background2"/>
            <w:vAlign w:val="bottom"/>
          </w:tcPr>
          <w:p>
            <w:pPr>
              <w:jc w:val="center"/>
              <w:rPr>
                <w:rFonts w:hint="default" w:eastAsia="宋体"/>
                <w:color w:val="auto"/>
                <w:szCs w:val="21"/>
                <w:highlight w:val="none"/>
                <w:lang w:val="en-US" w:eastAsia="zh-CN"/>
              </w:rPr>
            </w:pPr>
            <w:r>
              <w:rPr>
                <w:rFonts w:hint="eastAsia"/>
                <w:color w:val="auto"/>
                <w:szCs w:val="21"/>
                <w:highlight w:val="none"/>
                <w:lang w:val="en-US" w:eastAsia="zh-CN"/>
              </w:rPr>
              <w:t>3941</w:t>
            </w:r>
          </w:p>
        </w:tc>
        <w:tc>
          <w:tcPr>
            <w:tcW w:w="1372" w:type="dxa"/>
            <w:tcBorders>
              <w:tl2br w:val="nil"/>
              <w:tr2bl w:val="nil"/>
            </w:tcBorders>
            <w:shd w:val="clear" w:color="auto" w:fill="EEECE1" w:themeFill="background2"/>
            <w:vAlign w:val="bottom"/>
          </w:tcPr>
          <w:p>
            <w:pPr>
              <w:jc w:val="center"/>
              <w:rPr>
                <w:rFonts w:hint="default" w:eastAsia="宋体"/>
                <w:color w:val="auto"/>
                <w:szCs w:val="21"/>
                <w:highlight w:val="none"/>
                <w:lang w:val="en-US" w:eastAsia="zh-CN"/>
              </w:rPr>
            </w:pPr>
            <w:r>
              <w:rPr>
                <w:rFonts w:hint="eastAsia"/>
                <w:color w:val="auto"/>
                <w:szCs w:val="21"/>
                <w:highlight w:val="none"/>
                <w:lang w:val="en-US" w:eastAsia="zh-CN"/>
              </w:rPr>
              <w:t>6.06</w:t>
            </w:r>
          </w:p>
        </w:tc>
        <w:tc>
          <w:tcPr>
            <w:tcW w:w="1365" w:type="dxa"/>
            <w:tcBorders>
              <w:tl2br w:val="nil"/>
              <w:tr2bl w:val="nil"/>
            </w:tcBorders>
            <w:shd w:val="clear" w:color="auto" w:fill="auto"/>
            <w:noWrap/>
            <w:vAlign w:val="center"/>
          </w:tcPr>
          <w:p>
            <w:pPr>
              <w:widowControl/>
              <w:jc w:val="center"/>
              <w:rPr>
                <w:rFonts w:hint="default" w:eastAsia="宋体"/>
                <w:color w:val="auto"/>
                <w:kern w:val="0"/>
                <w:szCs w:val="21"/>
                <w:highlight w:val="none"/>
                <w:lang w:val="en-US" w:eastAsia="zh-CN"/>
              </w:rPr>
            </w:pPr>
            <w:r>
              <w:rPr>
                <w:color w:val="auto"/>
                <w:kern w:val="0"/>
                <w:szCs w:val="21"/>
                <w:highlight w:val="none"/>
              </w:rPr>
              <w:t>≤</w:t>
            </w:r>
            <w:r>
              <w:rPr>
                <w:rFonts w:hint="eastAsia"/>
                <w:color w:val="auto"/>
                <w:kern w:val="0"/>
                <w:szCs w:val="21"/>
                <w:highlight w:val="none"/>
                <w:lang w:val="en-US" w:eastAsia="zh-CN"/>
              </w:rPr>
              <w:t>650</w:t>
            </w:r>
          </w:p>
        </w:tc>
      </w:tr>
      <w:tr>
        <w:tblPrEx>
          <w:tblBorders>
            <w:top w:val="single" w:color="auto" w:sz="12" w:space="0"/>
            <w:left w:val="none" w:color="auto" w:sz="0" w:space="0"/>
            <w:bottom w:val="dotted"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899" w:type="dxa"/>
            <w:tcBorders>
              <w:tl2br w:val="nil"/>
              <w:tr2bl w:val="nil"/>
            </w:tcBorders>
            <w:shd w:val="clear" w:color="auto" w:fill="auto"/>
            <w:vAlign w:val="center"/>
          </w:tcPr>
          <w:p>
            <w:pPr>
              <w:jc w:val="center"/>
              <w:rPr>
                <w:rFonts w:hint="eastAsia"/>
                <w:color w:val="auto"/>
                <w:kern w:val="0"/>
                <w:szCs w:val="21"/>
                <w:highlight w:val="none"/>
              </w:rPr>
            </w:pPr>
            <w:r>
              <w:rPr>
                <w:rFonts w:hint="eastAsia"/>
                <w:color w:val="auto"/>
                <w:kern w:val="0"/>
                <w:szCs w:val="21"/>
                <w:highlight w:val="none"/>
              </w:rPr>
              <w:t>溶解性总固体</w:t>
            </w:r>
          </w:p>
        </w:tc>
        <w:tc>
          <w:tcPr>
            <w:tcW w:w="1488" w:type="dxa"/>
            <w:tcBorders>
              <w:tl2br w:val="nil"/>
              <w:tr2bl w:val="nil"/>
            </w:tcBorders>
            <w:shd w:val="clear" w:color="auto" w:fill="auto"/>
            <w:noWrap/>
            <w:vAlign w:val="bottom"/>
          </w:tcPr>
          <w:p>
            <w:pPr>
              <w:jc w:val="center"/>
              <w:rPr>
                <w:rFonts w:hint="eastAsia" w:eastAsia="宋体"/>
                <w:color w:val="auto"/>
                <w:szCs w:val="21"/>
                <w:highlight w:val="none"/>
                <w:lang w:val="en-US" w:eastAsia="zh-CN"/>
              </w:rPr>
            </w:pPr>
            <w:r>
              <w:rPr>
                <w:rFonts w:hint="eastAsia"/>
                <w:color w:val="auto"/>
                <w:szCs w:val="21"/>
                <w:highlight w:val="none"/>
                <w:lang w:val="en-US" w:eastAsia="zh-CN"/>
              </w:rPr>
              <w:t>740</w:t>
            </w:r>
          </w:p>
        </w:tc>
        <w:tc>
          <w:tcPr>
            <w:tcW w:w="1541" w:type="dxa"/>
            <w:tcBorders>
              <w:tl2br w:val="nil"/>
              <w:tr2bl w:val="nil"/>
            </w:tcBorders>
            <w:shd w:val="clear" w:color="auto" w:fill="auto"/>
            <w:vAlign w:val="bottom"/>
          </w:tcPr>
          <w:p>
            <w:pPr>
              <w:jc w:val="center"/>
              <w:rPr>
                <w:rFonts w:hint="eastAsia" w:eastAsia="宋体"/>
                <w:color w:val="auto"/>
                <w:szCs w:val="21"/>
                <w:highlight w:val="none"/>
                <w:lang w:val="en-US" w:eastAsia="zh-CN"/>
              </w:rPr>
            </w:pPr>
            <w:r>
              <w:rPr>
                <w:rFonts w:hint="eastAsia"/>
                <w:color w:val="auto"/>
                <w:szCs w:val="21"/>
                <w:highlight w:val="none"/>
                <w:lang w:val="en-US" w:eastAsia="zh-CN"/>
              </w:rPr>
              <w:t>0.74</w:t>
            </w:r>
          </w:p>
        </w:tc>
        <w:tc>
          <w:tcPr>
            <w:tcW w:w="1566" w:type="dxa"/>
            <w:tcBorders>
              <w:tl2br w:val="nil"/>
              <w:tr2bl w:val="nil"/>
            </w:tcBorders>
            <w:shd w:val="clear" w:color="auto" w:fill="auto"/>
            <w:vAlign w:val="bottom"/>
          </w:tcPr>
          <w:p>
            <w:pPr>
              <w:jc w:val="center"/>
              <w:rPr>
                <w:rFonts w:hint="default" w:eastAsia="宋体"/>
                <w:color w:val="auto"/>
                <w:szCs w:val="21"/>
                <w:highlight w:val="none"/>
                <w:lang w:val="en-US" w:eastAsia="zh-CN"/>
              </w:rPr>
            </w:pPr>
            <w:r>
              <w:rPr>
                <w:rFonts w:hint="eastAsia"/>
                <w:color w:val="auto"/>
                <w:szCs w:val="21"/>
                <w:highlight w:val="none"/>
                <w:lang w:val="en-US" w:eastAsia="zh-CN"/>
              </w:rPr>
              <w:t>21130</w:t>
            </w:r>
          </w:p>
        </w:tc>
        <w:tc>
          <w:tcPr>
            <w:tcW w:w="1372" w:type="dxa"/>
            <w:tcBorders>
              <w:tl2br w:val="nil"/>
              <w:tr2bl w:val="nil"/>
            </w:tcBorders>
            <w:shd w:val="clear" w:color="auto" w:fill="EEECE1" w:themeFill="background2"/>
            <w:vAlign w:val="bottom"/>
          </w:tcPr>
          <w:p>
            <w:pPr>
              <w:jc w:val="center"/>
              <w:rPr>
                <w:rFonts w:hint="default" w:eastAsia="宋体"/>
                <w:color w:val="auto"/>
                <w:szCs w:val="21"/>
                <w:highlight w:val="none"/>
                <w:lang w:val="en-US" w:eastAsia="zh-CN"/>
              </w:rPr>
            </w:pPr>
            <w:r>
              <w:rPr>
                <w:rFonts w:hint="eastAsia"/>
                <w:color w:val="auto"/>
                <w:szCs w:val="21"/>
                <w:highlight w:val="none"/>
                <w:lang w:val="en-US" w:eastAsia="zh-CN"/>
              </w:rPr>
              <w:t>10.6</w:t>
            </w:r>
          </w:p>
        </w:tc>
        <w:tc>
          <w:tcPr>
            <w:tcW w:w="1365" w:type="dxa"/>
            <w:tcBorders>
              <w:tl2br w:val="nil"/>
              <w:tr2bl w:val="nil"/>
            </w:tcBorders>
            <w:shd w:val="clear" w:color="auto" w:fill="auto"/>
            <w:noWrap/>
            <w:vAlign w:val="center"/>
          </w:tcPr>
          <w:p>
            <w:pPr>
              <w:widowControl/>
              <w:jc w:val="center"/>
              <w:rPr>
                <w:color w:val="auto"/>
                <w:kern w:val="0"/>
                <w:szCs w:val="21"/>
                <w:highlight w:val="none"/>
              </w:rPr>
            </w:pPr>
            <w:r>
              <w:rPr>
                <w:color w:val="auto"/>
                <w:kern w:val="0"/>
                <w:szCs w:val="21"/>
                <w:highlight w:val="none"/>
              </w:rPr>
              <w:t>≤</w:t>
            </w:r>
            <w:r>
              <w:rPr>
                <w:rFonts w:hint="eastAsia"/>
                <w:color w:val="auto"/>
                <w:kern w:val="0"/>
                <w:szCs w:val="21"/>
                <w:highlight w:val="none"/>
                <w:lang w:val="en-US" w:eastAsia="zh-CN"/>
              </w:rPr>
              <w:t>200</w:t>
            </w:r>
            <w:r>
              <w:rPr>
                <w:color w:val="auto"/>
                <w:kern w:val="0"/>
                <w:szCs w:val="21"/>
                <w:highlight w:val="none"/>
              </w:rPr>
              <w:t>0</w:t>
            </w:r>
          </w:p>
        </w:tc>
      </w:tr>
      <w:tr>
        <w:tblPrEx>
          <w:tblBorders>
            <w:top w:val="single" w:color="auto" w:sz="12" w:space="0"/>
            <w:left w:val="none" w:color="auto" w:sz="0" w:space="0"/>
            <w:bottom w:val="dotted"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899" w:type="dxa"/>
            <w:tcBorders>
              <w:tl2br w:val="nil"/>
              <w:tr2bl w:val="nil"/>
            </w:tcBorders>
            <w:shd w:val="clear" w:color="auto" w:fill="auto"/>
            <w:vAlign w:val="center"/>
          </w:tcPr>
          <w:p>
            <w:pPr>
              <w:jc w:val="center"/>
              <w:rPr>
                <w:rFonts w:hint="eastAsia"/>
                <w:color w:val="auto"/>
                <w:kern w:val="0"/>
                <w:szCs w:val="21"/>
                <w:highlight w:val="none"/>
              </w:rPr>
            </w:pPr>
            <w:r>
              <w:rPr>
                <w:rFonts w:hint="eastAsia"/>
                <w:color w:val="auto"/>
                <w:kern w:val="0"/>
                <w:szCs w:val="21"/>
                <w:highlight w:val="none"/>
              </w:rPr>
              <w:t>硫酸盐</w:t>
            </w:r>
          </w:p>
        </w:tc>
        <w:tc>
          <w:tcPr>
            <w:tcW w:w="1488" w:type="dxa"/>
            <w:tcBorders>
              <w:tl2br w:val="nil"/>
              <w:tr2bl w:val="nil"/>
            </w:tcBorders>
            <w:shd w:val="clear" w:color="auto" w:fill="auto"/>
            <w:noWrap/>
            <w:vAlign w:val="bottom"/>
          </w:tcPr>
          <w:p>
            <w:pPr>
              <w:jc w:val="center"/>
              <w:rPr>
                <w:rFonts w:hint="eastAsia" w:eastAsia="宋体"/>
                <w:color w:val="auto"/>
                <w:szCs w:val="21"/>
                <w:highlight w:val="none"/>
                <w:lang w:val="en-US" w:eastAsia="zh-CN"/>
              </w:rPr>
            </w:pPr>
            <w:r>
              <w:rPr>
                <w:rFonts w:hint="eastAsia"/>
                <w:color w:val="auto"/>
                <w:szCs w:val="21"/>
                <w:highlight w:val="none"/>
                <w:lang w:val="en-US" w:eastAsia="zh-CN"/>
              </w:rPr>
              <w:t>79.8</w:t>
            </w:r>
          </w:p>
        </w:tc>
        <w:tc>
          <w:tcPr>
            <w:tcW w:w="1541" w:type="dxa"/>
            <w:tcBorders>
              <w:tl2br w:val="nil"/>
              <w:tr2bl w:val="nil"/>
            </w:tcBorders>
            <w:shd w:val="clear" w:color="auto" w:fill="auto"/>
            <w:vAlign w:val="bottom"/>
          </w:tcPr>
          <w:p>
            <w:pPr>
              <w:jc w:val="center"/>
              <w:rPr>
                <w:rFonts w:hint="eastAsia" w:eastAsia="宋体"/>
                <w:color w:val="auto"/>
                <w:szCs w:val="21"/>
                <w:highlight w:val="none"/>
                <w:lang w:val="en-US" w:eastAsia="zh-CN"/>
              </w:rPr>
            </w:pPr>
            <w:r>
              <w:rPr>
                <w:rFonts w:hint="eastAsia"/>
                <w:color w:val="auto"/>
                <w:szCs w:val="21"/>
                <w:highlight w:val="none"/>
                <w:lang w:val="en-US" w:eastAsia="zh-CN"/>
              </w:rPr>
              <w:t>0.32</w:t>
            </w:r>
          </w:p>
        </w:tc>
        <w:tc>
          <w:tcPr>
            <w:tcW w:w="1566" w:type="dxa"/>
            <w:tcBorders>
              <w:tl2br w:val="nil"/>
              <w:tr2bl w:val="nil"/>
            </w:tcBorders>
            <w:shd w:val="clear" w:color="auto" w:fill="auto"/>
            <w:vAlign w:val="bottom"/>
          </w:tcPr>
          <w:p>
            <w:pPr>
              <w:jc w:val="center"/>
              <w:rPr>
                <w:rFonts w:hint="default" w:eastAsia="宋体"/>
                <w:color w:val="auto"/>
                <w:szCs w:val="21"/>
                <w:highlight w:val="none"/>
                <w:lang w:val="en-US" w:eastAsia="zh-CN"/>
              </w:rPr>
            </w:pPr>
            <w:r>
              <w:rPr>
                <w:rFonts w:hint="eastAsia"/>
                <w:color w:val="auto"/>
                <w:szCs w:val="21"/>
                <w:highlight w:val="none"/>
                <w:lang w:val="en-US" w:eastAsia="zh-CN"/>
              </w:rPr>
              <w:t>1010</w:t>
            </w:r>
          </w:p>
        </w:tc>
        <w:tc>
          <w:tcPr>
            <w:tcW w:w="1372" w:type="dxa"/>
            <w:tcBorders>
              <w:tl2br w:val="nil"/>
              <w:tr2bl w:val="nil"/>
            </w:tcBorders>
            <w:shd w:val="clear" w:color="auto" w:fill="EEECE1" w:themeFill="background2"/>
            <w:vAlign w:val="bottom"/>
          </w:tcPr>
          <w:p>
            <w:pPr>
              <w:jc w:val="center"/>
              <w:rPr>
                <w:rFonts w:hint="default" w:eastAsia="宋体"/>
                <w:color w:val="auto"/>
                <w:szCs w:val="21"/>
                <w:highlight w:val="none"/>
                <w:lang w:val="en-US" w:eastAsia="zh-CN"/>
              </w:rPr>
            </w:pPr>
            <w:r>
              <w:rPr>
                <w:rFonts w:hint="eastAsia"/>
                <w:color w:val="auto"/>
                <w:szCs w:val="21"/>
                <w:highlight w:val="none"/>
                <w:lang w:val="en-US" w:eastAsia="zh-CN"/>
              </w:rPr>
              <w:t>2.89</w:t>
            </w:r>
          </w:p>
        </w:tc>
        <w:tc>
          <w:tcPr>
            <w:tcW w:w="1365" w:type="dxa"/>
            <w:tcBorders>
              <w:tl2br w:val="nil"/>
              <w:tr2bl w:val="nil"/>
            </w:tcBorders>
            <w:shd w:val="clear" w:color="auto" w:fill="auto"/>
            <w:noWrap/>
            <w:vAlign w:val="center"/>
          </w:tcPr>
          <w:p>
            <w:pPr>
              <w:widowControl/>
              <w:jc w:val="center"/>
              <w:rPr>
                <w:color w:val="auto"/>
                <w:kern w:val="0"/>
                <w:szCs w:val="21"/>
                <w:highlight w:val="none"/>
              </w:rPr>
            </w:pPr>
            <w:r>
              <w:rPr>
                <w:color w:val="auto"/>
                <w:kern w:val="0"/>
                <w:szCs w:val="21"/>
                <w:highlight w:val="none"/>
              </w:rPr>
              <w:t>≤</w:t>
            </w:r>
            <w:r>
              <w:rPr>
                <w:rFonts w:hint="eastAsia"/>
                <w:color w:val="auto"/>
                <w:kern w:val="0"/>
                <w:szCs w:val="21"/>
                <w:highlight w:val="none"/>
                <w:lang w:val="en-US" w:eastAsia="zh-CN"/>
              </w:rPr>
              <w:t>35</w:t>
            </w:r>
            <w:r>
              <w:rPr>
                <w:color w:val="auto"/>
                <w:kern w:val="0"/>
                <w:szCs w:val="21"/>
                <w:highlight w:val="none"/>
              </w:rPr>
              <w:t>0</w:t>
            </w:r>
          </w:p>
        </w:tc>
      </w:tr>
      <w:tr>
        <w:tblPrEx>
          <w:tblBorders>
            <w:top w:val="single" w:color="auto" w:sz="12" w:space="0"/>
            <w:left w:val="none" w:color="auto" w:sz="0" w:space="0"/>
            <w:bottom w:val="dotted"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92" w:hRule="atLeast"/>
        </w:trPr>
        <w:tc>
          <w:tcPr>
            <w:tcW w:w="1899" w:type="dxa"/>
            <w:tcBorders>
              <w:tl2br w:val="nil"/>
              <w:tr2bl w:val="nil"/>
            </w:tcBorders>
            <w:shd w:val="clear" w:color="auto" w:fill="auto"/>
            <w:noWrap/>
            <w:vAlign w:val="center"/>
          </w:tcPr>
          <w:p>
            <w:pPr>
              <w:jc w:val="center"/>
              <w:rPr>
                <w:color w:val="auto"/>
                <w:szCs w:val="21"/>
                <w:highlight w:val="none"/>
              </w:rPr>
            </w:pPr>
            <w:r>
              <w:rPr>
                <w:color w:val="auto"/>
                <w:kern w:val="0"/>
                <w:szCs w:val="21"/>
                <w:highlight w:val="none"/>
              </w:rPr>
              <w:t>硝酸盐</w:t>
            </w:r>
          </w:p>
        </w:tc>
        <w:tc>
          <w:tcPr>
            <w:tcW w:w="1488" w:type="dxa"/>
            <w:tcBorders>
              <w:tl2br w:val="nil"/>
              <w:tr2bl w:val="nil"/>
            </w:tcBorders>
            <w:shd w:val="clear" w:color="auto" w:fill="EEECE1" w:themeFill="background2"/>
            <w:noWrap/>
            <w:vAlign w:val="bottom"/>
          </w:tcPr>
          <w:p>
            <w:pPr>
              <w:jc w:val="center"/>
              <w:rPr>
                <w:rFonts w:hint="eastAsia" w:eastAsia="宋体"/>
                <w:color w:val="auto"/>
                <w:szCs w:val="21"/>
                <w:highlight w:val="none"/>
                <w:lang w:val="en-US" w:eastAsia="zh-CN"/>
              </w:rPr>
            </w:pPr>
            <w:r>
              <w:rPr>
                <w:rFonts w:hint="eastAsia"/>
                <w:color w:val="auto"/>
                <w:szCs w:val="21"/>
                <w:highlight w:val="none"/>
                <w:lang w:val="en-US" w:eastAsia="zh-CN"/>
              </w:rPr>
              <w:t>30.4</w:t>
            </w:r>
          </w:p>
        </w:tc>
        <w:tc>
          <w:tcPr>
            <w:tcW w:w="1541" w:type="dxa"/>
            <w:tcBorders>
              <w:tl2br w:val="nil"/>
              <w:tr2bl w:val="nil"/>
            </w:tcBorders>
            <w:shd w:val="clear" w:color="auto" w:fill="EEECE1" w:themeFill="background2"/>
            <w:vAlign w:val="bottom"/>
          </w:tcPr>
          <w:p>
            <w:pPr>
              <w:jc w:val="center"/>
              <w:rPr>
                <w:rFonts w:hint="eastAsia" w:eastAsia="宋体"/>
                <w:color w:val="auto"/>
                <w:szCs w:val="21"/>
                <w:highlight w:val="none"/>
                <w:lang w:val="en-US" w:eastAsia="zh-CN"/>
              </w:rPr>
            </w:pPr>
            <w:r>
              <w:rPr>
                <w:rFonts w:hint="eastAsia"/>
                <w:color w:val="auto"/>
                <w:szCs w:val="21"/>
                <w:highlight w:val="none"/>
                <w:lang w:val="en-US" w:eastAsia="zh-CN"/>
              </w:rPr>
              <w:t>1.52</w:t>
            </w:r>
          </w:p>
        </w:tc>
        <w:tc>
          <w:tcPr>
            <w:tcW w:w="1566" w:type="dxa"/>
            <w:tcBorders>
              <w:tl2br w:val="nil"/>
              <w:tr2bl w:val="nil"/>
            </w:tcBorders>
            <w:shd w:val="clear" w:color="auto" w:fill="auto"/>
            <w:vAlign w:val="bottom"/>
          </w:tcPr>
          <w:p>
            <w:pPr>
              <w:jc w:val="center"/>
              <w:rPr>
                <w:rFonts w:hint="default" w:eastAsia="宋体"/>
                <w:color w:val="auto"/>
                <w:szCs w:val="21"/>
                <w:highlight w:val="none"/>
                <w:lang w:val="en-US" w:eastAsia="zh-CN"/>
              </w:rPr>
            </w:pPr>
            <w:r>
              <w:rPr>
                <w:rFonts w:hint="eastAsia"/>
                <w:color w:val="auto"/>
                <w:szCs w:val="21"/>
                <w:highlight w:val="none"/>
                <w:lang w:val="en-US" w:eastAsia="zh-CN"/>
              </w:rPr>
              <w:t>28.0</w:t>
            </w:r>
          </w:p>
        </w:tc>
        <w:tc>
          <w:tcPr>
            <w:tcW w:w="1372" w:type="dxa"/>
            <w:tcBorders>
              <w:tl2br w:val="nil"/>
              <w:tr2bl w:val="nil"/>
            </w:tcBorders>
            <w:shd w:val="clear" w:color="auto" w:fill="auto"/>
            <w:vAlign w:val="bottom"/>
          </w:tcPr>
          <w:p>
            <w:pPr>
              <w:jc w:val="center"/>
              <w:rPr>
                <w:rFonts w:hint="default" w:eastAsia="宋体"/>
                <w:color w:val="auto"/>
                <w:szCs w:val="21"/>
                <w:highlight w:val="none"/>
                <w:lang w:val="en-US" w:eastAsia="zh-CN"/>
              </w:rPr>
            </w:pPr>
            <w:r>
              <w:rPr>
                <w:rFonts w:hint="eastAsia"/>
                <w:color w:val="auto"/>
                <w:szCs w:val="21"/>
                <w:highlight w:val="none"/>
                <w:lang w:val="en-US" w:eastAsia="zh-CN"/>
              </w:rPr>
              <w:t>0.93</w:t>
            </w:r>
          </w:p>
        </w:tc>
        <w:tc>
          <w:tcPr>
            <w:tcW w:w="1365" w:type="dxa"/>
            <w:tcBorders>
              <w:tl2br w:val="nil"/>
              <w:tr2bl w:val="nil"/>
            </w:tcBorders>
            <w:shd w:val="clear" w:color="auto" w:fill="auto"/>
            <w:noWrap/>
            <w:vAlign w:val="center"/>
          </w:tcPr>
          <w:p>
            <w:pPr>
              <w:widowControl/>
              <w:jc w:val="center"/>
              <w:rPr>
                <w:rFonts w:hint="eastAsia" w:eastAsia="宋体"/>
                <w:color w:val="auto"/>
                <w:kern w:val="0"/>
                <w:szCs w:val="21"/>
                <w:highlight w:val="none"/>
                <w:lang w:val="en-US" w:eastAsia="zh-CN"/>
              </w:rPr>
            </w:pPr>
            <w:r>
              <w:rPr>
                <w:color w:val="auto"/>
                <w:kern w:val="0"/>
                <w:szCs w:val="21"/>
                <w:highlight w:val="none"/>
              </w:rPr>
              <w:t>≤</w:t>
            </w:r>
            <w:r>
              <w:rPr>
                <w:rFonts w:hint="eastAsia"/>
                <w:color w:val="auto"/>
                <w:kern w:val="0"/>
                <w:szCs w:val="21"/>
                <w:highlight w:val="none"/>
                <w:lang w:val="en-US" w:eastAsia="zh-CN"/>
              </w:rPr>
              <w:t>3</w:t>
            </w:r>
            <w:r>
              <w:rPr>
                <w:color w:val="auto"/>
                <w:kern w:val="0"/>
                <w:szCs w:val="21"/>
                <w:highlight w:val="none"/>
              </w:rPr>
              <w:t>0</w:t>
            </w:r>
          </w:p>
        </w:tc>
      </w:tr>
      <w:tr>
        <w:tblPrEx>
          <w:tblBorders>
            <w:top w:val="single" w:color="auto" w:sz="12" w:space="0"/>
            <w:left w:val="none" w:color="auto" w:sz="0" w:space="0"/>
            <w:bottom w:val="dotted" w:color="auto" w:sz="4" w:space="0"/>
            <w:right w:val="none" w:color="auto" w:sz="0" w:space="0"/>
            <w:insideH w:val="dotted" w:color="auto" w:sz="4" w:space="0"/>
            <w:insideV w:val="dotted" w:color="auto" w:sz="4" w:space="0"/>
          </w:tblBorders>
          <w:shd w:val="clear" w:color="auto" w:fill="auto"/>
          <w:tblCellMar>
            <w:top w:w="0" w:type="dxa"/>
            <w:left w:w="108" w:type="dxa"/>
            <w:bottom w:w="0" w:type="dxa"/>
            <w:right w:w="108" w:type="dxa"/>
          </w:tblCellMar>
        </w:tblPrEx>
        <w:trPr>
          <w:trHeight w:val="285" w:hRule="atLeast"/>
        </w:trPr>
        <w:tc>
          <w:tcPr>
            <w:tcW w:w="1899" w:type="dxa"/>
            <w:tcBorders>
              <w:tl2br w:val="nil"/>
              <w:tr2bl w:val="nil"/>
            </w:tcBorders>
            <w:shd w:val="clear" w:color="auto" w:fill="auto"/>
            <w:noWrap/>
            <w:vAlign w:val="center"/>
          </w:tcPr>
          <w:p>
            <w:pPr>
              <w:tabs>
                <w:tab w:val="left" w:pos="7020"/>
              </w:tabs>
              <w:jc w:val="center"/>
              <w:rPr>
                <w:color w:val="auto"/>
                <w:szCs w:val="21"/>
                <w:highlight w:val="none"/>
              </w:rPr>
            </w:pPr>
            <w:r>
              <w:rPr>
                <w:color w:val="auto"/>
                <w:kern w:val="0"/>
                <w:szCs w:val="21"/>
                <w:highlight w:val="none"/>
              </w:rPr>
              <w:t>亚硝酸盐</w:t>
            </w:r>
          </w:p>
        </w:tc>
        <w:tc>
          <w:tcPr>
            <w:tcW w:w="1488" w:type="dxa"/>
            <w:tcBorders>
              <w:tl2br w:val="nil"/>
              <w:tr2bl w:val="nil"/>
            </w:tcBorders>
            <w:shd w:val="clear" w:color="auto" w:fill="auto"/>
            <w:noWrap/>
            <w:vAlign w:val="bottom"/>
          </w:tcPr>
          <w:p>
            <w:pPr>
              <w:jc w:val="center"/>
              <w:rPr>
                <w:rFonts w:hint="eastAsia" w:eastAsia="宋体"/>
                <w:color w:val="auto"/>
                <w:szCs w:val="21"/>
                <w:highlight w:val="none"/>
                <w:lang w:val="en-US" w:eastAsia="zh-CN"/>
              </w:rPr>
            </w:pPr>
            <w:r>
              <w:rPr>
                <w:rFonts w:hint="eastAsia"/>
                <w:color w:val="auto"/>
                <w:szCs w:val="21"/>
                <w:highlight w:val="none"/>
                <w:lang w:val="en-US" w:eastAsia="zh-CN"/>
              </w:rPr>
              <w:t>0.001</w:t>
            </w:r>
          </w:p>
        </w:tc>
        <w:tc>
          <w:tcPr>
            <w:tcW w:w="1541" w:type="dxa"/>
            <w:tcBorders>
              <w:tl2br w:val="nil"/>
              <w:tr2bl w:val="nil"/>
            </w:tcBorders>
            <w:shd w:val="clear" w:color="auto" w:fill="auto"/>
            <w:vAlign w:val="bottom"/>
          </w:tcPr>
          <w:p>
            <w:pPr>
              <w:jc w:val="center"/>
              <w:rPr>
                <w:color w:val="auto"/>
                <w:szCs w:val="21"/>
                <w:highlight w:val="none"/>
              </w:rPr>
            </w:pPr>
            <w:r>
              <w:rPr>
                <w:rFonts w:hint="eastAsia"/>
                <w:color w:val="auto"/>
                <w:szCs w:val="21"/>
                <w:highlight w:val="none"/>
                <w:lang w:val="en-US" w:eastAsia="zh-CN"/>
              </w:rPr>
              <w:t>0.001</w:t>
            </w:r>
            <w:r>
              <w:rPr>
                <w:color w:val="auto"/>
                <w:szCs w:val="21"/>
                <w:highlight w:val="none"/>
              </w:rPr>
              <w:t xml:space="preserve"> </w:t>
            </w:r>
          </w:p>
        </w:tc>
        <w:tc>
          <w:tcPr>
            <w:tcW w:w="1566" w:type="dxa"/>
            <w:tcBorders>
              <w:tl2br w:val="nil"/>
              <w:tr2bl w:val="nil"/>
            </w:tcBorders>
            <w:shd w:val="clear" w:color="auto" w:fill="auto"/>
            <w:vAlign w:val="bottom"/>
          </w:tcPr>
          <w:p>
            <w:pPr>
              <w:jc w:val="center"/>
              <w:rPr>
                <w:rFonts w:hint="default" w:eastAsia="宋体"/>
                <w:color w:val="auto"/>
                <w:szCs w:val="21"/>
                <w:highlight w:val="none"/>
                <w:lang w:val="en-US" w:eastAsia="zh-CN"/>
              </w:rPr>
            </w:pPr>
            <w:r>
              <w:rPr>
                <w:rFonts w:hint="eastAsia"/>
                <w:color w:val="auto"/>
                <w:szCs w:val="21"/>
                <w:highlight w:val="none"/>
                <w:lang w:val="en-US" w:eastAsia="zh-CN"/>
              </w:rPr>
              <w:t>0.002</w:t>
            </w:r>
          </w:p>
        </w:tc>
        <w:tc>
          <w:tcPr>
            <w:tcW w:w="1372" w:type="dxa"/>
            <w:tcBorders>
              <w:tl2br w:val="nil"/>
              <w:tr2bl w:val="nil"/>
            </w:tcBorders>
            <w:shd w:val="clear" w:color="auto" w:fill="auto"/>
            <w:vAlign w:val="bottom"/>
          </w:tcPr>
          <w:p>
            <w:pPr>
              <w:jc w:val="center"/>
              <w:rPr>
                <w:rFonts w:hint="default"/>
                <w:color w:val="auto"/>
                <w:szCs w:val="21"/>
                <w:highlight w:val="none"/>
                <w:lang w:val="en-US"/>
              </w:rPr>
            </w:pPr>
            <w:r>
              <w:rPr>
                <w:color w:val="auto"/>
                <w:szCs w:val="21"/>
                <w:highlight w:val="none"/>
              </w:rPr>
              <w:t>0.</w:t>
            </w:r>
            <w:r>
              <w:rPr>
                <w:rFonts w:hint="eastAsia"/>
                <w:color w:val="auto"/>
                <w:szCs w:val="21"/>
                <w:highlight w:val="none"/>
                <w:lang w:val="en-US" w:eastAsia="zh-CN"/>
              </w:rPr>
              <w:t>0004</w:t>
            </w:r>
          </w:p>
        </w:tc>
        <w:tc>
          <w:tcPr>
            <w:tcW w:w="1365" w:type="dxa"/>
            <w:tcBorders>
              <w:tl2br w:val="nil"/>
              <w:tr2bl w:val="nil"/>
            </w:tcBorders>
            <w:shd w:val="clear" w:color="auto" w:fill="auto"/>
            <w:noWrap/>
            <w:vAlign w:val="center"/>
          </w:tcPr>
          <w:p>
            <w:pPr>
              <w:widowControl/>
              <w:jc w:val="center"/>
              <w:rPr>
                <w:rFonts w:hint="default" w:eastAsia="宋体"/>
                <w:color w:val="auto"/>
                <w:kern w:val="0"/>
                <w:szCs w:val="21"/>
                <w:highlight w:val="none"/>
                <w:lang w:val="en-US" w:eastAsia="zh-CN"/>
              </w:rPr>
            </w:pPr>
            <w:r>
              <w:rPr>
                <w:color w:val="auto"/>
                <w:kern w:val="0"/>
                <w:szCs w:val="21"/>
                <w:highlight w:val="none"/>
              </w:rPr>
              <w:t>≤</w:t>
            </w:r>
            <w:r>
              <w:rPr>
                <w:rFonts w:hint="eastAsia"/>
                <w:color w:val="auto"/>
                <w:kern w:val="0"/>
                <w:szCs w:val="21"/>
                <w:highlight w:val="none"/>
                <w:lang w:val="en-US" w:eastAsia="zh-CN"/>
              </w:rPr>
              <w:t>4.8</w:t>
            </w:r>
          </w:p>
        </w:tc>
      </w:tr>
      <w:tr>
        <w:tblPrEx>
          <w:tblBorders>
            <w:top w:val="single" w:color="auto" w:sz="12" w:space="0"/>
            <w:left w:val="none" w:color="auto" w:sz="0" w:space="0"/>
            <w:bottom w:val="dotted"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5" w:hRule="atLeast"/>
        </w:trPr>
        <w:tc>
          <w:tcPr>
            <w:tcW w:w="1899" w:type="dxa"/>
            <w:tcBorders>
              <w:tl2br w:val="nil"/>
              <w:tr2bl w:val="nil"/>
            </w:tcBorders>
            <w:shd w:val="clear" w:color="auto" w:fill="auto"/>
            <w:noWrap/>
            <w:vAlign w:val="center"/>
          </w:tcPr>
          <w:p>
            <w:pPr>
              <w:jc w:val="center"/>
              <w:rPr>
                <w:rFonts w:hAnsi="宋体"/>
                <w:color w:val="auto"/>
                <w:szCs w:val="21"/>
                <w:highlight w:val="none"/>
              </w:rPr>
            </w:pPr>
            <w:r>
              <w:rPr>
                <w:rFonts w:hint="eastAsia"/>
                <w:color w:val="auto"/>
                <w:kern w:val="0"/>
                <w:szCs w:val="21"/>
                <w:highlight w:val="none"/>
              </w:rPr>
              <w:t>氨氮</w:t>
            </w:r>
          </w:p>
        </w:tc>
        <w:tc>
          <w:tcPr>
            <w:tcW w:w="1488" w:type="dxa"/>
            <w:tcBorders>
              <w:tl2br w:val="nil"/>
              <w:tr2bl w:val="nil"/>
            </w:tcBorders>
            <w:shd w:val="clear" w:color="auto" w:fill="auto"/>
            <w:noWrap/>
            <w:vAlign w:val="bottom"/>
          </w:tcPr>
          <w:p>
            <w:pPr>
              <w:jc w:val="center"/>
              <w:rPr>
                <w:rFonts w:hint="eastAsia" w:eastAsia="宋体"/>
                <w:color w:val="auto"/>
                <w:szCs w:val="21"/>
                <w:highlight w:val="none"/>
                <w:lang w:val="en-US" w:eastAsia="zh-CN"/>
              </w:rPr>
            </w:pPr>
            <w:r>
              <w:rPr>
                <w:rFonts w:hint="eastAsia"/>
                <w:color w:val="auto"/>
                <w:szCs w:val="21"/>
                <w:highlight w:val="none"/>
                <w:lang w:val="en-US" w:eastAsia="zh-CN"/>
              </w:rPr>
              <w:t>0.480</w:t>
            </w:r>
          </w:p>
        </w:tc>
        <w:tc>
          <w:tcPr>
            <w:tcW w:w="1541" w:type="dxa"/>
            <w:tcBorders>
              <w:tl2br w:val="nil"/>
              <w:tr2bl w:val="nil"/>
            </w:tcBorders>
            <w:shd w:val="clear" w:color="auto" w:fill="auto"/>
            <w:vAlign w:val="bottom"/>
          </w:tcPr>
          <w:p>
            <w:pPr>
              <w:jc w:val="center"/>
              <w:rPr>
                <w:rFonts w:hint="eastAsia" w:eastAsia="宋体"/>
                <w:color w:val="auto"/>
                <w:szCs w:val="21"/>
                <w:highlight w:val="none"/>
                <w:lang w:val="en-US" w:eastAsia="zh-CN"/>
              </w:rPr>
            </w:pPr>
            <w:r>
              <w:rPr>
                <w:rFonts w:hint="eastAsia"/>
                <w:color w:val="auto"/>
                <w:szCs w:val="21"/>
                <w:highlight w:val="none"/>
                <w:lang w:val="en-US" w:eastAsia="zh-CN"/>
              </w:rPr>
              <w:t>0.96</w:t>
            </w:r>
          </w:p>
        </w:tc>
        <w:tc>
          <w:tcPr>
            <w:tcW w:w="1566" w:type="dxa"/>
            <w:tcBorders>
              <w:tl2br w:val="nil"/>
              <w:tr2bl w:val="nil"/>
            </w:tcBorders>
            <w:shd w:val="clear" w:color="auto" w:fill="auto"/>
            <w:vAlign w:val="bottom"/>
          </w:tcPr>
          <w:p>
            <w:pPr>
              <w:jc w:val="center"/>
              <w:rPr>
                <w:rFonts w:hint="default" w:eastAsia="宋体"/>
                <w:color w:val="auto"/>
                <w:szCs w:val="21"/>
                <w:highlight w:val="none"/>
                <w:lang w:val="en-US" w:eastAsia="zh-CN"/>
              </w:rPr>
            </w:pPr>
            <w:r>
              <w:rPr>
                <w:rFonts w:hint="eastAsia"/>
                <w:color w:val="auto"/>
                <w:szCs w:val="21"/>
                <w:highlight w:val="none"/>
                <w:lang w:val="en-US" w:eastAsia="zh-CN"/>
              </w:rPr>
              <w:t>0.224</w:t>
            </w:r>
          </w:p>
        </w:tc>
        <w:tc>
          <w:tcPr>
            <w:tcW w:w="1372" w:type="dxa"/>
            <w:tcBorders>
              <w:tl2br w:val="nil"/>
              <w:tr2bl w:val="nil"/>
            </w:tcBorders>
            <w:shd w:val="clear" w:color="auto" w:fill="auto"/>
            <w:vAlign w:val="bottom"/>
          </w:tcPr>
          <w:p>
            <w:pPr>
              <w:jc w:val="center"/>
              <w:rPr>
                <w:rFonts w:hint="default" w:eastAsia="宋体"/>
                <w:color w:val="auto"/>
                <w:szCs w:val="21"/>
                <w:highlight w:val="none"/>
                <w:lang w:val="en-US" w:eastAsia="zh-CN"/>
              </w:rPr>
            </w:pPr>
            <w:r>
              <w:rPr>
                <w:rFonts w:hint="eastAsia"/>
                <w:color w:val="auto"/>
                <w:szCs w:val="21"/>
                <w:highlight w:val="none"/>
                <w:lang w:val="en-US" w:eastAsia="zh-CN"/>
              </w:rPr>
              <w:t>0.15</w:t>
            </w:r>
          </w:p>
        </w:tc>
        <w:tc>
          <w:tcPr>
            <w:tcW w:w="1365" w:type="dxa"/>
            <w:tcBorders>
              <w:tl2br w:val="nil"/>
              <w:tr2bl w:val="nil"/>
            </w:tcBorders>
            <w:shd w:val="clear" w:color="auto" w:fill="auto"/>
            <w:noWrap/>
            <w:vAlign w:val="center"/>
          </w:tcPr>
          <w:p>
            <w:pPr>
              <w:widowControl/>
              <w:jc w:val="center"/>
              <w:rPr>
                <w:color w:val="auto"/>
                <w:kern w:val="0"/>
                <w:szCs w:val="21"/>
                <w:highlight w:val="none"/>
              </w:rPr>
            </w:pPr>
            <w:r>
              <w:rPr>
                <w:color w:val="auto"/>
                <w:kern w:val="0"/>
                <w:szCs w:val="21"/>
                <w:highlight w:val="none"/>
              </w:rPr>
              <w:t>≤</w:t>
            </w:r>
            <w:r>
              <w:rPr>
                <w:rFonts w:hint="eastAsia"/>
                <w:color w:val="auto"/>
                <w:kern w:val="0"/>
                <w:szCs w:val="21"/>
                <w:highlight w:val="none"/>
                <w:lang w:val="en-US" w:eastAsia="zh-CN"/>
              </w:rPr>
              <w:t>1.5</w:t>
            </w:r>
          </w:p>
        </w:tc>
      </w:tr>
      <w:tr>
        <w:tblPrEx>
          <w:tblBorders>
            <w:top w:val="single" w:color="auto" w:sz="12" w:space="0"/>
            <w:left w:val="none" w:color="auto" w:sz="0" w:space="0"/>
            <w:bottom w:val="dotted"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08" w:hRule="atLeast"/>
        </w:trPr>
        <w:tc>
          <w:tcPr>
            <w:tcW w:w="1899" w:type="dxa"/>
            <w:tcBorders>
              <w:tl2br w:val="nil"/>
              <w:tr2bl w:val="nil"/>
            </w:tcBorders>
            <w:shd w:val="clear" w:color="auto" w:fill="auto"/>
            <w:noWrap/>
            <w:vAlign w:val="center"/>
          </w:tcPr>
          <w:p>
            <w:pPr>
              <w:jc w:val="center"/>
              <w:rPr>
                <w:rFonts w:hAnsi="宋体"/>
                <w:color w:val="auto"/>
                <w:szCs w:val="21"/>
                <w:highlight w:val="none"/>
              </w:rPr>
            </w:pPr>
            <w:r>
              <w:rPr>
                <w:rFonts w:hint="eastAsia"/>
                <w:color w:val="auto"/>
                <w:kern w:val="0"/>
                <w:szCs w:val="21"/>
                <w:highlight w:val="none"/>
              </w:rPr>
              <w:t>氯化物</w:t>
            </w:r>
          </w:p>
        </w:tc>
        <w:tc>
          <w:tcPr>
            <w:tcW w:w="1488" w:type="dxa"/>
            <w:tcBorders>
              <w:tl2br w:val="nil"/>
              <w:tr2bl w:val="nil"/>
            </w:tcBorders>
            <w:shd w:val="clear" w:color="auto" w:fill="auto"/>
            <w:noWrap/>
            <w:vAlign w:val="bottom"/>
          </w:tcPr>
          <w:p>
            <w:pPr>
              <w:jc w:val="center"/>
              <w:rPr>
                <w:rFonts w:hint="eastAsia" w:eastAsia="宋体"/>
                <w:color w:val="auto"/>
                <w:szCs w:val="21"/>
                <w:highlight w:val="none"/>
                <w:lang w:val="en-US" w:eastAsia="zh-CN"/>
              </w:rPr>
            </w:pPr>
            <w:r>
              <w:rPr>
                <w:rFonts w:hint="eastAsia"/>
                <w:color w:val="auto"/>
                <w:szCs w:val="21"/>
                <w:highlight w:val="none"/>
                <w:lang w:val="en-US" w:eastAsia="zh-CN"/>
              </w:rPr>
              <w:t>166</w:t>
            </w:r>
          </w:p>
        </w:tc>
        <w:tc>
          <w:tcPr>
            <w:tcW w:w="1541" w:type="dxa"/>
            <w:tcBorders>
              <w:tl2br w:val="nil"/>
              <w:tr2bl w:val="nil"/>
            </w:tcBorders>
            <w:shd w:val="clear" w:color="auto" w:fill="auto"/>
            <w:vAlign w:val="bottom"/>
          </w:tcPr>
          <w:p>
            <w:pPr>
              <w:jc w:val="center"/>
              <w:rPr>
                <w:color w:val="auto"/>
                <w:szCs w:val="21"/>
                <w:highlight w:val="none"/>
              </w:rPr>
            </w:pPr>
            <w:r>
              <w:rPr>
                <w:rFonts w:hint="eastAsia"/>
                <w:color w:val="auto"/>
                <w:szCs w:val="21"/>
                <w:highlight w:val="none"/>
                <w:lang w:val="en-US" w:eastAsia="zh-CN"/>
              </w:rPr>
              <w:t>0.67</w:t>
            </w:r>
            <w:r>
              <w:rPr>
                <w:color w:val="auto"/>
                <w:szCs w:val="21"/>
                <w:highlight w:val="none"/>
              </w:rPr>
              <w:t xml:space="preserve"> </w:t>
            </w:r>
          </w:p>
        </w:tc>
        <w:tc>
          <w:tcPr>
            <w:tcW w:w="1566" w:type="dxa"/>
            <w:tcBorders>
              <w:tl2br w:val="nil"/>
              <w:tr2bl w:val="nil"/>
            </w:tcBorders>
            <w:shd w:val="clear" w:color="auto" w:fill="auto"/>
            <w:vAlign w:val="bottom"/>
          </w:tcPr>
          <w:p>
            <w:pPr>
              <w:jc w:val="center"/>
              <w:rPr>
                <w:rFonts w:hint="default" w:eastAsia="宋体"/>
                <w:color w:val="auto"/>
                <w:szCs w:val="21"/>
                <w:highlight w:val="none"/>
                <w:lang w:val="en-US" w:eastAsia="zh-CN"/>
              </w:rPr>
            </w:pPr>
            <w:r>
              <w:rPr>
                <w:rFonts w:hint="eastAsia"/>
                <w:color w:val="auto"/>
                <w:szCs w:val="21"/>
                <w:highlight w:val="none"/>
                <w:lang w:val="en-US" w:eastAsia="zh-CN"/>
              </w:rPr>
              <w:t>1069</w:t>
            </w:r>
          </w:p>
        </w:tc>
        <w:tc>
          <w:tcPr>
            <w:tcW w:w="1372" w:type="dxa"/>
            <w:tcBorders>
              <w:tl2br w:val="nil"/>
              <w:tr2bl w:val="nil"/>
            </w:tcBorders>
            <w:shd w:val="clear" w:color="auto" w:fill="EEECE1" w:themeFill="background2"/>
            <w:vAlign w:val="bottom"/>
          </w:tcPr>
          <w:p>
            <w:pPr>
              <w:jc w:val="center"/>
              <w:rPr>
                <w:rFonts w:hint="default" w:eastAsia="宋体"/>
                <w:color w:val="auto"/>
                <w:szCs w:val="21"/>
                <w:highlight w:val="none"/>
                <w:lang w:val="en-US" w:eastAsia="zh-CN"/>
              </w:rPr>
            </w:pPr>
            <w:r>
              <w:rPr>
                <w:rFonts w:hint="eastAsia"/>
                <w:color w:val="auto"/>
                <w:szCs w:val="21"/>
                <w:highlight w:val="none"/>
                <w:lang w:val="en-US" w:eastAsia="zh-CN"/>
              </w:rPr>
              <w:t>3.05</w:t>
            </w:r>
          </w:p>
        </w:tc>
        <w:tc>
          <w:tcPr>
            <w:tcW w:w="1365" w:type="dxa"/>
            <w:tcBorders>
              <w:tl2br w:val="nil"/>
              <w:tr2bl w:val="nil"/>
            </w:tcBorders>
            <w:shd w:val="clear" w:color="auto" w:fill="auto"/>
            <w:noWrap/>
            <w:vAlign w:val="center"/>
          </w:tcPr>
          <w:p>
            <w:pPr>
              <w:widowControl/>
              <w:jc w:val="center"/>
              <w:rPr>
                <w:color w:val="auto"/>
                <w:kern w:val="0"/>
                <w:szCs w:val="21"/>
                <w:highlight w:val="none"/>
              </w:rPr>
            </w:pPr>
            <w:r>
              <w:rPr>
                <w:color w:val="auto"/>
                <w:kern w:val="0"/>
                <w:szCs w:val="21"/>
                <w:highlight w:val="none"/>
              </w:rPr>
              <w:t>≤</w:t>
            </w:r>
            <w:r>
              <w:rPr>
                <w:rFonts w:hint="eastAsia"/>
                <w:color w:val="auto"/>
                <w:kern w:val="0"/>
                <w:szCs w:val="21"/>
                <w:highlight w:val="none"/>
                <w:lang w:val="en-US" w:eastAsia="zh-CN"/>
              </w:rPr>
              <w:t>3</w:t>
            </w:r>
            <w:r>
              <w:rPr>
                <w:rFonts w:hint="eastAsia"/>
                <w:color w:val="auto"/>
                <w:kern w:val="0"/>
                <w:szCs w:val="21"/>
                <w:highlight w:val="none"/>
              </w:rPr>
              <w:t>50</w:t>
            </w:r>
          </w:p>
        </w:tc>
      </w:tr>
      <w:tr>
        <w:tblPrEx>
          <w:tblBorders>
            <w:top w:val="single" w:color="auto" w:sz="12" w:space="0"/>
            <w:left w:val="none" w:color="auto" w:sz="0" w:space="0"/>
            <w:bottom w:val="dotted"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899" w:type="dxa"/>
            <w:tcBorders>
              <w:tl2br w:val="nil"/>
              <w:tr2bl w:val="nil"/>
            </w:tcBorders>
            <w:shd w:val="clear" w:color="auto" w:fill="auto"/>
            <w:vAlign w:val="center"/>
          </w:tcPr>
          <w:p>
            <w:pPr>
              <w:jc w:val="center"/>
              <w:rPr>
                <w:rFonts w:hint="eastAsia" w:hAnsi="宋体" w:eastAsia="宋体"/>
                <w:color w:val="auto"/>
                <w:szCs w:val="21"/>
                <w:highlight w:val="none"/>
                <w:lang w:eastAsia="zh-CN"/>
              </w:rPr>
            </w:pPr>
            <w:r>
              <w:rPr>
                <w:rFonts w:hint="eastAsia" w:hAnsi="宋体"/>
                <w:color w:val="auto"/>
                <w:szCs w:val="21"/>
                <w:highlight w:val="none"/>
                <w:lang w:eastAsia="zh-CN"/>
              </w:rPr>
              <w:t>挥发酚</w:t>
            </w:r>
          </w:p>
        </w:tc>
        <w:tc>
          <w:tcPr>
            <w:tcW w:w="1488" w:type="dxa"/>
            <w:tcBorders>
              <w:tl2br w:val="nil"/>
              <w:tr2bl w:val="nil"/>
            </w:tcBorders>
            <w:shd w:val="clear" w:color="auto" w:fill="auto"/>
            <w:noWrap/>
            <w:vAlign w:val="bottom"/>
          </w:tcPr>
          <w:p>
            <w:pPr>
              <w:jc w:val="center"/>
              <w:rPr>
                <w:color w:val="auto"/>
                <w:szCs w:val="21"/>
                <w:highlight w:val="none"/>
              </w:rPr>
            </w:pPr>
            <w:r>
              <w:rPr>
                <w:rFonts w:hint="eastAsia"/>
                <w:color w:val="auto"/>
                <w:szCs w:val="21"/>
                <w:highlight w:val="none"/>
              </w:rPr>
              <w:t>未检出</w:t>
            </w:r>
          </w:p>
        </w:tc>
        <w:tc>
          <w:tcPr>
            <w:tcW w:w="1541" w:type="dxa"/>
            <w:tcBorders>
              <w:tl2br w:val="nil"/>
              <w:tr2bl w:val="nil"/>
            </w:tcBorders>
            <w:shd w:val="clear" w:color="auto" w:fill="auto"/>
            <w:vAlign w:val="bottom"/>
          </w:tcPr>
          <w:p>
            <w:pPr>
              <w:jc w:val="center"/>
              <w:rPr>
                <w:color w:val="auto"/>
                <w:szCs w:val="21"/>
                <w:highlight w:val="none"/>
              </w:rPr>
            </w:pPr>
            <w:r>
              <w:rPr>
                <w:color w:val="auto"/>
                <w:szCs w:val="21"/>
                <w:highlight w:val="none"/>
              </w:rPr>
              <w:t>—</w:t>
            </w:r>
          </w:p>
        </w:tc>
        <w:tc>
          <w:tcPr>
            <w:tcW w:w="1566" w:type="dxa"/>
            <w:tcBorders>
              <w:tl2br w:val="nil"/>
              <w:tr2bl w:val="nil"/>
            </w:tcBorders>
            <w:shd w:val="clear" w:color="auto" w:fill="auto"/>
            <w:vAlign w:val="bottom"/>
          </w:tcPr>
          <w:p>
            <w:pPr>
              <w:jc w:val="center"/>
              <w:rPr>
                <w:color w:val="auto"/>
                <w:szCs w:val="21"/>
                <w:highlight w:val="none"/>
              </w:rPr>
            </w:pPr>
            <w:r>
              <w:rPr>
                <w:rFonts w:hint="eastAsia"/>
                <w:color w:val="auto"/>
                <w:szCs w:val="21"/>
                <w:highlight w:val="none"/>
              </w:rPr>
              <w:t>未检出</w:t>
            </w:r>
          </w:p>
        </w:tc>
        <w:tc>
          <w:tcPr>
            <w:tcW w:w="1372" w:type="dxa"/>
            <w:tcBorders>
              <w:tl2br w:val="nil"/>
              <w:tr2bl w:val="nil"/>
            </w:tcBorders>
            <w:shd w:val="clear" w:color="auto" w:fill="auto"/>
            <w:vAlign w:val="bottom"/>
          </w:tcPr>
          <w:p>
            <w:pPr>
              <w:jc w:val="center"/>
              <w:rPr>
                <w:color w:val="auto"/>
                <w:szCs w:val="21"/>
                <w:highlight w:val="none"/>
              </w:rPr>
            </w:pPr>
            <w:r>
              <w:rPr>
                <w:color w:val="auto"/>
                <w:szCs w:val="21"/>
                <w:highlight w:val="none"/>
              </w:rPr>
              <w:t>—</w:t>
            </w:r>
          </w:p>
        </w:tc>
        <w:tc>
          <w:tcPr>
            <w:tcW w:w="1365" w:type="dxa"/>
            <w:tcBorders>
              <w:tl2br w:val="nil"/>
              <w:tr2bl w:val="nil"/>
            </w:tcBorders>
            <w:shd w:val="clear" w:color="auto" w:fill="auto"/>
            <w:noWrap/>
            <w:vAlign w:val="center"/>
          </w:tcPr>
          <w:p>
            <w:pPr>
              <w:widowControl/>
              <w:jc w:val="center"/>
              <w:rPr>
                <w:rFonts w:hint="eastAsia" w:eastAsia="宋体"/>
                <w:color w:val="auto"/>
                <w:kern w:val="0"/>
                <w:szCs w:val="21"/>
                <w:highlight w:val="none"/>
                <w:lang w:val="en-US" w:eastAsia="zh-CN"/>
              </w:rPr>
            </w:pPr>
            <w:r>
              <w:rPr>
                <w:color w:val="auto"/>
                <w:kern w:val="0"/>
                <w:szCs w:val="21"/>
                <w:highlight w:val="none"/>
              </w:rPr>
              <w:t>≤</w:t>
            </w:r>
            <w:r>
              <w:rPr>
                <w:rFonts w:hint="eastAsia"/>
                <w:color w:val="auto"/>
                <w:kern w:val="0"/>
                <w:szCs w:val="21"/>
                <w:highlight w:val="none"/>
                <w:lang w:val="en-US" w:eastAsia="zh-CN"/>
              </w:rPr>
              <w:t>0.01</w:t>
            </w:r>
          </w:p>
        </w:tc>
      </w:tr>
      <w:tr>
        <w:tblPrEx>
          <w:tblBorders>
            <w:top w:val="single" w:color="auto" w:sz="12" w:space="0"/>
            <w:left w:val="none" w:color="auto" w:sz="0" w:space="0"/>
            <w:bottom w:val="dotted"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5" w:hRule="atLeast"/>
        </w:trPr>
        <w:tc>
          <w:tcPr>
            <w:tcW w:w="1899" w:type="dxa"/>
            <w:tcBorders>
              <w:tl2br w:val="nil"/>
              <w:tr2bl w:val="nil"/>
            </w:tcBorders>
            <w:shd w:val="clear" w:color="auto" w:fill="auto"/>
            <w:vAlign w:val="center"/>
          </w:tcPr>
          <w:p>
            <w:pPr>
              <w:jc w:val="center"/>
              <w:rPr>
                <w:color w:val="auto"/>
                <w:kern w:val="0"/>
                <w:szCs w:val="21"/>
                <w:highlight w:val="none"/>
              </w:rPr>
            </w:pPr>
            <w:r>
              <w:rPr>
                <w:rFonts w:hint="eastAsia"/>
                <w:color w:val="auto"/>
                <w:kern w:val="0"/>
                <w:szCs w:val="21"/>
                <w:highlight w:val="none"/>
              </w:rPr>
              <w:t>总大肠菌群</w:t>
            </w:r>
          </w:p>
        </w:tc>
        <w:tc>
          <w:tcPr>
            <w:tcW w:w="1488" w:type="dxa"/>
            <w:tcBorders>
              <w:tl2br w:val="nil"/>
              <w:tr2bl w:val="nil"/>
            </w:tcBorders>
            <w:shd w:val="clear" w:color="auto" w:fill="auto"/>
            <w:noWrap/>
            <w:vAlign w:val="bottom"/>
          </w:tcPr>
          <w:p>
            <w:pPr>
              <w:jc w:val="center"/>
              <w:rPr>
                <w:color w:val="auto"/>
                <w:szCs w:val="21"/>
                <w:highlight w:val="none"/>
              </w:rPr>
            </w:pPr>
            <w:r>
              <w:rPr>
                <w:rFonts w:hint="eastAsia"/>
                <w:color w:val="auto"/>
                <w:szCs w:val="21"/>
                <w:highlight w:val="none"/>
              </w:rPr>
              <w:t>未检出</w:t>
            </w:r>
          </w:p>
        </w:tc>
        <w:tc>
          <w:tcPr>
            <w:tcW w:w="1541" w:type="dxa"/>
            <w:tcBorders>
              <w:tl2br w:val="nil"/>
              <w:tr2bl w:val="nil"/>
            </w:tcBorders>
            <w:shd w:val="clear" w:color="auto" w:fill="auto"/>
            <w:vAlign w:val="bottom"/>
          </w:tcPr>
          <w:p>
            <w:pPr>
              <w:jc w:val="center"/>
              <w:rPr>
                <w:color w:val="auto"/>
                <w:szCs w:val="21"/>
                <w:highlight w:val="none"/>
              </w:rPr>
            </w:pPr>
            <w:r>
              <w:rPr>
                <w:color w:val="auto"/>
                <w:szCs w:val="21"/>
                <w:highlight w:val="none"/>
              </w:rPr>
              <w:t>—</w:t>
            </w:r>
          </w:p>
        </w:tc>
        <w:tc>
          <w:tcPr>
            <w:tcW w:w="1566" w:type="dxa"/>
            <w:tcBorders>
              <w:tl2br w:val="nil"/>
              <w:tr2bl w:val="nil"/>
            </w:tcBorders>
            <w:shd w:val="clear" w:color="auto" w:fill="auto"/>
            <w:vAlign w:val="bottom"/>
          </w:tcPr>
          <w:p>
            <w:pPr>
              <w:jc w:val="center"/>
              <w:rPr>
                <w:rFonts w:hint="default" w:eastAsia="宋体"/>
                <w:color w:val="auto"/>
                <w:szCs w:val="21"/>
                <w:highlight w:val="none"/>
                <w:lang w:val="en-US" w:eastAsia="zh-CN"/>
              </w:rPr>
            </w:pPr>
            <w:r>
              <w:rPr>
                <w:rFonts w:hint="eastAsia"/>
                <w:color w:val="auto"/>
                <w:szCs w:val="21"/>
                <w:highlight w:val="none"/>
                <w:lang w:val="en-US" w:eastAsia="zh-CN"/>
              </w:rPr>
              <w:t>20</w:t>
            </w:r>
          </w:p>
        </w:tc>
        <w:tc>
          <w:tcPr>
            <w:tcW w:w="1372" w:type="dxa"/>
            <w:tcBorders>
              <w:tl2br w:val="nil"/>
              <w:tr2bl w:val="nil"/>
            </w:tcBorders>
            <w:shd w:val="clear" w:color="auto" w:fill="auto"/>
            <w:vAlign w:val="bottom"/>
          </w:tcPr>
          <w:p>
            <w:pPr>
              <w:jc w:val="center"/>
              <w:rPr>
                <w:rFonts w:hint="default" w:eastAsia="宋体"/>
                <w:color w:val="auto"/>
                <w:szCs w:val="21"/>
                <w:highlight w:val="none"/>
                <w:lang w:val="en-US" w:eastAsia="zh-CN"/>
              </w:rPr>
            </w:pPr>
            <w:r>
              <w:rPr>
                <w:rFonts w:hint="eastAsia"/>
                <w:color w:val="auto"/>
                <w:szCs w:val="21"/>
                <w:highlight w:val="none"/>
                <w:lang w:val="en-US" w:eastAsia="zh-CN"/>
              </w:rPr>
              <w:t>0.2</w:t>
            </w:r>
          </w:p>
        </w:tc>
        <w:tc>
          <w:tcPr>
            <w:tcW w:w="1365" w:type="dxa"/>
            <w:tcBorders>
              <w:tl2br w:val="nil"/>
              <w:tr2bl w:val="nil"/>
            </w:tcBorders>
            <w:shd w:val="clear" w:color="auto" w:fill="auto"/>
            <w:noWrap/>
            <w:vAlign w:val="center"/>
          </w:tcPr>
          <w:p>
            <w:pPr>
              <w:widowControl/>
              <w:jc w:val="center"/>
              <w:rPr>
                <w:rFonts w:hint="default"/>
                <w:color w:val="auto"/>
                <w:kern w:val="0"/>
                <w:szCs w:val="21"/>
                <w:highlight w:val="none"/>
                <w:lang w:val="en-US"/>
              </w:rPr>
            </w:pPr>
            <w:r>
              <w:rPr>
                <w:color w:val="auto"/>
                <w:kern w:val="0"/>
                <w:szCs w:val="21"/>
                <w:highlight w:val="none"/>
              </w:rPr>
              <w:t>≤</w:t>
            </w:r>
            <w:r>
              <w:rPr>
                <w:rFonts w:hint="eastAsia"/>
                <w:color w:val="auto"/>
                <w:kern w:val="0"/>
                <w:szCs w:val="21"/>
                <w:highlight w:val="none"/>
                <w:lang w:val="en-US" w:eastAsia="zh-CN"/>
              </w:rPr>
              <w:t>100</w:t>
            </w:r>
          </w:p>
        </w:tc>
      </w:tr>
      <w:tr>
        <w:tblPrEx>
          <w:tblBorders>
            <w:top w:val="single" w:color="auto" w:sz="12" w:space="0"/>
            <w:left w:val="none" w:color="auto" w:sz="0" w:space="0"/>
            <w:bottom w:val="dotted"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5" w:hRule="atLeast"/>
        </w:trPr>
        <w:tc>
          <w:tcPr>
            <w:tcW w:w="1899" w:type="dxa"/>
            <w:tcBorders>
              <w:tl2br w:val="nil"/>
              <w:tr2bl w:val="nil"/>
            </w:tcBorders>
            <w:shd w:val="clear" w:color="auto" w:fill="auto"/>
            <w:vAlign w:val="center"/>
          </w:tcPr>
          <w:p>
            <w:pPr>
              <w:jc w:val="center"/>
              <w:rPr>
                <w:color w:val="auto"/>
                <w:kern w:val="0"/>
                <w:szCs w:val="21"/>
                <w:highlight w:val="none"/>
              </w:rPr>
            </w:pPr>
            <w:r>
              <w:rPr>
                <w:rFonts w:hint="eastAsia"/>
                <w:color w:val="auto"/>
                <w:kern w:val="0"/>
                <w:szCs w:val="21"/>
                <w:highlight w:val="none"/>
                <w:lang w:eastAsia="zh-CN"/>
              </w:rPr>
              <w:t>六价</w:t>
            </w:r>
            <w:r>
              <w:rPr>
                <w:rFonts w:hint="eastAsia"/>
                <w:color w:val="auto"/>
                <w:kern w:val="0"/>
                <w:szCs w:val="21"/>
                <w:highlight w:val="none"/>
              </w:rPr>
              <w:t>铬</w:t>
            </w:r>
          </w:p>
        </w:tc>
        <w:tc>
          <w:tcPr>
            <w:tcW w:w="1488" w:type="dxa"/>
            <w:tcBorders>
              <w:tl2br w:val="nil"/>
              <w:tr2bl w:val="nil"/>
            </w:tcBorders>
            <w:shd w:val="clear" w:color="auto" w:fill="auto"/>
            <w:noWrap/>
          </w:tcPr>
          <w:p>
            <w:pPr>
              <w:jc w:val="center"/>
              <w:rPr>
                <w:color w:val="auto"/>
                <w:szCs w:val="21"/>
                <w:highlight w:val="none"/>
              </w:rPr>
            </w:pPr>
            <w:r>
              <w:rPr>
                <w:rFonts w:hint="eastAsia"/>
                <w:color w:val="auto"/>
                <w:szCs w:val="21"/>
                <w:highlight w:val="none"/>
              </w:rPr>
              <w:t>未检出</w:t>
            </w:r>
          </w:p>
        </w:tc>
        <w:tc>
          <w:tcPr>
            <w:tcW w:w="1541" w:type="dxa"/>
            <w:tcBorders>
              <w:tl2br w:val="nil"/>
              <w:tr2bl w:val="nil"/>
            </w:tcBorders>
            <w:shd w:val="clear" w:color="auto" w:fill="auto"/>
            <w:vAlign w:val="bottom"/>
          </w:tcPr>
          <w:p>
            <w:pPr>
              <w:jc w:val="center"/>
              <w:rPr>
                <w:color w:val="auto"/>
                <w:szCs w:val="21"/>
                <w:highlight w:val="none"/>
              </w:rPr>
            </w:pPr>
            <w:r>
              <w:rPr>
                <w:color w:val="auto"/>
                <w:szCs w:val="21"/>
                <w:highlight w:val="none"/>
              </w:rPr>
              <w:t>—</w:t>
            </w:r>
          </w:p>
        </w:tc>
        <w:tc>
          <w:tcPr>
            <w:tcW w:w="1566" w:type="dxa"/>
            <w:tcBorders>
              <w:tl2br w:val="nil"/>
              <w:tr2bl w:val="nil"/>
            </w:tcBorders>
            <w:shd w:val="clear" w:color="auto" w:fill="auto"/>
          </w:tcPr>
          <w:p>
            <w:pPr>
              <w:jc w:val="center"/>
              <w:rPr>
                <w:color w:val="auto"/>
                <w:szCs w:val="21"/>
                <w:highlight w:val="none"/>
              </w:rPr>
            </w:pPr>
            <w:r>
              <w:rPr>
                <w:rFonts w:hint="eastAsia"/>
                <w:color w:val="auto"/>
                <w:szCs w:val="21"/>
                <w:highlight w:val="none"/>
              </w:rPr>
              <w:t>未检出</w:t>
            </w:r>
          </w:p>
        </w:tc>
        <w:tc>
          <w:tcPr>
            <w:tcW w:w="1372" w:type="dxa"/>
            <w:tcBorders>
              <w:tl2br w:val="nil"/>
              <w:tr2bl w:val="nil"/>
            </w:tcBorders>
            <w:shd w:val="clear" w:color="auto" w:fill="auto"/>
            <w:vAlign w:val="bottom"/>
          </w:tcPr>
          <w:p>
            <w:pPr>
              <w:jc w:val="center"/>
              <w:rPr>
                <w:color w:val="auto"/>
                <w:szCs w:val="21"/>
                <w:highlight w:val="none"/>
              </w:rPr>
            </w:pPr>
            <w:r>
              <w:rPr>
                <w:color w:val="auto"/>
                <w:szCs w:val="21"/>
                <w:highlight w:val="none"/>
              </w:rPr>
              <w:t>—</w:t>
            </w:r>
          </w:p>
        </w:tc>
        <w:tc>
          <w:tcPr>
            <w:tcW w:w="1365" w:type="dxa"/>
            <w:tcBorders>
              <w:tl2br w:val="nil"/>
              <w:tr2bl w:val="nil"/>
            </w:tcBorders>
            <w:shd w:val="clear" w:color="auto" w:fill="auto"/>
            <w:noWrap/>
            <w:vAlign w:val="center"/>
          </w:tcPr>
          <w:p>
            <w:pPr>
              <w:widowControl/>
              <w:jc w:val="center"/>
              <w:rPr>
                <w:rFonts w:hint="eastAsia" w:eastAsia="宋体"/>
                <w:color w:val="auto"/>
                <w:kern w:val="0"/>
                <w:szCs w:val="21"/>
                <w:highlight w:val="none"/>
                <w:lang w:eastAsia="zh-CN"/>
              </w:rPr>
            </w:pPr>
            <w:r>
              <w:rPr>
                <w:color w:val="auto"/>
                <w:kern w:val="0"/>
                <w:szCs w:val="21"/>
                <w:highlight w:val="none"/>
              </w:rPr>
              <w:t>≤</w:t>
            </w:r>
            <w:r>
              <w:rPr>
                <w:rFonts w:hint="eastAsia"/>
                <w:color w:val="auto"/>
                <w:kern w:val="0"/>
                <w:szCs w:val="21"/>
                <w:highlight w:val="none"/>
              </w:rPr>
              <w:t>0.</w:t>
            </w:r>
            <w:r>
              <w:rPr>
                <w:rFonts w:hint="eastAsia"/>
                <w:color w:val="auto"/>
                <w:kern w:val="0"/>
                <w:szCs w:val="21"/>
                <w:highlight w:val="none"/>
                <w:lang w:val="en-US" w:eastAsia="zh-CN"/>
              </w:rPr>
              <w:t>1</w:t>
            </w:r>
          </w:p>
        </w:tc>
      </w:tr>
      <w:tr>
        <w:tblPrEx>
          <w:tblBorders>
            <w:top w:val="single" w:color="auto" w:sz="12" w:space="0"/>
            <w:left w:val="none" w:color="auto" w:sz="0" w:space="0"/>
            <w:bottom w:val="dotted"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899" w:type="dxa"/>
            <w:tcBorders>
              <w:tl2br w:val="nil"/>
              <w:tr2bl w:val="nil"/>
            </w:tcBorders>
            <w:shd w:val="clear" w:color="auto" w:fill="auto"/>
            <w:vAlign w:val="center"/>
          </w:tcPr>
          <w:p>
            <w:pPr>
              <w:jc w:val="center"/>
              <w:rPr>
                <w:rFonts w:hint="eastAsia" w:eastAsia="宋体"/>
                <w:color w:val="auto"/>
                <w:kern w:val="0"/>
                <w:szCs w:val="21"/>
                <w:highlight w:val="none"/>
                <w:lang w:eastAsia="zh-CN"/>
              </w:rPr>
            </w:pPr>
            <w:r>
              <w:rPr>
                <w:rFonts w:hint="eastAsia"/>
                <w:color w:val="auto"/>
                <w:kern w:val="0"/>
                <w:szCs w:val="21"/>
                <w:highlight w:val="none"/>
                <w:lang w:eastAsia="zh-CN"/>
              </w:rPr>
              <w:t>银</w:t>
            </w:r>
          </w:p>
        </w:tc>
        <w:tc>
          <w:tcPr>
            <w:tcW w:w="1488" w:type="dxa"/>
            <w:tcBorders>
              <w:tl2br w:val="nil"/>
              <w:tr2bl w:val="nil"/>
            </w:tcBorders>
            <w:shd w:val="clear" w:color="auto" w:fill="auto"/>
            <w:noWrap/>
          </w:tcPr>
          <w:p>
            <w:pPr>
              <w:jc w:val="center"/>
              <w:rPr>
                <w:color w:val="auto"/>
                <w:szCs w:val="21"/>
                <w:highlight w:val="none"/>
              </w:rPr>
            </w:pPr>
            <w:r>
              <w:rPr>
                <w:rFonts w:hint="eastAsia"/>
                <w:color w:val="auto"/>
                <w:szCs w:val="21"/>
                <w:highlight w:val="none"/>
              </w:rPr>
              <w:t>未检出</w:t>
            </w:r>
          </w:p>
        </w:tc>
        <w:tc>
          <w:tcPr>
            <w:tcW w:w="1541" w:type="dxa"/>
            <w:tcBorders>
              <w:tl2br w:val="nil"/>
              <w:tr2bl w:val="nil"/>
            </w:tcBorders>
            <w:shd w:val="clear" w:color="auto" w:fill="auto"/>
            <w:vAlign w:val="bottom"/>
          </w:tcPr>
          <w:p>
            <w:pPr>
              <w:jc w:val="center"/>
              <w:rPr>
                <w:color w:val="auto"/>
                <w:szCs w:val="21"/>
                <w:highlight w:val="none"/>
              </w:rPr>
            </w:pPr>
            <w:r>
              <w:rPr>
                <w:color w:val="auto"/>
                <w:szCs w:val="21"/>
                <w:highlight w:val="none"/>
              </w:rPr>
              <w:t>—</w:t>
            </w:r>
          </w:p>
        </w:tc>
        <w:tc>
          <w:tcPr>
            <w:tcW w:w="1566" w:type="dxa"/>
            <w:tcBorders>
              <w:tl2br w:val="nil"/>
              <w:tr2bl w:val="nil"/>
            </w:tcBorders>
            <w:shd w:val="clear" w:color="auto" w:fill="auto"/>
          </w:tcPr>
          <w:p>
            <w:pPr>
              <w:jc w:val="center"/>
              <w:rPr>
                <w:color w:val="auto"/>
                <w:szCs w:val="21"/>
                <w:highlight w:val="none"/>
              </w:rPr>
            </w:pPr>
            <w:r>
              <w:rPr>
                <w:rFonts w:hint="eastAsia"/>
                <w:color w:val="auto"/>
                <w:szCs w:val="21"/>
                <w:highlight w:val="none"/>
              </w:rPr>
              <w:t>未检出</w:t>
            </w:r>
          </w:p>
        </w:tc>
        <w:tc>
          <w:tcPr>
            <w:tcW w:w="1372" w:type="dxa"/>
            <w:tcBorders>
              <w:tl2br w:val="nil"/>
              <w:tr2bl w:val="nil"/>
            </w:tcBorders>
            <w:shd w:val="clear" w:color="auto" w:fill="auto"/>
            <w:vAlign w:val="bottom"/>
          </w:tcPr>
          <w:p>
            <w:pPr>
              <w:jc w:val="center"/>
              <w:rPr>
                <w:color w:val="auto"/>
                <w:szCs w:val="21"/>
                <w:highlight w:val="none"/>
              </w:rPr>
            </w:pPr>
            <w:r>
              <w:rPr>
                <w:color w:val="auto"/>
                <w:szCs w:val="21"/>
                <w:highlight w:val="none"/>
              </w:rPr>
              <w:t>—</w:t>
            </w:r>
          </w:p>
        </w:tc>
        <w:tc>
          <w:tcPr>
            <w:tcW w:w="1365" w:type="dxa"/>
            <w:tcBorders>
              <w:tl2br w:val="nil"/>
              <w:tr2bl w:val="nil"/>
            </w:tcBorders>
            <w:shd w:val="clear" w:color="auto" w:fill="auto"/>
            <w:noWrap/>
            <w:vAlign w:val="center"/>
          </w:tcPr>
          <w:p>
            <w:pPr>
              <w:widowControl/>
              <w:jc w:val="center"/>
              <w:rPr>
                <w:rFonts w:hint="eastAsia" w:eastAsia="宋体"/>
                <w:color w:val="auto"/>
                <w:kern w:val="0"/>
                <w:szCs w:val="21"/>
                <w:highlight w:val="none"/>
                <w:lang w:eastAsia="zh-CN"/>
              </w:rPr>
            </w:pPr>
            <w:r>
              <w:rPr>
                <w:color w:val="auto"/>
                <w:kern w:val="0"/>
                <w:szCs w:val="21"/>
                <w:highlight w:val="none"/>
              </w:rPr>
              <w:t>≤0.</w:t>
            </w:r>
            <w:r>
              <w:rPr>
                <w:rFonts w:hint="eastAsia"/>
                <w:color w:val="auto"/>
                <w:kern w:val="0"/>
                <w:szCs w:val="21"/>
                <w:highlight w:val="none"/>
                <w:lang w:val="en-US" w:eastAsia="zh-CN"/>
              </w:rPr>
              <w:t>1</w:t>
            </w:r>
          </w:p>
        </w:tc>
      </w:tr>
      <w:tr>
        <w:tblPrEx>
          <w:tblBorders>
            <w:top w:val="single" w:color="auto" w:sz="12" w:space="0"/>
            <w:left w:val="none" w:color="auto" w:sz="0" w:space="0"/>
            <w:bottom w:val="dotted"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899" w:type="dxa"/>
            <w:tcBorders>
              <w:tl2br w:val="nil"/>
              <w:tr2bl w:val="nil"/>
            </w:tcBorders>
            <w:shd w:val="clear" w:color="auto" w:fill="auto"/>
            <w:vAlign w:val="center"/>
          </w:tcPr>
          <w:p>
            <w:pPr>
              <w:jc w:val="center"/>
              <w:rPr>
                <w:rFonts w:hint="eastAsia"/>
                <w:color w:val="auto"/>
                <w:kern w:val="0"/>
                <w:szCs w:val="21"/>
                <w:highlight w:val="none"/>
              </w:rPr>
            </w:pPr>
            <w:r>
              <w:rPr>
                <w:rFonts w:hint="eastAsia"/>
                <w:color w:val="auto"/>
                <w:kern w:val="0"/>
                <w:szCs w:val="21"/>
                <w:highlight w:val="none"/>
              </w:rPr>
              <w:t>镍</w:t>
            </w:r>
          </w:p>
        </w:tc>
        <w:tc>
          <w:tcPr>
            <w:tcW w:w="1488" w:type="dxa"/>
            <w:tcBorders>
              <w:tl2br w:val="nil"/>
              <w:tr2bl w:val="nil"/>
            </w:tcBorders>
            <w:shd w:val="clear" w:color="auto" w:fill="auto"/>
            <w:noWrap/>
          </w:tcPr>
          <w:p>
            <w:pPr>
              <w:jc w:val="center"/>
              <w:rPr>
                <w:rFonts w:hint="eastAsia"/>
                <w:color w:val="auto"/>
                <w:szCs w:val="21"/>
                <w:highlight w:val="none"/>
              </w:rPr>
            </w:pPr>
            <w:r>
              <w:rPr>
                <w:rFonts w:hint="eastAsia"/>
                <w:color w:val="auto"/>
                <w:szCs w:val="21"/>
                <w:highlight w:val="none"/>
              </w:rPr>
              <w:t>未检出</w:t>
            </w:r>
          </w:p>
        </w:tc>
        <w:tc>
          <w:tcPr>
            <w:tcW w:w="1541" w:type="dxa"/>
            <w:tcBorders>
              <w:tl2br w:val="nil"/>
              <w:tr2bl w:val="nil"/>
            </w:tcBorders>
            <w:shd w:val="clear" w:color="auto" w:fill="auto"/>
            <w:vAlign w:val="bottom"/>
          </w:tcPr>
          <w:p>
            <w:pPr>
              <w:jc w:val="center"/>
              <w:rPr>
                <w:color w:val="auto"/>
                <w:szCs w:val="21"/>
                <w:highlight w:val="none"/>
              </w:rPr>
            </w:pPr>
            <w:r>
              <w:rPr>
                <w:color w:val="auto"/>
                <w:szCs w:val="21"/>
                <w:highlight w:val="none"/>
              </w:rPr>
              <w:t>—</w:t>
            </w:r>
          </w:p>
        </w:tc>
        <w:tc>
          <w:tcPr>
            <w:tcW w:w="1566" w:type="dxa"/>
            <w:tcBorders>
              <w:tl2br w:val="nil"/>
              <w:tr2bl w:val="nil"/>
            </w:tcBorders>
            <w:shd w:val="clear" w:color="auto" w:fill="auto"/>
          </w:tcPr>
          <w:p>
            <w:pPr>
              <w:jc w:val="center"/>
              <w:rPr>
                <w:rFonts w:hint="default" w:eastAsia="宋体"/>
                <w:color w:val="auto"/>
                <w:szCs w:val="21"/>
                <w:highlight w:val="none"/>
                <w:lang w:val="en-US" w:eastAsia="zh-CN"/>
              </w:rPr>
            </w:pPr>
            <w:r>
              <w:rPr>
                <w:rFonts w:hint="eastAsia"/>
                <w:color w:val="auto"/>
                <w:szCs w:val="21"/>
                <w:highlight w:val="none"/>
                <w:lang w:val="en-US" w:eastAsia="zh-CN"/>
              </w:rPr>
              <w:t>0.061</w:t>
            </w:r>
          </w:p>
        </w:tc>
        <w:tc>
          <w:tcPr>
            <w:tcW w:w="1372" w:type="dxa"/>
            <w:tcBorders>
              <w:tl2br w:val="nil"/>
              <w:tr2bl w:val="nil"/>
            </w:tcBorders>
            <w:shd w:val="clear" w:color="auto" w:fill="auto"/>
            <w:vAlign w:val="bottom"/>
          </w:tcPr>
          <w:p>
            <w:pPr>
              <w:jc w:val="center"/>
              <w:rPr>
                <w:rFonts w:hint="default" w:eastAsia="宋体"/>
                <w:color w:val="auto"/>
                <w:szCs w:val="21"/>
                <w:highlight w:val="none"/>
                <w:lang w:val="en-US" w:eastAsia="zh-CN"/>
              </w:rPr>
            </w:pPr>
            <w:r>
              <w:rPr>
                <w:rFonts w:hint="eastAsia"/>
                <w:color w:val="auto"/>
                <w:szCs w:val="21"/>
                <w:highlight w:val="none"/>
                <w:lang w:val="en-US" w:eastAsia="zh-CN"/>
              </w:rPr>
              <w:t>0.61</w:t>
            </w:r>
          </w:p>
        </w:tc>
        <w:tc>
          <w:tcPr>
            <w:tcW w:w="1365" w:type="dxa"/>
            <w:tcBorders>
              <w:tl2br w:val="nil"/>
              <w:tr2bl w:val="nil"/>
            </w:tcBorders>
            <w:shd w:val="clear" w:color="auto" w:fill="auto"/>
            <w:noWrap/>
            <w:vAlign w:val="center"/>
          </w:tcPr>
          <w:p>
            <w:pPr>
              <w:widowControl/>
              <w:jc w:val="center"/>
              <w:rPr>
                <w:rFonts w:hint="eastAsia" w:eastAsia="宋体"/>
                <w:color w:val="auto"/>
                <w:kern w:val="0"/>
                <w:szCs w:val="21"/>
                <w:highlight w:val="none"/>
                <w:lang w:eastAsia="zh-CN"/>
              </w:rPr>
            </w:pPr>
            <w:r>
              <w:rPr>
                <w:color w:val="auto"/>
                <w:kern w:val="0"/>
                <w:szCs w:val="21"/>
                <w:highlight w:val="none"/>
              </w:rPr>
              <w:t>≤</w:t>
            </w:r>
            <w:r>
              <w:rPr>
                <w:rFonts w:hint="eastAsia"/>
                <w:color w:val="auto"/>
                <w:kern w:val="0"/>
                <w:szCs w:val="21"/>
                <w:highlight w:val="none"/>
              </w:rPr>
              <w:t>0.</w:t>
            </w:r>
            <w:r>
              <w:rPr>
                <w:rFonts w:hint="eastAsia"/>
                <w:color w:val="auto"/>
                <w:kern w:val="0"/>
                <w:szCs w:val="21"/>
                <w:highlight w:val="none"/>
                <w:lang w:val="en-US" w:eastAsia="zh-CN"/>
              </w:rPr>
              <w:t>1</w:t>
            </w:r>
          </w:p>
        </w:tc>
      </w:tr>
      <w:tr>
        <w:tblPrEx>
          <w:tblBorders>
            <w:top w:val="single" w:color="auto" w:sz="12" w:space="0"/>
            <w:left w:val="none" w:color="auto" w:sz="0" w:space="0"/>
            <w:bottom w:val="dotted"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899" w:type="dxa"/>
            <w:tcBorders>
              <w:tl2br w:val="nil"/>
              <w:tr2bl w:val="nil"/>
            </w:tcBorders>
            <w:shd w:val="clear" w:color="auto" w:fill="auto"/>
            <w:vAlign w:val="center"/>
          </w:tcPr>
          <w:p>
            <w:pPr>
              <w:jc w:val="center"/>
              <w:rPr>
                <w:rFonts w:hint="eastAsia" w:eastAsia="宋体"/>
                <w:color w:val="auto"/>
                <w:kern w:val="0"/>
                <w:szCs w:val="21"/>
                <w:highlight w:val="none"/>
                <w:lang w:eastAsia="zh-CN"/>
              </w:rPr>
            </w:pPr>
            <w:r>
              <w:rPr>
                <w:rFonts w:hint="eastAsia"/>
                <w:color w:val="auto"/>
                <w:kern w:val="0"/>
                <w:szCs w:val="21"/>
                <w:highlight w:val="none"/>
                <w:lang w:eastAsia="zh-CN"/>
              </w:rPr>
              <w:t>铁</w:t>
            </w:r>
          </w:p>
        </w:tc>
        <w:tc>
          <w:tcPr>
            <w:tcW w:w="1488" w:type="dxa"/>
            <w:tcBorders>
              <w:tl2br w:val="nil"/>
              <w:tr2bl w:val="nil"/>
            </w:tcBorders>
            <w:shd w:val="clear" w:color="auto" w:fill="auto"/>
            <w:noWrap/>
          </w:tcPr>
          <w:p>
            <w:pPr>
              <w:jc w:val="center"/>
              <w:rPr>
                <w:rFonts w:hint="eastAsia" w:eastAsia="宋体"/>
                <w:color w:val="auto"/>
                <w:szCs w:val="21"/>
                <w:highlight w:val="none"/>
                <w:lang w:val="en-US" w:eastAsia="zh-CN"/>
              </w:rPr>
            </w:pPr>
            <w:r>
              <w:rPr>
                <w:rFonts w:hint="eastAsia"/>
                <w:color w:val="auto"/>
                <w:szCs w:val="21"/>
                <w:highlight w:val="none"/>
                <w:lang w:val="en-US" w:eastAsia="zh-CN"/>
              </w:rPr>
              <w:t>0.011</w:t>
            </w:r>
          </w:p>
        </w:tc>
        <w:tc>
          <w:tcPr>
            <w:tcW w:w="1541" w:type="dxa"/>
            <w:tcBorders>
              <w:tl2br w:val="nil"/>
              <w:tr2bl w:val="nil"/>
            </w:tcBorders>
            <w:shd w:val="clear" w:color="auto" w:fill="auto"/>
            <w:vAlign w:val="bottom"/>
          </w:tcPr>
          <w:p>
            <w:pPr>
              <w:jc w:val="center"/>
              <w:rPr>
                <w:rFonts w:hint="eastAsia" w:eastAsia="宋体"/>
                <w:color w:val="auto"/>
                <w:szCs w:val="21"/>
                <w:highlight w:val="none"/>
                <w:lang w:val="en-US" w:eastAsia="zh-CN"/>
              </w:rPr>
            </w:pPr>
            <w:r>
              <w:rPr>
                <w:rFonts w:hint="eastAsia"/>
                <w:color w:val="auto"/>
                <w:szCs w:val="21"/>
                <w:highlight w:val="none"/>
                <w:lang w:val="en-US" w:eastAsia="zh-CN"/>
              </w:rPr>
              <w:t>0.037</w:t>
            </w:r>
          </w:p>
        </w:tc>
        <w:tc>
          <w:tcPr>
            <w:tcW w:w="1566" w:type="dxa"/>
            <w:tcBorders>
              <w:tl2br w:val="nil"/>
              <w:tr2bl w:val="nil"/>
            </w:tcBorders>
            <w:shd w:val="clear" w:color="auto" w:fill="auto"/>
          </w:tcPr>
          <w:p>
            <w:pPr>
              <w:jc w:val="center"/>
              <w:rPr>
                <w:rFonts w:hint="default" w:eastAsia="宋体"/>
                <w:color w:val="auto"/>
                <w:szCs w:val="21"/>
                <w:highlight w:val="none"/>
                <w:lang w:val="en-US" w:eastAsia="zh-CN"/>
              </w:rPr>
            </w:pPr>
            <w:r>
              <w:rPr>
                <w:rFonts w:hint="eastAsia"/>
                <w:color w:val="auto"/>
                <w:szCs w:val="21"/>
                <w:highlight w:val="none"/>
                <w:lang w:val="en-US" w:eastAsia="zh-CN"/>
              </w:rPr>
              <w:t>0.029</w:t>
            </w:r>
          </w:p>
        </w:tc>
        <w:tc>
          <w:tcPr>
            <w:tcW w:w="1372" w:type="dxa"/>
            <w:tcBorders>
              <w:tl2br w:val="nil"/>
              <w:tr2bl w:val="nil"/>
            </w:tcBorders>
            <w:shd w:val="clear" w:color="auto" w:fill="auto"/>
            <w:vAlign w:val="bottom"/>
          </w:tcPr>
          <w:p>
            <w:pPr>
              <w:jc w:val="center"/>
              <w:rPr>
                <w:rFonts w:hint="default" w:eastAsia="宋体"/>
                <w:color w:val="auto"/>
                <w:szCs w:val="21"/>
                <w:highlight w:val="none"/>
                <w:lang w:val="en-US" w:eastAsia="zh-CN"/>
              </w:rPr>
            </w:pPr>
            <w:r>
              <w:rPr>
                <w:rFonts w:hint="eastAsia"/>
                <w:color w:val="auto"/>
                <w:szCs w:val="21"/>
                <w:highlight w:val="none"/>
                <w:lang w:val="en-US" w:eastAsia="zh-CN"/>
              </w:rPr>
              <w:t>0.01</w:t>
            </w:r>
          </w:p>
        </w:tc>
        <w:tc>
          <w:tcPr>
            <w:tcW w:w="1365" w:type="dxa"/>
            <w:tcBorders>
              <w:tl2br w:val="nil"/>
              <w:tr2bl w:val="nil"/>
            </w:tcBorders>
            <w:shd w:val="clear" w:color="auto" w:fill="auto"/>
            <w:noWrap/>
            <w:vAlign w:val="center"/>
          </w:tcPr>
          <w:p>
            <w:pPr>
              <w:widowControl/>
              <w:jc w:val="center"/>
              <w:rPr>
                <w:rFonts w:hint="default" w:eastAsia="宋体"/>
                <w:color w:val="auto"/>
                <w:kern w:val="0"/>
                <w:szCs w:val="21"/>
                <w:highlight w:val="none"/>
                <w:lang w:val="en-US" w:eastAsia="zh-CN"/>
              </w:rPr>
            </w:pPr>
            <w:r>
              <w:rPr>
                <w:color w:val="auto"/>
                <w:kern w:val="0"/>
                <w:szCs w:val="21"/>
                <w:highlight w:val="none"/>
              </w:rPr>
              <w:t>≤</w:t>
            </w:r>
            <w:r>
              <w:rPr>
                <w:rFonts w:hint="eastAsia"/>
                <w:color w:val="auto"/>
                <w:kern w:val="0"/>
                <w:szCs w:val="21"/>
                <w:highlight w:val="none"/>
                <w:lang w:val="en-US" w:eastAsia="zh-CN"/>
              </w:rPr>
              <w:t>2.0</w:t>
            </w:r>
          </w:p>
        </w:tc>
      </w:tr>
      <w:tr>
        <w:tblPrEx>
          <w:tblBorders>
            <w:top w:val="single" w:color="auto" w:sz="12" w:space="0"/>
            <w:left w:val="none" w:color="auto" w:sz="0" w:space="0"/>
            <w:bottom w:val="dotted"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899" w:type="dxa"/>
            <w:tcBorders>
              <w:tl2br w:val="nil"/>
              <w:tr2bl w:val="nil"/>
            </w:tcBorders>
            <w:shd w:val="clear" w:color="auto" w:fill="auto"/>
            <w:vAlign w:val="center"/>
          </w:tcPr>
          <w:p>
            <w:pPr>
              <w:jc w:val="center"/>
              <w:rPr>
                <w:rFonts w:hint="eastAsia" w:eastAsia="宋体"/>
                <w:color w:val="auto"/>
                <w:kern w:val="0"/>
                <w:szCs w:val="21"/>
                <w:highlight w:val="none"/>
                <w:lang w:eastAsia="zh-CN"/>
              </w:rPr>
            </w:pPr>
            <w:r>
              <w:rPr>
                <w:rFonts w:hint="eastAsia"/>
                <w:color w:val="auto"/>
                <w:kern w:val="0"/>
                <w:szCs w:val="21"/>
                <w:highlight w:val="none"/>
                <w:lang w:eastAsia="zh-CN"/>
              </w:rPr>
              <w:t>铜</w:t>
            </w:r>
          </w:p>
        </w:tc>
        <w:tc>
          <w:tcPr>
            <w:tcW w:w="1488" w:type="dxa"/>
            <w:tcBorders>
              <w:tl2br w:val="nil"/>
              <w:tr2bl w:val="nil"/>
            </w:tcBorders>
            <w:shd w:val="clear" w:color="auto" w:fill="auto"/>
            <w:noWrap/>
          </w:tcPr>
          <w:p>
            <w:pPr>
              <w:jc w:val="center"/>
              <w:rPr>
                <w:rFonts w:hint="eastAsia"/>
                <w:color w:val="auto"/>
                <w:szCs w:val="21"/>
                <w:highlight w:val="none"/>
              </w:rPr>
            </w:pPr>
            <w:r>
              <w:rPr>
                <w:rFonts w:hint="eastAsia"/>
                <w:color w:val="auto"/>
                <w:szCs w:val="21"/>
                <w:highlight w:val="none"/>
              </w:rPr>
              <w:t>未检出</w:t>
            </w:r>
          </w:p>
        </w:tc>
        <w:tc>
          <w:tcPr>
            <w:tcW w:w="1541" w:type="dxa"/>
            <w:tcBorders>
              <w:tl2br w:val="nil"/>
              <w:tr2bl w:val="nil"/>
            </w:tcBorders>
            <w:shd w:val="clear" w:color="auto" w:fill="auto"/>
            <w:vAlign w:val="bottom"/>
          </w:tcPr>
          <w:p>
            <w:pPr>
              <w:jc w:val="center"/>
              <w:rPr>
                <w:color w:val="auto"/>
                <w:szCs w:val="21"/>
                <w:highlight w:val="none"/>
              </w:rPr>
            </w:pPr>
            <w:r>
              <w:rPr>
                <w:color w:val="auto"/>
                <w:szCs w:val="21"/>
                <w:highlight w:val="none"/>
              </w:rPr>
              <w:t>—</w:t>
            </w:r>
          </w:p>
        </w:tc>
        <w:tc>
          <w:tcPr>
            <w:tcW w:w="1566" w:type="dxa"/>
            <w:tcBorders>
              <w:tl2br w:val="nil"/>
              <w:tr2bl w:val="nil"/>
            </w:tcBorders>
            <w:shd w:val="clear" w:color="auto" w:fill="auto"/>
          </w:tcPr>
          <w:p>
            <w:pPr>
              <w:jc w:val="center"/>
              <w:rPr>
                <w:rFonts w:hint="default" w:eastAsia="宋体"/>
                <w:color w:val="auto"/>
                <w:szCs w:val="21"/>
                <w:highlight w:val="none"/>
                <w:lang w:val="en-US" w:eastAsia="zh-CN"/>
              </w:rPr>
            </w:pPr>
            <w:r>
              <w:rPr>
                <w:rFonts w:hint="eastAsia"/>
                <w:color w:val="auto"/>
                <w:szCs w:val="21"/>
                <w:highlight w:val="none"/>
                <w:lang w:val="en-US" w:eastAsia="zh-CN"/>
              </w:rPr>
              <w:t>0.216</w:t>
            </w:r>
          </w:p>
        </w:tc>
        <w:tc>
          <w:tcPr>
            <w:tcW w:w="1372" w:type="dxa"/>
            <w:tcBorders>
              <w:tl2br w:val="nil"/>
              <w:tr2bl w:val="nil"/>
            </w:tcBorders>
            <w:shd w:val="clear" w:color="auto" w:fill="auto"/>
            <w:vAlign w:val="bottom"/>
          </w:tcPr>
          <w:p>
            <w:pPr>
              <w:jc w:val="center"/>
              <w:rPr>
                <w:rFonts w:hint="default" w:eastAsia="宋体"/>
                <w:color w:val="auto"/>
                <w:szCs w:val="21"/>
                <w:highlight w:val="none"/>
                <w:lang w:val="en-US" w:eastAsia="zh-CN"/>
              </w:rPr>
            </w:pPr>
            <w:r>
              <w:rPr>
                <w:rFonts w:hint="eastAsia"/>
                <w:color w:val="auto"/>
                <w:szCs w:val="21"/>
                <w:highlight w:val="none"/>
                <w:lang w:val="en-US" w:eastAsia="zh-CN"/>
              </w:rPr>
              <w:t>0.14</w:t>
            </w:r>
          </w:p>
        </w:tc>
        <w:tc>
          <w:tcPr>
            <w:tcW w:w="1365" w:type="dxa"/>
            <w:tcBorders>
              <w:tl2br w:val="nil"/>
              <w:tr2bl w:val="nil"/>
            </w:tcBorders>
            <w:shd w:val="clear" w:color="auto" w:fill="auto"/>
            <w:noWrap/>
            <w:vAlign w:val="center"/>
          </w:tcPr>
          <w:p>
            <w:pPr>
              <w:widowControl/>
              <w:jc w:val="center"/>
              <w:rPr>
                <w:rFonts w:hint="eastAsia" w:eastAsia="宋体"/>
                <w:color w:val="auto"/>
                <w:kern w:val="0"/>
                <w:szCs w:val="21"/>
                <w:highlight w:val="none"/>
                <w:lang w:val="en-US" w:eastAsia="zh-CN"/>
              </w:rPr>
            </w:pPr>
            <w:r>
              <w:rPr>
                <w:color w:val="auto"/>
                <w:kern w:val="0"/>
                <w:szCs w:val="21"/>
                <w:highlight w:val="none"/>
              </w:rPr>
              <w:t>≤</w:t>
            </w:r>
            <w:r>
              <w:rPr>
                <w:rFonts w:hint="eastAsia"/>
                <w:color w:val="auto"/>
                <w:kern w:val="0"/>
                <w:szCs w:val="21"/>
                <w:highlight w:val="none"/>
                <w:lang w:val="en-US" w:eastAsia="zh-CN"/>
              </w:rPr>
              <w:t>1.5</w:t>
            </w:r>
          </w:p>
        </w:tc>
      </w:tr>
      <w:tr>
        <w:tblPrEx>
          <w:tblBorders>
            <w:top w:val="single" w:color="auto" w:sz="12" w:space="0"/>
            <w:left w:val="none" w:color="auto" w:sz="0" w:space="0"/>
            <w:bottom w:val="dotted"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899" w:type="dxa"/>
            <w:tcBorders>
              <w:tl2br w:val="nil"/>
              <w:tr2bl w:val="nil"/>
            </w:tcBorders>
            <w:shd w:val="clear" w:color="auto" w:fill="auto"/>
            <w:vAlign w:val="center"/>
          </w:tcPr>
          <w:p>
            <w:pPr>
              <w:jc w:val="center"/>
              <w:rPr>
                <w:rFonts w:hint="eastAsia"/>
                <w:color w:val="auto"/>
                <w:kern w:val="0"/>
                <w:szCs w:val="21"/>
                <w:highlight w:val="none"/>
              </w:rPr>
            </w:pPr>
            <w:r>
              <w:rPr>
                <w:rFonts w:hint="eastAsia"/>
                <w:color w:val="auto"/>
                <w:kern w:val="0"/>
                <w:szCs w:val="21"/>
                <w:highlight w:val="none"/>
              </w:rPr>
              <w:t>锌</w:t>
            </w:r>
          </w:p>
        </w:tc>
        <w:tc>
          <w:tcPr>
            <w:tcW w:w="1488" w:type="dxa"/>
            <w:tcBorders>
              <w:tl2br w:val="nil"/>
              <w:tr2bl w:val="nil"/>
            </w:tcBorders>
            <w:shd w:val="clear" w:color="auto" w:fill="auto"/>
            <w:noWrap/>
          </w:tcPr>
          <w:p>
            <w:pPr>
              <w:jc w:val="center"/>
              <w:rPr>
                <w:rFonts w:hint="eastAsia" w:eastAsia="宋体"/>
                <w:color w:val="auto"/>
                <w:szCs w:val="21"/>
                <w:highlight w:val="none"/>
                <w:lang w:val="en-US" w:eastAsia="zh-CN"/>
              </w:rPr>
            </w:pPr>
            <w:r>
              <w:rPr>
                <w:rFonts w:hint="eastAsia"/>
                <w:color w:val="auto"/>
                <w:szCs w:val="21"/>
                <w:highlight w:val="none"/>
                <w:lang w:val="en-US" w:eastAsia="zh-CN"/>
              </w:rPr>
              <w:t>0.015</w:t>
            </w:r>
          </w:p>
        </w:tc>
        <w:tc>
          <w:tcPr>
            <w:tcW w:w="1541" w:type="dxa"/>
            <w:tcBorders>
              <w:tl2br w:val="nil"/>
              <w:tr2bl w:val="nil"/>
            </w:tcBorders>
            <w:shd w:val="clear" w:color="auto" w:fill="auto"/>
            <w:vAlign w:val="bottom"/>
          </w:tcPr>
          <w:p>
            <w:pPr>
              <w:jc w:val="center"/>
              <w:rPr>
                <w:rFonts w:hint="eastAsia" w:eastAsia="宋体"/>
                <w:color w:val="auto"/>
                <w:szCs w:val="21"/>
                <w:highlight w:val="none"/>
                <w:lang w:val="en-US" w:eastAsia="zh-CN"/>
              </w:rPr>
            </w:pPr>
            <w:r>
              <w:rPr>
                <w:rFonts w:hint="eastAsia"/>
                <w:color w:val="auto"/>
                <w:szCs w:val="21"/>
                <w:highlight w:val="none"/>
                <w:lang w:val="en-US" w:eastAsia="zh-CN"/>
              </w:rPr>
              <w:t>0.015</w:t>
            </w:r>
          </w:p>
        </w:tc>
        <w:tc>
          <w:tcPr>
            <w:tcW w:w="1566" w:type="dxa"/>
            <w:tcBorders>
              <w:tl2br w:val="nil"/>
              <w:tr2bl w:val="nil"/>
            </w:tcBorders>
            <w:shd w:val="clear" w:color="auto" w:fill="auto"/>
          </w:tcPr>
          <w:p>
            <w:pPr>
              <w:jc w:val="center"/>
              <w:rPr>
                <w:rFonts w:hint="default" w:eastAsia="宋体"/>
                <w:color w:val="auto"/>
                <w:szCs w:val="21"/>
                <w:highlight w:val="none"/>
                <w:lang w:val="en-US" w:eastAsia="zh-CN"/>
              </w:rPr>
            </w:pPr>
            <w:r>
              <w:rPr>
                <w:rFonts w:hint="eastAsia"/>
                <w:color w:val="auto"/>
                <w:szCs w:val="21"/>
                <w:highlight w:val="none"/>
                <w:lang w:val="en-US" w:eastAsia="zh-CN"/>
              </w:rPr>
              <w:t>0.085</w:t>
            </w:r>
          </w:p>
        </w:tc>
        <w:tc>
          <w:tcPr>
            <w:tcW w:w="1372" w:type="dxa"/>
            <w:tcBorders>
              <w:tl2br w:val="nil"/>
              <w:tr2bl w:val="nil"/>
            </w:tcBorders>
            <w:shd w:val="clear" w:color="auto" w:fill="auto"/>
            <w:vAlign w:val="bottom"/>
          </w:tcPr>
          <w:p>
            <w:pPr>
              <w:jc w:val="center"/>
              <w:rPr>
                <w:rFonts w:hint="eastAsia" w:eastAsia="宋体"/>
                <w:color w:val="auto"/>
                <w:szCs w:val="21"/>
                <w:highlight w:val="none"/>
                <w:lang w:val="en-US" w:eastAsia="zh-CN"/>
              </w:rPr>
            </w:pPr>
            <w:r>
              <w:rPr>
                <w:rFonts w:hint="eastAsia"/>
                <w:color w:val="auto"/>
                <w:szCs w:val="21"/>
                <w:highlight w:val="none"/>
                <w:lang w:val="en-US" w:eastAsia="zh-CN"/>
              </w:rPr>
              <w:t>0.017</w:t>
            </w:r>
          </w:p>
        </w:tc>
        <w:tc>
          <w:tcPr>
            <w:tcW w:w="1365" w:type="dxa"/>
            <w:tcBorders>
              <w:tl2br w:val="nil"/>
              <w:tr2bl w:val="nil"/>
            </w:tcBorders>
            <w:shd w:val="clear" w:color="auto" w:fill="auto"/>
            <w:noWrap/>
            <w:vAlign w:val="center"/>
          </w:tcPr>
          <w:p>
            <w:pPr>
              <w:widowControl/>
              <w:jc w:val="center"/>
              <w:rPr>
                <w:rFonts w:hint="eastAsia" w:eastAsia="宋体"/>
                <w:color w:val="auto"/>
                <w:kern w:val="0"/>
                <w:szCs w:val="21"/>
                <w:highlight w:val="none"/>
                <w:lang w:val="en-US" w:eastAsia="zh-CN"/>
              </w:rPr>
            </w:pPr>
            <w:r>
              <w:rPr>
                <w:color w:val="auto"/>
                <w:kern w:val="0"/>
                <w:szCs w:val="21"/>
                <w:highlight w:val="none"/>
              </w:rPr>
              <w:t>≤</w:t>
            </w:r>
            <w:r>
              <w:rPr>
                <w:rFonts w:hint="eastAsia"/>
                <w:color w:val="auto"/>
                <w:kern w:val="0"/>
                <w:szCs w:val="21"/>
                <w:highlight w:val="none"/>
                <w:lang w:val="en-US" w:eastAsia="zh-CN"/>
              </w:rPr>
              <w:t>5.0</w:t>
            </w:r>
          </w:p>
        </w:tc>
      </w:tr>
      <w:tr>
        <w:tblPrEx>
          <w:tblBorders>
            <w:top w:val="single" w:color="auto" w:sz="12" w:space="0"/>
            <w:left w:val="none" w:color="auto" w:sz="0" w:space="0"/>
            <w:bottom w:val="dotted"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899" w:type="dxa"/>
            <w:tcBorders>
              <w:tl2br w:val="nil"/>
              <w:tr2bl w:val="nil"/>
            </w:tcBorders>
            <w:shd w:val="clear" w:color="auto" w:fill="auto"/>
            <w:vAlign w:val="center"/>
          </w:tcPr>
          <w:p>
            <w:pPr>
              <w:jc w:val="center"/>
              <w:rPr>
                <w:rFonts w:hint="eastAsia" w:eastAsia="宋体"/>
                <w:color w:val="auto"/>
                <w:kern w:val="0"/>
                <w:szCs w:val="21"/>
                <w:highlight w:val="none"/>
                <w:lang w:eastAsia="zh-CN"/>
              </w:rPr>
            </w:pPr>
            <w:r>
              <w:rPr>
                <w:rFonts w:hint="eastAsia"/>
                <w:color w:val="auto"/>
                <w:kern w:val="0"/>
                <w:szCs w:val="21"/>
                <w:highlight w:val="none"/>
                <w:lang w:eastAsia="zh-CN"/>
              </w:rPr>
              <w:t>耗氧量</w:t>
            </w:r>
          </w:p>
        </w:tc>
        <w:tc>
          <w:tcPr>
            <w:tcW w:w="1488" w:type="dxa"/>
            <w:tcBorders>
              <w:tl2br w:val="nil"/>
              <w:tr2bl w:val="nil"/>
            </w:tcBorders>
            <w:shd w:val="clear" w:color="auto" w:fill="auto"/>
            <w:noWrap/>
          </w:tcPr>
          <w:p>
            <w:pPr>
              <w:jc w:val="center"/>
              <w:rPr>
                <w:rFonts w:hint="eastAsia" w:eastAsia="宋体"/>
                <w:color w:val="auto"/>
                <w:szCs w:val="21"/>
                <w:highlight w:val="none"/>
                <w:lang w:val="en-US" w:eastAsia="zh-CN"/>
              </w:rPr>
            </w:pPr>
            <w:r>
              <w:rPr>
                <w:rFonts w:hint="eastAsia"/>
                <w:color w:val="auto"/>
                <w:szCs w:val="21"/>
                <w:highlight w:val="none"/>
                <w:lang w:val="en-US" w:eastAsia="zh-CN"/>
              </w:rPr>
              <w:t>1.66</w:t>
            </w:r>
          </w:p>
        </w:tc>
        <w:tc>
          <w:tcPr>
            <w:tcW w:w="1541" w:type="dxa"/>
            <w:tcBorders>
              <w:tl2br w:val="nil"/>
              <w:tr2bl w:val="nil"/>
            </w:tcBorders>
            <w:shd w:val="clear" w:color="auto" w:fill="auto"/>
            <w:vAlign w:val="bottom"/>
          </w:tcPr>
          <w:p>
            <w:pPr>
              <w:jc w:val="center"/>
              <w:rPr>
                <w:rFonts w:hint="eastAsia" w:eastAsia="宋体"/>
                <w:color w:val="auto"/>
                <w:szCs w:val="21"/>
                <w:highlight w:val="none"/>
                <w:lang w:val="en-US" w:eastAsia="zh-CN"/>
              </w:rPr>
            </w:pPr>
            <w:r>
              <w:rPr>
                <w:rFonts w:hint="eastAsia"/>
                <w:color w:val="auto"/>
                <w:szCs w:val="21"/>
                <w:highlight w:val="none"/>
                <w:lang w:val="en-US" w:eastAsia="zh-CN"/>
              </w:rPr>
              <w:t>0.55</w:t>
            </w:r>
          </w:p>
        </w:tc>
        <w:tc>
          <w:tcPr>
            <w:tcW w:w="1566" w:type="dxa"/>
            <w:tcBorders>
              <w:tl2br w:val="nil"/>
              <w:tr2bl w:val="nil"/>
            </w:tcBorders>
            <w:shd w:val="clear" w:color="auto" w:fill="auto"/>
          </w:tcPr>
          <w:p>
            <w:pPr>
              <w:jc w:val="center"/>
              <w:rPr>
                <w:rFonts w:hint="default" w:eastAsia="宋体"/>
                <w:color w:val="auto"/>
                <w:szCs w:val="21"/>
                <w:highlight w:val="none"/>
                <w:lang w:val="en-US" w:eastAsia="zh-CN"/>
              </w:rPr>
            </w:pPr>
            <w:r>
              <w:rPr>
                <w:rFonts w:hint="eastAsia"/>
                <w:color w:val="auto"/>
                <w:szCs w:val="21"/>
                <w:highlight w:val="none"/>
                <w:lang w:val="en-US" w:eastAsia="zh-CN"/>
              </w:rPr>
              <w:t>3.25</w:t>
            </w:r>
          </w:p>
        </w:tc>
        <w:tc>
          <w:tcPr>
            <w:tcW w:w="1372" w:type="dxa"/>
            <w:tcBorders>
              <w:tl2br w:val="nil"/>
              <w:tr2bl w:val="nil"/>
            </w:tcBorders>
            <w:shd w:val="clear" w:color="auto" w:fill="auto"/>
            <w:vAlign w:val="bottom"/>
          </w:tcPr>
          <w:p>
            <w:pPr>
              <w:jc w:val="center"/>
              <w:rPr>
                <w:rFonts w:hint="default" w:eastAsia="宋体"/>
                <w:color w:val="auto"/>
                <w:szCs w:val="21"/>
                <w:highlight w:val="none"/>
                <w:lang w:val="en-US" w:eastAsia="zh-CN"/>
              </w:rPr>
            </w:pPr>
            <w:r>
              <w:rPr>
                <w:rFonts w:hint="eastAsia"/>
                <w:color w:val="auto"/>
                <w:szCs w:val="21"/>
                <w:highlight w:val="none"/>
                <w:lang w:val="en-US" w:eastAsia="zh-CN"/>
              </w:rPr>
              <w:t>0.33</w:t>
            </w:r>
          </w:p>
        </w:tc>
        <w:tc>
          <w:tcPr>
            <w:tcW w:w="1365" w:type="dxa"/>
            <w:tcBorders>
              <w:tl2br w:val="nil"/>
              <w:tr2bl w:val="nil"/>
            </w:tcBorders>
            <w:shd w:val="clear" w:color="auto" w:fill="auto"/>
            <w:noWrap/>
            <w:vAlign w:val="center"/>
          </w:tcPr>
          <w:p>
            <w:pPr>
              <w:widowControl/>
              <w:jc w:val="center"/>
              <w:rPr>
                <w:rFonts w:hint="eastAsia" w:eastAsia="宋体"/>
                <w:color w:val="auto"/>
                <w:kern w:val="0"/>
                <w:szCs w:val="21"/>
                <w:highlight w:val="none"/>
                <w:lang w:val="en-US" w:eastAsia="zh-CN"/>
              </w:rPr>
            </w:pPr>
            <w:r>
              <w:rPr>
                <w:color w:val="auto"/>
                <w:kern w:val="0"/>
                <w:szCs w:val="21"/>
                <w:highlight w:val="none"/>
              </w:rPr>
              <w:t>≤</w:t>
            </w:r>
            <w:r>
              <w:rPr>
                <w:rFonts w:hint="eastAsia"/>
                <w:color w:val="auto"/>
                <w:kern w:val="0"/>
                <w:szCs w:val="21"/>
                <w:highlight w:val="none"/>
                <w:lang w:val="en-US" w:eastAsia="zh-CN"/>
              </w:rPr>
              <w:t>10.0</w:t>
            </w:r>
          </w:p>
        </w:tc>
      </w:tr>
    </w:tbl>
    <w:p>
      <w:pPr>
        <w:adjustRightInd w:val="0"/>
        <w:snapToGrid w:val="0"/>
        <w:spacing w:line="360" w:lineRule="auto"/>
        <w:ind w:firstLine="480"/>
        <w:rPr>
          <w:color w:val="auto"/>
          <w:sz w:val="24"/>
          <w:highlight w:val="none"/>
        </w:rPr>
      </w:pPr>
      <w:r>
        <w:rPr>
          <w:color w:val="auto"/>
          <w:kern w:val="0"/>
          <w:sz w:val="24"/>
          <w:highlight w:val="none"/>
          <w:lang w:val="zh-CN"/>
        </w:rPr>
        <w:t>由上表可知，</w:t>
      </w:r>
      <w:r>
        <w:rPr>
          <w:rFonts w:hint="eastAsia"/>
          <w:color w:val="auto"/>
          <w:kern w:val="0"/>
          <w:sz w:val="24"/>
          <w:highlight w:val="none"/>
          <w:lang w:val="zh-CN"/>
        </w:rPr>
        <w:t>东盐滩社区</w:t>
      </w:r>
      <w:r>
        <w:rPr>
          <w:rFonts w:hint="eastAsia" w:ascii="宋体"/>
          <w:color w:val="auto"/>
          <w:sz w:val="24"/>
          <w:highlight w:val="none"/>
        </w:rPr>
        <w:t>除</w:t>
      </w:r>
      <w:r>
        <w:rPr>
          <w:rFonts w:hint="eastAsia" w:ascii="宋体"/>
          <w:color w:val="auto"/>
          <w:sz w:val="24"/>
          <w:highlight w:val="none"/>
          <w:lang w:eastAsia="zh-CN"/>
        </w:rPr>
        <w:t>硝酸盐</w:t>
      </w:r>
      <w:r>
        <w:rPr>
          <w:rFonts w:hint="eastAsia" w:ascii="宋体"/>
          <w:color w:val="auto"/>
          <w:sz w:val="24"/>
          <w:highlight w:val="none"/>
        </w:rPr>
        <w:t>，</w:t>
      </w:r>
      <w:r>
        <w:rPr>
          <w:rFonts w:hint="eastAsia"/>
          <w:color w:val="auto"/>
          <w:sz w:val="24"/>
          <w:highlight w:val="none"/>
        </w:rPr>
        <w:t>其他监测因子均满足</w:t>
      </w:r>
      <w:r>
        <w:rPr>
          <w:color w:val="auto"/>
          <w:sz w:val="24"/>
          <w:highlight w:val="none"/>
        </w:rPr>
        <w:t>《地下水质量标准》</w:t>
      </w:r>
      <w:r>
        <w:rPr>
          <w:rFonts w:hint="eastAsia"/>
          <w:color w:val="auto"/>
          <w:sz w:val="24"/>
          <w:highlight w:val="none"/>
          <w:lang w:eastAsia="zh-CN"/>
        </w:rPr>
        <w:t>(</w:t>
      </w:r>
      <w:r>
        <w:rPr>
          <w:color w:val="auto"/>
          <w:sz w:val="24"/>
          <w:highlight w:val="none"/>
        </w:rPr>
        <w:t>GB/T14848-</w:t>
      </w:r>
      <w:r>
        <w:rPr>
          <w:rFonts w:hint="eastAsia"/>
          <w:color w:val="auto"/>
          <w:sz w:val="24"/>
          <w:highlight w:val="none"/>
        </w:rPr>
        <w:t>2017</w:t>
      </w:r>
      <w:r>
        <w:rPr>
          <w:rFonts w:hint="eastAsia"/>
          <w:color w:val="auto"/>
          <w:sz w:val="24"/>
          <w:highlight w:val="none"/>
          <w:lang w:eastAsia="zh-CN"/>
        </w:rPr>
        <w:t>)IV</w:t>
      </w:r>
      <w:r>
        <w:rPr>
          <w:rFonts w:hint="eastAsia" w:ascii="宋体"/>
          <w:color w:val="auto"/>
          <w:sz w:val="24"/>
          <w:highlight w:val="none"/>
        </w:rPr>
        <w:t>类标准的要求</w:t>
      </w:r>
      <w:r>
        <w:rPr>
          <w:color w:val="auto"/>
          <w:sz w:val="24"/>
          <w:highlight w:val="none"/>
        </w:rPr>
        <w:t>。</w:t>
      </w:r>
      <w:r>
        <w:rPr>
          <w:rFonts w:hint="eastAsia"/>
          <w:color w:val="auto"/>
          <w:kern w:val="0"/>
          <w:sz w:val="24"/>
          <w:highlight w:val="none"/>
          <w:lang w:val="zh-CN"/>
        </w:rPr>
        <w:t>项目区</w:t>
      </w:r>
      <w:r>
        <w:rPr>
          <w:color w:val="auto"/>
          <w:kern w:val="0"/>
          <w:sz w:val="24"/>
          <w:highlight w:val="none"/>
          <w:lang w:val="zh-CN"/>
        </w:rPr>
        <w:t>除</w:t>
      </w:r>
      <w:r>
        <w:rPr>
          <w:rFonts w:hint="eastAsia"/>
          <w:color w:val="auto"/>
          <w:kern w:val="0"/>
          <w:sz w:val="24"/>
          <w:highlight w:val="none"/>
          <w:lang w:val="zh-CN"/>
        </w:rPr>
        <w:t>总硬度、</w:t>
      </w:r>
      <w:r>
        <w:rPr>
          <w:rFonts w:hint="eastAsia"/>
          <w:color w:val="auto"/>
          <w:kern w:val="0"/>
          <w:sz w:val="24"/>
          <w:highlight w:val="none"/>
          <w:lang w:val="en-US" w:eastAsia="zh-CN"/>
        </w:rPr>
        <w:t>溶解性总固体</w:t>
      </w:r>
      <w:r>
        <w:rPr>
          <w:rFonts w:hint="eastAsia"/>
          <w:color w:val="auto"/>
          <w:kern w:val="0"/>
          <w:sz w:val="24"/>
          <w:highlight w:val="none"/>
          <w:lang w:val="zh-CN"/>
        </w:rPr>
        <w:t>、</w:t>
      </w:r>
      <w:r>
        <w:rPr>
          <w:rFonts w:hint="eastAsia"/>
          <w:color w:val="auto"/>
          <w:kern w:val="0"/>
          <w:sz w:val="24"/>
          <w:highlight w:val="none"/>
          <w:lang w:val="en-US" w:eastAsia="zh-CN"/>
        </w:rPr>
        <w:t>硫酸</w:t>
      </w:r>
      <w:r>
        <w:rPr>
          <w:rFonts w:hint="eastAsia"/>
          <w:color w:val="auto"/>
          <w:kern w:val="0"/>
          <w:sz w:val="24"/>
          <w:highlight w:val="none"/>
          <w:lang w:val="zh-CN"/>
        </w:rPr>
        <w:t>盐、</w:t>
      </w:r>
      <w:r>
        <w:rPr>
          <w:rFonts w:hint="eastAsia"/>
          <w:color w:val="auto"/>
          <w:kern w:val="0"/>
          <w:sz w:val="24"/>
          <w:highlight w:val="none"/>
          <w:lang w:val="en-US" w:eastAsia="zh-CN"/>
        </w:rPr>
        <w:t>氯化物</w:t>
      </w:r>
      <w:r>
        <w:rPr>
          <w:color w:val="auto"/>
          <w:kern w:val="0"/>
          <w:sz w:val="24"/>
          <w:highlight w:val="none"/>
          <w:lang w:val="zh-CN"/>
        </w:rPr>
        <w:t>的标准指数大于1，</w:t>
      </w:r>
      <w:r>
        <w:rPr>
          <w:rFonts w:hint="eastAsia"/>
          <w:color w:val="auto"/>
          <w:kern w:val="0"/>
          <w:sz w:val="24"/>
          <w:highlight w:val="none"/>
          <w:lang w:val="zh-CN"/>
        </w:rPr>
        <w:t>其余</w:t>
      </w:r>
      <w:r>
        <w:rPr>
          <w:rFonts w:hint="eastAsia"/>
          <w:color w:val="auto"/>
          <w:sz w:val="24"/>
          <w:highlight w:val="none"/>
        </w:rPr>
        <w:t>监测因子均</w:t>
      </w:r>
      <w:r>
        <w:rPr>
          <w:color w:val="auto"/>
          <w:kern w:val="0"/>
          <w:sz w:val="24"/>
          <w:highlight w:val="none"/>
          <w:lang w:val="zh-CN"/>
        </w:rPr>
        <w:t>满足《地下水环境质量标准》(GB14848-2017)</w:t>
      </w:r>
      <w:r>
        <w:rPr>
          <w:rFonts w:hint="eastAsia"/>
          <w:color w:val="auto"/>
          <w:kern w:val="0"/>
          <w:sz w:val="24"/>
          <w:highlight w:val="none"/>
          <w:lang w:val="zh-CN"/>
        </w:rPr>
        <w:t>IV</w:t>
      </w:r>
      <w:r>
        <w:rPr>
          <w:color w:val="auto"/>
          <w:kern w:val="0"/>
          <w:sz w:val="24"/>
          <w:highlight w:val="none"/>
          <w:lang w:val="zh-CN"/>
        </w:rPr>
        <w:t>类标准。</w:t>
      </w:r>
    </w:p>
    <w:p>
      <w:pPr>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eastAsia="黑体"/>
          <w:color w:val="auto"/>
          <w:sz w:val="24"/>
          <w:highlight w:val="none"/>
        </w:rPr>
      </w:pPr>
      <w:r>
        <w:rPr>
          <w:rFonts w:hint="eastAsia" w:eastAsia="黑体"/>
          <w:color w:val="auto"/>
          <w:sz w:val="24"/>
          <w:highlight w:val="none"/>
          <w:lang w:eastAsia="zh-CN"/>
        </w:rPr>
        <w:t>3.6</w:t>
      </w:r>
      <w:r>
        <w:rPr>
          <w:rFonts w:hint="eastAsia" w:eastAsia="黑体"/>
          <w:color w:val="auto"/>
          <w:sz w:val="24"/>
          <w:highlight w:val="none"/>
          <w:lang w:val="en-US" w:eastAsia="zh-CN"/>
        </w:rPr>
        <w:t>.3</w:t>
      </w:r>
      <w:r>
        <w:rPr>
          <w:rFonts w:eastAsia="黑体"/>
          <w:color w:val="auto"/>
          <w:sz w:val="24"/>
          <w:highlight w:val="none"/>
        </w:rPr>
        <w:t>.</w:t>
      </w:r>
      <w:r>
        <w:rPr>
          <w:rFonts w:hint="eastAsia" w:eastAsia="黑体"/>
          <w:color w:val="auto"/>
          <w:sz w:val="24"/>
          <w:highlight w:val="none"/>
        </w:rPr>
        <w:t>2</w:t>
      </w:r>
      <w:r>
        <w:rPr>
          <w:rFonts w:eastAsia="黑体"/>
          <w:color w:val="auto"/>
          <w:sz w:val="24"/>
          <w:highlight w:val="none"/>
        </w:rPr>
        <w:t xml:space="preserve"> </w:t>
      </w:r>
      <w:r>
        <w:rPr>
          <w:rFonts w:hint="eastAsia" w:eastAsia="黑体"/>
          <w:color w:val="auto"/>
          <w:sz w:val="24"/>
          <w:highlight w:val="none"/>
          <w:lang w:val="en-US" w:eastAsia="zh-CN"/>
        </w:rPr>
        <w:t>地下水</w:t>
      </w:r>
      <w:r>
        <w:rPr>
          <w:rFonts w:eastAsia="黑体"/>
          <w:color w:val="auto"/>
          <w:sz w:val="24"/>
          <w:highlight w:val="none"/>
        </w:rPr>
        <w:t>环境质量变化趋势</w:t>
      </w:r>
    </w:p>
    <w:p>
      <w:pPr>
        <w:snapToGrid w:val="0"/>
        <w:spacing w:line="360" w:lineRule="auto"/>
        <w:ind w:firstLine="480" w:firstLineChars="200"/>
        <w:rPr>
          <w:color w:val="auto"/>
          <w:kern w:val="0"/>
          <w:sz w:val="24"/>
          <w:highlight w:val="none"/>
        </w:rPr>
      </w:pPr>
      <w:r>
        <w:rPr>
          <w:color w:val="auto"/>
          <w:kern w:val="0"/>
          <w:sz w:val="24"/>
          <w:highlight w:val="none"/>
        </w:rPr>
        <w:t>1、</w:t>
      </w:r>
      <w:r>
        <w:rPr>
          <w:color w:val="auto"/>
          <w:sz w:val="24"/>
          <w:highlight w:val="none"/>
          <w:lang w:val="zh-CN"/>
        </w:rPr>
        <w:t>监测点位布设</w:t>
      </w:r>
    </w:p>
    <w:p>
      <w:pPr>
        <w:adjustRightInd w:val="0"/>
        <w:snapToGrid w:val="0"/>
        <w:spacing w:line="360" w:lineRule="auto"/>
        <w:ind w:firstLine="480" w:firstLineChars="200"/>
        <w:jc w:val="left"/>
        <w:rPr>
          <w:color w:val="auto"/>
          <w:sz w:val="24"/>
          <w:highlight w:val="none"/>
          <w:lang w:val="zh-CN"/>
        </w:rPr>
      </w:pPr>
      <w:r>
        <w:rPr>
          <w:rFonts w:hint="eastAsia"/>
          <w:color w:val="auto"/>
          <w:sz w:val="24"/>
          <w:highlight w:val="none"/>
        </w:rPr>
        <w:t>根据</w:t>
      </w:r>
      <w:r>
        <w:rPr>
          <w:color w:val="auto"/>
          <w:sz w:val="24"/>
          <w:highlight w:val="none"/>
          <w:lang w:val="zh-CN"/>
        </w:rPr>
        <w:t>《</w:t>
      </w:r>
      <w:r>
        <w:rPr>
          <w:rFonts w:hint="eastAsia"/>
          <w:color w:val="auto"/>
          <w:sz w:val="24"/>
          <w:highlight w:val="none"/>
        </w:rPr>
        <w:t>青岛</w:t>
      </w:r>
      <w:r>
        <w:rPr>
          <w:rFonts w:hint="eastAsia"/>
          <w:color w:val="auto"/>
          <w:sz w:val="24"/>
          <w:highlight w:val="none"/>
          <w:lang w:eastAsia="zh-CN"/>
        </w:rPr>
        <w:t>金泰表面工程有限公司</w:t>
      </w:r>
      <w:r>
        <w:rPr>
          <w:rFonts w:hint="eastAsia"/>
          <w:color w:val="auto"/>
          <w:sz w:val="24"/>
          <w:highlight w:val="none"/>
        </w:rPr>
        <w:t>青岛</w:t>
      </w:r>
      <w:r>
        <w:rPr>
          <w:rFonts w:hint="eastAsia"/>
          <w:color w:val="auto"/>
          <w:sz w:val="24"/>
          <w:highlight w:val="none"/>
          <w:lang w:eastAsia="zh-CN"/>
        </w:rPr>
        <w:t>经济技术开发区电镀工业园</w:t>
      </w:r>
      <w:r>
        <w:rPr>
          <w:rFonts w:hint="eastAsia"/>
          <w:color w:val="auto"/>
          <w:sz w:val="24"/>
          <w:highlight w:val="none"/>
        </w:rPr>
        <w:t>建设项目环境影响报告书</w:t>
      </w:r>
      <w:r>
        <w:rPr>
          <w:color w:val="auto"/>
          <w:sz w:val="24"/>
          <w:highlight w:val="none"/>
          <w:lang w:val="zh-CN"/>
        </w:rPr>
        <w:t>》</w:t>
      </w:r>
      <w:r>
        <w:rPr>
          <w:rFonts w:hint="eastAsia"/>
          <w:color w:val="auto"/>
          <w:sz w:val="24"/>
          <w:highlight w:val="none"/>
          <w:lang w:val="zh-CN"/>
        </w:rPr>
        <w:t>和</w:t>
      </w:r>
      <w:r>
        <w:rPr>
          <w:color w:val="auto"/>
          <w:sz w:val="24"/>
          <w:highlight w:val="none"/>
          <w:lang w:val="zh-CN"/>
        </w:rPr>
        <w:t>《</w:t>
      </w:r>
      <w:r>
        <w:rPr>
          <w:rFonts w:hint="eastAsia"/>
          <w:color w:val="auto"/>
          <w:sz w:val="24"/>
          <w:highlight w:val="none"/>
        </w:rPr>
        <w:t>青岛</w:t>
      </w:r>
      <w:r>
        <w:rPr>
          <w:rFonts w:hint="eastAsia"/>
          <w:color w:val="auto"/>
          <w:sz w:val="24"/>
          <w:highlight w:val="none"/>
          <w:lang w:eastAsia="zh-CN"/>
        </w:rPr>
        <w:t>金泰表面工程有限公司</w:t>
      </w:r>
      <w:r>
        <w:rPr>
          <w:rFonts w:hint="eastAsia"/>
          <w:color w:val="auto"/>
          <w:sz w:val="24"/>
          <w:highlight w:val="none"/>
        </w:rPr>
        <w:t>青岛</w:t>
      </w:r>
      <w:r>
        <w:rPr>
          <w:rFonts w:hint="eastAsia"/>
          <w:color w:val="auto"/>
          <w:sz w:val="24"/>
          <w:highlight w:val="none"/>
          <w:lang w:eastAsia="zh-CN"/>
        </w:rPr>
        <w:t>经济技术开发区电镀工业园二期</w:t>
      </w:r>
      <w:r>
        <w:rPr>
          <w:rFonts w:hint="eastAsia"/>
          <w:color w:val="auto"/>
          <w:sz w:val="24"/>
          <w:highlight w:val="none"/>
        </w:rPr>
        <w:t>建设项目环境影响报告书</w:t>
      </w:r>
      <w:r>
        <w:rPr>
          <w:color w:val="auto"/>
          <w:sz w:val="24"/>
          <w:highlight w:val="none"/>
          <w:lang w:val="zh-CN"/>
        </w:rPr>
        <w:t>》</w:t>
      </w:r>
      <w:r>
        <w:rPr>
          <w:rFonts w:hint="eastAsia"/>
          <w:color w:val="auto"/>
          <w:sz w:val="24"/>
          <w:highlight w:val="none"/>
          <w:lang w:val="zh-CN"/>
        </w:rPr>
        <w:t>中地下水监测内容</w:t>
      </w:r>
      <w:r>
        <w:rPr>
          <w:rFonts w:hint="eastAsia"/>
          <w:color w:val="auto"/>
          <w:sz w:val="24"/>
          <w:highlight w:val="none"/>
          <w:lang w:val="zh-CN"/>
        </w:rPr>
        <w:t>，监测结果见下表3.6-</w:t>
      </w:r>
      <w:r>
        <w:rPr>
          <w:rFonts w:hint="eastAsia"/>
          <w:color w:val="auto"/>
          <w:sz w:val="24"/>
          <w:highlight w:val="none"/>
          <w:lang w:val="en-US" w:eastAsia="zh-CN"/>
        </w:rPr>
        <w:t>12</w:t>
      </w:r>
      <w:r>
        <w:rPr>
          <w:rFonts w:hint="eastAsia"/>
          <w:color w:val="auto"/>
          <w:sz w:val="24"/>
          <w:highlight w:val="none"/>
          <w:lang w:val="zh-CN"/>
        </w:rPr>
        <w:t>。</w:t>
      </w:r>
    </w:p>
    <w:p>
      <w:pPr>
        <w:adjustRightInd w:val="0"/>
        <w:snapToGrid w:val="0"/>
        <w:ind w:firstLine="480" w:firstLineChars="200"/>
        <w:jc w:val="center"/>
        <w:rPr>
          <w:color w:val="auto"/>
          <w:sz w:val="24"/>
          <w:highlight w:val="none"/>
        </w:rPr>
      </w:pPr>
      <w:r>
        <w:rPr>
          <w:rFonts w:eastAsia="黑体"/>
          <w:color w:val="auto"/>
          <w:sz w:val="24"/>
          <w:highlight w:val="none"/>
        </w:rPr>
        <w:t>表</w:t>
      </w:r>
      <w:r>
        <w:rPr>
          <w:rFonts w:hint="eastAsia" w:eastAsia="黑体"/>
          <w:color w:val="auto"/>
          <w:sz w:val="24"/>
          <w:highlight w:val="none"/>
          <w:lang w:eastAsia="zh-CN"/>
        </w:rPr>
        <w:t>3.6</w:t>
      </w:r>
      <w:r>
        <w:rPr>
          <w:rFonts w:hint="eastAsia" w:eastAsia="黑体"/>
          <w:color w:val="auto"/>
          <w:sz w:val="24"/>
          <w:highlight w:val="none"/>
        </w:rPr>
        <w:t>-</w:t>
      </w:r>
      <w:r>
        <w:rPr>
          <w:rFonts w:hint="eastAsia" w:eastAsia="黑体"/>
          <w:color w:val="auto"/>
          <w:sz w:val="24"/>
          <w:highlight w:val="none"/>
          <w:lang w:val="en-US" w:eastAsia="zh-CN"/>
        </w:rPr>
        <w:t>12</w:t>
      </w:r>
      <w:r>
        <w:rPr>
          <w:rFonts w:eastAsia="黑体"/>
          <w:color w:val="auto"/>
          <w:sz w:val="24"/>
          <w:highlight w:val="none"/>
        </w:rPr>
        <w:t xml:space="preserve">  地下水</w:t>
      </w:r>
      <w:r>
        <w:rPr>
          <w:rFonts w:hint="eastAsia" w:eastAsia="黑体"/>
          <w:color w:val="auto"/>
          <w:sz w:val="24"/>
          <w:highlight w:val="none"/>
        </w:rPr>
        <w:t>监测</w:t>
      </w:r>
      <w:r>
        <w:rPr>
          <w:rFonts w:eastAsia="黑体"/>
          <w:color w:val="auto"/>
          <w:sz w:val="24"/>
          <w:highlight w:val="none"/>
        </w:rPr>
        <w:t>结果表</w:t>
      </w:r>
    </w:p>
    <w:tbl>
      <w:tblPr>
        <w:tblStyle w:val="36"/>
        <w:tblW w:w="9231" w:type="dxa"/>
        <w:tblInd w:w="0" w:type="dxa"/>
        <w:tblBorders>
          <w:top w:val="single" w:color="auto" w:sz="2" w:space="0"/>
          <w:left w:val="none" w:color="auto" w:sz="0" w:space="0"/>
          <w:bottom w:val="single" w:color="auto" w:sz="2" w:space="0"/>
          <w:right w:val="none" w:color="auto" w:sz="0" w:space="0"/>
          <w:insideH w:val="dotted" w:color="auto" w:sz="4" w:space="0"/>
          <w:insideV w:val="dotted" w:color="auto" w:sz="4" w:space="0"/>
        </w:tblBorders>
        <w:shd w:val="clear" w:color="auto" w:fill="auto"/>
        <w:tblLayout w:type="fixed"/>
        <w:tblCellMar>
          <w:top w:w="0" w:type="dxa"/>
          <w:left w:w="108" w:type="dxa"/>
          <w:bottom w:w="0" w:type="dxa"/>
          <w:right w:w="108" w:type="dxa"/>
        </w:tblCellMar>
      </w:tblPr>
      <w:tblGrid>
        <w:gridCol w:w="1090"/>
        <w:gridCol w:w="995"/>
        <w:gridCol w:w="1105"/>
        <w:gridCol w:w="1500"/>
        <w:gridCol w:w="1200"/>
        <w:gridCol w:w="1100"/>
        <w:gridCol w:w="1134"/>
        <w:gridCol w:w="1107"/>
      </w:tblGrid>
      <w:tr>
        <w:tblPrEx>
          <w:tblBorders>
            <w:top w:val="single" w:color="auto" w:sz="2" w:space="0"/>
            <w:left w:val="none" w:color="auto" w:sz="0" w:space="0"/>
            <w:bottom w:val="single" w:color="auto" w:sz="2" w:space="0"/>
            <w:right w:val="none" w:color="auto" w:sz="0" w:space="0"/>
            <w:insideH w:val="dotted" w:color="auto" w:sz="4" w:space="0"/>
            <w:insideV w:val="dotted" w:color="auto" w:sz="4" w:space="0"/>
          </w:tblBorders>
          <w:shd w:val="clear" w:color="auto" w:fill="auto"/>
          <w:tblCellMar>
            <w:top w:w="0" w:type="dxa"/>
            <w:left w:w="108" w:type="dxa"/>
            <w:bottom w:w="0" w:type="dxa"/>
            <w:right w:w="108" w:type="dxa"/>
          </w:tblCellMar>
        </w:tblPrEx>
        <w:trPr>
          <w:trHeight w:val="315" w:hRule="atLeast"/>
        </w:trPr>
        <w:tc>
          <w:tcPr>
            <w:tcW w:w="1090" w:type="dxa"/>
            <w:vMerge w:val="restart"/>
            <w:tcBorders>
              <w:tl2br w:val="nil"/>
              <w:tr2bl w:val="nil"/>
            </w:tcBorders>
            <w:shd w:val="clear" w:color="auto" w:fill="auto"/>
            <w:vAlign w:val="center"/>
          </w:tcPr>
          <w:p>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监测项目</w:t>
            </w:r>
          </w:p>
        </w:tc>
        <w:tc>
          <w:tcPr>
            <w:tcW w:w="2100" w:type="dxa"/>
            <w:gridSpan w:val="2"/>
            <w:tcBorders>
              <w:right w:val="dotted" w:color="auto" w:sz="4" w:space="0"/>
              <w:tl2br w:val="nil"/>
              <w:tr2bl w:val="nil"/>
            </w:tcBorders>
            <w:shd w:val="clear" w:color="auto" w:fill="auto"/>
            <w:vAlign w:val="center"/>
          </w:tcPr>
          <w:p>
            <w:pPr>
              <w:widowControl/>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rPr>
              <w:t>20</w:t>
            </w:r>
            <w:r>
              <w:rPr>
                <w:rFonts w:hint="default" w:ascii="Times New Roman" w:hAnsi="Times New Roman" w:cs="Times New Roman"/>
                <w:color w:val="auto"/>
                <w:kern w:val="0"/>
                <w:szCs w:val="21"/>
                <w:highlight w:val="none"/>
                <w:lang w:val="en-US" w:eastAsia="zh-CN"/>
              </w:rPr>
              <w:t>03</w:t>
            </w:r>
            <w:r>
              <w:rPr>
                <w:rFonts w:hint="default" w:ascii="Times New Roman" w:hAnsi="Times New Roman" w:cs="Times New Roman"/>
                <w:color w:val="auto"/>
                <w:kern w:val="0"/>
                <w:szCs w:val="21"/>
                <w:highlight w:val="none"/>
              </w:rPr>
              <w:t>-0</w:t>
            </w:r>
            <w:r>
              <w:rPr>
                <w:rFonts w:hint="default" w:ascii="Times New Roman" w:hAnsi="Times New Roman" w:cs="Times New Roman"/>
                <w:color w:val="auto"/>
                <w:kern w:val="0"/>
                <w:szCs w:val="21"/>
                <w:highlight w:val="none"/>
                <w:lang w:val="en-US" w:eastAsia="zh-CN"/>
              </w:rPr>
              <w:t>8</w:t>
            </w:r>
          </w:p>
        </w:tc>
        <w:tc>
          <w:tcPr>
            <w:tcW w:w="1500" w:type="dxa"/>
            <w:vMerge w:val="restart"/>
            <w:tcBorders>
              <w:left w:val="dotted" w:color="auto" w:sz="4" w:space="0"/>
              <w:tl2br w:val="nil"/>
              <w:tr2bl w:val="nil"/>
            </w:tcBorders>
            <w:shd w:val="clear" w:color="auto" w:fill="auto"/>
            <w:vAlign w:val="center"/>
          </w:tcPr>
          <w:p>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监测项目</w:t>
            </w:r>
          </w:p>
        </w:tc>
        <w:tc>
          <w:tcPr>
            <w:tcW w:w="4541" w:type="dxa"/>
            <w:gridSpan w:val="4"/>
            <w:tcBorders>
              <w:tl2br w:val="nil"/>
              <w:tr2bl w:val="nil"/>
            </w:tcBorders>
            <w:shd w:val="clear" w:color="auto" w:fill="auto"/>
            <w:vAlign w:val="center"/>
          </w:tcPr>
          <w:p>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20</w:t>
            </w:r>
            <w:r>
              <w:rPr>
                <w:rFonts w:hint="default" w:ascii="Times New Roman" w:hAnsi="Times New Roman" w:cs="Times New Roman"/>
                <w:color w:val="auto"/>
                <w:kern w:val="0"/>
                <w:szCs w:val="21"/>
                <w:highlight w:val="none"/>
                <w:lang w:val="en-US" w:eastAsia="zh-CN"/>
              </w:rPr>
              <w:t>13</w:t>
            </w:r>
            <w:r>
              <w:rPr>
                <w:rFonts w:hint="default" w:ascii="Times New Roman" w:hAnsi="Times New Roman" w:cs="Times New Roman"/>
                <w:color w:val="auto"/>
                <w:kern w:val="0"/>
                <w:szCs w:val="21"/>
                <w:highlight w:val="none"/>
              </w:rPr>
              <w:t>-0</w:t>
            </w:r>
            <w:r>
              <w:rPr>
                <w:rFonts w:hint="default" w:ascii="Times New Roman" w:hAnsi="Times New Roman" w:cs="Times New Roman"/>
                <w:color w:val="auto"/>
                <w:kern w:val="0"/>
                <w:szCs w:val="21"/>
                <w:highlight w:val="none"/>
                <w:lang w:val="en-US" w:eastAsia="zh-CN"/>
              </w:rPr>
              <w:t>9-24</w:t>
            </w:r>
          </w:p>
        </w:tc>
      </w:tr>
      <w:tr>
        <w:tblPrEx>
          <w:tblBorders>
            <w:top w:val="single" w:color="auto" w:sz="2" w:space="0"/>
            <w:left w:val="none" w:color="auto" w:sz="0" w:space="0"/>
            <w:bottom w:val="single" w:color="auto" w:sz="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15" w:hRule="atLeast"/>
        </w:trPr>
        <w:tc>
          <w:tcPr>
            <w:tcW w:w="1090" w:type="dxa"/>
            <w:vMerge w:val="continue"/>
            <w:tcBorders>
              <w:tl2br w:val="nil"/>
              <w:tr2bl w:val="nil"/>
            </w:tcBorders>
            <w:shd w:val="clear" w:color="auto" w:fill="auto"/>
            <w:vAlign w:val="center"/>
          </w:tcPr>
          <w:p>
            <w:pPr>
              <w:widowControl/>
              <w:jc w:val="center"/>
              <w:rPr>
                <w:rFonts w:hint="default" w:ascii="Times New Roman" w:hAnsi="Times New Roman" w:cs="Times New Roman"/>
                <w:color w:val="auto"/>
                <w:kern w:val="0"/>
                <w:szCs w:val="21"/>
                <w:highlight w:val="none"/>
              </w:rPr>
            </w:pPr>
          </w:p>
        </w:tc>
        <w:tc>
          <w:tcPr>
            <w:tcW w:w="2100" w:type="dxa"/>
            <w:gridSpan w:val="2"/>
            <w:tcBorders>
              <w:right w:val="dotted" w:color="auto" w:sz="4" w:space="0"/>
              <w:tl2br w:val="nil"/>
              <w:tr2bl w:val="nil"/>
            </w:tcBorders>
            <w:shd w:val="clear" w:color="auto" w:fill="auto"/>
            <w:noWrap/>
            <w:vAlign w:val="center"/>
          </w:tcPr>
          <w:p>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lang w:val="en-US" w:eastAsia="zh-CN"/>
              </w:rPr>
              <w:t>电镀工业园</w:t>
            </w:r>
          </w:p>
        </w:tc>
        <w:tc>
          <w:tcPr>
            <w:tcW w:w="1500" w:type="dxa"/>
            <w:vMerge w:val="continue"/>
            <w:tcBorders>
              <w:left w:val="dotted" w:color="auto" w:sz="4" w:space="0"/>
              <w:tl2br w:val="nil"/>
              <w:tr2bl w:val="nil"/>
            </w:tcBorders>
            <w:shd w:val="clear" w:color="auto" w:fill="auto"/>
            <w:noWrap/>
            <w:vAlign w:val="center"/>
          </w:tcPr>
          <w:p>
            <w:pPr>
              <w:widowControl/>
              <w:jc w:val="center"/>
              <w:rPr>
                <w:rFonts w:hint="default" w:ascii="Times New Roman" w:hAnsi="Times New Roman" w:cs="Times New Roman"/>
                <w:color w:val="auto"/>
                <w:kern w:val="0"/>
                <w:szCs w:val="21"/>
                <w:highlight w:val="none"/>
                <w:lang w:val="en-US" w:eastAsia="zh-CN"/>
              </w:rPr>
            </w:pPr>
          </w:p>
        </w:tc>
        <w:tc>
          <w:tcPr>
            <w:tcW w:w="2300" w:type="dxa"/>
            <w:gridSpan w:val="2"/>
            <w:tcBorders>
              <w:tl2br w:val="nil"/>
              <w:tr2bl w:val="nil"/>
            </w:tcBorders>
            <w:shd w:val="clear" w:color="auto" w:fill="auto"/>
            <w:vAlign w:val="center"/>
          </w:tcPr>
          <w:p>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lang w:val="en-US" w:eastAsia="zh-CN"/>
              </w:rPr>
              <w:t>1#</w:t>
            </w:r>
            <w:r>
              <w:rPr>
                <w:rFonts w:hint="default" w:ascii="Times New Roman" w:hAnsi="Times New Roman" w:cs="Times New Roman"/>
                <w:color w:val="auto"/>
                <w:kern w:val="0"/>
                <w:szCs w:val="21"/>
                <w:highlight w:val="none"/>
              </w:rPr>
              <w:t>东盐滩村</w:t>
            </w:r>
          </w:p>
        </w:tc>
        <w:tc>
          <w:tcPr>
            <w:tcW w:w="2241" w:type="dxa"/>
            <w:gridSpan w:val="2"/>
            <w:tcBorders>
              <w:tl2br w:val="nil"/>
              <w:tr2bl w:val="nil"/>
            </w:tcBorders>
            <w:shd w:val="clear" w:color="auto" w:fill="auto"/>
            <w:noWrap/>
            <w:vAlign w:val="center"/>
          </w:tcPr>
          <w:p>
            <w:pPr>
              <w:widowControl/>
              <w:jc w:val="center"/>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2#</w:t>
            </w:r>
            <w:r>
              <w:rPr>
                <w:rFonts w:hint="default" w:ascii="Times New Roman" w:hAnsi="Times New Roman" w:cs="Times New Roman"/>
                <w:color w:val="auto"/>
                <w:kern w:val="0"/>
                <w:szCs w:val="21"/>
                <w:highlight w:val="none"/>
              </w:rPr>
              <w:t>项目区</w:t>
            </w:r>
          </w:p>
        </w:tc>
      </w:tr>
      <w:tr>
        <w:tblPrEx>
          <w:tblBorders>
            <w:top w:val="single" w:color="auto" w:sz="2" w:space="0"/>
            <w:left w:val="none" w:color="auto" w:sz="0" w:space="0"/>
            <w:bottom w:val="single" w:color="auto" w:sz="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15" w:hRule="atLeast"/>
        </w:trPr>
        <w:tc>
          <w:tcPr>
            <w:tcW w:w="1090" w:type="dxa"/>
            <w:vMerge w:val="continue"/>
            <w:tcBorders>
              <w:tl2br w:val="nil"/>
              <w:tr2bl w:val="nil"/>
            </w:tcBorders>
            <w:shd w:val="clear" w:color="auto" w:fill="auto"/>
            <w:vAlign w:val="center"/>
          </w:tcPr>
          <w:p>
            <w:pPr>
              <w:widowControl/>
              <w:jc w:val="center"/>
              <w:rPr>
                <w:rFonts w:hint="default" w:ascii="Times New Roman" w:hAnsi="Times New Roman" w:cs="Times New Roman"/>
                <w:color w:val="auto"/>
                <w:kern w:val="0"/>
                <w:szCs w:val="21"/>
                <w:highlight w:val="none"/>
              </w:rPr>
            </w:pPr>
          </w:p>
        </w:tc>
        <w:tc>
          <w:tcPr>
            <w:tcW w:w="995" w:type="dxa"/>
            <w:tcBorders>
              <w:tl2br w:val="nil"/>
              <w:tr2bl w:val="nil"/>
            </w:tcBorders>
            <w:shd w:val="clear" w:color="auto" w:fill="auto"/>
            <w:noWrap/>
            <w:vAlign w:val="center"/>
          </w:tcPr>
          <w:p>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监测值</w:t>
            </w:r>
          </w:p>
        </w:tc>
        <w:tc>
          <w:tcPr>
            <w:tcW w:w="1105" w:type="dxa"/>
            <w:tcBorders>
              <w:right w:val="dotted" w:color="auto" w:sz="4" w:space="0"/>
              <w:tl2br w:val="nil"/>
              <w:tr2bl w:val="nil"/>
            </w:tcBorders>
            <w:shd w:val="clear" w:color="auto" w:fill="auto"/>
            <w:vAlign w:val="center"/>
          </w:tcPr>
          <w:p>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污染指数</w:t>
            </w:r>
          </w:p>
        </w:tc>
        <w:tc>
          <w:tcPr>
            <w:tcW w:w="1500" w:type="dxa"/>
            <w:vMerge w:val="continue"/>
            <w:tcBorders>
              <w:left w:val="dotted" w:color="auto" w:sz="4" w:space="0"/>
              <w:tl2br w:val="nil"/>
              <w:tr2bl w:val="nil"/>
            </w:tcBorders>
            <w:shd w:val="clear" w:color="auto" w:fill="auto"/>
            <w:vAlign w:val="center"/>
          </w:tcPr>
          <w:p>
            <w:pPr>
              <w:widowControl/>
              <w:jc w:val="center"/>
              <w:rPr>
                <w:rFonts w:hint="default" w:ascii="Times New Roman" w:hAnsi="Times New Roman" w:cs="Times New Roman"/>
                <w:color w:val="auto"/>
                <w:kern w:val="0"/>
                <w:szCs w:val="21"/>
                <w:highlight w:val="none"/>
              </w:rPr>
            </w:pPr>
          </w:p>
        </w:tc>
        <w:tc>
          <w:tcPr>
            <w:tcW w:w="1200" w:type="dxa"/>
            <w:tcBorders>
              <w:tl2br w:val="nil"/>
              <w:tr2bl w:val="nil"/>
            </w:tcBorders>
            <w:shd w:val="clear" w:color="auto" w:fill="auto"/>
            <w:vAlign w:val="center"/>
          </w:tcPr>
          <w:p>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监测值</w:t>
            </w:r>
          </w:p>
        </w:tc>
        <w:tc>
          <w:tcPr>
            <w:tcW w:w="1100" w:type="dxa"/>
            <w:tcBorders>
              <w:tl2br w:val="nil"/>
              <w:tr2bl w:val="nil"/>
            </w:tcBorders>
            <w:shd w:val="clear" w:color="auto" w:fill="auto"/>
            <w:vAlign w:val="center"/>
          </w:tcPr>
          <w:p>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污染指数</w:t>
            </w:r>
          </w:p>
        </w:tc>
        <w:tc>
          <w:tcPr>
            <w:tcW w:w="1134" w:type="dxa"/>
            <w:tcBorders>
              <w:tl2br w:val="nil"/>
              <w:tr2bl w:val="nil"/>
            </w:tcBorders>
            <w:shd w:val="clear" w:color="auto" w:fill="auto"/>
            <w:noWrap/>
            <w:vAlign w:val="center"/>
          </w:tcPr>
          <w:p>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监测值</w:t>
            </w:r>
          </w:p>
        </w:tc>
        <w:tc>
          <w:tcPr>
            <w:tcW w:w="1107" w:type="dxa"/>
            <w:tcBorders>
              <w:tl2br w:val="nil"/>
              <w:tr2bl w:val="nil"/>
            </w:tcBorders>
            <w:shd w:val="clear" w:color="auto" w:fill="auto"/>
            <w:noWrap/>
            <w:vAlign w:val="center"/>
          </w:tcPr>
          <w:p>
            <w:pPr>
              <w:widowControl/>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污染指数</w:t>
            </w:r>
          </w:p>
        </w:tc>
      </w:tr>
      <w:tr>
        <w:tblPrEx>
          <w:tblBorders>
            <w:top w:val="single" w:color="auto" w:sz="2" w:space="0"/>
            <w:left w:val="none" w:color="auto" w:sz="0" w:space="0"/>
            <w:bottom w:val="single" w:color="auto" w:sz="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15" w:hRule="atLeast"/>
        </w:trPr>
        <w:tc>
          <w:tcPr>
            <w:tcW w:w="1090" w:type="dxa"/>
            <w:tcBorders>
              <w:tl2br w:val="nil"/>
              <w:tr2bl w:val="nil"/>
            </w:tcBorders>
            <w:shd w:val="clear" w:color="auto" w:fill="auto"/>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PH</w:t>
            </w:r>
          </w:p>
        </w:tc>
        <w:tc>
          <w:tcPr>
            <w:tcW w:w="995" w:type="dxa"/>
            <w:tcBorders>
              <w:tl2br w:val="nil"/>
              <w:tr2bl w:val="nil"/>
            </w:tcBorders>
            <w:shd w:val="clear" w:color="auto" w:fill="EEECE1" w:themeFill="background2"/>
            <w:noWrap/>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6.37</w:t>
            </w:r>
          </w:p>
        </w:tc>
        <w:tc>
          <w:tcPr>
            <w:tcW w:w="1105" w:type="dxa"/>
            <w:tcBorders>
              <w:right w:val="dotted" w:color="auto" w:sz="4" w:space="0"/>
              <w:tl2br w:val="nil"/>
              <w:tr2bl w:val="nil"/>
            </w:tcBorders>
            <w:shd w:val="clear" w:color="auto" w:fill="EEECE1" w:themeFill="background2"/>
            <w:vAlign w:val="center"/>
          </w:tcPr>
          <w:p>
            <w:pPr>
              <w:widowControl/>
              <w:jc w:val="center"/>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1.26</w:t>
            </w:r>
          </w:p>
        </w:tc>
        <w:tc>
          <w:tcPr>
            <w:tcW w:w="1500" w:type="dxa"/>
            <w:tcBorders>
              <w:left w:val="dotted" w:color="auto" w:sz="4" w:space="0"/>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val="en-US" w:eastAsia="zh-CN"/>
              </w:rPr>
              <w:t>PH</w:t>
            </w:r>
          </w:p>
        </w:tc>
        <w:tc>
          <w:tcPr>
            <w:tcW w:w="1200" w:type="dxa"/>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6.94</w:t>
            </w:r>
          </w:p>
        </w:tc>
        <w:tc>
          <w:tcPr>
            <w:tcW w:w="1100" w:type="dxa"/>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0.12</w:t>
            </w:r>
          </w:p>
        </w:tc>
        <w:tc>
          <w:tcPr>
            <w:tcW w:w="1134" w:type="dxa"/>
            <w:tcBorders>
              <w:tl2br w:val="nil"/>
              <w:tr2bl w:val="nil"/>
            </w:tcBorders>
            <w:shd w:val="clear" w:color="auto" w:fill="auto"/>
            <w:noWrap/>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6.71</w:t>
            </w:r>
          </w:p>
        </w:tc>
        <w:tc>
          <w:tcPr>
            <w:tcW w:w="1107" w:type="dxa"/>
            <w:tcBorders>
              <w:tl2br w:val="nil"/>
              <w:tr2bl w:val="nil"/>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0.58</w:t>
            </w:r>
          </w:p>
        </w:tc>
      </w:tr>
      <w:tr>
        <w:tblPrEx>
          <w:tblBorders>
            <w:top w:val="single" w:color="auto" w:sz="2" w:space="0"/>
            <w:left w:val="none" w:color="auto" w:sz="0" w:space="0"/>
            <w:bottom w:val="single" w:color="auto" w:sz="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090" w:type="dxa"/>
            <w:tcBorders>
              <w:tl2br w:val="nil"/>
              <w:tr2bl w:val="nil"/>
            </w:tcBorders>
            <w:shd w:val="clear" w:color="auto" w:fill="auto"/>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总硬度</w:t>
            </w:r>
          </w:p>
        </w:tc>
        <w:tc>
          <w:tcPr>
            <w:tcW w:w="995" w:type="dxa"/>
            <w:tcBorders>
              <w:tl2br w:val="nil"/>
              <w:tr2bl w:val="nil"/>
            </w:tcBorders>
            <w:shd w:val="clear" w:color="auto" w:fill="auto"/>
            <w:noWrap/>
            <w:vAlign w:val="center"/>
          </w:tcPr>
          <w:p>
            <w:pPr>
              <w:widowControl/>
              <w:jc w:val="center"/>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157.3</w:t>
            </w:r>
          </w:p>
        </w:tc>
        <w:tc>
          <w:tcPr>
            <w:tcW w:w="1105" w:type="dxa"/>
            <w:tcBorders>
              <w:right w:val="dotted" w:color="auto" w:sz="4" w:space="0"/>
              <w:tl2br w:val="nil"/>
              <w:tr2bl w:val="nil"/>
            </w:tcBorders>
            <w:shd w:val="clear" w:color="auto" w:fill="auto"/>
            <w:vAlign w:val="center"/>
          </w:tcPr>
          <w:p>
            <w:pPr>
              <w:widowControl/>
              <w:jc w:val="center"/>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0.35</w:t>
            </w:r>
          </w:p>
        </w:tc>
        <w:tc>
          <w:tcPr>
            <w:tcW w:w="1500" w:type="dxa"/>
            <w:tcBorders>
              <w:left w:val="dotted" w:color="auto" w:sz="4" w:space="0"/>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cs="Times New Roman"/>
                <w:color w:val="auto"/>
                <w:kern w:val="0"/>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总硬度</w:t>
            </w:r>
          </w:p>
        </w:tc>
        <w:tc>
          <w:tcPr>
            <w:tcW w:w="1200" w:type="dxa"/>
            <w:tcBorders>
              <w:tl2br w:val="nil"/>
              <w:tr2bl w:val="nil"/>
            </w:tcBorders>
            <w:shd w:val="clear" w:color="auto" w:fill="auto"/>
            <w:vAlign w:val="center"/>
          </w:tcPr>
          <w:p>
            <w:pPr>
              <w:widowControl/>
              <w:jc w:val="center"/>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436</w:t>
            </w:r>
          </w:p>
        </w:tc>
        <w:tc>
          <w:tcPr>
            <w:tcW w:w="1100" w:type="dxa"/>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cs="Times New Roman"/>
                <w:color w:val="auto"/>
                <w:kern w:val="0"/>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0.97</w:t>
            </w:r>
          </w:p>
        </w:tc>
        <w:tc>
          <w:tcPr>
            <w:tcW w:w="1134" w:type="dxa"/>
            <w:tcBorders>
              <w:tl2br w:val="nil"/>
              <w:tr2bl w:val="nil"/>
            </w:tcBorders>
            <w:shd w:val="clear" w:color="auto" w:fill="EEECE1" w:themeFill="background2"/>
            <w:noWrap/>
            <w:vAlign w:val="center"/>
          </w:tcPr>
          <w:p>
            <w:pPr>
              <w:widowControl/>
              <w:jc w:val="center"/>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3268</w:t>
            </w:r>
          </w:p>
        </w:tc>
        <w:tc>
          <w:tcPr>
            <w:tcW w:w="1107" w:type="dxa"/>
            <w:tcBorders>
              <w:tl2br w:val="nil"/>
              <w:tr2bl w:val="nil"/>
            </w:tcBorders>
            <w:shd w:val="clear" w:color="auto" w:fill="EEECE1" w:themeFill="background2"/>
            <w:noWrap/>
            <w:vAlign w:val="center"/>
          </w:tcPr>
          <w:p>
            <w:pPr>
              <w:keepNext w:val="0"/>
              <w:keepLines w:val="0"/>
              <w:widowControl/>
              <w:suppressLineNumbers w:val="0"/>
              <w:jc w:val="center"/>
              <w:textAlignment w:val="bottom"/>
              <w:rPr>
                <w:rFonts w:hint="default" w:ascii="Times New Roman" w:hAnsi="Times New Roman" w:cs="Times New Roman"/>
                <w:color w:val="auto"/>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7.26</w:t>
            </w:r>
          </w:p>
        </w:tc>
      </w:tr>
      <w:tr>
        <w:tblPrEx>
          <w:tblBorders>
            <w:top w:val="single" w:color="auto" w:sz="2" w:space="0"/>
            <w:left w:val="none" w:color="auto" w:sz="0" w:space="0"/>
            <w:bottom w:val="single" w:color="auto" w:sz="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090" w:type="dxa"/>
            <w:tcBorders>
              <w:tl2br w:val="nil"/>
              <w:tr2bl w:val="nil"/>
            </w:tcBorders>
            <w:shd w:val="clear" w:color="auto" w:fill="auto"/>
            <w:vAlign w:val="center"/>
          </w:tcPr>
          <w:p>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硫酸盐</w:t>
            </w:r>
          </w:p>
        </w:tc>
        <w:tc>
          <w:tcPr>
            <w:tcW w:w="995" w:type="dxa"/>
            <w:tcBorders>
              <w:tl2br w:val="nil"/>
              <w:tr2bl w:val="nil"/>
            </w:tcBorders>
            <w:shd w:val="clear" w:color="auto" w:fill="auto"/>
            <w:noWrap/>
            <w:vAlign w:val="center"/>
          </w:tcPr>
          <w:p>
            <w:pPr>
              <w:widowControl/>
              <w:jc w:val="center"/>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0.97</w:t>
            </w:r>
          </w:p>
        </w:tc>
        <w:tc>
          <w:tcPr>
            <w:tcW w:w="1105" w:type="dxa"/>
            <w:tcBorders>
              <w:right w:val="dotted" w:color="auto" w:sz="4" w:space="0"/>
              <w:tl2br w:val="nil"/>
              <w:tr2bl w:val="nil"/>
            </w:tcBorders>
            <w:shd w:val="clear" w:color="auto" w:fill="auto"/>
            <w:vAlign w:val="center"/>
          </w:tcPr>
          <w:p>
            <w:pPr>
              <w:widowControl/>
              <w:jc w:val="center"/>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0.004</w:t>
            </w:r>
          </w:p>
        </w:tc>
        <w:tc>
          <w:tcPr>
            <w:tcW w:w="1500" w:type="dxa"/>
            <w:tcBorders>
              <w:left w:val="dotted" w:color="auto" w:sz="4" w:space="0"/>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cs="Times New Roman"/>
                <w:color w:val="auto"/>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溶解性总固体</w:t>
            </w:r>
          </w:p>
        </w:tc>
        <w:tc>
          <w:tcPr>
            <w:tcW w:w="1200" w:type="dxa"/>
            <w:tcBorders>
              <w:tl2br w:val="nil"/>
              <w:tr2bl w:val="nil"/>
            </w:tcBorders>
            <w:shd w:val="clear" w:color="auto" w:fill="auto"/>
            <w:vAlign w:val="center"/>
          </w:tcPr>
          <w:p>
            <w:pPr>
              <w:widowControl/>
              <w:jc w:val="center"/>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928</w:t>
            </w:r>
          </w:p>
        </w:tc>
        <w:tc>
          <w:tcPr>
            <w:tcW w:w="1100" w:type="dxa"/>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cs="Times New Roman"/>
                <w:color w:val="auto"/>
                <w:kern w:val="0"/>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0.93</w:t>
            </w:r>
          </w:p>
        </w:tc>
        <w:tc>
          <w:tcPr>
            <w:tcW w:w="1134" w:type="dxa"/>
            <w:tcBorders>
              <w:tl2br w:val="nil"/>
              <w:tr2bl w:val="nil"/>
            </w:tcBorders>
            <w:shd w:val="clear" w:color="auto" w:fill="EEECE1" w:themeFill="background2"/>
            <w:noWrap/>
            <w:vAlign w:val="center"/>
          </w:tcPr>
          <w:p>
            <w:pPr>
              <w:widowControl/>
              <w:jc w:val="center"/>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16796</w:t>
            </w:r>
          </w:p>
        </w:tc>
        <w:tc>
          <w:tcPr>
            <w:tcW w:w="1107" w:type="dxa"/>
            <w:tcBorders>
              <w:tl2br w:val="nil"/>
              <w:tr2bl w:val="nil"/>
            </w:tcBorders>
            <w:shd w:val="clear" w:color="auto" w:fill="EEECE1" w:themeFill="background2"/>
            <w:noWrap/>
            <w:vAlign w:val="center"/>
          </w:tcPr>
          <w:p>
            <w:pPr>
              <w:keepNext w:val="0"/>
              <w:keepLines w:val="0"/>
              <w:widowControl/>
              <w:suppressLineNumbers w:val="0"/>
              <w:jc w:val="center"/>
              <w:textAlignment w:val="bottom"/>
              <w:rPr>
                <w:rFonts w:hint="default" w:ascii="Times New Roman" w:hAnsi="Times New Roman" w:cs="Times New Roman"/>
                <w:color w:val="auto"/>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16.8</w:t>
            </w:r>
          </w:p>
        </w:tc>
      </w:tr>
      <w:tr>
        <w:tblPrEx>
          <w:tblBorders>
            <w:top w:val="single" w:color="auto" w:sz="2" w:space="0"/>
            <w:left w:val="none" w:color="auto" w:sz="0" w:space="0"/>
            <w:bottom w:val="single" w:color="auto" w:sz="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090" w:type="dxa"/>
            <w:tcBorders>
              <w:tl2br w:val="nil"/>
              <w:tr2bl w:val="nil"/>
            </w:tcBorders>
            <w:shd w:val="clear" w:color="auto" w:fill="auto"/>
            <w:vAlign w:val="center"/>
          </w:tcPr>
          <w:p>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氨氮</w:t>
            </w:r>
          </w:p>
        </w:tc>
        <w:tc>
          <w:tcPr>
            <w:tcW w:w="995" w:type="dxa"/>
            <w:tcBorders>
              <w:tl2br w:val="nil"/>
              <w:tr2bl w:val="nil"/>
            </w:tcBorders>
            <w:shd w:val="clear" w:color="auto" w:fill="auto"/>
            <w:noWrap/>
            <w:vAlign w:val="center"/>
          </w:tcPr>
          <w:p>
            <w:pPr>
              <w:widowControl/>
              <w:jc w:val="center"/>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0.052</w:t>
            </w:r>
          </w:p>
        </w:tc>
        <w:tc>
          <w:tcPr>
            <w:tcW w:w="1105" w:type="dxa"/>
            <w:tcBorders>
              <w:right w:val="dotted" w:color="auto" w:sz="4" w:space="0"/>
              <w:tl2br w:val="nil"/>
              <w:tr2bl w:val="nil"/>
            </w:tcBorders>
            <w:shd w:val="clear" w:color="auto" w:fill="auto"/>
            <w:vAlign w:val="center"/>
          </w:tcPr>
          <w:p>
            <w:pPr>
              <w:widowControl/>
              <w:jc w:val="center"/>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0.104</w:t>
            </w:r>
          </w:p>
        </w:tc>
        <w:tc>
          <w:tcPr>
            <w:tcW w:w="1500" w:type="dxa"/>
            <w:tcBorders>
              <w:left w:val="dotted" w:color="auto" w:sz="4" w:space="0"/>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cs="Times New Roman"/>
                <w:color w:val="auto"/>
                <w:kern w:val="0"/>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硫酸盐</w:t>
            </w:r>
          </w:p>
        </w:tc>
        <w:tc>
          <w:tcPr>
            <w:tcW w:w="1200" w:type="dxa"/>
            <w:tcBorders>
              <w:tl2br w:val="nil"/>
              <w:tr2bl w:val="nil"/>
            </w:tcBorders>
            <w:shd w:val="clear" w:color="auto" w:fill="auto"/>
            <w:vAlign w:val="center"/>
          </w:tcPr>
          <w:p>
            <w:pPr>
              <w:widowControl/>
              <w:jc w:val="center"/>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162</w:t>
            </w:r>
          </w:p>
        </w:tc>
        <w:tc>
          <w:tcPr>
            <w:tcW w:w="1100" w:type="dxa"/>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cs="Times New Roman"/>
                <w:color w:val="auto"/>
                <w:kern w:val="0"/>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0.65</w:t>
            </w:r>
          </w:p>
        </w:tc>
        <w:tc>
          <w:tcPr>
            <w:tcW w:w="1134" w:type="dxa"/>
            <w:tcBorders>
              <w:tl2br w:val="nil"/>
              <w:tr2bl w:val="nil"/>
            </w:tcBorders>
            <w:shd w:val="clear" w:color="auto" w:fill="EEECE1" w:themeFill="background2"/>
            <w:noWrap/>
            <w:vAlign w:val="center"/>
          </w:tcPr>
          <w:p>
            <w:pPr>
              <w:widowControl/>
              <w:jc w:val="center"/>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918</w:t>
            </w:r>
          </w:p>
        </w:tc>
        <w:tc>
          <w:tcPr>
            <w:tcW w:w="1107" w:type="dxa"/>
            <w:tcBorders>
              <w:tl2br w:val="nil"/>
              <w:tr2bl w:val="nil"/>
            </w:tcBorders>
            <w:shd w:val="clear" w:color="auto" w:fill="EEECE1" w:themeFill="background2"/>
            <w:noWrap/>
            <w:vAlign w:val="center"/>
          </w:tcPr>
          <w:p>
            <w:pPr>
              <w:keepNext w:val="0"/>
              <w:keepLines w:val="0"/>
              <w:widowControl/>
              <w:suppressLineNumbers w:val="0"/>
              <w:jc w:val="center"/>
              <w:textAlignment w:val="bottom"/>
              <w:rPr>
                <w:rFonts w:hint="default" w:ascii="Times New Roman" w:hAnsi="Times New Roman" w:cs="Times New Roman"/>
                <w:color w:val="auto"/>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3.67</w:t>
            </w:r>
          </w:p>
        </w:tc>
      </w:tr>
      <w:tr>
        <w:tblPrEx>
          <w:tblBorders>
            <w:top w:val="single" w:color="auto" w:sz="2" w:space="0"/>
            <w:left w:val="none" w:color="auto" w:sz="0" w:space="0"/>
            <w:bottom w:val="single" w:color="auto" w:sz="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92" w:hRule="atLeast"/>
        </w:trPr>
        <w:tc>
          <w:tcPr>
            <w:tcW w:w="1090" w:type="dxa"/>
            <w:tcBorders>
              <w:tl2br w:val="nil"/>
              <w:tr2bl w:val="nil"/>
            </w:tcBorders>
            <w:shd w:val="clear" w:color="auto" w:fill="auto"/>
            <w:noWrap/>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氯化物</w:t>
            </w:r>
          </w:p>
        </w:tc>
        <w:tc>
          <w:tcPr>
            <w:tcW w:w="995" w:type="dxa"/>
            <w:tcBorders>
              <w:tl2br w:val="nil"/>
              <w:tr2bl w:val="nil"/>
            </w:tcBorders>
            <w:shd w:val="clear" w:color="auto" w:fill="EEECE1" w:themeFill="background2"/>
            <w:noWrap/>
            <w:vAlign w:val="center"/>
          </w:tcPr>
          <w:p>
            <w:pPr>
              <w:widowControl/>
              <w:jc w:val="center"/>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612</w:t>
            </w:r>
          </w:p>
        </w:tc>
        <w:tc>
          <w:tcPr>
            <w:tcW w:w="1105" w:type="dxa"/>
            <w:tcBorders>
              <w:right w:val="dotted" w:color="auto" w:sz="4" w:space="0"/>
              <w:tl2br w:val="nil"/>
              <w:tr2bl w:val="nil"/>
            </w:tcBorders>
            <w:shd w:val="clear" w:color="auto" w:fill="EEECE1" w:themeFill="background2"/>
            <w:vAlign w:val="center"/>
          </w:tcPr>
          <w:p>
            <w:pPr>
              <w:widowControl/>
              <w:jc w:val="center"/>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2.448</w:t>
            </w:r>
          </w:p>
        </w:tc>
        <w:tc>
          <w:tcPr>
            <w:tcW w:w="1500" w:type="dxa"/>
            <w:tcBorders>
              <w:left w:val="dotted" w:color="auto" w:sz="4" w:space="0"/>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cs="Times New Roman"/>
                <w:color w:val="auto"/>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硝酸盐</w:t>
            </w:r>
          </w:p>
        </w:tc>
        <w:tc>
          <w:tcPr>
            <w:tcW w:w="1200" w:type="dxa"/>
            <w:tcBorders>
              <w:tl2br w:val="nil"/>
              <w:tr2bl w:val="nil"/>
            </w:tcBorders>
            <w:shd w:val="clear" w:color="auto" w:fill="EEECE1" w:themeFill="background2"/>
            <w:vAlign w:val="center"/>
          </w:tcPr>
          <w:p>
            <w:pPr>
              <w:widowControl/>
              <w:jc w:val="center"/>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46.9</w:t>
            </w:r>
          </w:p>
        </w:tc>
        <w:tc>
          <w:tcPr>
            <w:tcW w:w="1100" w:type="dxa"/>
            <w:tcBorders>
              <w:tl2br w:val="nil"/>
              <w:tr2bl w:val="nil"/>
            </w:tcBorders>
            <w:shd w:val="clear" w:color="auto" w:fill="EEECE1" w:themeFill="background2"/>
            <w:vAlign w:val="center"/>
          </w:tcPr>
          <w:p>
            <w:pPr>
              <w:keepNext w:val="0"/>
              <w:keepLines w:val="0"/>
              <w:widowControl/>
              <w:suppressLineNumbers w:val="0"/>
              <w:jc w:val="center"/>
              <w:textAlignment w:val="bottom"/>
              <w:rPr>
                <w:rFonts w:hint="default" w:ascii="Times New Roman" w:hAnsi="Times New Roman" w:cs="Times New Roman"/>
                <w:color w:val="auto"/>
                <w:kern w:val="0"/>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2.35</w:t>
            </w:r>
          </w:p>
        </w:tc>
        <w:tc>
          <w:tcPr>
            <w:tcW w:w="1134" w:type="dxa"/>
            <w:tcBorders>
              <w:tl2br w:val="nil"/>
              <w:tr2bl w:val="nil"/>
            </w:tcBorders>
            <w:shd w:val="clear" w:color="auto" w:fill="auto"/>
            <w:noWrap/>
            <w:vAlign w:val="center"/>
          </w:tcPr>
          <w:p>
            <w:pPr>
              <w:widowControl/>
              <w:jc w:val="center"/>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11.7</w:t>
            </w:r>
          </w:p>
        </w:tc>
        <w:tc>
          <w:tcPr>
            <w:tcW w:w="1107" w:type="dxa"/>
            <w:tcBorders>
              <w:tl2br w:val="nil"/>
              <w:tr2bl w:val="nil"/>
            </w:tcBorders>
            <w:shd w:val="clear" w:color="auto" w:fill="auto"/>
            <w:noWrap/>
            <w:vAlign w:val="center"/>
          </w:tcPr>
          <w:p>
            <w:pPr>
              <w:keepNext w:val="0"/>
              <w:keepLines w:val="0"/>
              <w:widowControl/>
              <w:suppressLineNumbers w:val="0"/>
              <w:jc w:val="center"/>
              <w:textAlignment w:val="bottom"/>
              <w:rPr>
                <w:rFonts w:hint="default" w:ascii="Times New Roman" w:hAnsi="Times New Roman" w:cs="Times New Roman"/>
                <w:color w:val="auto"/>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0.59</w:t>
            </w:r>
          </w:p>
        </w:tc>
      </w:tr>
      <w:tr>
        <w:tblPrEx>
          <w:tblBorders>
            <w:top w:val="single" w:color="auto" w:sz="2" w:space="0"/>
            <w:left w:val="none" w:color="auto" w:sz="0" w:space="0"/>
            <w:bottom w:val="single" w:color="auto" w:sz="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5" w:hRule="atLeast"/>
        </w:trPr>
        <w:tc>
          <w:tcPr>
            <w:tcW w:w="1090" w:type="dxa"/>
            <w:tcBorders>
              <w:tl2br w:val="nil"/>
              <w:tr2bl w:val="nil"/>
            </w:tcBorders>
            <w:shd w:val="clear" w:color="auto" w:fill="auto"/>
            <w:noWrap/>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eastAsia="zh-CN"/>
              </w:rPr>
              <w:t>六价</w:t>
            </w:r>
            <w:r>
              <w:rPr>
                <w:rFonts w:hint="default" w:ascii="Times New Roman" w:hAnsi="Times New Roman" w:cs="Times New Roman"/>
                <w:color w:val="auto"/>
                <w:kern w:val="0"/>
                <w:szCs w:val="21"/>
                <w:highlight w:val="none"/>
              </w:rPr>
              <w:t>铬</w:t>
            </w:r>
          </w:p>
        </w:tc>
        <w:tc>
          <w:tcPr>
            <w:tcW w:w="995" w:type="dxa"/>
            <w:tcBorders>
              <w:tl2br w:val="nil"/>
              <w:tr2bl w:val="nil"/>
            </w:tcBorders>
            <w:shd w:val="clear" w:color="auto" w:fill="auto"/>
            <w:noWrap/>
            <w:vAlign w:val="center"/>
          </w:tcPr>
          <w:p>
            <w:pPr>
              <w:jc w:val="center"/>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szCs w:val="21"/>
                <w:highlight w:val="none"/>
              </w:rPr>
              <w:t>未检出</w:t>
            </w:r>
          </w:p>
        </w:tc>
        <w:tc>
          <w:tcPr>
            <w:tcW w:w="1105" w:type="dxa"/>
            <w:tcBorders>
              <w:right w:val="dotted" w:color="auto" w:sz="4" w:space="0"/>
              <w:tl2br w:val="nil"/>
              <w:tr2bl w:val="nil"/>
            </w:tcBorders>
            <w:shd w:val="clear" w:color="auto" w:fill="auto"/>
            <w:vAlign w:val="center"/>
          </w:tcPr>
          <w:p>
            <w:pPr>
              <w:widowControl/>
              <w:jc w:val="center"/>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w:t>
            </w:r>
          </w:p>
        </w:tc>
        <w:tc>
          <w:tcPr>
            <w:tcW w:w="1500" w:type="dxa"/>
            <w:tcBorders>
              <w:left w:val="dotted" w:color="auto" w:sz="4" w:space="0"/>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cs="Times New Roman"/>
                <w:color w:val="auto"/>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亚硝酸盐</w:t>
            </w:r>
          </w:p>
        </w:tc>
        <w:tc>
          <w:tcPr>
            <w:tcW w:w="1200" w:type="dxa"/>
            <w:tcBorders>
              <w:tl2br w:val="nil"/>
              <w:tr2bl w:val="nil"/>
            </w:tcBorders>
            <w:shd w:val="clear" w:color="auto" w:fill="auto"/>
            <w:vAlign w:val="center"/>
          </w:tcPr>
          <w:p>
            <w:pPr>
              <w:widowControl/>
              <w:jc w:val="center"/>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＜0.03</w:t>
            </w:r>
          </w:p>
        </w:tc>
        <w:tc>
          <w:tcPr>
            <w:tcW w:w="1100" w:type="dxa"/>
            <w:tcBorders>
              <w:tl2br w:val="nil"/>
              <w:tr2bl w:val="nil"/>
            </w:tcBorders>
            <w:shd w:val="clear" w:color="auto" w:fill="auto"/>
            <w:vAlign w:val="center"/>
          </w:tcPr>
          <w:p>
            <w:pPr>
              <w:widowControl/>
              <w:jc w:val="center"/>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w:t>
            </w:r>
          </w:p>
        </w:tc>
        <w:tc>
          <w:tcPr>
            <w:tcW w:w="1134" w:type="dxa"/>
            <w:tcBorders>
              <w:tl2br w:val="nil"/>
              <w:tr2bl w:val="nil"/>
            </w:tcBorders>
            <w:shd w:val="clear" w:color="auto" w:fill="auto"/>
            <w:noWrap/>
            <w:vAlign w:val="center"/>
          </w:tcPr>
          <w:p>
            <w:pPr>
              <w:widowControl/>
              <w:jc w:val="center"/>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＜0.03</w:t>
            </w:r>
          </w:p>
        </w:tc>
        <w:tc>
          <w:tcPr>
            <w:tcW w:w="1107" w:type="dxa"/>
            <w:tcBorders>
              <w:tl2br w:val="nil"/>
              <w:tr2bl w:val="nil"/>
            </w:tcBorders>
            <w:shd w:val="clear" w:color="auto" w:fill="auto"/>
            <w:noWrap/>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val="en-US" w:eastAsia="zh-CN"/>
              </w:rPr>
              <w:t>—</w:t>
            </w:r>
          </w:p>
        </w:tc>
      </w:tr>
      <w:tr>
        <w:tblPrEx>
          <w:tblBorders>
            <w:top w:val="single" w:color="auto" w:sz="2" w:space="0"/>
            <w:left w:val="none" w:color="auto" w:sz="0" w:space="0"/>
            <w:bottom w:val="single" w:color="auto" w:sz="2" w:space="0"/>
            <w:right w:val="none" w:color="auto" w:sz="0" w:space="0"/>
            <w:insideH w:val="dotted" w:color="auto" w:sz="4" w:space="0"/>
            <w:insideV w:val="dotted" w:color="auto" w:sz="4" w:space="0"/>
          </w:tblBorders>
          <w:shd w:val="clear" w:color="auto" w:fill="auto"/>
          <w:tblCellMar>
            <w:top w:w="0" w:type="dxa"/>
            <w:left w:w="108" w:type="dxa"/>
            <w:bottom w:w="0" w:type="dxa"/>
            <w:right w:w="108" w:type="dxa"/>
          </w:tblCellMar>
        </w:tblPrEx>
        <w:trPr>
          <w:trHeight w:val="285" w:hRule="atLeast"/>
        </w:trPr>
        <w:tc>
          <w:tcPr>
            <w:tcW w:w="1090" w:type="dxa"/>
            <w:tcBorders>
              <w:tl2br w:val="nil"/>
              <w:tr2bl w:val="nil"/>
            </w:tcBorders>
            <w:shd w:val="clear" w:color="auto" w:fill="auto"/>
            <w:noWrap/>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镍</w:t>
            </w:r>
          </w:p>
        </w:tc>
        <w:tc>
          <w:tcPr>
            <w:tcW w:w="995" w:type="dxa"/>
            <w:tcBorders>
              <w:tl2br w:val="nil"/>
              <w:tr2bl w:val="nil"/>
            </w:tcBorders>
            <w:shd w:val="clear" w:color="auto" w:fill="auto"/>
            <w:noWrap/>
            <w:vAlign w:val="center"/>
          </w:tcPr>
          <w:p>
            <w:pPr>
              <w:jc w:val="center"/>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szCs w:val="21"/>
                <w:highlight w:val="none"/>
              </w:rPr>
              <w:t>未检出</w:t>
            </w:r>
          </w:p>
        </w:tc>
        <w:tc>
          <w:tcPr>
            <w:tcW w:w="1105" w:type="dxa"/>
            <w:tcBorders>
              <w:right w:val="dotted" w:color="auto" w:sz="4" w:space="0"/>
              <w:tl2br w:val="nil"/>
              <w:tr2bl w:val="nil"/>
            </w:tcBorders>
            <w:shd w:val="clear" w:color="auto" w:fill="auto"/>
            <w:vAlign w:val="center"/>
          </w:tcPr>
          <w:p>
            <w:pPr>
              <w:widowControl/>
              <w:jc w:val="center"/>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w:t>
            </w:r>
          </w:p>
        </w:tc>
        <w:tc>
          <w:tcPr>
            <w:tcW w:w="1500" w:type="dxa"/>
            <w:tcBorders>
              <w:left w:val="dotted" w:color="auto" w:sz="4" w:space="0"/>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cs="Times New Roman"/>
                <w:color w:val="auto"/>
                <w:kern w:val="0"/>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氨氮</w:t>
            </w:r>
          </w:p>
        </w:tc>
        <w:tc>
          <w:tcPr>
            <w:tcW w:w="1200" w:type="dxa"/>
            <w:tcBorders>
              <w:tl2br w:val="nil"/>
              <w:tr2bl w:val="nil"/>
            </w:tcBorders>
            <w:shd w:val="clear" w:color="auto" w:fill="EEECE1" w:themeFill="background2"/>
            <w:vAlign w:val="center"/>
          </w:tcPr>
          <w:p>
            <w:pPr>
              <w:widowControl/>
              <w:jc w:val="center"/>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1.49</w:t>
            </w:r>
          </w:p>
        </w:tc>
        <w:tc>
          <w:tcPr>
            <w:tcW w:w="1100" w:type="dxa"/>
            <w:tcBorders>
              <w:tl2br w:val="nil"/>
              <w:tr2bl w:val="nil"/>
            </w:tcBorders>
            <w:shd w:val="clear" w:color="auto" w:fill="EEECE1" w:themeFill="background2"/>
            <w:vAlign w:val="center"/>
          </w:tcPr>
          <w:p>
            <w:pPr>
              <w:keepNext w:val="0"/>
              <w:keepLines w:val="0"/>
              <w:widowControl/>
              <w:suppressLineNumbers w:val="0"/>
              <w:jc w:val="center"/>
              <w:textAlignment w:val="bottom"/>
              <w:rPr>
                <w:rFonts w:hint="default" w:ascii="Times New Roman" w:hAnsi="Times New Roman" w:cs="Times New Roman"/>
                <w:color w:val="auto"/>
                <w:kern w:val="0"/>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2.98</w:t>
            </w:r>
          </w:p>
        </w:tc>
        <w:tc>
          <w:tcPr>
            <w:tcW w:w="1134" w:type="dxa"/>
            <w:tcBorders>
              <w:tl2br w:val="nil"/>
              <w:tr2bl w:val="nil"/>
            </w:tcBorders>
            <w:shd w:val="clear" w:color="auto" w:fill="EEECE1" w:themeFill="background2"/>
            <w:noWrap/>
            <w:vAlign w:val="center"/>
          </w:tcPr>
          <w:p>
            <w:pPr>
              <w:widowControl/>
              <w:jc w:val="center"/>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3.23</w:t>
            </w:r>
          </w:p>
        </w:tc>
        <w:tc>
          <w:tcPr>
            <w:tcW w:w="1107" w:type="dxa"/>
            <w:tcBorders>
              <w:tl2br w:val="nil"/>
              <w:tr2bl w:val="nil"/>
            </w:tcBorders>
            <w:shd w:val="clear" w:color="auto" w:fill="EEECE1" w:themeFill="background2"/>
            <w:noWrap/>
            <w:vAlign w:val="center"/>
          </w:tcPr>
          <w:p>
            <w:pPr>
              <w:keepNext w:val="0"/>
              <w:keepLines w:val="0"/>
              <w:widowControl/>
              <w:suppressLineNumbers w:val="0"/>
              <w:jc w:val="center"/>
              <w:textAlignment w:val="bottom"/>
              <w:rPr>
                <w:rFonts w:hint="default" w:ascii="Times New Roman" w:hAnsi="Times New Roman" w:cs="Times New Roman"/>
                <w:color w:val="auto"/>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6.46</w:t>
            </w:r>
          </w:p>
        </w:tc>
      </w:tr>
      <w:tr>
        <w:tblPrEx>
          <w:tblBorders>
            <w:top w:val="single" w:color="auto" w:sz="2" w:space="0"/>
            <w:left w:val="none" w:color="auto" w:sz="0" w:space="0"/>
            <w:bottom w:val="single" w:color="auto" w:sz="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08" w:hRule="atLeast"/>
        </w:trPr>
        <w:tc>
          <w:tcPr>
            <w:tcW w:w="1090" w:type="dxa"/>
            <w:tcBorders>
              <w:tl2br w:val="nil"/>
              <w:tr2bl w:val="nil"/>
            </w:tcBorders>
            <w:shd w:val="clear" w:color="auto" w:fill="auto"/>
            <w:noWrap/>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eastAsia="zh-CN"/>
              </w:rPr>
              <w:t>铜</w:t>
            </w:r>
          </w:p>
        </w:tc>
        <w:tc>
          <w:tcPr>
            <w:tcW w:w="995" w:type="dxa"/>
            <w:tcBorders>
              <w:tl2br w:val="nil"/>
              <w:tr2bl w:val="nil"/>
            </w:tcBorders>
            <w:shd w:val="clear" w:color="auto" w:fill="auto"/>
            <w:noWrap/>
            <w:vAlign w:val="center"/>
          </w:tcPr>
          <w:p>
            <w:pPr>
              <w:jc w:val="center"/>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szCs w:val="21"/>
                <w:highlight w:val="none"/>
              </w:rPr>
              <w:t>未检出</w:t>
            </w:r>
          </w:p>
        </w:tc>
        <w:tc>
          <w:tcPr>
            <w:tcW w:w="1105" w:type="dxa"/>
            <w:tcBorders>
              <w:right w:val="dotted" w:color="auto" w:sz="4" w:space="0"/>
              <w:tl2br w:val="nil"/>
              <w:tr2bl w:val="nil"/>
            </w:tcBorders>
            <w:shd w:val="clear" w:color="auto" w:fill="auto"/>
            <w:vAlign w:val="center"/>
          </w:tcPr>
          <w:p>
            <w:pPr>
              <w:widowControl/>
              <w:jc w:val="center"/>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w:t>
            </w:r>
          </w:p>
        </w:tc>
        <w:tc>
          <w:tcPr>
            <w:tcW w:w="1500" w:type="dxa"/>
            <w:tcBorders>
              <w:left w:val="dotted" w:color="auto" w:sz="4" w:space="0"/>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cs="Times New Roman"/>
                <w:color w:val="auto"/>
                <w:kern w:val="0"/>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氯化物</w:t>
            </w:r>
          </w:p>
        </w:tc>
        <w:tc>
          <w:tcPr>
            <w:tcW w:w="1200" w:type="dxa"/>
            <w:tcBorders>
              <w:tl2br w:val="nil"/>
              <w:tr2bl w:val="nil"/>
            </w:tcBorders>
            <w:shd w:val="clear" w:color="auto" w:fill="auto"/>
            <w:vAlign w:val="center"/>
          </w:tcPr>
          <w:p>
            <w:pPr>
              <w:widowControl/>
              <w:jc w:val="center"/>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127</w:t>
            </w:r>
          </w:p>
        </w:tc>
        <w:tc>
          <w:tcPr>
            <w:tcW w:w="1100" w:type="dxa"/>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cs="Times New Roman"/>
                <w:color w:val="auto"/>
                <w:kern w:val="0"/>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0.51</w:t>
            </w:r>
          </w:p>
        </w:tc>
        <w:tc>
          <w:tcPr>
            <w:tcW w:w="1134" w:type="dxa"/>
            <w:tcBorders>
              <w:tl2br w:val="nil"/>
              <w:tr2bl w:val="nil"/>
            </w:tcBorders>
            <w:shd w:val="clear" w:color="auto" w:fill="EEECE1" w:themeFill="background2"/>
            <w:noWrap/>
            <w:vAlign w:val="center"/>
          </w:tcPr>
          <w:p>
            <w:pPr>
              <w:widowControl/>
              <w:jc w:val="center"/>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932</w:t>
            </w:r>
          </w:p>
        </w:tc>
        <w:tc>
          <w:tcPr>
            <w:tcW w:w="1107" w:type="dxa"/>
            <w:tcBorders>
              <w:tl2br w:val="nil"/>
              <w:tr2bl w:val="nil"/>
            </w:tcBorders>
            <w:shd w:val="clear" w:color="auto" w:fill="EEECE1" w:themeFill="background2"/>
            <w:noWrap/>
            <w:vAlign w:val="center"/>
          </w:tcPr>
          <w:p>
            <w:pPr>
              <w:keepNext w:val="0"/>
              <w:keepLines w:val="0"/>
              <w:widowControl/>
              <w:suppressLineNumbers w:val="0"/>
              <w:jc w:val="center"/>
              <w:textAlignment w:val="bottom"/>
              <w:rPr>
                <w:rFonts w:hint="default" w:ascii="Times New Roman" w:hAnsi="Times New Roman" w:cs="Times New Roman"/>
                <w:color w:val="auto"/>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3.73</w:t>
            </w:r>
          </w:p>
        </w:tc>
      </w:tr>
      <w:tr>
        <w:tblPrEx>
          <w:tblBorders>
            <w:top w:val="single" w:color="auto" w:sz="2" w:space="0"/>
            <w:left w:val="none" w:color="auto" w:sz="0" w:space="0"/>
            <w:bottom w:val="single" w:color="auto" w:sz="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090" w:type="dxa"/>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kern w:val="0"/>
                <w:szCs w:val="21"/>
                <w:highlight w:val="none"/>
              </w:rPr>
              <w:t>锌</w:t>
            </w:r>
          </w:p>
        </w:tc>
        <w:tc>
          <w:tcPr>
            <w:tcW w:w="995" w:type="dxa"/>
            <w:tcBorders>
              <w:tl2br w:val="nil"/>
              <w:tr2bl w:val="nil"/>
            </w:tcBorders>
            <w:shd w:val="clear" w:color="auto" w:fill="auto"/>
            <w:noWrap/>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未检出</w:t>
            </w:r>
          </w:p>
        </w:tc>
        <w:tc>
          <w:tcPr>
            <w:tcW w:w="1105" w:type="dxa"/>
            <w:tcBorders>
              <w:right w:val="dotted" w:color="auto" w:sz="4" w:space="0"/>
              <w:tl2br w:val="nil"/>
              <w:tr2bl w:val="nil"/>
            </w:tcBorders>
            <w:shd w:val="clear" w:color="auto" w:fill="auto"/>
            <w:vAlign w:val="center"/>
          </w:tcPr>
          <w:p>
            <w:pPr>
              <w:widowControl/>
              <w:jc w:val="center"/>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w:t>
            </w:r>
          </w:p>
        </w:tc>
        <w:tc>
          <w:tcPr>
            <w:tcW w:w="1500" w:type="dxa"/>
            <w:tcBorders>
              <w:left w:val="dotted" w:color="auto" w:sz="4" w:space="0"/>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cs="Times New Roman"/>
                <w:color w:val="auto"/>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挥发酚</w:t>
            </w:r>
          </w:p>
        </w:tc>
        <w:tc>
          <w:tcPr>
            <w:tcW w:w="1200" w:type="dxa"/>
            <w:tcBorders>
              <w:tl2br w:val="nil"/>
              <w:tr2bl w:val="nil"/>
            </w:tcBorders>
            <w:shd w:val="clear" w:color="auto" w:fill="auto"/>
            <w:vAlign w:val="center"/>
          </w:tcPr>
          <w:p>
            <w:pPr>
              <w:jc w:val="center"/>
              <w:rPr>
                <w:rFonts w:hint="default" w:ascii="Times New Roman" w:hAnsi="Times New Roman" w:cs="Times New Roman"/>
                <w:color w:val="auto"/>
                <w:szCs w:val="21"/>
                <w:highlight w:val="none"/>
                <w:lang w:val="en-US"/>
              </w:rPr>
            </w:pPr>
            <w:r>
              <w:rPr>
                <w:rFonts w:hint="default" w:ascii="Times New Roman" w:hAnsi="Times New Roman" w:cs="Times New Roman"/>
                <w:color w:val="auto"/>
                <w:kern w:val="0"/>
                <w:szCs w:val="21"/>
                <w:highlight w:val="none"/>
                <w:lang w:val="en-US" w:eastAsia="zh-CN"/>
              </w:rPr>
              <w:t>＜0.002</w:t>
            </w:r>
          </w:p>
        </w:tc>
        <w:tc>
          <w:tcPr>
            <w:tcW w:w="1100" w:type="dxa"/>
            <w:tcBorders>
              <w:tl2br w:val="nil"/>
              <w:tr2bl w:val="nil"/>
            </w:tcBorders>
            <w:shd w:val="clear" w:color="auto" w:fill="auto"/>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val="en-US" w:eastAsia="zh-CN"/>
              </w:rPr>
              <w:t>—</w:t>
            </w:r>
          </w:p>
        </w:tc>
        <w:tc>
          <w:tcPr>
            <w:tcW w:w="1134" w:type="dxa"/>
            <w:tcBorders>
              <w:tl2br w:val="nil"/>
              <w:tr2bl w:val="nil"/>
            </w:tcBorders>
            <w:shd w:val="clear" w:color="auto" w:fill="EEECE1" w:themeFill="background2"/>
            <w:noWrap/>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0.003</w:t>
            </w:r>
          </w:p>
        </w:tc>
        <w:tc>
          <w:tcPr>
            <w:tcW w:w="1107" w:type="dxa"/>
            <w:tcBorders>
              <w:tl2br w:val="nil"/>
              <w:tr2bl w:val="nil"/>
            </w:tcBorders>
            <w:shd w:val="clear" w:color="auto" w:fill="EEECE1" w:themeFill="background2"/>
            <w:noWrap/>
            <w:vAlign w:val="center"/>
          </w:tcPr>
          <w:p>
            <w:pPr>
              <w:keepNext w:val="0"/>
              <w:keepLines w:val="0"/>
              <w:widowControl/>
              <w:suppressLineNumbers w:val="0"/>
              <w:jc w:val="center"/>
              <w:textAlignment w:val="bottom"/>
              <w:rPr>
                <w:rFonts w:hint="default" w:ascii="Times New Roman" w:hAnsi="Times New Roman" w:cs="Times New Roman"/>
                <w:color w:val="auto"/>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1.5</w:t>
            </w:r>
          </w:p>
        </w:tc>
      </w:tr>
      <w:tr>
        <w:tblPrEx>
          <w:tblBorders>
            <w:top w:val="single" w:color="auto" w:sz="2" w:space="0"/>
            <w:left w:val="none" w:color="auto" w:sz="0" w:space="0"/>
            <w:bottom w:val="single" w:color="auto" w:sz="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5" w:hRule="atLeast"/>
        </w:trPr>
        <w:tc>
          <w:tcPr>
            <w:tcW w:w="1090" w:type="dxa"/>
            <w:tcBorders>
              <w:tl2br w:val="nil"/>
              <w:tr2bl w:val="nil"/>
            </w:tcBorders>
            <w:shd w:val="clear" w:color="auto" w:fill="auto"/>
            <w:vAlign w:val="center"/>
          </w:tcPr>
          <w:p>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lang w:eastAsia="zh-CN"/>
              </w:rPr>
              <w:t>高锰酸盐指数</w:t>
            </w:r>
          </w:p>
        </w:tc>
        <w:tc>
          <w:tcPr>
            <w:tcW w:w="995" w:type="dxa"/>
            <w:tcBorders>
              <w:tl2br w:val="nil"/>
              <w:tr2bl w:val="nil"/>
            </w:tcBorders>
            <w:shd w:val="clear" w:color="auto" w:fill="auto"/>
            <w:noWrap/>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1.41</w:t>
            </w:r>
          </w:p>
        </w:tc>
        <w:tc>
          <w:tcPr>
            <w:tcW w:w="1105" w:type="dxa"/>
            <w:tcBorders>
              <w:right w:val="dotted" w:color="auto" w:sz="4" w:space="0"/>
              <w:tl2br w:val="nil"/>
              <w:tr2bl w:val="nil"/>
            </w:tcBorders>
            <w:shd w:val="clear" w:color="auto" w:fill="auto"/>
            <w:vAlign w:val="center"/>
          </w:tcPr>
          <w:p>
            <w:pPr>
              <w:widowControl/>
              <w:jc w:val="center"/>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0.47</w:t>
            </w:r>
          </w:p>
        </w:tc>
        <w:tc>
          <w:tcPr>
            <w:tcW w:w="1500" w:type="dxa"/>
            <w:tcBorders>
              <w:left w:val="dotted" w:color="auto" w:sz="4" w:space="0"/>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cs="Times New Roman"/>
                <w:color w:val="auto"/>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六价</w:t>
            </w:r>
            <w:r>
              <w:rPr>
                <w:rStyle w:val="127"/>
                <w:rFonts w:hint="default" w:ascii="Times New Roman" w:hAnsi="Times New Roman" w:cs="Times New Roman"/>
                <w:color w:val="auto"/>
                <w:highlight w:val="none"/>
                <w:lang w:val="en-US" w:eastAsia="zh-CN" w:bidi="ar"/>
              </w:rPr>
              <w:t>铬</w:t>
            </w:r>
          </w:p>
        </w:tc>
        <w:tc>
          <w:tcPr>
            <w:tcW w:w="1200" w:type="dxa"/>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0.004</w:t>
            </w:r>
          </w:p>
        </w:tc>
        <w:tc>
          <w:tcPr>
            <w:tcW w:w="1100" w:type="dxa"/>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cs="Times New Roman"/>
                <w:color w:val="auto"/>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0.08</w:t>
            </w:r>
          </w:p>
        </w:tc>
        <w:tc>
          <w:tcPr>
            <w:tcW w:w="1134" w:type="dxa"/>
            <w:tcBorders>
              <w:tl2br w:val="nil"/>
              <w:tr2bl w:val="nil"/>
            </w:tcBorders>
            <w:shd w:val="clear" w:color="auto" w:fill="auto"/>
            <w:noWrap/>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0.007</w:t>
            </w:r>
          </w:p>
        </w:tc>
        <w:tc>
          <w:tcPr>
            <w:tcW w:w="1107" w:type="dxa"/>
            <w:tcBorders>
              <w:tl2br w:val="nil"/>
              <w:tr2bl w:val="nil"/>
            </w:tcBorders>
            <w:shd w:val="clear" w:color="auto" w:fill="auto"/>
            <w:noWrap/>
            <w:vAlign w:val="center"/>
          </w:tcPr>
          <w:p>
            <w:pPr>
              <w:keepNext w:val="0"/>
              <w:keepLines w:val="0"/>
              <w:widowControl/>
              <w:suppressLineNumbers w:val="0"/>
              <w:jc w:val="center"/>
              <w:textAlignment w:val="bottom"/>
              <w:rPr>
                <w:rFonts w:hint="default" w:ascii="Times New Roman" w:hAnsi="Times New Roman" w:cs="Times New Roman"/>
                <w:color w:val="auto"/>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0.14</w:t>
            </w:r>
          </w:p>
        </w:tc>
      </w:tr>
      <w:tr>
        <w:tblPrEx>
          <w:tblBorders>
            <w:top w:val="single" w:color="auto" w:sz="2" w:space="0"/>
            <w:left w:val="none" w:color="auto" w:sz="0" w:space="0"/>
            <w:bottom w:val="single" w:color="auto" w:sz="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090" w:type="dxa"/>
            <w:tcBorders>
              <w:tl2br w:val="nil"/>
              <w:tr2bl w:val="nil"/>
            </w:tcBorders>
            <w:shd w:val="clear" w:color="auto" w:fill="auto"/>
            <w:vAlign w:val="center"/>
          </w:tcPr>
          <w:p>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lang w:eastAsia="zh-CN"/>
              </w:rPr>
              <w:t>总磷</w:t>
            </w:r>
          </w:p>
        </w:tc>
        <w:tc>
          <w:tcPr>
            <w:tcW w:w="995" w:type="dxa"/>
            <w:tcBorders>
              <w:tl2br w:val="nil"/>
              <w:tr2bl w:val="nil"/>
            </w:tcBorders>
            <w:shd w:val="clear" w:color="auto" w:fill="auto"/>
            <w:noWrap/>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未检出</w:t>
            </w:r>
          </w:p>
        </w:tc>
        <w:tc>
          <w:tcPr>
            <w:tcW w:w="1105" w:type="dxa"/>
            <w:tcBorders>
              <w:right w:val="dotted" w:color="auto" w:sz="4" w:space="0"/>
              <w:tl2br w:val="nil"/>
              <w:tr2bl w:val="nil"/>
            </w:tcBorders>
            <w:shd w:val="clear" w:color="auto" w:fill="auto"/>
            <w:vAlign w:val="center"/>
          </w:tcPr>
          <w:p>
            <w:pPr>
              <w:widowControl/>
              <w:jc w:val="center"/>
              <w:rPr>
                <w:rFonts w:hint="default" w:ascii="Times New Roman" w:hAnsi="Times New Roman" w:cs="Times New Roman"/>
                <w:color w:val="auto"/>
                <w:kern w:val="0"/>
                <w:szCs w:val="21"/>
                <w:highlight w:val="none"/>
                <w:lang w:val="en-US" w:eastAsia="zh-CN"/>
              </w:rPr>
            </w:pPr>
          </w:p>
        </w:tc>
        <w:tc>
          <w:tcPr>
            <w:tcW w:w="1500" w:type="dxa"/>
            <w:tcBorders>
              <w:left w:val="dotted" w:color="auto" w:sz="4" w:space="0"/>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cs="Times New Roman"/>
                <w:color w:val="auto"/>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镍</w:t>
            </w:r>
          </w:p>
        </w:tc>
        <w:tc>
          <w:tcPr>
            <w:tcW w:w="1200" w:type="dxa"/>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0.011</w:t>
            </w:r>
          </w:p>
        </w:tc>
        <w:tc>
          <w:tcPr>
            <w:tcW w:w="1100" w:type="dxa"/>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cs="Times New Roman"/>
                <w:color w:val="auto"/>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0.55</w:t>
            </w:r>
          </w:p>
        </w:tc>
        <w:tc>
          <w:tcPr>
            <w:tcW w:w="1134" w:type="dxa"/>
            <w:tcBorders>
              <w:tl2br w:val="nil"/>
              <w:tr2bl w:val="nil"/>
            </w:tcBorders>
            <w:shd w:val="clear" w:color="auto" w:fill="auto"/>
            <w:noWrap/>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0.013</w:t>
            </w:r>
          </w:p>
        </w:tc>
        <w:tc>
          <w:tcPr>
            <w:tcW w:w="1107" w:type="dxa"/>
            <w:tcBorders>
              <w:tl2br w:val="nil"/>
              <w:tr2bl w:val="nil"/>
            </w:tcBorders>
            <w:shd w:val="clear" w:color="auto" w:fill="auto"/>
            <w:noWrap/>
            <w:vAlign w:val="center"/>
          </w:tcPr>
          <w:p>
            <w:pPr>
              <w:keepNext w:val="0"/>
              <w:keepLines w:val="0"/>
              <w:widowControl/>
              <w:suppressLineNumbers w:val="0"/>
              <w:jc w:val="center"/>
              <w:textAlignment w:val="bottom"/>
              <w:rPr>
                <w:rFonts w:hint="default" w:ascii="Times New Roman" w:hAnsi="Times New Roman" w:cs="Times New Roman"/>
                <w:color w:val="auto"/>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0.65</w:t>
            </w:r>
          </w:p>
        </w:tc>
      </w:tr>
      <w:tr>
        <w:tblPrEx>
          <w:tblBorders>
            <w:top w:val="single" w:color="auto" w:sz="2" w:space="0"/>
            <w:left w:val="none" w:color="auto" w:sz="0" w:space="0"/>
            <w:bottom w:val="single" w:color="auto" w:sz="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090" w:type="dxa"/>
            <w:tcBorders>
              <w:tl2br w:val="nil"/>
              <w:tr2bl w:val="nil"/>
            </w:tcBorders>
            <w:shd w:val="clear" w:color="auto" w:fill="auto"/>
            <w:vAlign w:val="center"/>
          </w:tcPr>
          <w:p>
            <w:pPr>
              <w:jc w:val="center"/>
              <w:rPr>
                <w:rFonts w:hint="default"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kern w:val="0"/>
                <w:szCs w:val="21"/>
                <w:highlight w:val="none"/>
                <w:lang w:eastAsia="zh-CN"/>
              </w:rPr>
              <w:t>石油类</w:t>
            </w:r>
          </w:p>
        </w:tc>
        <w:tc>
          <w:tcPr>
            <w:tcW w:w="995" w:type="dxa"/>
            <w:tcBorders>
              <w:tl2br w:val="nil"/>
              <w:tr2bl w:val="nil"/>
            </w:tcBorders>
            <w:shd w:val="clear" w:color="auto" w:fill="auto"/>
            <w:noWrap/>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未检出</w:t>
            </w:r>
          </w:p>
        </w:tc>
        <w:tc>
          <w:tcPr>
            <w:tcW w:w="1105" w:type="dxa"/>
            <w:tcBorders>
              <w:right w:val="dotted" w:color="auto" w:sz="4" w:space="0"/>
              <w:tl2br w:val="nil"/>
              <w:tr2bl w:val="nil"/>
            </w:tcBorders>
            <w:shd w:val="clear" w:color="auto" w:fill="auto"/>
            <w:vAlign w:val="center"/>
          </w:tcPr>
          <w:p>
            <w:pPr>
              <w:widowControl/>
              <w:jc w:val="center"/>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w:t>
            </w:r>
          </w:p>
        </w:tc>
        <w:tc>
          <w:tcPr>
            <w:tcW w:w="1500" w:type="dxa"/>
            <w:tcBorders>
              <w:left w:val="dotted" w:color="auto" w:sz="4" w:space="0"/>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cs="Times New Roman"/>
                <w:color w:val="auto"/>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铁</w:t>
            </w:r>
          </w:p>
        </w:tc>
        <w:tc>
          <w:tcPr>
            <w:tcW w:w="1200" w:type="dxa"/>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0.269</w:t>
            </w:r>
          </w:p>
        </w:tc>
        <w:tc>
          <w:tcPr>
            <w:tcW w:w="1100" w:type="dxa"/>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0.90</w:t>
            </w:r>
          </w:p>
        </w:tc>
        <w:tc>
          <w:tcPr>
            <w:tcW w:w="1134" w:type="dxa"/>
            <w:tcBorders>
              <w:tl2br w:val="nil"/>
              <w:tr2bl w:val="nil"/>
            </w:tcBorders>
            <w:shd w:val="clear" w:color="auto" w:fill="EEECE1" w:themeFill="background2"/>
            <w:noWrap/>
            <w:vAlign w:val="center"/>
          </w:tcPr>
          <w:p>
            <w:pPr>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0.434</w:t>
            </w:r>
          </w:p>
        </w:tc>
        <w:tc>
          <w:tcPr>
            <w:tcW w:w="1107" w:type="dxa"/>
            <w:tcBorders>
              <w:tl2br w:val="nil"/>
              <w:tr2bl w:val="nil"/>
            </w:tcBorders>
            <w:shd w:val="clear" w:color="auto" w:fill="EEECE1" w:themeFill="background2"/>
            <w:noWrap/>
            <w:vAlign w:val="center"/>
          </w:tcPr>
          <w:p>
            <w:pPr>
              <w:keepNext w:val="0"/>
              <w:keepLines w:val="0"/>
              <w:widowControl/>
              <w:suppressLineNumbers w:val="0"/>
              <w:jc w:val="center"/>
              <w:textAlignment w:val="bottom"/>
              <w:rPr>
                <w:rFonts w:hint="default" w:ascii="Times New Roman" w:hAnsi="Times New Roman" w:cs="Times New Roman"/>
                <w:color w:val="auto"/>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1.45</w:t>
            </w:r>
          </w:p>
        </w:tc>
      </w:tr>
      <w:tr>
        <w:tblPrEx>
          <w:tblBorders>
            <w:top w:val="single" w:color="auto" w:sz="2" w:space="0"/>
            <w:left w:val="none" w:color="auto" w:sz="0" w:space="0"/>
            <w:bottom w:val="single" w:color="auto" w:sz="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090" w:type="dxa"/>
            <w:tcBorders>
              <w:tl2br w:val="nil"/>
              <w:tr2bl w:val="nil"/>
            </w:tcBorders>
            <w:shd w:val="clear" w:color="auto" w:fill="auto"/>
            <w:vAlign w:val="center"/>
          </w:tcPr>
          <w:p>
            <w:pPr>
              <w:jc w:val="center"/>
              <w:rPr>
                <w:rFonts w:hint="default"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kern w:val="0"/>
                <w:szCs w:val="21"/>
                <w:highlight w:val="none"/>
                <w:lang w:eastAsia="zh-CN"/>
              </w:rPr>
              <w:t>氰化物</w:t>
            </w:r>
          </w:p>
        </w:tc>
        <w:tc>
          <w:tcPr>
            <w:tcW w:w="995" w:type="dxa"/>
            <w:tcBorders>
              <w:tl2br w:val="nil"/>
              <w:tr2bl w:val="nil"/>
            </w:tcBorders>
            <w:shd w:val="clear" w:color="auto" w:fill="auto"/>
            <w:noWrap/>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未检出</w:t>
            </w:r>
          </w:p>
        </w:tc>
        <w:tc>
          <w:tcPr>
            <w:tcW w:w="1105" w:type="dxa"/>
            <w:tcBorders>
              <w:right w:val="dotted" w:color="auto" w:sz="4" w:space="0"/>
              <w:tl2br w:val="nil"/>
              <w:tr2bl w:val="nil"/>
            </w:tcBorders>
            <w:shd w:val="clear" w:color="auto" w:fill="auto"/>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val="en-US" w:eastAsia="zh-CN"/>
              </w:rPr>
              <w:t>—</w:t>
            </w:r>
          </w:p>
        </w:tc>
        <w:tc>
          <w:tcPr>
            <w:tcW w:w="1500" w:type="dxa"/>
            <w:tcBorders>
              <w:left w:val="dotted" w:color="auto" w:sz="4" w:space="0"/>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cs="Times New Roman"/>
                <w:color w:val="auto"/>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铜</w:t>
            </w:r>
          </w:p>
        </w:tc>
        <w:tc>
          <w:tcPr>
            <w:tcW w:w="1200" w:type="dxa"/>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0.022</w:t>
            </w:r>
          </w:p>
        </w:tc>
        <w:tc>
          <w:tcPr>
            <w:tcW w:w="1100" w:type="dxa"/>
            <w:tcBorders>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cs="Times New Roman"/>
                <w:color w:val="auto"/>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0.02</w:t>
            </w:r>
          </w:p>
        </w:tc>
        <w:tc>
          <w:tcPr>
            <w:tcW w:w="1134" w:type="dxa"/>
            <w:tcBorders>
              <w:tl2br w:val="nil"/>
              <w:tr2bl w:val="nil"/>
            </w:tcBorders>
            <w:shd w:val="clear" w:color="auto" w:fill="auto"/>
            <w:noWrap/>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0.038</w:t>
            </w:r>
          </w:p>
        </w:tc>
        <w:tc>
          <w:tcPr>
            <w:tcW w:w="1107" w:type="dxa"/>
            <w:tcBorders>
              <w:tl2br w:val="nil"/>
              <w:tr2bl w:val="nil"/>
            </w:tcBorders>
            <w:shd w:val="clear" w:color="auto" w:fill="auto"/>
            <w:noWrap/>
            <w:vAlign w:val="center"/>
          </w:tcPr>
          <w:p>
            <w:pPr>
              <w:keepNext w:val="0"/>
              <w:keepLines w:val="0"/>
              <w:widowControl/>
              <w:suppressLineNumbers w:val="0"/>
              <w:jc w:val="center"/>
              <w:textAlignment w:val="bottom"/>
              <w:rPr>
                <w:rFonts w:hint="default" w:ascii="Times New Roman" w:hAnsi="Times New Roman" w:cs="Times New Roman"/>
                <w:color w:val="auto"/>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0.04</w:t>
            </w:r>
          </w:p>
        </w:tc>
      </w:tr>
      <w:tr>
        <w:tblPrEx>
          <w:tblBorders>
            <w:top w:val="single" w:color="auto" w:sz="2" w:space="0"/>
            <w:left w:val="none" w:color="auto" w:sz="0" w:space="0"/>
            <w:bottom w:val="single" w:color="auto" w:sz="2" w:space="0"/>
            <w:right w:val="none" w:color="auto" w:sz="0" w:space="0"/>
            <w:insideH w:val="dotted" w:color="auto" w:sz="4" w:space="0"/>
            <w:insideV w:val="dotted" w:color="auto" w:sz="4" w:space="0"/>
          </w:tblBorders>
          <w:shd w:val="clear" w:color="auto" w:fill="auto"/>
          <w:tblCellMar>
            <w:top w:w="0" w:type="dxa"/>
            <w:left w:w="108" w:type="dxa"/>
            <w:bottom w:w="0" w:type="dxa"/>
            <w:right w:w="108" w:type="dxa"/>
          </w:tblCellMar>
        </w:tblPrEx>
        <w:trPr>
          <w:trHeight w:val="300" w:hRule="atLeast"/>
        </w:trPr>
        <w:tc>
          <w:tcPr>
            <w:tcW w:w="1090" w:type="dxa"/>
            <w:tcBorders>
              <w:tl2br w:val="nil"/>
              <w:tr2bl w:val="nil"/>
            </w:tcBorders>
            <w:shd w:val="clear" w:color="auto" w:fill="auto"/>
            <w:vAlign w:val="center"/>
          </w:tcPr>
          <w:p>
            <w:pPr>
              <w:jc w:val="center"/>
              <w:rPr>
                <w:rFonts w:hint="default" w:ascii="Times New Roman" w:hAnsi="Times New Roman" w:cs="Times New Roman"/>
                <w:color w:val="auto"/>
                <w:kern w:val="0"/>
                <w:szCs w:val="21"/>
                <w:highlight w:val="none"/>
              </w:rPr>
            </w:pPr>
          </w:p>
        </w:tc>
        <w:tc>
          <w:tcPr>
            <w:tcW w:w="995" w:type="dxa"/>
            <w:tcBorders>
              <w:tl2br w:val="nil"/>
              <w:tr2bl w:val="nil"/>
            </w:tcBorders>
            <w:shd w:val="clear" w:color="auto" w:fill="auto"/>
            <w:noWrap/>
            <w:vAlign w:val="center"/>
          </w:tcPr>
          <w:p>
            <w:pPr>
              <w:jc w:val="center"/>
              <w:rPr>
                <w:rFonts w:hint="default" w:ascii="Times New Roman" w:hAnsi="Times New Roman" w:eastAsia="宋体" w:cs="Times New Roman"/>
                <w:color w:val="auto"/>
                <w:szCs w:val="21"/>
                <w:highlight w:val="none"/>
                <w:lang w:val="en-US" w:eastAsia="zh-CN"/>
              </w:rPr>
            </w:pPr>
          </w:p>
        </w:tc>
        <w:tc>
          <w:tcPr>
            <w:tcW w:w="1105" w:type="dxa"/>
            <w:tcBorders>
              <w:right w:val="dotted" w:color="auto" w:sz="4" w:space="0"/>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lang w:val="en-US" w:eastAsia="zh-CN"/>
              </w:rPr>
            </w:pPr>
          </w:p>
        </w:tc>
        <w:tc>
          <w:tcPr>
            <w:tcW w:w="1500" w:type="dxa"/>
            <w:tcBorders>
              <w:left w:val="dotted" w:color="auto" w:sz="4" w:space="0"/>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锌</w:t>
            </w:r>
          </w:p>
        </w:tc>
        <w:tc>
          <w:tcPr>
            <w:tcW w:w="1200" w:type="dxa"/>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＜4×10</w:t>
            </w:r>
            <w:r>
              <w:rPr>
                <w:rFonts w:hint="default" w:ascii="Times New Roman" w:hAnsi="Times New Roman" w:cs="Times New Roman"/>
                <w:color w:val="auto"/>
                <w:szCs w:val="21"/>
                <w:highlight w:val="none"/>
                <w:vertAlign w:val="superscript"/>
                <w:lang w:val="en-US" w:eastAsia="zh-CN"/>
              </w:rPr>
              <w:t>-5</w:t>
            </w:r>
          </w:p>
        </w:tc>
        <w:tc>
          <w:tcPr>
            <w:tcW w:w="1100" w:type="dxa"/>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kern w:val="0"/>
                <w:szCs w:val="21"/>
                <w:highlight w:val="none"/>
                <w:lang w:val="en-US" w:eastAsia="zh-CN"/>
              </w:rPr>
              <w:t>—</w:t>
            </w:r>
          </w:p>
        </w:tc>
        <w:tc>
          <w:tcPr>
            <w:tcW w:w="1134" w:type="dxa"/>
            <w:tcBorders>
              <w:tl2br w:val="nil"/>
              <w:tr2bl w:val="nil"/>
            </w:tcBorders>
            <w:shd w:val="clear" w:color="auto" w:fill="auto"/>
            <w:noWrap/>
            <w:vAlign w:val="center"/>
          </w:tcPr>
          <w:p>
            <w:pPr>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＜4×10</w:t>
            </w:r>
            <w:r>
              <w:rPr>
                <w:rFonts w:hint="default" w:ascii="Times New Roman" w:hAnsi="Times New Roman" w:cs="Times New Roman"/>
                <w:color w:val="auto"/>
                <w:szCs w:val="21"/>
                <w:highlight w:val="none"/>
                <w:vertAlign w:val="superscript"/>
                <w:lang w:val="en-US" w:eastAsia="zh-CN"/>
              </w:rPr>
              <w:t>-5</w:t>
            </w:r>
          </w:p>
        </w:tc>
        <w:tc>
          <w:tcPr>
            <w:tcW w:w="1107" w:type="dxa"/>
            <w:tcBorders>
              <w:tl2br w:val="nil"/>
              <w:tr2bl w:val="nil"/>
            </w:tcBorders>
            <w:shd w:val="clear" w:color="auto" w:fill="auto"/>
            <w:noWrap/>
            <w:vAlign w:val="center"/>
          </w:tcPr>
          <w:p>
            <w:pPr>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kern w:val="0"/>
                <w:szCs w:val="21"/>
                <w:highlight w:val="none"/>
                <w:lang w:val="en-US" w:eastAsia="zh-CN"/>
              </w:rPr>
              <w:t>—</w:t>
            </w:r>
          </w:p>
        </w:tc>
      </w:tr>
      <w:tr>
        <w:tblPrEx>
          <w:tblBorders>
            <w:top w:val="single" w:color="auto" w:sz="2" w:space="0"/>
            <w:left w:val="none" w:color="auto" w:sz="0" w:space="0"/>
            <w:bottom w:val="single" w:color="auto" w:sz="2" w:space="0"/>
            <w:right w:val="none" w:color="auto" w:sz="0" w:space="0"/>
            <w:insideH w:val="dotted" w:color="auto" w:sz="4" w:space="0"/>
            <w:insideV w:val="dotted" w:color="auto" w:sz="4" w:space="0"/>
          </w:tblBorders>
          <w:shd w:val="clear" w:color="auto" w:fill="auto"/>
          <w:tblCellMar>
            <w:top w:w="0" w:type="dxa"/>
            <w:left w:w="108" w:type="dxa"/>
            <w:bottom w:w="0" w:type="dxa"/>
            <w:right w:w="108" w:type="dxa"/>
          </w:tblCellMar>
        </w:tblPrEx>
        <w:trPr>
          <w:trHeight w:val="300" w:hRule="atLeast"/>
        </w:trPr>
        <w:tc>
          <w:tcPr>
            <w:tcW w:w="1090" w:type="dxa"/>
            <w:tcBorders>
              <w:tl2br w:val="nil"/>
              <w:tr2bl w:val="nil"/>
            </w:tcBorders>
            <w:shd w:val="clear" w:color="auto" w:fill="auto"/>
            <w:vAlign w:val="center"/>
          </w:tcPr>
          <w:p>
            <w:pPr>
              <w:jc w:val="center"/>
              <w:rPr>
                <w:rFonts w:hint="default" w:ascii="Times New Roman" w:hAnsi="Times New Roman" w:eastAsia="宋体" w:cs="Times New Roman"/>
                <w:color w:val="auto"/>
                <w:kern w:val="0"/>
                <w:szCs w:val="21"/>
                <w:highlight w:val="none"/>
                <w:lang w:eastAsia="zh-CN"/>
              </w:rPr>
            </w:pPr>
          </w:p>
        </w:tc>
        <w:tc>
          <w:tcPr>
            <w:tcW w:w="995" w:type="dxa"/>
            <w:tcBorders>
              <w:tl2br w:val="nil"/>
              <w:tr2bl w:val="nil"/>
            </w:tcBorders>
            <w:shd w:val="clear" w:color="auto" w:fill="auto"/>
            <w:noWrap/>
            <w:vAlign w:val="center"/>
          </w:tcPr>
          <w:p>
            <w:pPr>
              <w:jc w:val="center"/>
              <w:rPr>
                <w:rFonts w:hint="default" w:ascii="Times New Roman" w:hAnsi="Times New Roman" w:eastAsia="宋体" w:cs="Times New Roman"/>
                <w:color w:val="auto"/>
                <w:szCs w:val="21"/>
                <w:highlight w:val="none"/>
                <w:lang w:val="en-US" w:eastAsia="zh-CN"/>
              </w:rPr>
            </w:pPr>
          </w:p>
        </w:tc>
        <w:tc>
          <w:tcPr>
            <w:tcW w:w="1105" w:type="dxa"/>
            <w:tcBorders>
              <w:right w:val="dotted" w:color="auto" w:sz="4" w:space="0"/>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lang w:val="en-US" w:eastAsia="zh-CN"/>
              </w:rPr>
            </w:pPr>
          </w:p>
        </w:tc>
        <w:tc>
          <w:tcPr>
            <w:tcW w:w="1500" w:type="dxa"/>
            <w:tcBorders>
              <w:left w:val="dotted" w:color="auto" w:sz="4" w:space="0"/>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高锰酸盐指数</w:t>
            </w:r>
          </w:p>
        </w:tc>
        <w:tc>
          <w:tcPr>
            <w:tcW w:w="1200" w:type="dxa"/>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1.60</w:t>
            </w:r>
          </w:p>
        </w:tc>
        <w:tc>
          <w:tcPr>
            <w:tcW w:w="1100" w:type="dxa"/>
            <w:tcBorders>
              <w:tl2br w:val="nil"/>
              <w:tr2bl w:val="nil"/>
            </w:tcBorders>
            <w:shd w:val="clear" w:color="auto" w:fill="auto"/>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0.53</w:t>
            </w:r>
          </w:p>
        </w:tc>
        <w:tc>
          <w:tcPr>
            <w:tcW w:w="1134" w:type="dxa"/>
            <w:tcBorders>
              <w:tl2br w:val="nil"/>
              <w:tr2bl w:val="nil"/>
            </w:tcBorders>
            <w:shd w:val="clear" w:color="auto" w:fill="EEECE1" w:themeFill="background2"/>
            <w:noWrap/>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15.0</w:t>
            </w:r>
          </w:p>
        </w:tc>
        <w:tc>
          <w:tcPr>
            <w:tcW w:w="1107" w:type="dxa"/>
            <w:tcBorders>
              <w:tl2br w:val="nil"/>
              <w:tr2bl w:val="nil"/>
            </w:tcBorders>
            <w:shd w:val="clear" w:color="auto" w:fill="EEECE1" w:themeFill="background2"/>
            <w:noWrap/>
            <w:vAlign w:val="center"/>
          </w:tcPr>
          <w:p>
            <w:pPr>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5</w:t>
            </w:r>
          </w:p>
        </w:tc>
      </w:tr>
      <w:tr>
        <w:tblPrEx>
          <w:tblBorders>
            <w:top w:val="single" w:color="auto" w:sz="2" w:space="0"/>
            <w:left w:val="none" w:color="auto" w:sz="0" w:space="0"/>
            <w:bottom w:val="single" w:color="auto" w:sz="2" w:space="0"/>
            <w:right w:val="none" w:color="auto" w:sz="0" w:space="0"/>
            <w:insideH w:val="dotted" w:color="auto" w:sz="4" w:space="0"/>
            <w:insideV w:val="dotted" w:color="auto" w:sz="4" w:space="0"/>
          </w:tblBorders>
          <w:shd w:val="clear" w:color="auto" w:fill="auto"/>
          <w:tblCellMar>
            <w:top w:w="0" w:type="dxa"/>
            <w:left w:w="108" w:type="dxa"/>
            <w:bottom w:w="0" w:type="dxa"/>
            <w:right w:w="108" w:type="dxa"/>
          </w:tblCellMar>
        </w:tblPrEx>
        <w:trPr>
          <w:trHeight w:val="90" w:hRule="atLeast"/>
        </w:trPr>
        <w:tc>
          <w:tcPr>
            <w:tcW w:w="1090" w:type="dxa"/>
            <w:tcBorders>
              <w:tl2br w:val="nil"/>
              <w:tr2bl w:val="nil"/>
            </w:tcBorders>
            <w:shd w:val="clear" w:color="auto" w:fill="auto"/>
            <w:vAlign w:val="center"/>
          </w:tcPr>
          <w:p>
            <w:pPr>
              <w:jc w:val="center"/>
              <w:rPr>
                <w:rFonts w:hint="default" w:ascii="Times New Roman" w:hAnsi="Times New Roman" w:cs="Times New Roman"/>
                <w:color w:val="auto"/>
                <w:kern w:val="0"/>
                <w:szCs w:val="21"/>
                <w:highlight w:val="none"/>
                <w:lang w:eastAsia="zh-CN"/>
              </w:rPr>
            </w:pPr>
          </w:p>
        </w:tc>
        <w:tc>
          <w:tcPr>
            <w:tcW w:w="995" w:type="dxa"/>
            <w:tcBorders>
              <w:tl2br w:val="nil"/>
              <w:tr2bl w:val="nil"/>
            </w:tcBorders>
            <w:shd w:val="clear" w:color="auto" w:fill="auto"/>
            <w:noWrap/>
            <w:vAlign w:val="center"/>
          </w:tcPr>
          <w:p>
            <w:pPr>
              <w:jc w:val="center"/>
              <w:rPr>
                <w:rFonts w:hint="default" w:ascii="Times New Roman" w:hAnsi="Times New Roman" w:cs="Times New Roman"/>
                <w:color w:val="auto"/>
                <w:szCs w:val="21"/>
                <w:highlight w:val="none"/>
                <w:lang w:val="en-US" w:eastAsia="zh-CN"/>
              </w:rPr>
            </w:pPr>
          </w:p>
        </w:tc>
        <w:tc>
          <w:tcPr>
            <w:tcW w:w="1105" w:type="dxa"/>
            <w:tcBorders>
              <w:right w:val="dotted" w:color="auto" w:sz="4" w:space="0"/>
              <w:tl2br w:val="nil"/>
              <w:tr2bl w:val="nil"/>
            </w:tcBorders>
            <w:shd w:val="clear" w:color="auto" w:fill="auto"/>
            <w:vAlign w:val="center"/>
          </w:tcPr>
          <w:p>
            <w:pPr>
              <w:jc w:val="center"/>
              <w:rPr>
                <w:rFonts w:hint="default" w:ascii="Times New Roman" w:hAnsi="Times New Roman" w:cs="Times New Roman"/>
                <w:color w:val="auto"/>
                <w:szCs w:val="21"/>
                <w:highlight w:val="none"/>
                <w:lang w:val="en-US" w:eastAsia="zh-CN"/>
              </w:rPr>
            </w:pPr>
          </w:p>
        </w:tc>
        <w:tc>
          <w:tcPr>
            <w:tcW w:w="1500" w:type="dxa"/>
            <w:tcBorders>
              <w:left w:val="dotted" w:color="auto" w:sz="4" w:space="0"/>
              <w:tl2br w:val="nil"/>
              <w:tr2bl w:val="nil"/>
            </w:tcBorders>
            <w:shd w:val="clear" w:color="auto" w:fill="auto"/>
            <w:vAlign w:val="center"/>
          </w:tcPr>
          <w:p>
            <w:pPr>
              <w:keepNext w:val="0"/>
              <w:keepLines w:val="0"/>
              <w:widowControl/>
              <w:suppressLineNumbers w:val="0"/>
              <w:jc w:val="center"/>
              <w:textAlignment w:val="bottom"/>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氰化物</w:t>
            </w:r>
          </w:p>
        </w:tc>
        <w:tc>
          <w:tcPr>
            <w:tcW w:w="1200" w:type="dxa"/>
            <w:tcBorders>
              <w:tl2br w:val="nil"/>
              <w:tr2bl w:val="nil"/>
            </w:tcBorders>
            <w:shd w:val="clear" w:color="auto" w:fill="auto"/>
            <w:vAlign w:val="center"/>
          </w:tcPr>
          <w:p>
            <w:pPr>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＜0.002</w:t>
            </w:r>
          </w:p>
        </w:tc>
        <w:tc>
          <w:tcPr>
            <w:tcW w:w="1100" w:type="dxa"/>
            <w:tcBorders>
              <w:tl2br w:val="nil"/>
              <w:tr2bl w:val="nil"/>
            </w:tcBorders>
            <w:shd w:val="clear" w:color="auto" w:fill="auto"/>
            <w:vAlign w:val="center"/>
          </w:tcPr>
          <w:p>
            <w:pPr>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kern w:val="0"/>
                <w:szCs w:val="21"/>
                <w:highlight w:val="none"/>
                <w:lang w:val="en-US" w:eastAsia="zh-CN"/>
              </w:rPr>
              <w:t>—</w:t>
            </w:r>
          </w:p>
        </w:tc>
        <w:tc>
          <w:tcPr>
            <w:tcW w:w="1134" w:type="dxa"/>
            <w:tcBorders>
              <w:tl2br w:val="nil"/>
              <w:tr2bl w:val="nil"/>
            </w:tcBorders>
            <w:shd w:val="clear" w:color="auto" w:fill="auto"/>
            <w:noWrap/>
            <w:vAlign w:val="center"/>
          </w:tcPr>
          <w:p>
            <w:pPr>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0.004</w:t>
            </w:r>
          </w:p>
        </w:tc>
        <w:tc>
          <w:tcPr>
            <w:tcW w:w="1107" w:type="dxa"/>
            <w:tcBorders>
              <w:tl2br w:val="nil"/>
              <w:tr2bl w:val="nil"/>
            </w:tcBorders>
            <w:shd w:val="clear" w:color="auto" w:fill="auto"/>
            <w:noWrap/>
            <w:vAlign w:val="center"/>
          </w:tcPr>
          <w:p>
            <w:pPr>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0.08</w:t>
            </w:r>
          </w:p>
        </w:tc>
      </w:tr>
    </w:tbl>
    <w:p>
      <w:pPr>
        <w:adjustRightInd w:val="0"/>
        <w:snapToGrid w:val="0"/>
        <w:spacing w:line="360" w:lineRule="auto"/>
        <w:ind w:firstLine="480" w:firstLineChars="200"/>
        <w:jc w:val="both"/>
        <w:rPr>
          <w:rFonts w:hint="eastAsia" w:eastAsia="宋体"/>
          <w:color w:val="auto"/>
          <w:sz w:val="24"/>
          <w:highlight w:val="none"/>
          <w:lang w:eastAsia="zh-CN"/>
        </w:rPr>
      </w:pPr>
      <w:r>
        <w:rPr>
          <w:rFonts w:hint="eastAsia"/>
          <w:color w:val="auto"/>
          <w:sz w:val="24"/>
          <w:highlight w:val="none"/>
        </w:rPr>
        <w:t>由上表可以看出，200</w:t>
      </w:r>
      <w:r>
        <w:rPr>
          <w:rFonts w:hint="eastAsia"/>
          <w:color w:val="auto"/>
          <w:sz w:val="24"/>
          <w:highlight w:val="none"/>
          <w:lang w:val="en-US" w:eastAsia="zh-CN"/>
        </w:rPr>
        <w:t>3</w:t>
      </w:r>
      <w:r>
        <w:rPr>
          <w:rFonts w:hint="eastAsia"/>
          <w:color w:val="auto"/>
          <w:sz w:val="24"/>
          <w:highlight w:val="none"/>
        </w:rPr>
        <w:t>年监测期间</w:t>
      </w:r>
      <w:r>
        <w:rPr>
          <w:rFonts w:hint="eastAsia"/>
          <w:color w:val="auto"/>
          <w:sz w:val="24"/>
          <w:highlight w:val="none"/>
          <w:lang w:eastAsia="zh-CN"/>
        </w:rPr>
        <w:t>电镀园区</w:t>
      </w:r>
      <w:r>
        <w:rPr>
          <w:rFonts w:hint="eastAsia"/>
          <w:color w:val="auto"/>
          <w:sz w:val="24"/>
          <w:highlight w:val="none"/>
        </w:rPr>
        <w:t>地下水</w:t>
      </w:r>
      <w:r>
        <w:rPr>
          <w:rFonts w:hint="eastAsia"/>
          <w:color w:val="auto"/>
          <w:sz w:val="24"/>
          <w:highlight w:val="none"/>
          <w:lang w:val="en-US" w:eastAsia="zh-CN"/>
        </w:rPr>
        <w:t>pH</w:t>
      </w:r>
      <w:r>
        <w:rPr>
          <w:rFonts w:hint="eastAsia"/>
          <w:color w:val="auto"/>
          <w:sz w:val="24"/>
          <w:highlight w:val="none"/>
        </w:rPr>
        <w:t>和</w:t>
      </w:r>
      <w:r>
        <w:rPr>
          <w:rFonts w:hint="eastAsia"/>
          <w:color w:val="auto"/>
          <w:sz w:val="24"/>
          <w:highlight w:val="none"/>
          <w:lang w:eastAsia="zh-CN"/>
        </w:rPr>
        <w:t>氯化物</w:t>
      </w:r>
      <w:r>
        <w:rPr>
          <w:rFonts w:hint="eastAsia"/>
          <w:color w:val="auto"/>
          <w:sz w:val="24"/>
          <w:highlight w:val="none"/>
        </w:rPr>
        <w:t>超标，其他因子均能满足《地下水质</w:t>
      </w:r>
      <w:r>
        <w:rPr>
          <w:rFonts w:hint="eastAsia"/>
          <w:color w:val="auto"/>
          <w:sz w:val="24"/>
          <w:highlight w:val="none"/>
        </w:rPr>
        <w:t>量标准》(GB/T14848-</w:t>
      </w:r>
      <w:r>
        <w:rPr>
          <w:color w:val="auto"/>
          <w:sz w:val="24"/>
          <w:highlight w:val="none"/>
        </w:rPr>
        <w:t>2017</w:t>
      </w:r>
      <w:r>
        <w:rPr>
          <w:rFonts w:hint="eastAsia"/>
          <w:color w:val="auto"/>
          <w:sz w:val="24"/>
          <w:highlight w:val="none"/>
        </w:rPr>
        <w:t>)中的IV类水体的标准。20</w:t>
      </w:r>
      <w:r>
        <w:rPr>
          <w:rFonts w:hint="eastAsia"/>
          <w:color w:val="auto"/>
          <w:sz w:val="24"/>
          <w:highlight w:val="none"/>
          <w:lang w:val="en-US" w:eastAsia="zh-CN"/>
        </w:rPr>
        <w:t>13</w:t>
      </w:r>
      <w:r>
        <w:rPr>
          <w:rFonts w:hint="eastAsia"/>
          <w:color w:val="auto"/>
          <w:sz w:val="24"/>
          <w:highlight w:val="none"/>
        </w:rPr>
        <w:t>年监测期间</w:t>
      </w:r>
      <w:r>
        <w:rPr>
          <w:rFonts w:hint="eastAsia"/>
          <w:color w:val="auto"/>
          <w:sz w:val="24"/>
          <w:highlight w:val="none"/>
          <w:lang w:eastAsia="zh-CN"/>
        </w:rPr>
        <w:t>，东盐滩村</w:t>
      </w:r>
      <w:r>
        <w:rPr>
          <w:rFonts w:hint="eastAsia"/>
          <w:color w:val="auto"/>
          <w:sz w:val="24"/>
          <w:highlight w:val="none"/>
        </w:rPr>
        <w:t>地下水</w:t>
      </w:r>
      <w:r>
        <w:rPr>
          <w:rFonts w:hint="eastAsia"/>
          <w:color w:val="auto"/>
          <w:sz w:val="24"/>
          <w:highlight w:val="none"/>
          <w:lang w:val="en-US" w:eastAsia="zh-CN"/>
        </w:rPr>
        <w:t>硝酸盐</w:t>
      </w:r>
      <w:r>
        <w:rPr>
          <w:rFonts w:hint="eastAsia"/>
          <w:color w:val="auto"/>
          <w:sz w:val="24"/>
          <w:highlight w:val="none"/>
        </w:rPr>
        <w:t>和</w:t>
      </w:r>
      <w:r>
        <w:rPr>
          <w:rFonts w:hint="eastAsia"/>
          <w:color w:val="auto"/>
          <w:sz w:val="24"/>
          <w:highlight w:val="none"/>
          <w:lang w:eastAsia="zh-CN"/>
        </w:rPr>
        <w:t>氨氮</w:t>
      </w:r>
      <w:r>
        <w:rPr>
          <w:rFonts w:hint="eastAsia"/>
          <w:color w:val="auto"/>
          <w:sz w:val="24"/>
          <w:highlight w:val="none"/>
        </w:rPr>
        <w:t>超标，其他因子均能满足《地下水质量标准》(GB/T14848-</w:t>
      </w:r>
      <w:r>
        <w:rPr>
          <w:color w:val="auto"/>
          <w:sz w:val="24"/>
          <w:highlight w:val="none"/>
        </w:rPr>
        <w:t>2017</w:t>
      </w:r>
      <w:r>
        <w:rPr>
          <w:rFonts w:hint="eastAsia"/>
          <w:color w:val="auto"/>
          <w:sz w:val="24"/>
          <w:highlight w:val="none"/>
        </w:rPr>
        <w:t>)中的IV类水体的</w:t>
      </w:r>
      <w:r>
        <w:rPr>
          <w:rFonts w:hint="eastAsia"/>
          <w:color w:val="auto"/>
          <w:sz w:val="24"/>
          <w:highlight w:val="none"/>
        </w:rPr>
        <w:t>标准</w:t>
      </w:r>
      <w:r>
        <w:rPr>
          <w:rFonts w:hint="eastAsia"/>
          <w:color w:val="auto"/>
          <w:sz w:val="24"/>
          <w:highlight w:val="none"/>
          <w:lang w:eastAsia="zh-CN"/>
        </w:rPr>
        <w:t>；电镀园区</w:t>
      </w:r>
      <w:r>
        <w:rPr>
          <w:rFonts w:hint="eastAsia"/>
          <w:color w:val="auto"/>
          <w:sz w:val="24"/>
          <w:highlight w:val="none"/>
        </w:rPr>
        <w:t>地下水</w:t>
      </w:r>
      <w:r>
        <w:rPr>
          <w:rFonts w:hint="eastAsia"/>
          <w:color w:val="auto"/>
          <w:sz w:val="24"/>
          <w:highlight w:val="none"/>
          <w:lang w:val="en-US" w:eastAsia="zh-CN"/>
        </w:rPr>
        <w:t>总硬度、溶解性固体、硫酸盐、氨氮、氯化物、挥发酚、铁和</w:t>
      </w:r>
      <w:r>
        <w:rPr>
          <w:rFonts w:hint="eastAsia"/>
          <w:color w:val="auto"/>
          <w:sz w:val="24"/>
          <w:highlight w:val="none"/>
          <w:lang w:eastAsia="zh-CN"/>
        </w:rPr>
        <w:t>高锰酸盐指数</w:t>
      </w:r>
      <w:r>
        <w:rPr>
          <w:rFonts w:hint="eastAsia"/>
          <w:color w:val="auto"/>
          <w:sz w:val="24"/>
          <w:highlight w:val="none"/>
        </w:rPr>
        <w:t>超标，其他因子均能满足《地下水质量标准》(GB/T14848-</w:t>
      </w:r>
      <w:r>
        <w:rPr>
          <w:color w:val="auto"/>
          <w:sz w:val="24"/>
          <w:highlight w:val="none"/>
        </w:rPr>
        <w:t>2017</w:t>
      </w:r>
      <w:r>
        <w:rPr>
          <w:rFonts w:hint="eastAsia"/>
          <w:color w:val="auto"/>
          <w:sz w:val="24"/>
          <w:highlight w:val="none"/>
        </w:rPr>
        <w:t>)中的IV类水体的标准</w:t>
      </w:r>
      <w:r>
        <w:rPr>
          <w:rFonts w:hint="eastAsia"/>
          <w:color w:val="auto"/>
          <w:sz w:val="24"/>
          <w:highlight w:val="none"/>
          <w:lang w:eastAsia="zh-CN"/>
        </w:rPr>
        <w:t>。</w:t>
      </w:r>
    </w:p>
    <w:p>
      <w:pPr>
        <w:adjustRightInd w:val="0"/>
        <w:snapToGrid w:val="0"/>
        <w:spacing w:line="360" w:lineRule="auto"/>
        <w:ind w:firstLine="480"/>
        <w:rPr>
          <w:color w:val="auto"/>
          <w:sz w:val="24"/>
          <w:highlight w:val="none"/>
        </w:rPr>
      </w:pPr>
      <w:r>
        <w:rPr>
          <w:rFonts w:hint="eastAsia"/>
          <w:color w:val="auto"/>
          <w:sz w:val="24"/>
          <w:highlight w:val="none"/>
        </w:rPr>
        <w:t>通过与本次评价监测数据对比，</w:t>
      </w:r>
      <w:r>
        <w:rPr>
          <w:rFonts w:hint="eastAsia"/>
          <w:color w:val="auto"/>
          <w:sz w:val="24"/>
          <w:highlight w:val="none"/>
          <w:lang w:val="en-US" w:eastAsia="zh-CN"/>
        </w:rPr>
        <w:t>项目区</w:t>
      </w:r>
      <w:r>
        <w:rPr>
          <w:rFonts w:hint="eastAsia"/>
          <w:color w:val="auto"/>
          <w:sz w:val="24"/>
          <w:highlight w:val="none"/>
        </w:rPr>
        <w:t>地下水水质监测因子中总硬度、溶解性固体、硫酸盐、氯化物</w:t>
      </w:r>
      <w:r>
        <w:rPr>
          <w:rFonts w:hint="eastAsia"/>
          <w:color w:val="auto"/>
          <w:sz w:val="24"/>
          <w:highlight w:val="none"/>
          <w:lang w:eastAsia="zh-CN"/>
        </w:rPr>
        <w:t>、锌</w:t>
      </w:r>
      <w:r>
        <w:rPr>
          <w:rFonts w:hint="eastAsia"/>
          <w:color w:val="auto"/>
          <w:sz w:val="24"/>
          <w:highlight w:val="none"/>
          <w:lang w:val="en-US" w:eastAsia="zh-CN"/>
        </w:rPr>
        <w:t>等</w:t>
      </w:r>
      <w:r>
        <w:rPr>
          <w:rFonts w:hint="eastAsia"/>
          <w:color w:val="auto"/>
          <w:sz w:val="24"/>
          <w:highlight w:val="none"/>
          <w:lang w:eastAsia="zh-CN"/>
        </w:rPr>
        <w:t>指标有所上升</w:t>
      </w:r>
      <w:r>
        <w:rPr>
          <w:rFonts w:hint="eastAsia"/>
          <w:color w:val="auto"/>
          <w:sz w:val="24"/>
          <w:highlight w:val="none"/>
        </w:rPr>
        <w:t>。</w:t>
      </w:r>
    </w:p>
    <w:p>
      <w:pPr>
        <w:spacing w:line="360" w:lineRule="auto"/>
        <w:outlineLvl w:val="2"/>
        <w:rPr>
          <w:rFonts w:hint="eastAsia" w:ascii="黑体" w:hAnsi="黑体" w:eastAsia="黑体" w:cs="黑体"/>
          <w:b w:val="0"/>
          <w:color w:val="auto"/>
          <w:sz w:val="24"/>
          <w:szCs w:val="24"/>
          <w:highlight w:val="none"/>
        </w:rPr>
      </w:pPr>
      <w:bookmarkStart w:id="137" w:name="_Toc19597"/>
      <w:bookmarkStart w:id="138" w:name="_Toc9792"/>
      <w:bookmarkStart w:id="139" w:name="_Toc530655608"/>
      <w:bookmarkStart w:id="140" w:name="_Toc519063305"/>
      <w:r>
        <w:rPr>
          <w:rFonts w:hint="eastAsia" w:ascii="黑体" w:hAnsi="黑体" w:eastAsia="黑体" w:cs="黑体"/>
          <w:b w:val="0"/>
          <w:bCs w:val="0"/>
          <w:color w:val="auto"/>
          <w:sz w:val="24"/>
          <w:szCs w:val="24"/>
          <w:highlight w:val="none"/>
          <w:lang w:eastAsia="zh-CN"/>
        </w:rPr>
        <w:t>3.6</w:t>
      </w:r>
      <w:r>
        <w:rPr>
          <w:rFonts w:hint="eastAsia" w:ascii="黑体" w:hAnsi="黑体" w:eastAsia="黑体" w:cs="黑体"/>
          <w:b w:val="0"/>
          <w:bCs w:val="0"/>
          <w:color w:val="auto"/>
          <w:sz w:val="24"/>
          <w:szCs w:val="24"/>
          <w:highlight w:val="none"/>
          <w:lang w:val="en-US" w:eastAsia="zh-CN"/>
        </w:rPr>
        <w:t>.4</w:t>
      </w:r>
      <w:r>
        <w:rPr>
          <w:rFonts w:hint="eastAsia" w:ascii="黑体" w:hAnsi="黑体" w:eastAsia="黑体" w:cs="黑体"/>
          <w:b w:val="0"/>
          <w:bCs w:val="0"/>
          <w:color w:val="auto"/>
          <w:sz w:val="24"/>
          <w:szCs w:val="24"/>
          <w:highlight w:val="none"/>
        </w:rPr>
        <w:t xml:space="preserve"> </w:t>
      </w:r>
      <w:r>
        <w:rPr>
          <w:rFonts w:hint="eastAsia" w:ascii="黑体" w:hAnsi="黑体" w:eastAsia="黑体" w:cs="黑体"/>
          <w:b w:val="0"/>
          <w:color w:val="auto"/>
          <w:sz w:val="24"/>
          <w:szCs w:val="24"/>
          <w:highlight w:val="none"/>
        </w:rPr>
        <w:t>声环境质量现状调查</w:t>
      </w:r>
      <w:bookmarkEnd w:id="137"/>
      <w:r>
        <w:rPr>
          <w:rFonts w:hint="eastAsia" w:ascii="黑体" w:hAnsi="黑体" w:eastAsia="黑体" w:cs="黑体"/>
          <w:b w:val="0"/>
          <w:color w:val="auto"/>
          <w:sz w:val="24"/>
          <w:szCs w:val="24"/>
          <w:highlight w:val="none"/>
        </w:rPr>
        <w:t>与变化趋势</w:t>
      </w:r>
      <w:bookmarkEnd w:id="138"/>
      <w:bookmarkEnd w:id="139"/>
      <w:bookmarkEnd w:id="140"/>
    </w:p>
    <w:p>
      <w:pPr>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ascii="黑体" w:hAnsi="黑体" w:eastAsia="黑体" w:cs="Times New Roman"/>
          <w:color w:val="auto"/>
          <w:sz w:val="24"/>
          <w:szCs w:val="24"/>
          <w:highlight w:val="none"/>
        </w:rPr>
      </w:pPr>
      <w:r>
        <w:rPr>
          <w:rFonts w:hint="eastAsia" w:cs="Times New Roman"/>
          <w:color w:val="auto"/>
          <w:sz w:val="24"/>
          <w:szCs w:val="24"/>
          <w:highlight w:val="none"/>
          <w:lang w:eastAsia="zh-CN"/>
        </w:rPr>
        <w:t>3.6</w:t>
      </w:r>
      <w:r>
        <w:rPr>
          <w:rFonts w:hint="eastAsia" w:cs="Times New Roman"/>
          <w:color w:val="auto"/>
          <w:sz w:val="24"/>
          <w:szCs w:val="24"/>
          <w:highlight w:val="none"/>
          <w:lang w:val="en-US" w:eastAsia="zh-CN"/>
        </w:rPr>
        <w:t>.4</w:t>
      </w:r>
      <w:r>
        <w:rPr>
          <w:rFonts w:ascii="Times New Roman" w:hAnsi="Times New Roman" w:cs="Times New Roman"/>
          <w:color w:val="auto"/>
          <w:sz w:val="24"/>
          <w:szCs w:val="24"/>
          <w:highlight w:val="none"/>
        </w:rPr>
        <w:t xml:space="preserve">.1 </w:t>
      </w:r>
      <w:r>
        <w:rPr>
          <w:rFonts w:ascii="黑体" w:hAnsi="黑体" w:eastAsia="黑体" w:cs="Times New Roman"/>
          <w:color w:val="auto"/>
          <w:sz w:val="24"/>
          <w:szCs w:val="24"/>
          <w:highlight w:val="none"/>
        </w:rPr>
        <w:t>声环境质量现状调查</w:t>
      </w:r>
    </w:p>
    <w:p>
      <w:pPr>
        <w:pStyle w:val="19"/>
        <w:adjustRightInd w:val="0"/>
        <w:snapToGrid w:val="0"/>
        <w:spacing w:line="360" w:lineRule="auto"/>
        <w:ind w:firstLine="480" w:firstLineChars="200"/>
        <w:jc w:val="left"/>
        <w:rPr>
          <w:rFonts w:cs="Times New Roman"/>
          <w:color w:val="auto"/>
          <w:szCs w:val="24"/>
          <w:highlight w:val="none"/>
        </w:rPr>
      </w:pPr>
      <w:r>
        <w:rPr>
          <w:rFonts w:hint="eastAsia" w:cs="Times New Roman"/>
          <w:color w:val="auto"/>
          <w:szCs w:val="24"/>
          <w:highlight w:val="none"/>
          <w:lang w:val="en-US" w:eastAsia="zh-CN"/>
        </w:rPr>
        <w:t>1、</w:t>
      </w:r>
      <w:r>
        <w:rPr>
          <w:rFonts w:cs="Times New Roman"/>
          <w:color w:val="auto"/>
          <w:szCs w:val="24"/>
          <w:highlight w:val="none"/>
        </w:rPr>
        <w:t>监测点位</w:t>
      </w:r>
    </w:p>
    <w:p>
      <w:pPr>
        <w:pStyle w:val="74"/>
        <w:snapToGrid w:val="0"/>
        <w:spacing w:line="360" w:lineRule="auto"/>
        <w:ind w:firstLine="480" w:firstLineChars="200"/>
        <w:rPr>
          <w:rFonts w:ascii="Times New Roman" w:cs="Times New Roman"/>
          <w:color w:val="auto"/>
          <w:szCs w:val="24"/>
          <w:highlight w:val="none"/>
        </w:rPr>
      </w:pPr>
      <w:r>
        <w:rPr>
          <w:rFonts w:hint="eastAsia" w:ascii="Times New Roman" w:cs="Times New Roman"/>
          <w:color w:val="auto"/>
          <w:szCs w:val="24"/>
          <w:highlight w:val="none"/>
          <w:lang w:eastAsia="zh-CN"/>
        </w:rPr>
        <w:t>电镀工业园</w:t>
      </w:r>
      <w:r>
        <w:rPr>
          <w:rFonts w:ascii="Times New Roman" w:cs="Times New Roman"/>
          <w:color w:val="auto"/>
          <w:szCs w:val="24"/>
          <w:highlight w:val="none"/>
        </w:rPr>
        <w:t>位于</w:t>
      </w:r>
      <w:r>
        <w:rPr>
          <w:rFonts w:hint="eastAsia"/>
          <w:b w:val="0"/>
          <w:bCs/>
          <w:color w:val="auto"/>
          <w:szCs w:val="21"/>
          <w:highlight w:val="none"/>
          <w:lang w:eastAsia="zh-CN"/>
        </w:rPr>
        <w:t>青岛西海岸新区</w:t>
      </w:r>
      <w:r>
        <w:rPr>
          <w:rFonts w:hint="default" w:ascii="Times New Roman" w:hAnsi="Times New Roman" w:cs="Times New Roman"/>
          <w:b w:val="0"/>
          <w:bCs/>
          <w:color w:val="auto"/>
          <w:szCs w:val="21"/>
          <w:highlight w:val="none"/>
        </w:rPr>
        <w:t>黄河东路139号青岛经济技术开发区电镀工业园</w:t>
      </w:r>
      <w:r>
        <w:rPr>
          <w:rFonts w:hint="default" w:ascii="Times New Roman" w:hAnsi="Times New Roman" w:cs="Times New Roman"/>
          <w:color w:val="auto"/>
          <w:szCs w:val="24"/>
          <w:highlight w:val="none"/>
        </w:rPr>
        <w:t>，在</w:t>
      </w:r>
      <w:r>
        <w:rPr>
          <w:rFonts w:hint="default" w:ascii="Times New Roman" w:hAnsi="Times New Roman" w:cs="Times New Roman"/>
          <w:color w:val="auto"/>
          <w:szCs w:val="24"/>
          <w:highlight w:val="none"/>
          <w:lang w:eastAsia="zh-CN"/>
        </w:rPr>
        <w:t>园区</w:t>
      </w:r>
      <w:r>
        <w:rPr>
          <w:rFonts w:hint="default" w:ascii="Times New Roman" w:hAnsi="Times New Roman" w:cs="Times New Roman"/>
          <w:color w:val="auto"/>
          <w:szCs w:val="24"/>
          <w:highlight w:val="none"/>
        </w:rPr>
        <w:t>东、南、西、北厂界外1m各布设一个点位，</w:t>
      </w:r>
      <w:r>
        <w:rPr>
          <w:rFonts w:ascii="Times New Roman" w:cs="Times New Roman"/>
          <w:color w:val="auto"/>
          <w:szCs w:val="24"/>
          <w:highlight w:val="none"/>
        </w:rPr>
        <w:t>共布设4个噪声站位。</w:t>
      </w:r>
    </w:p>
    <w:p>
      <w:pPr>
        <w:spacing w:line="360" w:lineRule="auto"/>
        <w:ind w:firstLine="480"/>
        <w:jc w:val="center"/>
        <w:rPr>
          <w:color w:val="auto"/>
          <w:highlight w:val="none"/>
        </w:rPr>
      </w:pPr>
      <w:r>
        <w:rPr>
          <w:color w:val="auto"/>
          <w:highlight w:val="none"/>
        </w:rPr>
        <w:drawing>
          <wp:inline distT="0" distB="0" distL="114300" distR="114300">
            <wp:extent cx="4240530" cy="3225165"/>
            <wp:effectExtent l="9525" t="9525" r="17145" b="22860"/>
            <wp:docPr id="2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4"/>
                    <pic:cNvPicPr>
                      <a:picLocks noChangeAspect="1"/>
                    </pic:cNvPicPr>
                  </pic:nvPicPr>
                  <pic:blipFill>
                    <a:blip r:embed="rId47"/>
                    <a:stretch>
                      <a:fillRect/>
                    </a:stretch>
                  </pic:blipFill>
                  <pic:spPr>
                    <a:xfrm>
                      <a:off x="0" y="0"/>
                      <a:ext cx="4240530" cy="3225165"/>
                    </a:xfrm>
                    <a:prstGeom prst="rect">
                      <a:avLst/>
                    </a:prstGeom>
                    <a:noFill/>
                    <a:ln w="9525">
                      <a:solidFill>
                        <a:schemeClr val="tx1"/>
                      </a:solidFill>
                    </a:ln>
                  </pic:spPr>
                </pic:pic>
              </a:graphicData>
            </a:graphic>
          </wp:inline>
        </w:drawing>
      </w:r>
    </w:p>
    <w:p>
      <w:pPr>
        <w:spacing w:line="360" w:lineRule="auto"/>
        <w:ind w:firstLine="480"/>
        <w:jc w:val="center"/>
        <w:rPr>
          <w:rFonts w:ascii="Times New Roman" w:cs="Times New Roman"/>
          <w:color w:val="auto"/>
          <w:szCs w:val="24"/>
          <w:highlight w:val="none"/>
        </w:rPr>
      </w:pPr>
      <w:r>
        <w:rPr>
          <w:rFonts w:eastAsia="黑体"/>
          <w:bCs/>
          <w:color w:val="auto"/>
          <w:sz w:val="24"/>
          <w:highlight w:val="none"/>
        </w:rPr>
        <w:t>图</w:t>
      </w:r>
      <w:r>
        <w:rPr>
          <w:rFonts w:hint="eastAsia" w:eastAsia="黑体"/>
          <w:bCs/>
          <w:color w:val="auto"/>
          <w:sz w:val="24"/>
          <w:highlight w:val="none"/>
          <w:lang w:val="en-US" w:eastAsia="zh-CN"/>
        </w:rPr>
        <w:t>3.6-4</w:t>
      </w:r>
      <w:r>
        <w:rPr>
          <w:rFonts w:eastAsia="黑体"/>
          <w:bCs/>
          <w:color w:val="auto"/>
          <w:sz w:val="24"/>
          <w:highlight w:val="none"/>
        </w:rPr>
        <w:t xml:space="preserve">  声环境监测布点图</w:t>
      </w:r>
    </w:p>
    <w:p>
      <w:pPr>
        <w:pStyle w:val="74"/>
        <w:snapToGrid w:val="0"/>
        <w:spacing w:line="360" w:lineRule="auto"/>
        <w:ind w:firstLine="480" w:firstLineChars="200"/>
        <w:rPr>
          <w:rFonts w:ascii="Times New Roman" w:cs="Times New Roman"/>
          <w:bCs/>
          <w:color w:val="auto"/>
          <w:szCs w:val="24"/>
          <w:highlight w:val="none"/>
        </w:rPr>
      </w:pPr>
      <w:r>
        <w:rPr>
          <w:rFonts w:hint="eastAsia" w:ascii="Times New Roman" w:cs="Times New Roman"/>
          <w:bCs/>
          <w:color w:val="auto"/>
          <w:szCs w:val="24"/>
          <w:highlight w:val="none"/>
          <w:lang w:val="en-US" w:eastAsia="zh-CN"/>
        </w:rPr>
        <w:t>2、</w:t>
      </w:r>
      <w:r>
        <w:rPr>
          <w:rFonts w:ascii="Times New Roman" w:cs="Times New Roman"/>
          <w:bCs/>
          <w:color w:val="auto"/>
          <w:szCs w:val="24"/>
          <w:highlight w:val="none"/>
        </w:rPr>
        <w:t>监测项目</w:t>
      </w:r>
    </w:p>
    <w:p>
      <w:pPr>
        <w:pStyle w:val="74"/>
        <w:snapToGrid w:val="0"/>
        <w:spacing w:line="360" w:lineRule="auto"/>
        <w:ind w:firstLine="480" w:firstLineChars="200"/>
        <w:rPr>
          <w:rFonts w:ascii="Times New Roman" w:cs="Times New Roman"/>
          <w:color w:val="auto"/>
          <w:szCs w:val="24"/>
          <w:highlight w:val="none"/>
        </w:rPr>
      </w:pPr>
      <w:r>
        <w:rPr>
          <w:rFonts w:ascii="Times New Roman" w:cs="Times New Roman"/>
          <w:color w:val="auto"/>
          <w:szCs w:val="24"/>
          <w:highlight w:val="none"/>
        </w:rPr>
        <w:t>等效连续A声级L</w:t>
      </w:r>
      <w:r>
        <w:rPr>
          <w:rFonts w:ascii="Times New Roman" w:cs="Times New Roman"/>
          <w:color w:val="auto"/>
          <w:szCs w:val="24"/>
          <w:highlight w:val="none"/>
          <w:vertAlign w:val="subscript"/>
        </w:rPr>
        <w:t>Aeq</w:t>
      </w:r>
      <w:r>
        <w:rPr>
          <w:rFonts w:ascii="Times New Roman" w:cs="Times New Roman"/>
          <w:color w:val="auto"/>
          <w:szCs w:val="24"/>
          <w:highlight w:val="none"/>
        </w:rPr>
        <w:t>。</w:t>
      </w:r>
    </w:p>
    <w:p>
      <w:pPr>
        <w:pStyle w:val="74"/>
        <w:snapToGrid w:val="0"/>
        <w:spacing w:line="360" w:lineRule="auto"/>
        <w:ind w:firstLine="480" w:firstLineChars="200"/>
        <w:rPr>
          <w:rFonts w:ascii="Times New Roman" w:cs="Times New Roman"/>
          <w:color w:val="auto"/>
          <w:szCs w:val="24"/>
          <w:highlight w:val="none"/>
        </w:rPr>
      </w:pPr>
      <w:r>
        <w:rPr>
          <w:rFonts w:hint="eastAsia" w:ascii="Times New Roman" w:cs="Times New Roman"/>
          <w:color w:val="auto"/>
          <w:szCs w:val="24"/>
          <w:highlight w:val="none"/>
          <w:lang w:val="en-US" w:eastAsia="zh-CN"/>
        </w:rPr>
        <w:t>3、</w:t>
      </w:r>
      <w:r>
        <w:rPr>
          <w:rFonts w:ascii="Times New Roman" w:cs="Times New Roman"/>
          <w:color w:val="auto"/>
          <w:szCs w:val="24"/>
          <w:highlight w:val="none"/>
        </w:rPr>
        <w:t>监测时间及频率</w:t>
      </w:r>
    </w:p>
    <w:p>
      <w:pPr>
        <w:pStyle w:val="74"/>
        <w:snapToGrid w:val="0"/>
        <w:spacing w:line="360" w:lineRule="auto"/>
        <w:ind w:firstLine="480" w:firstLineChars="200"/>
        <w:rPr>
          <w:rFonts w:ascii="Times New Roman" w:cs="Times New Roman"/>
          <w:color w:val="auto"/>
          <w:szCs w:val="24"/>
          <w:highlight w:val="none"/>
        </w:rPr>
      </w:pPr>
      <w:r>
        <w:rPr>
          <w:rFonts w:hint="eastAsia" w:ascii="Times New Roman" w:cs="Times New Roman"/>
          <w:color w:val="auto"/>
          <w:szCs w:val="24"/>
          <w:highlight w:val="none"/>
        </w:rPr>
        <w:t>于201</w:t>
      </w:r>
      <w:r>
        <w:rPr>
          <w:rFonts w:hint="eastAsia" w:ascii="Times New Roman" w:cs="Times New Roman"/>
          <w:color w:val="auto"/>
          <w:szCs w:val="24"/>
          <w:highlight w:val="none"/>
          <w:lang w:val="en-US" w:eastAsia="zh-CN"/>
        </w:rPr>
        <w:t>9</w:t>
      </w:r>
      <w:r>
        <w:rPr>
          <w:rFonts w:hint="eastAsia" w:ascii="Times New Roman" w:cs="Times New Roman"/>
          <w:color w:val="auto"/>
          <w:szCs w:val="24"/>
          <w:highlight w:val="none"/>
        </w:rPr>
        <w:t>年</w:t>
      </w:r>
      <w:r>
        <w:rPr>
          <w:rFonts w:hint="eastAsia" w:ascii="Times New Roman" w:cs="Times New Roman"/>
          <w:color w:val="auto"/>
          <w:szCs w:val="24"/>
          <w:highlight w:val="none"/>
          <w:lang w:val="en-US" w:eastAsia="zh-CN"/>
        </w:rPr>
        <w:t>9</w:t>
      </w:r>
      <w:r>
        <w:rPr>
          <w:rFonts w:hint="eastAsia" w:ascii="Times New Roman" w:cs="Times New Roman"/>
          <w:color w:val="auto"/>
          <w:szCs w:val="24"/>
          <w:highlight w:val="none"/>
        </w:rPr>
        <w:t>月1</w:t>
      </w:r>
      <w:r>
        <w:rPr>
          <w:rFonts w:hint="eastAsia" w:ascii="Times New Roman" w:cs="Times New Roman"/>
          <w:color w:val="auto"/>
          <w:szCs w:val="24"/>
          <w:highlight w:val="none"/>
          <w:lang w:val="en-US" w:eastAsia="zh-CN"/>
        </w:rPr>
        <w:t>4</w:t>
      </w:r>
      <w:r>
        <w:rPr>
          <w:rFonts w:hint="eastAsia" w:ascii="Times New Roman" w:cs="Times New Roman"/>
          <w:color w:val="auto"/>
          <w:szCs w:val="24"/>
          <w:highlight w:val="none"/>
        </w:rPr>
        <w:t>日各监测一天</w:t>
      </w:r>
      <w:r>
        <w:rPr>
          <w:rFonts w:ascii="Times New Roman" w:cs="Times New Roman"/>
          <w:color w:val="auto"/>
          <w:szCs w:val="24"/>
          <w:highlight w:val="none"/>
        </w:rPr>
        <w:t>，昼间、夜间各一次。</w:t>
      </w:r>
    </w:p>
    <w:p>
      <w:pPr>
        <w:adjustRightInd w:val="0"/>
        <w:snapToGrid w:val="0"/>
        <w:spacing w:line="360" w:lineRule="auto"/>
        <w:ind w:firstLine="480"/>
        <w:rPr>
          <w:color w:val="auto"/>
          <w:sz w:val="24"/>
          <w:highlight w:val="none"/>
        </w:rPr>
      </w:pPr>
      <w:r>
        <w:rPr>
          <w:rFonts w:hint="eastAsia"/>
          <w:color w:val="auto"/>
          <w:sz w:val="24"/>
          <w:highlight w:val="none"/>
          <w:lang w:val="en-US" w:eastAsia="zh-CN"/>
        </w:rPr>
        <w:t>4、</w:t>
      </w:r>
      <w:r>
        <w:rPr>
          <w:color w:val="auto"/>
          <w:sz w:val="24"/>
          <w:highlight w:val="none"/>
        </w:rPr>
        <w:t>评价标准</w:t>
      </w:r>
    </w:p>
    <w:p>
      <w:pPr>
        <w:adjustRightInd w:val="0"/>
        <w:snapToGrid w:val="0"/>
        <w:spacing w:line="360" w:lineRule="auto"/>
        <w:ind w:firstLine="480"/>
        <w:rPr>
          <w:iCs/>
          <w:color w:val="auto"/>
          <w:sz w:val="24"/>
          <w:highlight w:val="none"/>
        </w:rPr>
      </w:pPr>
      <w:r>
        <w:rPr>
          <w:color w:val="auto"/>
          <w:sz w:val="24"/>
          <w:highlight w:val="none"/>
        </w:rPr>
        <w:t>执行《声环境质量标准》(GB3096-2008)</w:t>
      </w:r>
      <w:r>
        <w:rPr>
          <w:rFonts w:hint="eastAsia"/>
          <w:color w:val="auto"/>
          <w:sz w:val="24"/>
          <w:highlight w:val="none"/>
        </w:rPr>
        <w:t>3</w:t>
      </w:r>
      <w:r>
        <w:rPr>
          <w:rStyle w:val="41"/>
          <w:i w:val="0"/>
          <w:color w:val="auto"/>
          <w:sz w:val="24"/>
          <w:highlight w:val="none"/>
        </w:rPr>
        <w:t>类区标准</w:t>
      </w:r>
      <w:r>
        <w:rPr>
          <w:rStyle w:val="41"/>
          <w:color w:val="auto"/>
          <w:sz w:val="24"/>
          <w:highlight w:val="none"/>
        </w:rPr>
        <w:t>。</w:t>
      </w:r>
    </w:p>
    <w:p>
      <w:pPr>
        <w:adjustRightInd w:val="0"/>
        <w:snapToGrid w:val="0"/>
        <w:spacing w:line="360" w:lineRule="auto"/>
        <w:ind w:firstLine="480"/>
        <w:rPr>
          <w:color w:val="auto"/>
          <w:sz w:val="24"/>
          <w:highlight w:val="none"/>
        </w:rPr>
      </w:pPr>
      <w:r>
        <w:rPr>
          <w:rFonts w:hint="eastAsia"/>
          <w:color w:val="auto"/>
          <w:sz w:val="24"/>
          <w:highlight w:val="none"/>
          <w:lang w:val="en-US" w:eastAsia="zh-CN"/>
        </w:rPr>
        <w:t>5、</w:t>
      </w:r>
      <w:r>
        <w:rPr>
          <w:color w:val="auto"/>
          <w:sz w:val="24"/>
          <w:highlight w:val="none"/>
        </w:rPr>
        <w:t>监测结果</w:t>
      </w:r>
    </w:p>
    <w:p>
      <w:pPr>
        <w:pStyle w:val="19"/>
        <w:adjustRightInd w:val="0"/>
        <w:snapToGrid w:val="0"/>
        <w:spacing w:line="360" w:lineRule="auto"/>
        <w:ind w:firstLine="480"/>
        <w:jc w:val="left"/>
        <w:rPr>
          <w:color w:val="auto"/>
          <w:szCs w:val="24"/>
          <w:highlight w:val="none"/>
        </w:rPr>
      </w:pPr>
      <w:r>
        <w:rPr>
          <w:color w:val="auto"/>
          <w:szCs w:val="24"/>
          <w:highlight w:val="none"/>
        </w:rPr>
        <w:t>噪声监测结果见表</w:t>
      </w:r>
      <w:r>
        <w:rPr>
          <w:rFonts w:hint="eastAsia" w:ascii="Times New Roman" w:hAnsi="Times New Roman" w:cs="Times New Roman"/>
          <w:color w:val="auto"/>
          <w:szCs w:val="24"/>
          <w:highlight w:val="none"/>
          <w:lang w:eastAsia="zh-CN"/>
        </w:rPr>
        <w:t>3.6</w:t>
      </w:r>
      <w:r>
        <w:rPr>
          <w:rFonts w:ascii="Times New Roman" w:hAnsi="Times New Roman" w:cs="Times New Roman"/>
          <w:color w:val="auto"/>
          <w:szCs w:val="24"/>
          <w:highlight w:val="none"/>
        </w:rPr>
        <w:t>-1</w:t>
      </w:r>
      <w:r>
        <w:rPr>
          <w:rFonts w:hint="eastAsia" w:ascii="Times New Roman" w:hAnsi="Times New Roman" w:cs="Times New Roman"/>
          <w:color w:val="auto"/>
          <w:szCs w:val="24"/>
          <w:highlight w:val="none"/>
          <w:lang w:val="en-US" w:eastAsia="zh-CN"/>
        </w:rPr>
        <w:t>3</w:t>
      </w:r>
      <w:r>
        <w:rPr>
          <w:rFonts w:ascii="Times New Roman" w:hAnsi="Times New Roman" w:cs="Times New Roman"/>
          <w:color w:val="auto"/>
          <w:szCs w:val="24"/>
          <w:highlight w:val="none"/>
        </w:rPr>
        <w:t>。</w:t>
      </w:r>
    </w:p>
    <w:p>
      <w:pPr>
        <w:ind w:firstLine="420"/>
        <w:jc w:val="center"/>
        <w:rPr>
          <w:rStyle w:val="72"/>
          <w:color w:val="auto"/>
          <w:sz w:val="24"/>
          <w:szCs w:val="24"/>
          <w:highlight w:val="none"/>
        </w:rPr>
      </w:pPr>
      <w:r>
        <w:rPr>
          <w:rStyle w:val="72"/>
          <w:color w:val="auto"/>
          <w:sz w:val="24"/>
          <w:szCs w:val="24"/>
          <w:highlight w:val="none"/>
        </w:rPr>
        <w:t>表</w:t>
      </w:r>
      <w:r>
        <w:rPr>
          <w:rStyle w:val="72"/>
          <w:rFonts w:hint="eastAsia" w:eastAsia="黑体"/>
          <w:color w:val="auto"/>
          <w:sz w:val="24"/>
          <w:szCs w:val="24"/>
          <w:highlight w:val="none"/>
          <w:lang w:eastAsia="zh-CN"/>
        </w:rPr>
        <w:t>3.6</w:t>
      </w:r>
      <w:r>
        <w:rPr>
          <w:rStyle w:val="72"/>
          <w:color w:val="auto"/>
          <w:sz w:val="24"/>
          <w:szCs w:val="24"/>
          <w:highlight w:val="none"/>
        </w:rPr>
        <w:t>-</w:t>
      </w:r>
      <w:r>
        <w:rPr>
          <w:rStyle w:val="72"/>
          <w:rFonts w:hint="eastAsia"/>
          <w:color w:val="auto"/>
          <w:sz w:val="24"/>
          <w:szCs w:val="24"/>
          <w:highlight w:val="none"/>
        </w:rPr>
        <w:t>1</w:t>
      </w:r>
      <w:r>
        <w:rPr>
          <w:rStyle w:val="72"/>
          <w:rFonts w:hint="eastAsia" w:eastAsia="黑体"/>
          <w:color w:val="auto"/>
          <w:sz w:val="24"/>
          <w:szCs w:val="24"/>
          <w:highlight w:val="none"/>
          <w:lang w:val="en-US" w:eastAsia="zh-CN"/>
        </w:rPr>
        <w:t>3</w:t>
      </w:r>
      <w:r>
        <w:rPr>
          <w:rStyle w:val="72"/>
          <w:rFonts w:hint="eastAsia"/>
          <w:color w:val="auto"/>
          <w:sz w:val="24"/>
          <w:szCs w:val="24"/>
          <w:highlight w:val="none"/>
        </w:rPr>
        <w:t xml:space="preserve"> </w:t>
      </w:r>
      <w:r>
        <w:rPr>
          <w:rStyle w:val="72"/>
          <w:rFonts w:hint="eastAsia" w:eastAsia="黑体"/>
          <w:color w:val="auto"/>
          <w:sz w:val="24"/>
          <w:szCs w:val="24"/>
          <w:highlight w:val="none"/>
          <w:lang w:val="en-US" w:eastAsia="zh-CN"/>
        </w:rPr>
        <w:t xml:space="preserve"> </w:t>
      </w:r>
      <w:r>
        <w:rPr>
          <w:rStyle w:val="72"/>
          <w:rFonts w:hint="eastAsia"/>
          <w:color w:val="auto"/>
          <w:sz w:val="24"/>
          <w:szCs w:val="24"/>
          <w:highlight w:val="none"/>
        </w:rPr>
        <w:t>厂界噪声监测结果表</w:t>
      </w:r>
      <w:r>
        <w:rPr>
          <w:rStyle w:val="72"/>
          <w:color w:val="auto"/>
          <w:sz w:val="24"/>
          <w:szCs w:val="24"/>
          <w:highlight w:val="none"/>
        </w:rPr>
        <w:t xml:space="preserve">  单位：dB(A)</w:t>
      </w:r>
    </w:p>
    <w:tbl>
      <w:tblPr>
        <w:tblStyle w:val="36"/>
        <w:tblW w:w="9231" w:type="dxa"/>
        <w:jc w:val="center"/>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154"/>
        <w:gridCol w:w="806"/>
        <w:gridCol w:w="1455"/>
        <w:gridCol w:w="1455"/>
        <w:gridCol w:w="1455"/>
        <w:gridCol w:w="1455"/>
        <w:gridCol w:w="1451"/>
      </w:tblGrid>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jc w:val="center"/>
        </w:trPr>
        <w:tc>
          <w:tcPr>
            <w:tcW w:w="1960" w:type="dxa"/>
            <w:gridSpan w:val="2"/>
            <w:vAlign w:val="center"/>
          </w:tcPr>
          <w:p>
            <w:pPr>
              <w:jc w:val="center"/>
              <w:rPr>
                <w:color w:val="auto"/>
                <w:szCs w:val="21"/>
                <w:highlight w:val="none"/>
              </w:rPr>
            </w:pPr>
            <w:r>
              <w:rPr>
                <w:rFonts w:hint="eastAsia"/>
                <w:color w:val="auto"/>
                <w:szCs w:val="21"/>
                <w:highlight w:val="none"/>
              </w:rPr>
              <w:t>监测时间</w:t>
            </w:r>
          </w:p>
        </w:tc>
        <w:tc>
          <w:tcPr>
            <w:tcW w:w="1455" w:type="dxa"/>
            <w:vAlign w:val="center"/>
          </w:tcPr>
          <w:p>
            <w:pPr>
              <w:widowControl/>
              <w:jc w:val="center"/>
              <w:textAlignment w:val="center"/>
              <w:rPr>
                <w:rFonts w:eastAsia="等线"/>
                <w:color w:val="auto"/>
                <w:kern w:val="0"/>
                <w:szCs w:val="21"/>
                <w:highlight w:val="none"/>
                <w:lang w:bidi="ar"/>
              </w:rPr>
            </w:pPr>
            <w:r>
              <w:rPr>
                <w:color w:val="auto"/>
                <w:szCs w:val="21"/>
                <w:highlight w:val="none"/>
              </w:rPr>
              <w:t>1#东厂界</w:t>
            </w:r>
          </w:p>
        </w:tc>
        <w:tc>
          <w:tcPr>
            <w:tcW w:w="1455" w:type="dxa"/>
            <w:vAlign w:val="center"/>
          </w:tcPr>
          <w:p>
            <w:pPr>
              <w:widowControl/>
              <w:jc w:val="center"/>
              <w:textAlignment w:val="center"/>
              <w:rPr>
                <w:rFonts w:eastAsia="等线"/>
                <w:color w:val="auto"/>
                <w:kern w:val="0"/>
                <w:szCs w:val="21"/>
                <w:highlight w:val="none"/>
                <w:lang w:bidi="ar"/>
              </w:rPr>
            </w:pPr>
            <w:r>
              <w:rPr>
                <w:color w:val="auto"/>
                <w:highlight w:val="none"/>
              </w:rPr>
              <w:t>2#南厂界</w:t>
            </w:r>
          </w:p>
        </w:tc>
        <w:tc>
          <w:tcPr>
            <w:tcW w:w="1455" w:type="dxa"/>
            <w:vAlign w:val="center"/>
          </w:tcPr>
          <w:p>
            <w:pPr>
              <w:widowControl/>
              <w:jc w:val="center"/>
              <w:textAlignment w:val="center"/>
              <w:rPr>
                <w:rFonts w:eastAsia="等线"/>
                <w:color w:val="auto"/>
                <w:kern w:val="0"/>
                <w:szCs w:val="21"/>
                <w:highlight w:val="none"/>
                <w:lang w:bidi="ar"/>
              </w:rPr>
            </w:pPr>
            <w:r>
              <w:rPr>
                <w:color w:val="auto"/>
                <w:highlight w:val="none"/>
              </w:rPr>
              <w:t>3#西厂界</w:t>
            </w:r>
          </w:p>
        </w:tc>
        <w:tc>
          <w:tcPr>
            <w:tcW w:w="1455" w:type="dxa"/>
            <w:vAlign w:val="center"/>
          </w:tcPr>
          <w:p>
            <w:pPr>
              <w:widowControl/>
              <w:jc w:val="center"/>
              <w:textAlignment w:val="center"/>
              <w:rPr>
                <w:rFonts w:eastAsia="等线"/>
                <w:color w:val="auto"/>
                <w:kern w:val="0"/>
                <w:szCs w:val="21"/>
                <w:highlight w:val="none"/>
                <w:lang w:bidi="ar"/>
              </w:rPr>
            </w:pPr>
            <w:r>
              <w:rPr>
                <w:color w:val="auto"/>
                <w:highlight w:val="none"/>
              </w:rPr>
              <w:t>4#北厂界</w:t>
            </w:r>
          </w:p>
        </w:tc>
        <w:tc>
          <w:tcPr>
            <w:tcW w:w="1451" w:type="dxa"/>
            <w:vAlign w:val="center"/>
          </w:tcPr>
          <w:p>
            <w:pPr>
              <w:widowControl/>
              <w:jc w:val="center"/>
              <w:textAlignment w:val="center"/>
              <w:rPr>
                <w:color w:val="auto"/>
                <w:highlight w:val="none"/>
              </w:rPr>
            </w:pPr>
            <w:r>
              <w:rPr>
                <w:rFonts w:hint="eastAsia"/>
                <w:color w:val="auto"/>
                <w:highlight w:val="none"/>
              </w:rPr>
              <w:t>标准值</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PrEx>
        <w:trPr>
          <w:cantSplit/>
          <w:trHeight w:val="340" w:hRule="atLeast"/>
          <w:jc w:val="center"/>
        </w:trPr>
        <w:tc>
          <w:tcPr>
            <w:tcW w:w="1154" w:type="dxa"/>
            <w:vMerge w:val="restart"/>
            <w:vAlign w:val="center"/>
          </w:tcPr>
          <w:p>
            <w:pPr>
              <w:jc w:val="center"/>
              <w:rPr>
                <w:rFonts w:hint="eastAsia" w:eastAsia="宋体"/>
                <w:color w:val="auto"/>
                <w:szCs w:val="21"/>
                <w:highlight w:val="none"/>
                <w:lang w:eastAsia="zh-CN"/>
              </w:rPr>
            </w:pPr>
            <w:r>
              <w:rPr>
                <w:rFonts w:hint="eastAsia"/>
                <w:color w:val="auto"/>
                <w:szCs w:val="21"/>
                <w:highlight w:val="none"/>
              </w:rPr>
              <w:t>201</w:t>
            </w:r>
            <w:r>
              <w:rPr>
                <w:rFonts w:hint="eastAsia"/>
                <w:color w:val="auto"/>
                <w:szCs w:val="21"/>
                <w:highlight w:val="none"/>
                <w:lang w:val="en-US" w:eastAsia="zh-CN"/>
              </w:rPr>
              <w:t>9</w:t>
            </w:r>
            <w:r>
              <w:rPr>
                <w:rFonts w:hint="eastAsia"/>
                <w:color w:val="auto"/>
                <w:szCs w:val="21"/>
                <w:highlight w:val="none"/>
              </w:rPr>
              <w:t>.</w:t>
            </w:r>
            <w:r>
              <w:rPr>
                <w:rFonts w:hint="eastAsia"/>
                <w:color w:val="auto"/>
                <w:szCs w:val="21"/>
                <w:highlight w:val="none"/>
                <w:lang w:val="en-US" w:eastAsia="zh-CN"/>
              </w:rPr>
              <w:t>9</w:t>
            </w:r>
            <w:r>
              <w:rPr>
                <w:rFonts w:hint="eastAsia"/>
                <w:color w:val="auto"/>
                <w:szCs w:val="21"/>
                <w:highlight w:val="none"/>
              </w:rPr>
              <w:t>.1</w:t>
            </w:r>
            <w:r>
              <w:rPr>
                <w:rFonts w:hint="eastAsia"/>
                <w:color w:val="auto"/>
                <w:szCs w:val="21"/>
                <w:highlight w:val="none"/>
                <w:lang w:val="en-US" w:eastAsia="zh-CN"/>
              </w:rPr>
              <w:t>4</w:t>
            </w:r>
          </w:p>
        </w:tc>
        <w:tc>
          <w:tcPr>
            <w:tcW w:w="806" w:type="dxa"/>
            <w:vAlign w:val="center"/>
          </w:tcPr>
          <w:p>
            <w:pPr>
              <w:jc w:val="center"/>
              <w:rPr>
                <w:color w:val="auto"/>
                <w:szCs w:val="21"/>
                <w:highlight w:val="none"/>
              </w:rPr>
            </w:pPr>
            <w:r>
              <w:rPr>
                <w:color w:val="auto"/>
                <w:szCs w:val="21"/>
                <w:highlight w:val="none"/>
              </w:rPr>
              <w:t>昼间</w:t>
            </w:r>
          </w:p>
        </w:tc>
        <w:tc>
          <w:tcPr>
            <w:tcW w:w="1455" w:type="dxa"/>
            <w:vAlign w:val="center"/>
          </w:tcPr>
          <w:p>
            <w:pPr>
              <w:widowControl/>
              <w:jc w:val="center"/>
              <w:textAlignment w:val="center"/>
              <w:rPr>
                <w:rFonts w:hint="eastAsia" w:eastAsia="等线"/>
                <w:color w:val="auto"/>
                <w:szCs w:val="21"/>
                <w:highlight w:val="none"/>
                <w:lang w:val="en-US" w:eastAsia="zh-CN"/>
              </w:rPr>
            </w:pPr>
            <w:r>
              <w:rPr>
                <w:rFonts w:eastAsia="等线"/>
                <w:color w:val="auto"/>
                <w:kern w:val="0"/>
                <w:szCs w:val="21"/>
                <w:highlight w:val="none"/>
                <w:lang w:bidi="ar"/>
              </w:rPr>
              <w:t>5</w:t>
            </w:r>
            <w:r>
              <w:rPr>
                <w:rFonts w:hint="eastAsia" w:eastAsia="等线"/>
                <w:color w:val="auto"/>
                <w:kern w:val="0"/>
                <w:szCs w:val="21"/>
                <w:highlight w:val="none"/>
                <w:lang w:val="en-US" w:eastAsia="zh-CN" w:bidi="ar"/>
              </w:rPr>
              <w:t>5.3</w:t>
            </w:r>
          </w:p>
        </w:tc>
        <w:tc>
          <w:tcPr>
            <w:tcW w:w="1455" w:type="dxa"/>
            <w:vAlign w:val="center"/>
          </w:tcPr>
          <w:p>
            <w:pPr>
              <w:widowControl/>
              <w:jc w:val="center"/>
              <w:textAlignment w:val="center"/>
              <w:rPr>
                <w:rFonts w:hint="eastAsia" w:eastAsia="宋体"/>
                <w:color w:val="auto"/>
                <w:szCs w:val="21"/>
                <w:highlight w:val="none"/>
                <w:lang w:val="en-US" w:eastAsia="zh-CN"/>
              </w:rPr>
            </w:pPr>
            <w:r>
              <w:rPr>
                <w:rFonts w:hint="eastAsia" w:eastAsia="等线"/>
                <w:color w:val="auto"/>
                <w:kern w:val="0"/>
                <w:szCs w:val="21"/>
                <w:highlight w:val="none"/>
                <w:lang w:val="en-US" w:eastAsia="zh-CN" w:bidi="ar"/>
              </w:rPr>
              <w:t>59.7</w:t>
            </w:r>
          </w:p>
        </w:tc>
        <w:tc>
          <w:tcPr>
            <w:tcW w:w="1455" w:type="dxa"/>
            <w:vAlign w:val="center"/>
          </w:tcPr>
          <w:p>
            <w:pPr>
              <w:widowControl/>
              <w:jc w:val="center"/>
              <w:textAlignment w:val="center"/>
              <w:rPr>
                <w:rFonts w:hint="eastAsia" w:eastAsia="等线"/>
                <w:color w:val="auto"/>
                <w:szCs w:val="21"/>
                <w:highlight w:val="none"/>
                <w:lang w:val="en-US" w:eastAsia="zh-CN"/>
              </w:rPr>
            </w:pPr>
            <w:r>
              <w:rPr>
                <w:rFonts w:eastAsia="等线"/>
                <w:color w:val="auto"/>
                <w:kern w:val="0"/>
                <w:szCs w:val="21"/>
                <w:highlight w:val="none"/>
                <w:lang w:bidi="ar"/>
              </w:rPr>
              <w:t>5</w:t>
            </w:r>
            <w:r>
              <w:rPr>
                <w:rFonts w:hint="eastAsia" w:eastAsia="等线"/>
                <w:color w:val="auto"/>
                <w:kern w:val="0"/>
                <w:szCs w:val="21"/>
                <w:highlight w:val="none"/>
                <w:lang w:val="en-US" w:eastAsia="zh-CN" w:bidi="ar"/>
              </w:rPr>
              <w:t>3.2</w:t>
            </w:r>
          </w:p>
        </w:tc>
        <w:tc>
          <w:tcPr>
            <w:tcW w:w="1455" w:type="dxa"/>
            <w:vAlign w:val="center"/>
          </w:tcPr>
          <w:p>
            <w:pPr>
              <w:widowControl/>
              <w:jc w:val="center"/>
              <w:textAlignment w:val="center"/>
              <w:rPr>
                <w:rFonts w:hint="eastAsia" w:eastAsia="等线"/>
                <w:color w:val="auto"/>
                <w:szCs w:val="21"/>
                <w:highlight w:val="none"/>
                <w:lang w:val="en-US" w:eastAsia="zh-CN"/>
              </w:rPr>
            </w:pPr>
            <w:r>
              <w:rPr>
                <w:rFonts w:eastAsia="等线"/>
                <w:color w:val="auto"/>
                <w:kern w:val="0"/>
                <w:szCs w:val="21"/>
                <w:highlight w:val="none"/>
                <w:lang w:bidi="ar"/>
              </w:rPr>
              <w:t>5</w:t>
            </w:r>
            <w:r>
              <w:rPr>
                <w:rFonts w:hint="eastAsia" w:eastAsia="等线"/>
                <w:color w:val="auto"/>
                <w:kern w:val="0"/>
                <w:szCs w:val="21"/>
                <w:highlight w:val="none"/>
                <w:lang w:val="en-US" w:eastAsia="zh-CN" w:bidi="ar"/>
              </w:rPr>
              <w:t>3.4</w:t>
            </w:r>
          </w:p>
        </w:tc>
        <w:tc>
          <w:tcPr>
            <w:tcW w:w="1451" w:type="dxa"/>
            <w:vAlign w:val="center"/>
          </w:tcPr>
          <w:p>
            <w:pPr>
              <w:widowControl/>
              <w:jc w:val="center"/>
              <w:textAlignment w:val="center"/>
              <w:rPr>
                <w:rFonts w:eastAsia="等线"/>
                <w:color w:val="auto"/>
                <w:kern w:val="0"/>
                <w:szCs w:val="21"/>
                <w:highlight w:val="none"/>
                <w:lang w:bidi="ar"/>
              </w:rPr>
            </w:pPr>
            <w:r>
              <w:rPr>
                <w:rFonts w:hint="eastAsia" w:eastAsia="等线"/>
                <w:color w:val="auto"/>
                <w:kern w:val="0"/>
                <w:szCs w:val="21"/>
                <w:highlight w:val="none"/>
                <w:lang w:bidi="ar"/>
              </w:rPr>
              <w:t>65</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jc w:val="center"/>
        </w:trPr>
        <w:tc>
          <w:tcPr>
            <w:tcW w:w="1154" w:type="dxa"/>
            <w:vMerge w:val="continue"/>
            <w:vAlign w:val="center"/>
          </w:tcPr>
          <w:p>
            <w:pPr>
              <w:jc w:val="center"/>
              <w:rPr>
                <w:color w:val="auto"/>
                <w:szCs w:val="21"/>
                <w:highlight w:val="none"/>
              </w:rPr>
            </w:pPr>
          </w:p>
        </w:tc>
        <w:tc>
          <w:tcPr>
            <w:tcW w:w="806" w:type="dxa"/>
            <w:vAlign w:val="center"/>
          </w:tcPr>
          <w:p>
            <w:pPr>
              <w:jc w:val="center"/>
              <w:rPr>
                <w:color w:val="auto"/>
                <w:szCs w:val="21"/>
                <w:highlight w:val="none"/>
              </w:rPr>
            </w:pPr>
            <w:r>
              <w:rPr>
                <w:color w:val="auto"/>
                <w:szCs w:val="21"/>
                <w:highlight w:val="none"/>
              </w:rPr>
              <w:t>夜间</w:t>
            </w:r>
          </w:p>
        </w:tc>
        <w:tc>
          <w:tcPr>
            <w:tcW w:w="1455" w:type="dxa"/>
            <w:vAlign w:val="center"/>
          </w:tcPr>
          <w:p>
            <w:pPr>
              <w:widowControl/>
              <w:jc w:val="center"/>
              <w:textAlignment w:val="center"/>
              <w:rPr>
                <w:rFonts w:hint="eastAsia" w:eastAsia="等线"/>
                <w:color w:val="auto"/>
                <w:szCs w:val="21"/>
                <w:highlight w:val="none"/>
                <w:lang w:val="en-US" w:eastAsia="zh-CN"/>
              </w:rPr>
            </w:pPr>
            <w:r>
              <w:rPr>
                <w:rFonts w:eastAsia="等线"/>
                <w:color w:val="auto"/>
                <w:kern w:val="0"/>
                <w:szCs w:val="21"/>
                <w:highlight w:val="none"/>
                <w:lang w:bidi="ar"/>
              </w:rPr>
              <w:t>4</w:t>
            </w:r>
            <w:r>
              <w:rPr>
                <w:rFonts w:hint="eastAsia" w:eastAsia="等线"/>
                <w:color w:val="auto"/>
                <w:kern w:val="0"/>
                <w:szCs w:val="21"/>
                <w:highlight w:val="none"/>
                <w:lang w:val="en-US" w:eastAsia="zh-CN" w:bidi="ar"/>
              </w:rPr>
              <w:t>4.7</w:t>
            </w:r>
          </w:p>
        </w:tc>
        <w:tc>
          <w:tcPr>
            <w:tcW w:w="1455" w:type="dxa"/>
            <w:vAlign w:val="center"/>
          </w:tcPr>
          <w:p>
            <w:pPr>
              <w:widowControl/>
              <w:jc w:val="center"/>
              <w:textAlignment w:val="center"/>
              <w:rPr>
                <w:color w:val="auto"/>
                <w:szCs w:val="21"/>
                <w:highlight w:val="none"/>
              </w:rPr>
            </w:pPr>
            <w:r>
              <w:rPr>
                <w:rFonts w:hint="eastAsia" w:eastAsia="等线"/>
                <w:color w:val="auto"/>
                <w:kern w:val="0"/>
                <w:szCs w:val="21"/>
                <w:highlight w:val="none"/>
                <w:lang w:val="en-US" w:eastAsia="zh-CN" w:bidi="ar"/>
              </w:rPr>
              <w:t>48.6</w:t>
            </w:r>
          </w:p>
        </w:tc>
        <w:tc>
          <w:tcPr>
            <w:tcW w:w="1455" w:type="dxa"/>
            <w:vAlign w:val="center"/>
          </w:tcPr>
          <w:p>
            <w:pPr>
              <w:widowControl/>
              <w:jc w:val="center"/>
              <w:textAlignment w:val="center"/>
              <w:rPr>
                <w:rFonts w:hint="eastAsia" w:eastAsia="等线"/>
                <w:color w:val="auto"/>
                <w:szCs w:val="21"/>
                <w:highlight w:val="none"/>
                <w:lang w:eastAsia="zh-CN"/>
              </w:rPr>
            </w:pPr>
            <w:r>
              <w:rPr>
                <w:rFonts w:eastAsia="等线"/>
                <w:color w:val="auto"/>
                <w:kern w:val="0"/>
                <w:szCs w:val="21"/>
                <w:highlight w:val="none"/>
                <w:lang w:bidi="ar"/>
              </w:rPr>
              <w:t>43.</w:t>
            </w:r>
            <w:r>
              <w:rPr>
                <w:rFonts w:hint="eastAsia" w:eastAsia="等线"/>
                <w:color w:val="auto"/>
                <w:kern w:val="0"/>
                <w:szCs w:val="21"/>
                <w:highlight w:val="none"/>
                <w:lang w:val="en-US" w:eastAsia="zh-CN" w:bidi="ar"/>
              </w:rPr>
              <w:t>1</w:t>
            </w:r>
          </w:p>
        </w:tc>
        <w:tc>
          <w:tcPr>
            <w:tcW w:w="1455" w:type="dxa"/>
            <w:vAlign w:val="center"/>
          </w:tcPr>
          <w:p>
            <w:pPr>
              <w:widowControl/>
              <w:jc w:val="center"/>
              <w:textAlignment w:val="center"/>
              <w:rPr>
                <w:rFonts w:hint="eastAsia" w:eastAsia="等线"/>
                <w:color w:val="auto"/>
                <w:szCs w:val="21"/>
                <w:highlight w:val="none"/>
                <w:lang w:val="en-US" w:eastAsia="zh-CN"/>
              </w:rPr>
            </w:pPr>
            <w:r>
              <w:rPr>
                <w:rFonts w:eastAsia="等线"/>
                <w:color w:val="auto"/>
                <w:kern w:val="0"/>
                <w:szCs w:val="21"/>
                <w:highlight w:val="none"/>
                <w:lang w:bidi="ar"/>
              </w:rPr>
              <w:t>4</w:t>
            </w:r>
            <w:r>
              <w:rPr>
                <w:rFonts w:hint="eastAsia" w:eastAsia="等线"/>
                <w:color w:val="auto"/>
                <w:kern w:val="0"/>
                <w:szCs w:val="21"/>
                <w:highlight w:val="none"/>
                <w:lang w:val="en-US" w:eastAsia="zh-CN" w:bidi="ar"/>
              </w:rPr>
              <w:t>3.1</w:t>
            </w:r>
          </w:p>
        </w:tc>
        <w:tc>
          <w:tcPr>
            <w:tcW w:w="1451" w:type="dxa"/>
            <w:vAlign w:val="center"/>
          </w:tcPr>
          <w:p>
            <w:pPr>
              <w:widowControl/>
              <w:jc w:val="center"/>
              <w:textAlignment w:val="center"/>
              <w:rPr>
                <w:rFonts w:eastAsia="等线"/>
                <w:color w:val="auto"/>
                <w:kern w:val="0"/>
                <w:szCs w:val="21"/>
                <w:highlight w:val="none"/>
                <w:lang w:bidi="ar"/>
              </w:rPr>
            </w:pPr>
            <w:r>
              <w:rPr>
                <w:rFonts w:hint="eastAsia" w:eastAsia="等线"/>
                <w:color w:val="auto"/>
                <w:kern w:val="0"/>
                <w:szCs w:val="21"/>
                <w:highlight w:val="none"/>
                <w:lang w:bidi="ar"/>
              </w:rPr>
              <w:t>55</w:t>
            </w:r>
          </w:p>
        </w:tc>
      </w:tr>
    </w:tbl>
    <w:p>
      <w:pPr>
        <w:spacing w:line="360" w:lineRule="auto"/>
        <w:ind w:firstLine="480" w:firstLineChars="200"/>
        <w:rPr>
          <w:rStyle w:val="41"/>
          <w:i w:val="0"/>
          <w:color w:val="auto"/>
          <w:sz w:val="24"/>
          <w:highlight w:val="none"/>
        </w:rPr>
      </w:pPr>
      <w:r>
        <w:rPr>
          <w:rStyle w:val="41"/>
          <w:i w:val="0"/>
          <w:color w:val="auto"/>
          <w:sz w:val="24"/>
          <w:highlight w:val="none"/>
        </w:rPr>
        <w:t>由表</w:t>
      </w:r>
      <w:r>
        <w:rPr>
          <w:rStyle w:val="41"/>
          <w:rFonts w:hint="eastAsia"/>
          <w:i w:val="0"/>
          <w:color w:val="auto"/>
          <w:sz w:val="24"/>
          <w:highlight w:val="none"/>
        </w:rPr>
        <w:t>3.1</w:t>
      </w:r>
      <w:r>
        <w:rPr>
          <w:rStyle w:val="41"/>
          <w:rFonts w:hint="eastAsia"/>
          <w:i w:val="0"/>
          <w:color w:val="auto"/>
          <w:sz w:val="24"/>
          <w:highlight w:val="none"/>
          <w:lang w:val="en-US" w:eastAsia="zh-CN"/>
        </w:rPr>
        <w:t>0</w:t>
      </w:r>
      <w:r>
        <w:rPr>
          <w:rStyle w:val="41"/>
          <w:rFonts w:hint="eastAsia"/>
          <w:i w:val="0"/>
          <w:color w:val="auto"/>
          <w:sz w:val="24"/>
          <w:highlight w:val="none"/>
        </w:rPr>
        <w:t>-1</w:t>
      </w:r>
      <w:r>
        <w:rPr>
          <w:rStyle w:val="41"/>
          <w:i w:val="0"/>
          <w:color w:val="auto"/>
          <w:sz w:val="24"/>
          <w:highlight w:val="none"/>
        </w:rPr>
        <w:t>可知，监测期间，</w:t>
      </w:r>
      <w:r>
        <w:rPr>
          <w:rStyle w:val="41"/>
          <w:rFonts w:hint="eastAsia"/>
          <w:i w:val="0"/>
          <w:color w:val="auto"/>
          <w:sz w:val="24"/>
          <w:highlight w:val="none"/>
        </w:rPr>
        <w:t>4</w:t>
      </w:r>
      <w:r>
        <w:rPr>
          <w:rStyle w:val="41"/>
          <w:i w:val="0"/>
          <w:color w:val="auto"/>
          <w:sz w:val="24"/>
          <w:highlight w:val="none"/>
        </w:rPr>
        <w:t>个厂界昼夜噪声值均能满足</w:t>
      </w:r>
      <w:r>
        <w:rPr>
          <w:color w:val="auto"/>
          <w:sz w:val="24"/>
          <w:highlight w:val="none"/>
        </w:rPr>
        <w:t>《声环境质量标准》(GB3096-2008)</w:t>
      </w:r>
      <w:r>
        <w:rPr>
          <w:rFonts w:hint="eastAsia"/>
          <w:color w:val="auto"/>
          <w:sz w:val="24"/>
          <w:highlight w:val="none"/>
        </w:rPr>
        <w:t>3</w:t>
      </w:r>
      <w:r>
        <w:rPr>
          <w:rStyle w:val="41"/>
          <w:i w:val="0"/>
          <w:color w:val="auto"/>
          <w:sz w:val="24"/>
          <w:highlight w:val="none"/>
        </w:rPr>
        <w:t>类区标准。</w:t>
      </w:r>
    </w:p>
    <w:p>
      <w:pPr>
        <w:keepNext/>
        <w:keepLines/>
        <w:pageBreakBefore w:val="0"/>
        <w:widowControl w:val="0"/>
        <w:kinsoku/>
        <w:wordWrap/>
        <w:overflowPunct/>
        <w:topLinePunct w:val="0"/>
        <w:autoSpaceDE/>
        <w:autoSpaceDN/>
        <w:bidi w:val="0"/>
        <w:adjustRightInd w:val="0"/>
        <w:snapToGrid w:val="0"/>
        <w:spacing w:line="360" w:lineRule="auto"/>
        <w:textAlignment w:val="auto"/>
        <w:outlineLvl w:val="3"/>
        <w:rPr>
          <w:rStyle w:val="41"/>
          <w:rFonts w:eastAsia="黑体"/>
          <w:i w:val="0"/>
          <w:color w:val="auto"/>
          <w:sz w:val="24"/>
          <w:highlight w:val="none"/>
        </w:rPr>
      </w:pPr>
      <w:r>
        <w:rPr>
          <w:rStyle w:val="41"/>
          <w:rFonts w:hint="eastAsia" w:eastAsia="黑体"/>
          <w:i w:val="0"/>
          <w:color w:val="auto"/>
          <w:sz w:val="24"/>
          <w:highlight w:val="none"/>
          <w:lang w:eastAsia="zh-CN"/>
        </w:rPr>
        <w:t>3.6</w:t>
      </w:r>
      <w:r>
        <w:rPr>
          <w:rStyle w:val="41"/>
          <w:rFonts w:hint="eastAsia" w:eastAsia="黑体"/>
          <w:i w:val="0"/>
          <w:color w:val="auto"/>
          <w:sz w:val="24"/>
          <w:highlight w:val="none"/>
          <w:lang w:val="en-US" w:eastAsia="zh-CN"/>
        </w:rPr>
        <w:t>.4</w:t>
      </w:r>
      <w:r>
        <w:rPr>
          <w:rStyle w:val="41"/>
          <w:rFonts w:eastAsia="黑体"/>
          <w:i w:val="0"/>
          <w:color w:val="auto"/>
          <w:sz w:val="24"/>
          <w:highlight w:val="none"/>
        </w:rPr>
        <w:t>.</w:t>
      </w:r>
      <w:r>
        <w:rPr>
          <w:rFonts w:ascii="黑体" w:hAnsi="黑体" w:eastAsia="黑体" w:cs="Times New Roman"/>
          <w:color w:val="auto"/>
          <w:sz w:val="24"/>
          <w:szCs w:val="24"/>
          <w:highlight w:val="none"/>
        </w:rPr>
        <w:t xml:space="preserve">2 </w:t>
      </w:r>
      <w:r>
        <w:rPr>
          <w:rStyle w:val="41"/>
          <w:rFonts w:eastAsia="黑体"/>
          <w:i w:val="0"/>
          <w:color w:val="auto"/>
          <w:sz w:val="24"/>
          <w:highlight w:val="none"/>
        </w:rPr>
        <w:t>声环境变化趋势</w:t>
      </w:r>
    </w:p>
    <w:p>
      <w:pPr>
        <w:adjustRightInd w:val="0"/>
        <w:snapToGrid w:val="0"/>
        <w:spacing w:line="360" w:lineRule="auto"/>
        <w:ind w:firstLine="480" w:firstLineChars="200"/>
        <w:jc w:val="left"/>
        <w:rPr>
          <w:color w:val="auto"/>
          <w:sz w:val="24"/>
          <w:highlight w:val="none"/>
          <w:lang w:val="zh-CN"/>
        </w:rPr>
      </w:pPr>
      <w:r>
        <w:rPr>
          <w:rFonts w:hint="eastAsia"/>
          <w:color w:val="auto"/>
          <w:sz w:val="24"/>
          <w:highlight w:val="none"/>
          <w:lang w:val="zh-CN"/>
        </w:rPr>
        <w:t>项目登记表未对声环境情况进行监测和评价，本次环评期间引用</w:t>
      </w:r>
      <w:r>
        <w:rPr>
          <w:color w:val="auto"/>
          <w:sz w:val="24"/>
          <w:highlight w:val="none"/>
          <w:lang w:val="zh-CN"/>
        </w:rPr>
        <w:t>《</w:t>
      </w:r>
      <w:r>
        <w:rPr>
          <w:rFonts w:hint="eastAsia"/>
          <w:color w:val="auto"/>
          <w:sz w:val="24"/>
          <w:highlight w:val="none"/>
        </w:rPr>
        <w:t>青岛</w:t>
      </w:r>
      <w:r>
        <w:rPr>
          <w:rFonts w:hint="eastAsia"/>
          <w:color w:val="auto"/>
          <w:sz w:val="24"/>
          <w:highlight w:val="none"/>
          <w:lang w:eastAsia="zh-CN"/>
        </w:rPr>
        <w:t>金泰表面工程有限公司</w:t>
      </w:r>
      <w:r>
        <w:rPr>
          <w:rFonts w:hint="eastAsia"/>
          <w:color w:val="auto"/>
          <w:sz w:val="24"/>
          <w:highlight w:val="none"/>
        </w:rPr>
        <w:t>青岛</w:t>
      </w:r>
      <w:r>
        <w:rPr>
          <w:rFonts w:hint="eastAsia"/>
          <w:color w:val="auto"/>
          <w:sz w:val="24"/>
          <w:highlight w:val="none"/>
          <w:lang w:eastAsia="zh-CN"/>
        </w:rPr>
        <w:t>经济技术开发区电镀工业园</w:t>
      </w:r>
      <w:r>
        <w:rPr>
          <w:rFonts w:hint="eastAsia"/>
          <w:color w:val="auto"/>
          <w:sz w:val="24"/>
          <w:highlight w:val="none"/>
        </w:rPr>
        <w:t>建设项目环境影响报告书</w:t>
      </w:r>
      <w:r>
        <w:rPr>
          <w:color w:val="auto"/>
          <w:sz w:val="24"/>
          <w:highlight w:val="none"/>
          <w:lang w:val="zh-CN"/>
        </w:rPr>
        <w:t>》</w:t>
      </w:r>
      <w:r>
        <w:rPr>
          <w:rFonts w:hint="eastAsia"/>
          <w:color w:val="auto"/>
          <w:sz w:val="24"/>
          <w:highlight w:val="none"/>
          <w:lang w:val="zh-CN"/>
        </w:rPr>
        <w:t>内容，监测时间为2</w:t>
      </w:r>
      <w:r>
        <w:rPr>
          <w:color w:val="auto"/>
          <w:sz w:val="24"/>
          <w:highlight w:val="none"/>
          <w:lang w:val="zh-CN"/>
        </w:rPr>
        <w:t>0</w:t>
      </w:r>
      <w:r>
        <w:rPr>
          <w:rFonts w:hint="eastAsia"/>
          <w:color w:val="auto"/>
          <w:sz w:val="24"/>
          <w:highlight w:val="none"/>
          <w:lang w:val="en-US" w:eastAsia="zh-CN"/>
        </w:rPr>
        <w:t>03</w:t>
      </w:r>
      <w:r>
        <w:rPr>
          <w:rFonts w:hint="eastAsia"/>
          <w:color w:val="auto"/>
          <w:sz w:val="24"/>
          <w:highlight w:val="none"/>
          <w:lang w:val="zh-CN"/>
        </w:rPr>
        <w:t>年8月，监测结果见下表3.6-</w:t>
      </w:r>
      <w:r>
        <w:rPr>
          <w:rFonts w:hint="eastAsia"/>
          <w:color w:val="auto"/>
          <w:sz w:val="24"/>
          <w:highlight w:val="none"/>
          <w:lang w:val="en-US" w:eastAsia="zh-CN"/>
        </w:rPr>
        <w:t>14</w:t>
      </w:r>
      <w:r>
        <w:rPr>
          <w:rFonts w:hint="eastAsia"/>
          <w:color w:val="auto"/>
          <w:sz w:val="24"/>
          <w:highlight w:val="none"/>
          <w:lang w:val="zh-CN"/>
        </w:rPr>
        <w:t>。</w:t>
      </w:r>
    </w:p>
    <w:p>
      <w:pPr>
        <w:pStyle w:val="30"/>
        <w:snapToGrid w:val="0"/>
        <w:spacing w:after="0"/>
        <w:ind w:left="900" w:hanging="480"/>
        <w:jc w:val="center"/>
        <w:rPr>
          <w:rFonts w:eastAsia="黑体"/>
          <w:bCs/>
          <w:color w:val="auto"/>
          <w:sz w:val="24"/>
          <w:szCs w:val="24"/>
          <w:highlight w:val="none"/>
        </w:rPr>
      </w:pPr>
      <w:r>
        <w:rPr>
          <w:rFonts w:eastAsia="黑体"/>
          <w:bCs/>
          <w:color w:val="auto"/>
          <w:sz w:val="24"/>
          <w:szCs w:val="24"/>
          <w:highlight w:val="none"/>
        </w:rPr>
        <w:t>表</w:t>
      </w:r>
      <w:r>
        <w:rPr>
          <w:rFonts w:hint="eastAsia" w:eastAsia="黑体"/>
          <w:bCs/>
          <w:color w:val="auto"/>
          <w:sz w:val="24"/>
          <w:szCs w:val="24"/>
          <w:highlight w:val="none"/>
          <w:lang w:eastAsia="zh-CN"/>
        </w:rPr>
        <w:t>3.6</w:t>
      </w:r>
      <w:r>
        <w:rPr>
          <w:rFonts w:eastAsia="黑体"/>
          <w:bCs/>
          <w:color w:val="auto"/>
          <w:sz w:val="24"/>
          <w:szCs w:val="24"/>
          <w:highlight w:val="none"/>
        </w:rPr>
        <w:t>-</w:t>
      </w:r>
      <w:r>
        <w:rPr>
          <w:rFonts w:hint="eastAsia" w:eastAsia="黑体"/>
          <w:bCs/>
          <w:color w:val="auto"/>
          <w:sz w:val="24"/>
          <w:szCs w:val="24"/>
          <w:highlight w:val="none"/>
          <w:lang w:val="en-US" w:eastAsia="zh-CN"/>
        </w:rPr>
        <w:t>14</w:t>
      </w:r>
      <w:r>
        <w:rPr>
          <w:rFonts w:eastAsia="黑体"/>
          <w:bCs/>
          <w:color w:val="auto"/>
          <w:sz w:val="24"/>
          <w:szCs w:val="24"/>
          <w:highlight w:val="none"/>
        </w:rPr>
        <w:t xml:space="preserve">  200</w:t>
      </w:r>
      <w:r>
        <w:rPr>
          <w:rFonts w:hint="eastAsia" w:eastAsia="黑体"/>
          <w:bCs/>
          <w:color w:val="auto"/>
          <w:sz w:val="24"/>
          <w:szCs w:val="24"/>
          <w:highlight w:val="none"/>
          <w:lang w:val="en-US" w:eastAsia="zh-CN"/>
        </w:rPr>
        <w:t>3</w:t>
      </w:r>
      <w:r>
        <w:rPr>
          <w:rFonts w:hint="eastAsia" w:eastAsia="黑体"/>
          <w:bCs/>
          <w:color w:val="auto"/>
          <w:sz w:val="24"/>
          <w:szCs w:val="24"/>
          <w:highlight w:val="none"/>
        </w:rPr>
        <w:t>年</w:t>
      </w:r>
      <w:r>
        <w:rPr>
          <w:rFonts w:eastAsia="黑体"/>
          <w:bCs/>
          <w:color w:val="auto"/>
          <w:sz w:val="24"/>
          <w:szCs w:val="24"/>
          <w:highlight w:val="none"/>
        </w:rPr>
        <w:t>厂界噪声现状监测结果      单位：dB(A)</w:t>
      </w:r>
    </w:p>
    <w:tbl>
      <w:tblPr>
        <w:tblStyle w:val="36"/>
        <w:tblW w:w="9108" w:type="dxa"/>
        <w:tblInd w:w="0"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2350"/>
        <w:gridCol w:w="2350"/>
        <w:gridCol w:w="2350"/>
        <w:gridCol w:w="2058"/>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74" w:hRule="exact"/>
        </w:trPr>
        <w:tc>
          <w:tcPr>
            <w:tcW w:w="2350" w:type="dxa"/>
            <w:vAlign w:val="center"/>
          </w:tcPr>
          <w:p>
            <w:pPr>
              <w:jc w:val="center"/>
              <w:rPr>
                <w:b/>
                <w:bCs/>
                <w:color w:val="auto"/>
                <w:sz w:val="21"/>
                <w:szCs w:val="21"/>
                <w:highlight w:val="none"/>
              </w:rPr>
            </w:pPr>
            <w:r>
              <w:rPr>
                <w:b/>
                <w:bCs/>
                <w:color w:val="auto"/>
                <w:sz w:val="21"/>
                <w:szCs w:val="21"/>
                <w:highlight w:val="none"/>
              </w:rPr>
              <w:t>点位</w:t>
            </w:r>
          </w:p>
        </w:tc>
        <w:tc>
          <w:tcPr>
            <w:tcW w:w="2350" w:type="dxa"/>
            <w:vAlign w:val="center"/>
          </w:tcPr>
          <w:p>
            <w:pPr>
              <w:jc w:val="center"/>
              <w:rPr>
                <w:b/>
                <w:bCs/>
                <w:color w:val="auto"/>
                <w:sz w:val="21"/>
                <w:szCs w:val="21"/>
                <w:highlight w:val="none"/>
              </w:rPr>
            </w:pPr>
            <w:r>
              <w:rPr>
                <w:b/>
                <w:bCs/>
                <w:color w:val="auto"/>
                <w:sz w:val="21"/>
                <w:szCs w:val="21"/>
                <w:highlight w:val="none"/>
              </w:rPr>
              <w:t>昼间dB(A)</w:t>
            </w:r>
          </w:p>
        </w:tc>
        <w:tc>
          <w:tcPr>
            <w:tcW w:w="2350" w:type="dxa"/>
            <w:vAlign w:val="center"/>
          </w:tcPr>
          <w:p>
            <w:pPr>
              <w:jc w:val="center"/>
              <w:rPr>
                <w:b/>
                <w:bCs/>
                <w:color w:val="auto"/>
                <w:sz w:val="21"/>
                <w:szCs w:val="21"/>
                <w:highlight w:val="none"/>
              </w:rPr>
            </w:pPr>
            <w:r>
              <w:rPr>
                <w:b/>
                <w:bCs/>
                <w:color w:val="auto"/>
                <w:sz w:val="21"/>
                <w:szCs w:val="21"/>
                <w:highlight w:val="none"/>
              </w:rPr>
              <w:t>夜间dB(A)</w:t>
            </w:r>
          </w:p>
        </w:tc>
        <w:tc>
          <w:tcPr>
            <w:tcW w:w="2058" w:type="dxa"/>
            <w:vAlign w:val="center"/>
          </w:tcPr>
          <w:p>
            <w:pPr>
              <w:jc w:val="center"/>
              <w:rPr>
                <w:b/>
                <w:bCs/>
                <w:color w:val="auto"/>
                <w:sz w:val="21"/>
                <w:szCs w:val="21"/>
                <w:highlight w:val="none"/>
              </w:rPr>
            </w:pPr>
            <w:r>
              <w:rPr>
                <w:rFonts w:hint="eastAsia"/>
                <w:b/>
                <w:bCs/>
                <w:color w:val="auto"/>
                <w:sz w:val="21"/>
                <w:szCs w:val="21"/>
                <w:highlight w:val="none"/>
              </w:rPr>
              <w:t>执行标准</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74" w:hRule="exact"/>
        </w:trPr>
        <w:tc>
          <w:tcPr>
            <w:tcW w:w="2350" w:type="dxa"/>
            <w:vAlign w:val="center"/>
          </w:tcPr>
          <w:p>
            <w:pPr>
              <w:jc w:val="center"/>
              <w:rPr>
                <w:color w:val="auto"/>
                <w:sz w:val="21"/>
                <w:szCs w:val="21"/>
                <w:highlight w:val="none"/>
              </w:rPr>
            </w:pPr>
            <w:r>
              <w:rPr>
                <w:color w:val="auto"/>
                <w:sz w:val="21"/>
                <w:szCs w:val="21"/>
                <w:highlight w:val="none"/>
              </w:rPr>
              <w:t>1#东厂界</w:t>
            </w:r>
          </w:p>
        </w:tc>
        <w:tc>
          <w:tcPr>
            <w:tcW w:w="2350" w:type="dxa"/>
            <w:vAlign w:val="center"/>
          </w:tcPr>
          <w:p>
            <w:pPr>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58.1</w:t>
            </w:r>
          </w:p>
        </w:tc>
        <w:tc>
          <w:tcPr>
            <w:tcW w:w="2350" w:type="dxa"/>
            <w:vAlign w:val="center"/>
          </w:tcPr>
          <w:p>
            <w:pPr>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43.9</w:t>
            </w:r>
          </w:p>
        </w:tc>
        <w:tc>
          <w:tcPr>
            <w:tcW w:w="2058" w:type="dxa"/>
            <w:vMerge w:val="restart"/>
            <w:vAlign w:val="center"/>
          </w:tcPr>
          <w:p>
            <w:pPr>
              <w:jc w:val="center"/>
              <w:rPr>
                <w:color w:val="auto"/>
                <w:sz w:val="21"/>
                <w:szCs w:val="21"/>
                <w:highlight w:val="none"/>
              </w:rPr>
            </w:pPr>
            <w:r>
              <w:rPr>
                <w:rFonts w:hint="eastAsia"/>
                <w:color w:val="auto"/>
                <w:sz w:val="21"/>
                <w:szCs w:val="21"/>
                <w:highlight w:val="none"/>
              </w:rPr>
              <w:t>昼间65，夜间55</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74" w:hRule="exact"/>
        </w:trPr>
        <w:tc>
          <w:tcPr>
            <w:tcW w:w="2350" w:type="dxa"/>
            <w:vAlign w:val="center"/>
          </w:tcPr>
          <w:p>
            <w:pPr>
              <w:jc w:val="center"/>
              <w:rPr>
                <w:color w:val="auto"/>
                <w:szCs w:val="21"/>
                <w:highlight w:val="none"/>
              </w:rPr>
            </w:pPr>
            <w:r>
              <w:rPr>
                <w:color w:val="auto"/>
                <w:highlight w:val="none"/>
              </w:rPr>
              <w:t>2#南厂界</w:t>
            </w:r>
          </w:p>
        </w:tc>
        <w:tc>
          <w:tcPr>
            <w:tcW w:w="2350"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56.3</w:t>
            </w:r>
          </w:p>
        </w:tc>
        <w:tc>
          <w:tcPr>
            <w:tcW w:w="2350" w:type="dxa"/>
            <w:vAlign w:val="center"/>
          </w:tcPr>
          <w:p>
            <w:pPr>
              <w:jc w:val="center"/>
              <w:rPr>
                <w:rFonts w:hint="eastAsia" w:eastAsia="宋体"/>
                <w:color w:val="auto"/>
                <w:szCs w:val="21"/>
                <w:highlight w:val="none"/>
                <w:lang w:val="en-US" w:eastAsia="zh-CN"/>
              </w:rPr>
            </w:pPr>
            <w:r>
              <w:rPr>
                <w:color w:val="auto"/>
                <w:szCs w:val="21"/>
                <w:highlight w:val="none"/>
              </w:rPr>
              <w:t>4</w:t>
            </w:r>
            <w:r>
              <w:rPr>
                <w:rFonts w:hint="eastAsia"/>
                <w:color w:val="auto"/>
                <w:szCs w:val="21"/>
                <w:highlight w:val="none"/>
                <w:lang w:val="en-US" w:eastAsia="zh-CN"/>
              </w:rPr>
              <w:t>6.9</w:t>
            </w:r>
          </w:p>
        </w:tc>
        <w:tc>
          <w:tcPr>
            <w:tcW w:w="2058" w:type="dxa"/>
            <w:vMerge w:val="continue"/>
            <w:vAlign w:val="center"/>
          </w:tcPr>
          <w:p>
            <w:pPr>
              <w:jc w:val="center"/>
              <w:rPr>
                <w:color w:val="auto"/>
                <w:szCs w:val="21"/>
                <w:highlight w:val="none"/>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74" w:hRule="exact"/>
        </w:trPr>
        <w:tc>
          <w:tcPr>
            <w:tcW w:w="2350" w:type="dxa"/>
            <w:vAlign w:val="center"/>
          </w:tcPr>
          <w:p>
            <w:pPr>
              <w:jc w:val="center"/>
              <w:rPr>
                <w:color w:val="auto"/>
                <w:szCs w:val="21"/>
                <w:highlight w:val="none"/>
              </w:rPr>
            </w:pPr>
            <w:r>
              <w:rPr>
                <w:color w:val="auto"/>
                <w:highlight w:val="none"/>
              </w:rPr>
              <w:t>3#西厂界</w:t>
            </w:r>
          </w:p>
        </w:tc>
        <w:tc>
          <w:tcPr>
            <w:tcW w:w="2350"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61.7</w:t>
            </w:r>
          </w:p>
        </w:tc>
        <w:tc>
          <w:tcPr>
            <w:tcW w:w="2350" w:type="dxa"/>
            <w:vAlign w:val="center"/>
          </w:tcPr>
          <w:p>
            <w:pPr>
              <w:jc w:val="center"/>
              <w:rPr>
                <w:rFonts w:hint="eastAsia" w:eastAsia="宋体"/>
                <w:color w:val="auto"/>
                <w:szCs w:val="21"/>
                <w:highlight w:val="none"/>
                <w:lang w:val="en-US" w:eastAsia="zh-CN"/>
              </w:rPr>
            </w:pPr>
            <w:r>
              <w:rPr>
                <w:color w:val="auto"/>
                <w:szCs w:val="21"/>
                <w:highlight w:val="none"/>
              </w:rPr>
              <w:t>4</w:t>
            </w:r>
            <w:r>
              <w:rPr>
                <w:rFonts w:hint="eastAsia"/>
                <w:color w:val="auto"/>
                <w:szCs w:val="21"/>
                <w:highlight w:val="none"/>
                <w:lang w:val="en-US" w:eastAsia="zh-CN"/>
              </w:rPr>
              <w:t>4.2</w:t>
            </w:r>
          </w:p>
        </w:tc>
        <w:tc>
          <w:tcPr>
            <w:tcW w:w="2058" w:type="dxa"/>
            <w:vMerge w:val="continue"/>
            <w:vAlign w:val="center"/>
          </w:tcPr>
          <w:p>
            <w:pPr>
              <w:jc w:val="center"/>
              <w:rPr>
                <w:color w:val="auto"/>
                <w:szCs w:val="21"/>
                <w:highlight w:val="none"/>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74" w:hRule="exact"/>
        </w:trPr>
        <w:tc>
          <w:tcPr>
            <w:tcW w:w="2350" w:type="dxa"/>
            <w:vAlign w:val="center"/>
          </w:tcPr>
          <w:p>
            <w:pPr>
              <w:jc w:val="center"/>
              <w:rPr>
                <w:color w:val="auto"/>
                <w:szCs w:val="21"/>
                <w:highlight w:val="none"/>
              </w:rPr>
            </w:pPr>
            <w:r>
              <w:rPr>
                <w:color w:val="auto"/>
                <w:highlight w:val="none"/>
              </w:rPr>
              <w:t>4#北厂界</w:t>
            </w:r>
          </w:p>
        </w:tc>
        <w:tc>
          <w:tcPr>
            <w:tcW w:w="2350"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58.6</w:t>
            </w:r>
          </w:p>
        </w:tc>
        <w:tc>
          <w:tcPr>
            <w:tcW w:w="2350" w:type="dxa"/>
            <w:vAlign w:val="center"/>
          </w:tcPr>
          <w:p>
            <w:pPr>
              <w:jc w:val="center"/>
              <w:rPr>
                <w:rFonts w:hint="eastAsia" w:eastAsia="宋体"/>
                <w:color w:val="auto"/>
                <w:szCs w:val="21"/>
                <w:highlight w:val="none"/>
                <w:lang w:val="en-US" w:eastAsia="zh-CN"/>
              </w:rPr>
            </w:pPr>
            <w:r>
              <w:rPr>
                <w:color w:val="auto"/>
                <w:szCs w:val="21"/>
                <w:highlight w:val="none"/>
              </w:rPr>
              <w:t>4</w:t>
            </w:r>
            <w:r>
              <w:rPr>
                <w:rFonts w:hint="eastAsia"/>
                <w:color w:val="auto"/>
                <w:szCs w:val="21"/>
                <w:highlight w:val="none"/>
                <w:lang w:val="en-US" w:eastAsia="zh-CN"/>
              </w:rPr>
              <w:t>4.7</w:t>
            </w:r>
          </w:p>
        </w:tc>
        <w:tc>
          <w:tcPr>
            <w:tcW w:w="2058" w:type="dxa"/>
            <w:vMerge w:val="continue"/>
            <w:vAlign w:val="center"/>
          </w:tcPr>
          <w:p>
            <w:pPr>
              <w:jc w:val="center"/>
              <w:rPr>
                <w:color w:val="auto"/>
                <w:szCs w:val="21"/>
                <w:highlight w:val="none"/>
              </w:rPr>
            </w:pPr>
          </w:p>
        </w:tc>
      </w:tr>
    </w:tbl>
    <w:p>
      <w:pPr>
        <w:adjustRightInd w:val="0"/>
        <w:snapToGrid w:val="0"/>
        <w:spacing w:line="360" w:lineRule="auto"/>
        <w:ind w:firstLine="420" w:firstLineChars="200"/>
        <w:jc w:val="left"/>
        <w:rPr>
          <w:rFonts w:hint="eastAsia" w:eastAsia="宋体"/>
          <w:color w:val="auto"/>
          <w:sz w:val="24"/>
          <w:highlight w:val="none"/>
          <w:lang w:eastAsia="zh-CN"/>
        </w:rPr>
      </w:pPr>
      <w:r>
        <w:rPr>
          <w:rFonts w:hint="eastAsia"/>
          <w:color w:val="auto"/>
          <w:sz w:val="21"/>
          <w:szCs w:val="21"/>
          <w:highlight w:val="none"/>
          <w:lang w:eastAsia="zh-CN"/>
        </w:rPr>
        <w:t>注：</w:t>
      </w:r>
      <w:r>
        <w:rPr>
          <w:rFonts w:hint="eastAsia"/>
          <w:color w:val="auto"/>
          <w:kern w:val="0"/>
          <w:sz w:val="21"/>
          <w:szCs w:val="21"/>
          <w:highlight w:val="none"/>
        </w:rPr>
        <w:t>项目</w:t>
      </w:r>
      <w:r>
        <w:rPr>
          <w:rFonts w:hint="eastAsia"/>
          <w:color w:val="auto"/>
          <w:kern w:val="0"/>
          <w:sz w:val="21"/>
          <w:szCs w:val="21"/>
          <w:highlight w:val="none"/>
          <w:lang w:eastAsia="zh-CN"/>
        </w:rPr>
        <w:t>噪声检测值</w:t>
      </w:r>
      <w:r>
        <w:rPr>
          <w:rFonts w:hint="eastAsia"/>
          <w:color w:val="auto"/>
          <w:kern w:val="0"/>
          <w:sz w:val="21"/>
          <w:szCs w:val="21"/>
          <w:highlight w:val="none"/>
        </w:rPr>
        <w:t>均取最大值</w:t>
      </w:r>
    </w:p>
    <w:p>
      <w:pPr>
        <w:adjustRightInd w:val="0"/>
        <w:snapToGrid w:val="0"/>
        <w:spacing w:line="360" w:lineRule="auto"/>
        <w:ind w:firstLine="480" w:firstLineChars="200"/>
        <w:jc w:val="left"/>
        <w:rPr>
          <w:color w:val="auto"/>
          <w:sz w:val="24"/>
          <w:highlight w:val="none"/>
        </w:rPr>
      </w:pPr>
      <w:r>
        <w:rPr>
          <w:color w:val="auto"/>
          <w:sz w:val="24"/>
          <w:highlight w:val="none"/>
        </w:rPr>
        <w:t>由上表可以看出，200</w:t>
      </w:r>
      <w:r>
        <w:rPr>
          <w:rFonts w:hint="eastAsia"/>
          <w:color w:val="auto"/>
          <w:sz w:val="24"/>
          <w:highlight w:val="none"/>
          <w:lang w:val="en-US" w:eastAsia="zh-CN"/>
        </w:rPr>
        <w:t>3</w:t>
      </w:r>
      <w:r>
        <w:rPr>
          <w:color w:val="auto"/>
          <w:sz w:val="24"/>
          <w:highlight w:val="none"/>
        </w:rPr>
        <w:t>年厂界各监测点昼间、夜间噪声监测值均能满足《声环境质量标准》(GB3096-2008)3类区标准。</w:t>
      </w:r>
    </w:p>
    <w:p>
      <w:pPr>
        <w:spacing w:line="360" w:lineRule="auto"/>
        <w:ind w:firstLine="480" w:firstLineChars="200"/>
        <w:rPr>
          <w:rStyle w:val="41"/>
          <w:i w:val="0"/>
          <w:color w:val="auto"/>
          <w:sz w:val="24"/>
          <w:highlight w:val="none"/>
        </w:rPr>
      </w:pPr>
      <w:r>
        <w:rPr>
          <w:rFonts w:hint="eastAsia"/>
          <w:color w:val="auto"/>
          <w:sz w:val="24"/>
          <w:highlight w:val="none"/>
        </w:rPr>
        <w:t>根据对比200</w:t>
      </w:r>
      <w:r>
        <w:rPr>
          <w:rFonts w:hint="eastAsia"/>
          <w:color w:val="auto"/>
          <w:sz w:val="24"/>
          <w:highlight w:val="none"/>
          <w:lang w:val="en-US" w:eastAsia="zh-CN"/>
        </w:rPr>
        <w:t>3</w:t>
      </w:r>
      <w:r>
        <w:rPr>
          <w:rFonts w:hint="eastAsia"/>
          <w:color w:val="auto"/>
          <w:sz w:val="24"/>
          <w:highlight w:val="none"/>
        </w:rPr>
        <w:t>年数据和201</w:t>
      </w:r>
      <w:r>
        <w:rPr>
          <w:rFonts w:hint="eastAsia"/>
          <w:color w:val="auto"/>
          <w:sz w:val="24"/>
          <w:highlight w:val="none"/>
          <w:lang w:val="en-US" w:eastAsia="zh-CN"/>
        </w:rPr>
        <w:t>9</w:t>
      </w:r>
      <w:r>
        <w:rPr>
          <w:rFonts w:hint="eastAsia"/>
          <w:color w:val="auto"/>
          <w:sz w:val="24"/>
          <w:highlight w:val="none"/>
        </w:rPr>
        <w:t>年数据，厂界昼间</w:t>
      </w:r>
      <w:r>
        <w:rPr>
          <w:rFonts w:hint="eastAsia"/>
          <w:color w:val="auto"/>
          <w:sz w:val="24"/>
          <w:highlight w:val="none"/>
          <w:lang w:eastAsia="zh-CN"/>
        </w:rPr>
        <w:t>东、西、北</w:t>
      </w:r>
      <w:r>
        <w:rPr>
          <w:rFonts w:hint="eastAsia"/>
          <w:color w:val="auto"/>
          <w:sz w:val="24"/>
          <w:highlight w:val="none"/>
        </w:rPr>
        <w:t>厂界噪声</w:t>
      </w:r>
      <w:r>
        <w:rPr>
          <w:rFonts w:hint="eastAsia"/>
          <w:color w:val="auto"/>
          <w:sz w:val="24"/>
          <w:highlight w:val="none"/>
          <w:lang w:eastAsia="zh-CN"/>
        </w:rPr>
        <w:t>均有所降低</w:t>
      </w:r>
      <w:r>
        <w:rPr>
          <w:rFonts w:hint="eastAsia"/>
          <w:color w:val="auto"/>
          <w:sz w:val="24"/>
          <w:highlight w:val="none"/>
        </w:rPr>
        <w:t>，</w:t>
      </w:r>
      <w:r>
        <w:rPr>
          <w:rFonts w:hint="eastAsia"/>
          <w:color w:val="auto"/>
          <w:sz w:val="24"/>
          <w:highlight w:val="none"/>
          <w:lang w:eastAsia="zh-CN"/>
        </w:rPr>
        <w:t>南</w:t>
      </w:r>
      <w:r>
        <w:rPr>
          <w:rFonts w:hint="eastAsia"/>
          <w:color w:val="auto"/>
          <w:sz w:val="24"/>
          <w:highlight w:val="none"/>
        </w:rPr>
        <w:t>厂界</w:t>
      </w:r>
      <w:r>
        <w:rPr>
          <w:rFonts w:hint="eastAsia"/>
          <w:color w:val="auto"/>
          <w:sz w:val="24"/>
          <w:highlight w:val="none"/>
          <w:lang w:eastAsia="zh-CN"/>
        </w:rPr>
        <w:t>昼间</w:t>
      </w:r>
      <w:r>
        <w:rPr>
          <w:rFonts w:hint="eastAsia"/>
          <w:color w:val="auto"/>
          <w:sz w:val="24"/>
          <w:highlight w:val="none"/>
        </w:rPr>
        <w:t>噪声</w:t>
      </w:r>
      <w:r>
        <w:rPr>
          <w:rFonts w:hint="eastAsia"/>
          <w:color w:val="auto"/>
          <w:sz w:val="24"/>
          <w:highlight w:val="none"/>
          <w:lang w:eastAsia="zh-CN"/>
        </w:rPr>
        <w:t>有所增加</w:t>
      </w:r>
      <w:r>
        <w:rPr>
          <w:rFonts w:hint="eastAsia"/>
          <w:color w:val="auto"/>
          <w:sz w:val="24"/>
          <w:highlight w:val="none"/>
        </w:rPr>
        <w:t>，</w:t>
      </w:r>
      <w:r>
        <w:rPr>
          <w:rFonts w:hint="eastAsia"/>
          <w:color w:val="auto"/>
          <w:sz w:val="24"/>
          <w:highlight w:val="none"/>
          <w:lang w:eastAsia="zh-CN"/>
        </w:rPr>
        <w:t>因为当前园区南侧</w:t>
      </w:r>
      <w:r>
        <w:rPr>
          <w:rFonts w:hint="eastAsia"/>
          <w:color w:val="auto"/>
          <w:sz w:val="24"/>
          <w:highlight w:val="none"/>
          <w:lang w:val="en-US" w:eastAsia="zh-CN"/>
        </w:rPr>
        <w:t>科研楼在建设。</w:t>
      </w:r>
      <w:r>
        <w:rPr>
          <w:rFonts w:hint="eastAsia"/>
          <w:color w:val="auto"/>
          <w:sz w:val="24"/>
          <w:highlight w:val="none"/>
        </w:rPr>
        <w:t>厂界夜间噪声有所下降。</w:t>
      </w:r>
    </w:p>
    <w:p>
      <w:pPr>
        <w:spacing w:line="360" w:lineRule="auto"/>
        <w:outlineLvl w:val="2"/>
        <w:rPr>
          <w:rFonts w:eastAsia="黑体"/>
          <w:color w:val="auto"/>
          <w:sz w:val="24"/>
          <w:szCs w:val="28"/>
          <w:highlight w:val="none"/>
        </w:rPr>
      </w:pPr>
      <w:bookmarkStart w:id="141" w:name="_Toc519063306"/>
      <w:bookmarkStart w:id="142" w:name="_Toc13061"/>
      <w:bookmarkStart w:id="143" w:name="_Toc530655609"/>
      <w:r>
        <w:rPr>
          <w:rFonts w:hint="eastAsia" w:eastAsia="黑体"/>
          <w:color w:val="auto"/>
          <w:sz w:val="24"/>
          <w:szCs w:val="28"/>
          <w:highlight w:val="none"/>
          <w:lang w:eastAsia="zh-CN"/>
        </w:rPr>
        <w:t>3.6</w:t>
      </w:r>
      <w:r>
        <w:rPr>
          <w:rFonts w:hint="eastAsia" w:eastAsia="黑体"/>
          <w:color w:val="auto"/>
          <w:sz w:val="24"/>
          <w:szCs w:val="28"/>
          <w:highlight w:val="none"/>
          <w:lang w:val="en-US" w:eastAsia="zh-CN"/>
        </w:rPr>
        <w:t>.5</w:t>
      </w:r>
      <w:r>
        <w:rPr>
          <w:rFonts w:eastAsia="黑体"/>
          <w:color w:val="auto"/>
          <w:sz w:val="24"/>
          <w:szCs w:val="28"/>
          <w:highlight w:val="none"/>
        </w:rPr>
        <w:t xml:space="preserve"> </w:t>
      </w:r>
      <w:r>
        <w:rPr>
          <w:rFonts w:hint="eastAsia"/>
          <w:b w:val="0"/>
          <w:bCs w:val="0"/>
          <w:color w:val="auto"/>
          <w:sz w:val="24"/>
          <w:szCs w:val="24"/>
          <w:highlight w:val="none"/>
          <w:lang w:val="en-US" w:eastAsia="zh-CN"/>
        </w:rPr>
        <w:t>土壤</w:t>
      </w:r>
      <w:r>
        <w:rPr>
          <w:rFonts w:eastAsia="黑体"/>
          <w:color w:val="auto"/>
          <w:sz w:val="24"/>
          <w:szCs w:val="28"/>
          <w:highlight w:val="none"/>
        </w:rPr>
        <w:t>环境质量现状评价及变化趋势</w:t>
      </w:r>
      <w:bookmarkEnd w:id="141"/>
      <w:bookmarkEnd w:id="142"/>
      <w:bookmarkEnd w:id="143"/>
    </w:p>
    <w:p>
      <w:pPr>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ascii="Times New Roman" w:hAnsi="Times New Roman" w:cs="Times New Roman"/>
          <w:color w:val="auto"/>
          <w:sz w:val="24"/>
          <w:szCs w:val="24"/>
          <w:highlight w:val="none"/>
        </w:rPr>
      </w:pPr>
      <w:r>
        <w:rPr>
          <w:rFonts w:hint="eastAsia" w:cs="Times New Roman"/>
          <w:color w:val="auto"/>
          <w:sz w:val="24"/>
          <w:szCs w:val="24"/>
          <w:highlight w:val="none"/>
          <w:lang w:eastAsia="zh-CN"/>
        </w:rPr>
        <w:t>3.6</w:t>
      </w:r>
      <w:r>
        <w:rPr>
          <w:rFonts w:hint="eastAsia" w:cs="Times New Roman"/>
          <w:color w:val="auto"/>
          <w:sz w:val="24"/>
          <w:szCs w:val="24"/>
          <w:highlight w:val="none"/>
          <w:lang w:val="en-US" w:eastAsia="zh-CN"/>
        </w:rPr>
        <w:t>.5</w:t>
      </w:r>
      <w:r>
        <w:rPr>
          <w:rFonts w:ascii="Times New Roman" w:hAnsi="Times New Roman" w:cs="Times New Roman"/>
          <w:color w:val="auto"/>
          <w:sz w:val="24"/>
          <w:szCs w:val="24"/>
          <w:highlight w:val="none"/>
        </w:rPr>
        <w:t xml:space="preserve">.1 </w:t>
      </w:r>
      <w:r>
        <w:rPr>
          <w:rFonts w:ascii="Times New Roman" w:hAnsi="Times New Roman" w:eastAsia="黑体" w:cs="Times New Roman"/>
          <w:color w:val="auto"/>
          <w:sz w:val="24"/>
          <w:szCs w:val="24"/>
          <w:highlight w:val="none"/>
        </w:rPr>
        <w:t>土壤环境质量现状评价</w:t>
      </w:r>
    </w:p>
    <w:p>
      <w:pPr>
        <w:pStyle w:val="19"/>
        <w:adjustRightInd w:val="0"/>
        <w:snapToGrid w:val="0"/>
        <w:spacing w:line="360" w:lineRule="auto"/>
        <w:ind w:firstLine="480" w:firstLineChars="200"/>
        <w:jc w:val="left"/>
        <w:rPr>
          <w:rFonts w:hint="eastAsia" w:eastAsia="宋体" w:cs="Times New Roman"/>
          <w:color w:val="auto"/>
          <w:szCs w:val="24"/>
          <w:highlight w:val="none"/>
          <w:lang w:eastAsia="zh-CN"/>
        </w:rPr>
      </w:pPr>
      <w:r>
        <w:rPr>
          <w:rFonts w:hint="eastAsia" w:cs="Times New Roman"/>
          <w:color w:val="auto"/>
          <w:szCs w:val="24"/>
          <w:highlight w:val="none"/>
          <w:lang w:val="en-US" w:eastAsia="zh-CN"/>
        </w:rPr>
        <w:t>1、</w:t>
      </w:r>
      <w:r>
        <w:rPr>
          <w:rFonts w:cs="Times New Roman"/>
          <w:color w:val="auto"/>
          <w:szCs w:val="24"/>
          <w:highlight w:val="none"/>
        </w:rPr>
        <w:t>监测点位</w:t>
      </w:r>
      <w:r>
        <w:rPr>
          <w:rFonts w:hint="eastAsia" w:cs="Times New Roman"/>
          <w:color w:val="auto"/>
          <w:szCs w:val="24"/>
          <w:highlight w:val="none"/>
          <w:lang w:eastAsia="zh-CN"/>
        </w:rPr>
        <w:t>、项目</w:t>
      </w:r>
    </w:p>
    <w:p>
      <w:pPr>
        <w:keepNext/>
        <w:keepLines/>
        <w:adjustRightInd w:val="0"/>
        <w:snapToGrid w:val="0"/>
        <w:spacing w:line="360" w:lineRule="auto"/>
        <w:ind w:firstLine="480" w:firstLineChars="200"/>
        <w:rPr>
          <w:color w:val="auto"/>
          <w:sz w:val="24"/>
          <w:highlight w:val="none"/>
        </w:rPr>
      </w:pPr>
      <w:r>
        <w:rPr>
          <w:rFonts w:hint="eastAsia"/>
          <w:color w:val="auto"/>
          <w:sz w:val="24"/>
          <w:highlight w:val="none"/>
        </w:rPr>
        <w:t>监测位点见表</w:t>
      </w:r>
      <w:r>
        <w:rPr>
          <w:rFonts w:hint="eastAsia"/>
          <w:color w:val="auto"/>
          <w:sz w:val="24"/>
          <w:highlight w:val="none"/>
          <w:lang w:eastAsia="zh-CN"/>
        </w:rPr>
        <w:t>3.6</w:t>
      </w:r>
      <w:r>
        <w:rPr>
          <w:rFonts w:hint="eastAsia"/>
          <w:color w:val="auto"/>
          <w:sz w:val="24"/>
          <w:highlight w:val="none"/>
        </w:rPr>
        <w:t>-1</w:t>
      </w:r>
      <w:r>
        <w:rPr>
          <w:rFonts w:hint="eastAsia"/>
          <w:color w:val="auto"/>
          <w:sz w:val="24"/>
          <w:highlight w:val="none"/>
          <w:lang w:val="en-US" w:eastAsia="zh-CN"/>
        </w:rPr>
        <w:t>5</w:t>
      </w:r>
      <w:r>
        <w:rPr>
          <w:rFonts w:hint="eastAsia"/>
          <w:color w:val="auto"/>
          <w:sz w:val="24"/>
          <w:highlight w:val="none"/>
        </w:rPr>
        <w:t>。</w:t>
      </w:r>
    </w:p>
    <w:p>
      <w:pPr>
        <w:pStyle w:val="30"/>
        <w:snapToGrid w:val="0"/>
        <w:spacing w:after="0"/>
        <w:ind w:left="900" w:hanging="480"/>
        <w:jc w:val="center"/>
        <w:rPr>
          <w:rFonts w:eastAsia="黑体"/>
          <w:bCs/>
          <w:color w:val="auto"/>
          <w:sz w:val="24"/>
          <w:szCs w:val="24"/>
          <w:highlight w:val="none"/>
        </w:rPr>
      </w:pPr>
      <w:r>
        <w:rPr>
          <w:rFonts w:eastAsia="黑体"/>
          <w:bCs/>
          <w:color w:val="auto"/>
          <w:sz w:val="24"/>
          <w:szCs w:val="24"/>
          <w:highlight w:val="none"/>
        </w:rPr>
        <w:t>表</w:t>
      </w:r>
      <w:r>
        <w:rPr>
          <w:rFonts w:hint="eastAsia" w:eastAsia="黑体"/>
          <w:bCs/>
          <w:color w:val="auto"/>
          <w:sz w:val="24"/>
          <w:szCs w:val="24"/>
          <w:highlight w:val="none"/>
          <w:lang w:eastAsia="zh-CN"/>
        </w:rPr>
        <w:t>3.6</w:t>
      </w:r>
      <w:r>
        <w:rPr>
          <w:rFonts w:eastAsia="黑体"/>
          <w:bCs/>
          <w:color w:val="auto"/>
          <w:sz w:val="24"/>
          <w:szCs w:val="24"/>
          <w:highlight w:val="none"/>
        </w:rPr>
        <w:t>-1</w:t>
      </w:r>
      <w:r>
        <w:rPr>
          <w:rFonts w:hint="eastAsia" w:eastAsia="黑体"/>
          <w:bCs/>
          <w:color w:val="auto"/>
          <w:sz w:val="24"/>
          <w:szCs w:val="24"/>
          <w:highlight w:val="none"/>
          <w:lang w:val="en-US" w:eastAsia="zh-CN"/>
        </w:rPr>
        <w:t>5</w:t>
      </w:r>
      <w:r>
        <w:rPr>
          <w:rFonts w:eastAsia="黑体"/>
          <w:bCs/>
          <w:color w:val="auto"/>
          <w:sz w:val="24"/>
          <w:szCs w:val="24"/>
          <w:highlight w:val="none"/>
        </w:rPr>
        <w:t xml:space="preserve">  </w:t>
      </w:r>
      <w:r>
        <w:rPr>
          <w:rFonts w:hint="eastAsia" w:eastAsia="黑体"/>
          <w:bCs/>
          <w:color w:val="auto"/>
          <w:sz w:val="24"/>
          <w:szCs w:val="24"/>
          <w:highlight w:val="none"/>
          <w:lang w:eastAsia="zh-CN"/>
        </w:rPr>
        <w:t>土壤</w:t>
      </w:r>
      <w:r>
        <w:rPr>
          <w:rFonts w:eastAsia="黑体"/>
          <w:bCs/>
          <w:color w:val="auto"/>
          <w:sz w:val="24"/>
          <w:szCs w:val="24"/>
          <w:highlight w:val="none"/>
        </w:rPr>
        <w:t>现状监测点一览表</w:t>
      </w:r>
    </w:p>
    <w:tbl>
      <w:tblPr>
        <w:tblStyle w:val="36"/>
        <w:tblW w:w="9231"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6"/>
        <w:gridCol w:w="1091"/>
        <w:gridCol w:w="910"/>
        <w:gridCol w:w="1822"/>
        <w:gridCol w:w="475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dxa"/>
            <w:tcBorders>
              <w:tl2br w:val="nil"/>
              <w:tr2bl w:val="nil"/>
            </w:tcBorders>
            <w:noWrap w:val="0"/>
            <w:vAlign w:val="center"/>
          </w:tcPr>
          <w:p>
            <w:pPr>
              <w:pStyle w:val="124"/>
              <w:spacing w:line="240" w:lineRule="auto"/>
              <w:rPr>
                <w:color w:val="auto"/>
                <w:szCs w:val="21"/>
                <w:highlight w:val="none"/>
                <w:lang w:val="en-US" w:eastAsia="zh-CN"/>
              </w:rPr>
            </w:pPr>
            <w:r>
              <w:rPr>
                <w:color w:val="auto"/>
                <w:szCs w:val="21"/>
                <w:highlight w:val="none"/>
                <w:lang w:val="en-US" w:eastAsia="zh-CN"/>
              </w:rPr>
              <w:t>序号</w:t>
            </w:r>
          </w:p>
        </w:tc>
        <w:tc>
          <w:tcPr>
            <w:tcW w:w="1091" w:type="dxa"/>
            <w:tcBorders>
              <w:tl2br w:val="nil"/>
              <w:tr2bl w:val="nil"/>
            </w:tcBorders>
            <w:noWrap w:val="0"/>
            <w:vAlign w:val="center"/>
          </w:tcPr>
          <w:p>
            <w:pPr>
              <w:pStyle w:val="124"/>
              <w:spacing w:line="240" w:lineRule="auto"/>
              <w:rPr>
                <w:color w:val="auto"/>
                <w:szCs w:val="21"/>
                <w:highlight w:val="none"/>
                <w:lang w:val="en-US" w:eastAsia="zh-CN"/>
              </w:rPr>
            </w:pPr>
            <w:r>
              <w:rPr>
                <w:color w:val="auto"/>
                <w:szCs w:val="21"/>
                <w:highlight w:val="none"/>
                <w:lang w:val="en-US" w:eastAsia="zh-CN"/>
              </w:rPr>
              <w:t>位置</w:t>
            </w:r>
          </w:p>
        </w:tc>
        <w:tc>
          <w:tcPr>
            <w:tcW w:w="910" w:type="dxa"/>
            <w:tcBorders>
              <w:tl2br w:val="nil"/>
              <w:tr2bl w:val="nil"/>
            </w:tcBorders>
            <w:noWrap w:val="0"/>
            <w:vAlign w:val="center"/>
          </w:tcPr>
          <w:p>
            <w:pPr>
              <w:pStyle w:val="124"/>
              <w:spacing w:line="240" w:lineRule="auto"/>
              <w:rPr>
                <w:color w:val="auto"/>
                <w:szCs w:val="21"/>
                <w:highlight w:val="none"/>
                <w:lang w:val="en-US" w:eastAsia="zh-CN"/>
              </w:rPr>
            </w:pPr>
            <w:r>
              <w:rPr>
                <w:rFonts w:hint="eastAsia"/>
                <w:color w:val="auto"/>
                <w:szCs w:val="21"/>
                <w:highlight w:val="none"/>
                <w:lang w:val="en-US" w:eastAsia="zh-CN"/>
              </w:rPr>
              <w:t>范围</w:t>
            </w:r>
          </w:p>
        </w:tc>
        <w:tc>
          <w:tcPr>
            <w:tcW w:w="1822" w:type="dxa"/>
            <w:tcBorders>
              <w:tl2br w:val="nil"/>
              <w:tr2bl w:val="nil"/>
            </w:tcBorders>
            <w:noWrap w:val="0"/>
            <w:vAlign w:val="center"/>
          </w:tcPr>
          <w:p>
            <w:pPr>
              <w:pStyle w:val="124"/>
              <w:spacing w:line="240" w:lineRule="auto"/>
              <w:rPr>
                <w:color w:val="auto"/>
                <w:szCs w:val="21"/>
                <w:highlight w:val="none"/>
                <w:lang w:val="en-US" w:eastAsia="zh-CN"/>
              </w:rPr>
            </w:pPr>
            <w:r>
              <w:rPr>
                <w:rFonts w:hint="eastAsia"/>
                <w:color w:val="auto"/>
                <w:szCs w:val="21"/>
                <w:highlight w:val="none"/>
                <w:lang w:val="en-US" w:eastAsia="zh-CN"/>
              </w:rPr>
              <w:t>取样类型</w:t>
            </w:r>
          </w:p>
        </w:tc>
        <w:tc>
          <w:tcPr>
            <w:tcW w:w="4752" w:type="dxa"/>
            <w:tcBorders>
              <w:tl2br w:val="nil"/>
              <w:tr2bl w:val="nil"/>
            </w:tcBorders>
            <w:noWrap w:val="0"/>
            <w:vAlign w:val="center"/>
          </w:tcPr>
          <w:p>
            <w:pPr>
              <w:pStyle w:val="124"/>
              <w:spacing w:line="240" w:lineRule="auto"/>
              <w:rPr>
                <w:color w:val="auto"/>
                <w:szCs w:val="21"/>
                <w:highlight w:val="none"/>
                <w:lang w:val="en-US" w:eastAsia="zh-CN"/>
              </w:rPr>
            </w:pPr>
            <w:r>
              <w:rPr>
                <w:rFonts w:hint="eastAsia"/>
                <w:color w:val="auto"/>
                <w:szCs w:val="21"/>
                <w:highlight w:val="none"/>
                <w:lang w:val="en-US" w:eastAsia="zh-CN"/>
              </w:rPr>
              <w:t>监测因子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14" w:hRule="atLeast"/>
          <w:jc w:val="center"/>
        </w:trPr>
        <w:tc>
          <w:tcPr>
            <w:tcW w:w="656" w:type="dxa"/>
            <w:vMerge w:val="restart"/>
            <w:tcBorders>
              <w:tl2br w:val="nil"/>
              <w:tr2bl w:val="nil"/>
            </w:tcBorders>
            <w:noWrap w:val="0"/>
            <w:vAlign w:val="center"/>
          </w:tcPr>
          <w:p>
            <w:pPr>
              <w:adjustRightInd w:val="0"/>
              <w:snapToGrid w:val="0"/>
              <w:jc w:val="center"/>
              <w:rPr>
                <w:color w:val="auto"/>
                <w:szCs w:val="21"/>
                <w:highlight w:val="none"/>
              </w:rPr>
            </w:pPr>
            <w:r>
              <w:rPr>
                <w:rFonts w:hint="eastAsia"/>
                <w:color w:val="auto"/>
                <w:szCs w:val="21"/>
                <w:highlight w:val="none"/>
              </w:rPr>
              <w:t>1</w:t>
            </w:r>
            <w:r>
              <w:rPr>
                <w:color w:val="auto"/>
                <w:szCs w:val="21"/>
                <w:highlight w:val="none"/>
              </w:rPr>
              <w:t>#</w:t>
            </w:r>
          </w:p>
        </w:tc>
        <w:tc>
          <w:tcPr>
            <w:tcW w:w="1091" w:type="dxa"/>
            <w:tcBorders>
              <w:tl2br w:val="nil"/>
              <w:tr2bl w:val="nil"/>
            </w:tcBorders>
            <w:noWrap w:val="0"/>
            <w:vAlign w:val="center"/>
          </w:tcPr>
          <w:p>
            <w:pPr>
              <w:spacing w:line="360" w:lineRule="exact"/>
              <w:jc w:val="center"/>
              <w:rPr>
                <w:rFonts w:hint="eastAsia"/>
                <w:color w:val="auto"/>
                <w:szCs w:val="21"/>
                <w:highlight w:val="none"/>
              </w:rPr>
            </w:pPr>
            <w:r>
              <w:rPr>
                <w:color w:val="auto"/>
                <w:szCs w:val="21"/>
                <w:highlight w:val="none"/>
              </w:rPr>
              <w:t>项目厂区</w:t>
            </w:r>
          </w:p>
        </w:tc>
        <w:tc>
          <w:tcPr>
            <w:tcW w:w="910" w:type="dxa"/>
            <w:tcBorders>
              <w:tl2br w:val="nil"/>
              <w:tr2bl w:val="nil"/>
            </w:tcBorders>
            <w:noWrap w:val="0"/>
            <w:vAlign w:val="center"/>
          </w:tcPr>
          <w:p>
            <w:pPr>
              <w:pStyle w:val="124"/>
              <w:spacing w:line="240" w:lineRule="auto"/>
              <w:rPr>
                <w:color w:val="auto"/>
                <w:szCs w:val="21"/>
                <w:highlight w:val="none"/>
                <w:lang w:val="en-US" w:eastAsia="zh-CN"/>
              </w:rPr>
            </w:pPr>
            <w:r>
              <w:rPr>
                <w:rFonts w:hint="eastAsia"/>
                <w:color w:val="auto"/>
                <w:szCs w:val="21"/>
                <w:highlight w:val="none"/>
                <w:lang w:val="en-US" w:eastAsia="zh-CN"/>
              </w:rPr>
              <w:t>占地范围内</w:t>
            </w:r>
          </w:p>
        </w:tc>
        <w:tc>
          <w:tcPr>
            <w:tcW w:w="1822" w:type="dxa"/>
            <w:tcBorders>
              <w:tl2br w:val="nil"/>
              <w:tr2bl w:val="nil"/>
            </w:tcBorders>
            <w:noWrap w:val="0"/>
            <w:vAlign w:val="center"/>
          </w:tcPr>
          <w:p>
            <w:pPr>
              <w:pStyle w:val="124"/>
              <w:spacing w:line="240" w:lineRule="auto"/>
              <w:rPr>
                <w:color w:val="auto"/>
                <w:szCs w:val="21"/>
                <w:highlight w:val="none"/>
                <w:lang w:val="en-US" w:eastAsia="zh-CN"/>
              </w:rPr>
            </w:pPr>
            <w:r>
              <w:rPr>
                <w:rFonts w:hint="eastAsia"/>
                <w:color w:val="auto"/>
                <w:szCs w:val="21"/>
                <w:highlight w:val="none"/>
                <w:lang w:val="en-US" w:eastAsia="zh-CN"/>
              </w:rPr>
              <w:t>表层样点D1</w:t>
            </w:r>
          </w:p>
        </w:tc>
        <w:tc>
          <w:tcPr>
            <w:tcW w:w="4752" w:type="dxa"/>
            <w:vMerge w:val="restart"/>
            <w:tcBorders>
              <w:tl2br w:val="nil"/>
              <w:tr2bl w:val="nil"/>
            </w:tcBorders>
            <w:noWrap w:val="0"/>
            <w:vAlign w:val="center"/>
          </w:tcPr>
          <w:p>
            <w:pPr>
              <w:pStyle w:val="124"/>
              <w:spacing w:line="240" w:lineRule="auto"/>
              <w:jc w:val="both"/>
              <w:rPr>
                <w:rFonts w:hint="eastAsia"/>
                <w:color w:val="auto"/>
                <w:szCs w:val="21"/>
                <w:highlight w:val="none"/>
                <w:lang w:val="en-US" w:eastAsia="zh-CN"/>
              </w:rPr>
            </w:pPr>
            <w:r>
              <w:rPr>
                <w:rFonts w:hint="eastAsia"/>
                <w:color w:val="auto"/>
                <w:szCs w:val="21"/>
                <w:highlight w:val="none"/>
                <w:lang w:val="en-US" w:eastAsia="zh-CN"/>
              </w:rPr>
              <w:t>监测GB36600中的45项目基本因子：</w:t>
            </w:r>
          </w:p>
          <w:p>
            <w:pPr>
              <w:pStyle w:val="124"/>
              <w:spacing w:line="240" w:lineRule="auto"/>
              <w:jc w:val="both"/>
              <w:rPr>
                <w:rFonts w:hint="eastAsia"/>
                <w:color w:val="auto"/>
                <w:szCs w:val="21"/>
                <w:highlight w:val="none"/>
                <w:lang w:val="en-US" w:eastAsia="zh-CN"/>
              </w:rPr>
            </w:pPr>
            <w:r>
              <w:rPr>
                <w:rFonts w:hint="eastAsia"/>
                <w:color w:val="auto"/>
                <w:szCs w:val="21"/>
                <w:highlight w:val="none"/>
                <w:lang w:val="en-US" w:eastAsia="zh-CN"/>
              </w:rPr>
              <w:t>重金属：砷、镉、铬、铜、铅、汞、镍</w:t>
            </w:r>
          </w:p>
          <w:p>
            <w:pPr>
              <w:pStyle w:val="124"/>
              <w:spacing w:line="240" w:lineRule="auto"/>
              <w:jc w:val="both"/>
              <w:rPr>
                <w:rFonts w:hint="eastAsia"/>
                <w:color w:val="auto"/>
                <w:szCs w:val="21"/>
                <w:highlight w:val="none"/>
                <w:lang w:val="en-US" w:eastAsia="zh-CN"/>
              </w:rPr>
            </w:pPr>
            <w:r>
              <w:rPr>
                <w:rFonts w:hint="eastAsia"/>
                <w:color w:val="auto"/>
                <w:szCs w:val="21"/>
                <w:highlight w:val="none"/>
                <w:lang w:val="en-US" w:eastAsia="zh-CN"/>
              </w:rPr>
              <w:t>挥发性有机物：四氯化碳、氯仿、氯甲烷、1,1-二氯乙烷、1,2-二氯乙烷、1,1-二氯以烯、顺-1,2-二氯以烯、反-1,2-二氯以烯、二氯甲烷、1,2-而氯丙烷、1,1,1,2-四氯乙烷、1,1,2,2-四氯乙烷、四氯乙烯、1,1,1-三氯乙烷、1,1,2-三氯乙烷、三氯乙烯、1,2,3-三氯丙烯、氯乙烯、苯、氯苯、1,2-二氯苯、1,4-二氯苯、乙苯、苯乙烯、甲苯、间二甲苯+对二甲苯、邻二甲苯</w:t>
            </w:r>
          </w:p>
          <w:p>
            <w:pPr>
              <w:pStyle w:val="124"/>
              <w:spacing w:line="240" w:lineRule="auto"/>
              <w:jc w:val="both"/>
              <w:rPr>
                <w:rFonts w:hint="eastAsia"/>
                <w:color w:val="auto"/>
                <w:szCs w:val="21"/>
                <w:highlight w:val="none"/>
                <w:lang w:val="en-US" w:eastAsia="zh-CN"/>
              </w:rPr>
            </w:pPr>
            <w:r>
              <w:rPr>
                <w:rFonts w:hint="eastAsia"/>
                <w:color w:val="auto"/>
                <w:szCs w:val="21"/>
                <w:highlight w:val="none"/>
                <w:lang w:val="en-US" w:eastAsia="zh-CN"/>
              </w:rPr>
              <w:t>半挥发性有机物：硝基苯、苯胺、2-氯酚、苯并蒽、苯并芘、苯并[b]荧蒽、苯并[k]荧蒽、二苯并蒽、茚并芘、萘</w:t>
            </w:r>
          </w:p>
          <w:p>
            <w:pPr>
              <w:pStyle w:val="124"/>
              <w:spacing w:line="240" w:lineRule="auto"/>
              <w:jc w:val="both"/>
              <w:rPr>
                <w:color w:val="auto"/>
                <w:szCs w:val="21"/>
                <w:highlight w:val="none"/>
                <w:lang w:val="en-US" w:eastAsia="zh-CN"/>
              </w:rPr>
            </w:pPr>
            <w:r>
              <w:rPr>
                <w:rFonts w:hint="eastAsia"/>
                <w:color w:val="auto"/>
                <w:szCs w:val="21"/>
                <w:highlight w:val="none"/>
                <w:lang w:val="en-US" w:eastAsia="zh-CN"/>
              </w:rPr>
              <w:t>特征因子：</w:t>
            </w:r>
            <w:r>
              <w:rPr>
                <w:rFonts w:ascii="Times New Roman" w:cs="Times New Roman"/>
                <w:color w:val="auto"/>
                <w:sz w:val="21"/>
                <w:szCs w:val="21"/>
                <w:highlight w:val="none"/>
                <w:lang w:val="de-DE"/>
              </w:rPr>
              <w:t>pH、</w:t>
            </w:r>
            <w:r>
              <w:rPr>
                <w:rFonts w:hint="eastAsia"/>
                <w:color w:val="auto"/>
                <w:szCs w:val="21"/>
                <w:highlight w:val="none"/>
                <w:lang w:val="en-US" w:eastAsia="zh-CN"/>
              </w:rPr>
              <w:t>锌、银、锡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656" w:type="dxa"/>
            <w:vMerge w:val="continue"/>
            <w:tcBorders>
              <w:tl2br w:val="nil"/>
              <w:tr2bl w:val="nil"/>
            </w:tcBorders>
            <w:noWrap w:val="0"/>
            <w:vAlign w:val="center"/>
          </w:tcPr>
          <w:p>
            <w:pPr>
              <w:adjustRightInd w:val="0"/>
              <w:snapToGrid w:val="0"/>
              <w:jc w:val="center"/>
              <w:rPr>
                <w:rFonts w:hint="eastAsia"/>
                <w:color w:val="auto"/>
                <w:szCs w:val="21"/>
                <w:highlight w:val="none"/>
              </w:rPr>
            </w:pPr>
          </w:p>
        </w:tc>
        <w:tc>
          <w:tcPr>
            <w:tcW w:w="1091" w:type="dxa"/>
            <w:vMerge w:val="restart"/>
            <w:tcBorders>
              <w:tl2br w:val="nil"/>
              <w:tr2bl w:val="nil"/>
            </w:tcBorders>
            <w:noWrap w:val="0"/>
            <w:vAlign w:val="center"/>
          </w:tcPr>
          <w:p>
            <w:pPr>
              <w:spacing w:line="360" w:lineRule="exact"/>
              <w:jc w:val="center"/>
              <w:rPr>
                <w:rFonts w:hint="eastAsia" w:eastAsia="宋体"/>
                <w:color w:val="auto"/>
                <w:szCs w:val="21"/>
                <w:highlight w:val="none"/>
                <w:lang w:eastAsia="zh-CN"/>
              </w:rPr>
            </w:pPr>
            <w:r>
              <w:rPr>
                <w:rFonts w:hint="eastAsia"/>
                <w:color w:val="auto"/>
                <w:szCs w:val="21"/>
                <w:highlight w:val="none"/>
                <w:lang w:eastAsia="zh-CN"/>
              </w:rPr>
              <w:t>厂区</w:t>
            </w:r>
          </w:p>
        </w:tc>
        <w:tc>
          <w:tcPr>
            <w:tcW w:w="910" w:type="dxa"/>
            <w:vMerge w:val="restart"/>
            <w:tcBorders>
              <w:tl2br w:val="nil"/>
              <w:tr2bl w:val="nil"/>
            </w:tcBorders>
            <w:noWrap w:val="0"/>
            <w:vAlign w:val="center"/>
          </w:tcPr>
          <w:p>
            <w:pPr>
              <w:pStyle w:val="124"/>
              <w:spacing w:line="240" w:lineRule="auto"/>
              <w:rPr>
                <w:rFonts w:hint="eastAsia"/>
                <w:color w:val="auto"/>
                <w:szCs w:val="21"/>
                <w:highlight w:val="none"/>
                <w:lang w:val="en-US" w:eastAsia="zh-CN"/>
              </w:rPr>
            </w:pPr>
            <w:r>
              <w:rPr>
                <w:rFonts w:hint="eastAsia"/>
                <w:color w:val="auto"/>
                <w:szCs w:val="21"/>
                <w:highlight w:val="none"/>
                <w:lang w:eastAsia="zh-CN"/>
              </w:rPr>
              <w:t>占地范围外</w:t>
            </w:r>
          </w:p>
        </w:tc>
        <w:tc>
          <w:tcPr>
            <w:tcW w:w="1822" w:type="dxa"/>
            <w:tcBorders>
              <w:tl2br w:val="nil"/>
              <w:tr2bl w:val="nil"/>
            </w:tcBorders>
            <w:noWrap w:val="0"/>
            <w:vAlign w:val="center"/>
          </w:tcPr>
          <w:p>
            <w:pPr>
              <w:pStyle w:val="124"/>
              <w:spacing w:line="240" w:lineRule="auto"/>
              <w:rPr>
                <w:rFonts w:hint="eastAsia"/>
                <w:color w:val="auto"/>
                <w:szCs w:val="21"/>
                <w:highlight w:val="none"/>
                <w:lang w:val="en-US" w:eastAsia="zh-CN"/>
              </w:rPr>
            </w:pPr>
            <w:r>
              <w:rPr>
                <w:rFonts w:hint="eastAsia"/>
                <w:color w:val="auto"/>
                <w:szCs w:val="21"/>
                <w:highlight w:val="none"/>
                <w:lang w:val="en-US" w:eastAsia="zh-CN"/>
              </w:rPr>
              <w:t>表层样点D2</w:t>
            </w:r>
          </w:p>
        </w:tc>
        <w:tc>
          <w:tcPr>
            <w:tcW w:w="4752" w:type="dxa"/>
            <w:vMerge w:val="continue"/>
            <w:tcBorders>
              <w:tl2br w:val="nil"/>
              <w:tr2bl w:val="nil"/>
            </w:tcBorders>
            <w:noWrap w:val="0"/>
            <w:vAlign w:val="center"/>
          </w:tcPr>
          <w:p>
            <w:pPr>
              <w:pStyle w:val="124"/>
              <w:spacing w:line="240" w:lineRule="auto"/>
              <w:jc w:val="both"/>
              <w:rPr>
                <w:rFonts w:hint="eastAsia"/>
                <w:color w:val="auto"/>
                <w:szCs w:val="21"/>
                <w:highlight w:val="no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4" w:hRule="atLeast"/>
          <w:jc w:val="center"/>
        </w:trPr>
        <w:tc>
          <w:tcPr>
            <w:tcW w:w="656" w:type="dxa"/>
            <w:vMerge w:val="continue"/>
            <w:tcBorders>
              <w:tl2br w:val="nil"/>
              <w:tr2bl w:val="nil"/>
            </w:tcBorders>
            <w:noWrap w:val="0"/>
            <w:vAlign w:val="center"/>
          </w:tcPr>
          <w:p>
            <w:pPr>
              <w:adjustRightInd w:val="0"/>
              <w:snapToGrid w:val="0"/>
              <w:jc w:val="center"/>
              <w:rPr>
                <w:rFonts w:hint="eastAsia"/>
                <w:color w:val="auto"/>
                <w:szCs w:val="21"/>
                <w:highlight w:val="none"/>
              </w:rPr>
            </w:pPr>
          </w:p>
        </w:tc>
        <w:tc>
          <w:tcPr>
            <w:tcW w:w="1091" w:type="dxa"/>
            <w:vMerge w:val="continue"/>
            <w:tcBorders>
              <w:tl2br w:val="nil"/>
              <w:tr2bl w:val="nil"/>
            </w:tcBorders>
            <w:noWrap w:val="0"/>
            <w:vAlign w:val="center"/>
          </w:tcPr>
          <w:p>
            <w:pPr>
              <w:spacing w:line="360" w:lineRule="exact"/>
              <w:jc w:val="center"/>
              <w:rPr>
                <w:color w:val="auto"/>
                <w:szCs w:val="21"/>
                <w:highlight w:val="none"/>
              </w:rPr>
            </w:pPr>
          </w:p>
        </w:tc>
        <w:tc>
          <w:tcPr>
            <w:tcW w:w="910" w:type="dxa"/>
            <w:vMerge w:val="continue"/>
            <w:tcBorders>
              <w:tl2br w:val="nil"/>
              <w:tr2bl w:val="nil"/>
            </w:tcBorders>
            <w:noWrap w:val="0"/>
            <w:vAlign w:val="center"/>
          </w:tcPr>
          <w:p>
            <w:pPr>
              <w:pStyle w:val="124"/>
              <w:spacing w:line="240" w:lineRule="auto"/>
              <w:rPr>
                <w:rFonts w:hint="eastAsia"/>
                <w:color w:val="auto"/>
                <w:szCs w:val="21"/>
                <w:highlight w:val="none"/>
                <w:lang w:val="en-US" w:eastAsia="zh-CN"/>
              </w:rPr>
            </w:pPr>
          </w:p>
        </w:tc>
        <w:tc>
          <w:tcPr>
            <w:tcW w:w="1822" w:type="dxa"/>
            <w:tcBorders>
              <w:tl2br w:val="nil"/>
              <w:tr2bl w:val="nil"/>
            </w:tcBorders>
            <w:noWrap w:val="0"/>
            <w:vAlign w:val="center"/>
          </w:tcPr>
          <w:p>
            <w:pPr>
              <w:pStyle w:val="124"/>
              <w:spacing w:line="240" w:lineRule="auto"/>
              <w:rPr>
                <w:rFonts w:hint="eastAsia"/>
                <w:color w:val="auto"/>
                <w:szCs w:val="21"/>
                <w:highlight w:val="none"/>
                <w:lang w:val="en-US" w:eastAsia="zh-CN"/>
              </w:rPr>
            </w:pPr>
            <w:r>
              <w:rPr>
                <w:rFonts w:hint="eastAsia"/>
                <w:color w:val="auto"/>
                <w:szCs w:val="21"/>
                <w:highlight w:val="none"/>
                <w:lang w:val="en-US" w:eastAsia="zh-CN"/>
              </w:rPr>
              <w:t>表层样点D3</w:t>
            </w:r>
          </w:p>
        </w:tc>
        <w:tc>
          <w:tcPr>
            <w:tcW w:w="4752" w:type="dxa"/>
            <w:vMerge w:val="continue"/>
            <w:tcBorders>
              <w:tl2br w:val="nil"/>
              <w:tr2bl w:val="nil"/>
            </w:tcBorders>
            <w:noWrap w:val="0"/>
            <w:vAlign w:val="center"/>
          </w:tcPr>
          <w:p>
            <w:pPr>
              <w:pStyle w:val="124"/>
              <w:spacing w:line="240" w:lineRule="auto"/>
              <w:jc w:val="both"/>
              <w:rPr>
                <w:rFonts w:hint="eastAsia"/>
                <w:color w:val="auto"/>
                <w:szCs w:val="21"/>
                <w:highlight w:val="no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4" w:hRule="atLeast"/>
          <w:jc w:val="center"/>
        </w:trPr>
        <w:tc>
          <w:tcPr>
            <w:tcW w:w="656" w:type="dxa"/>
            <w:tcBorders>
              <w:tl2br w:val="nil"/>
              <w:tr2bl w:val="nil"/>
            </w:tcBorders>
            <w:noWrap w:val="0"/>
            <w:vAlign w:val="center"/>
          </w:tcPr>
          <w:p>
            <w:pPr>
              <w:adjustRightInd w:val="0"/>
              <w:snapToGrid w:val="0"/>
              <w:jc w:val="center"/>
              <w:rPr>
                <w:rFonts w:hint="eastAsia" w:eastAsia="宋体"/>
                <w:color w:val="auto"/>
                <w:szCs w:val="21"/>
                <w:highlight w:val="none"/>
                <w:lang w:val="en-US" w:eastAsia="zh-CN"/>
              </w:rPr>
            </w:pPr>
            <w:r>
              <w:rPr>
                <w:rFonts w:hint="eastAsia"/>
                <w:color w:val="auto"/>
                <w:szCs w:val="21"/>
                <w:highlight w:val="none"/>
                <w:lang w:val="en-US" w:eastAsia="zh-CN"/>
              </w:rPr>
              <w:t>2#</w:t>
            </w:r>
          </w:p>
        </w:tc>
        <w:tc>
          <w:tcPr>
            <w:tcW w:w="1091" w:type="dxa"/>
            <w:tcBorders>
              <w:tl2br w:val="nil"/>
              <w:tr2bl w:val="nil"/>
            </w:tcBorders>
            <w:noWrap w:val="0"/>
            <w:vAlign w:val="center"/>
          </w:tcPr>
          <w:p>
            <w:pPr>
              <w:spacing w:line="360" w:lineRule="exact"/>
              <w:jc w:val="center"/>
              <w:rPr>
                <w:color w:val="auto"/>
                <w:szCs w:val="21"/>
                <w:highlight w:val="none"/>
              </w:rPr>
            </w:pPr>
            <w:r>
              <w:rPr>
                <w:color w:val="auto"/>
                <w:szCs w:val="21"/>
                <w:highlight w:val="none"/>
              </w:rPr>
              <w:t>项目厂区</w:t>
            </w:r>
          </w:p>
        </w:tc>
        <w:tc>
          <w:tcPr>
            <w:tcW w:w="910" w:type="dxa"/>
            <w:tcBorders>
              <w:tl2br w:val="nil"/>
              <w:tr2bl w:val="nil"/>
            </w:tcBorders>
            <w:noWrap w:val="0"/>
            <w:vAlign w:val="center"/>
          </w:tcPr>
          <w:p>
            <w:pPr>
              <w:pStyle w:val="124"/>
              <w:spacing w:line="240" w:lineRule="auto"/>
              <w:rPr>
                <w:rFonts w:hint="eastAsia"/>
                <w:color w:val="auto"/>
                <w:szCs w:val="21"/>
                <w:highlight w:val="none"/>
                <w:lang w:val="en-US" w:eastAsia="zh-CN"/>
              </w:rPr>
            </w:pPr>
            <w:r>
              <w:rPr>
                <w:rFonts w:hint="eastAsia"/>
                <w:color w:val="auto"/>
                <w:szCs w:val="21"/>
                <w:highlight w:val="none"/>
                <w:lang w:val="en-US" w:eastAsia="zh-CN"/>
              </w:rPr>
              <w:t>占地范围内</w:t>
            </w:r>
          </w:p>
        </w:tc>
        <w:tc>
          <w:tcPr>
            <w:tcW w:w="1822" w:type="dxa"/>
            <w:tcBorders>
              <w:tl2br w:val="nil"/>
              <w:tr2bl w:val="nil"/>
            </w:tcBorders>
            <w:noWrap w:val="0"/>
            <w:vAlign w:val="center"/>
          </w:tcPr>
          <w:p>
            <w:pPr>
              <w:pStyle w:val="124"/>
              <w:spacing w:line="240" w:lineRule="auto"/>
              <w:rPr>
                <w:rFonts w:hint="eastAsia"/>
                <w:color w:val="auto"/>
                <w:szCs w:val="21"/>
                <w:highlight w:val="none"/>
                <w:lang w:val="en-US" w:eastAsia="zh-CN"/>
              </w:rPr>
            </w:pPr>
            <w:r>
              <w:rPr>
                <w:rFonts w:hint="eastAsia"/>
                <w:color w:val="auto"/>
                <w:szCs w:val="21"/>
                <w:highlight w:val="none"/>
                <w:lang w:val="en-US" w:eastAsia="zh-CN"/>
              </w:rPr>
              <w:t>柱状样点D4、D5、D6(</w:t>
            </w:r>
            <w:r>
              <w:rPr>
                <w:color w:val="auto"/>
                <w:szCs w:val="21"/>
                <w:highlight w:val="none"/>
              </w:rPr>
              <w:t>在0~0.5m、0.5~1.5 m、1.5~3m 分别取样</w:t>
            </w:r>
            <w:r>
              <w:rPr>
                <w:rFonts w:hint="eastAsia"/>
                <w:color w:val="auto"/>
                <w:szCs w:val="21"/>
                <w:highlight w:val="none"/>
                <w:lang w:val="en-US" w:eastAsia="zh-CN"/>
              </w:rPr>
              <w:t>)</w:t>
            </w:r>
          </w:p>
        </w:tc>
        <w:tc>
          <w:tcPr>
            <w:tcW w:w="4752" w:type="dxa"/>
            <w:tcBorders>
              <w:tl2br w:val="nil"/>
              <w:tr2bl w:val="nil"/>
            </w:tcBorders>
            <w:noWrap w:val="0"/>
            <w:vAlign w:val="center"/>
          </w:tcPr>
          <w:p>
            <w:pPr>
              <w:pStyle w:val="124"/>
              <w:spacing w:line="240" w:lineRule="auto"/>
              <w:jc w:val="both"/>
              <w:rPr>
                <w:rFonts w:hint="eastAsia"/>
                <w:color w:val="auto"/>
                <w:szCs w:val="21"/>
                <w:highlight w:val="none"/>
                <w:lang w:val="en-US" w:eastAsia="zh-CN"/>
              </w:rPr>
            </w:pPr>
            <w:r>
              <w:rPr>
                <w:rFonts w:hint="eastAsia"/>
                <w:color w:val="auto"/>
                <w:szCs w:val="21"/>
                <w:highlight w:val="none"/>
                <w:lang w:val="en-US" w:eastAsia="zh-CN"/>
              </w:rPr>
              <w:t>监测GB36600中的45项目基本因子：</w:t>
            </w:r>
          </w:p>
          <w:p>
            <w:pPr>
              <w:pStyle w:val="124"/>
              <w:spacing w:line="240" w:lineRule="auto"/>
              <w:jc w:val="both"/>
              <w:rPr>
                <w:rFonts w:hint="eastAsia"/>
                <w:color w:val="auto"/>
                <w:szCs w:val="21"/>
                <w:highlight w:val="none"/>
                <w:lang w:val="en-US" w:eastAsia="zh-CN"/>
              </w:rPr>
            </w:pPr>
            <w:r>
              <w:rPr>
                <w:rFonts w:hint="eastAsia"/>
                <w:color w:val="auto"/>
                <w:szCs w:val="21"/>
                <w:highlight w:val="none"/>
                <w:lang w:val="en-US" w:eastAsia="zh-CN"/>
              </w:rPr>
              <w:t>重金属：砷、镉、铬、铜、铅、汞、镍</w:t>
            </w:r>
          </w:p>
          <w:p>
            <w:pPr>
              <w:pStyle w:val="124"/>
              <w:spacing w:line="240" w:lineRule="auto"/>
              <w:jc w:val="both"/>
              <w:rPr>
                <w:rFonts w:hint="eastAsia"/>
                <w:color w:val="auto"/>
                <w:szCs w:val="21"/>
                <w:highlight w:val="none"/>
                <w:lang w:val="en-US" w:eastAsia="zh-CN"/>
              </w:rPr>
            </w:pPr>
            <w:r>
              <w:rPr>
                <w:rFonts w:hint="eastAsia"/>
                <w:color w:val="auto"/>
                <w:szCs w:val="21"/>
                <w:highlight w:val="none"/>
                <w:lang w:val="en-US" w:eastAsia="zh-CN"/>
              </w:rPr>
              <w:t>挥发性有机物：四氯化碳、氯仿、氯甲烷、1,1-二氯乙烷、1,2-二氯乙烷、1,1-二氯以烯、顺-1,2-二氯以烯、反-1,2-二氯以烯、二氯甲烷、1,2-而氯丙烷、1,1,1,2-四氯乙烷、1,1,2,2-四氯乙烷、四氯乙烯、1,1,1-三氯乙烷、1,1,2-三氯乙烷、三氯乙烯、1,2,3-三氯丙烯、氯乙烯、苯、氯苯、1,2-二氯苯、1,4-二氯苯、乙苯、苯乙烯、甲苯、间二甲苯+对二甲苯、邻二甲苯</w:t>
            </w:r>
          </w:p>
          <w:p>
            <w:pPr>
              <w:pStyle w:val="124"/>
              <w:spacing w:line="240" w:lineRule="auto"/>
              <w:jc w:val="both"/>
              <w:rPr>
                <w:rFonts w:hint="eastAsia"/>
                <w:color w:val="auto"/>
                <w:szCs w:val="21"/>
                <w:highlight w:val="none"/>
                <w:lang w:val="en-US" w:eastAsia="zh-CN"/>
              </w:rPr>
            </w:pPr>
            <w:r>
              <w:rPr>
                <w:rFonts w:hint="eastAsia"/>
                <w:color w:val="auto"/>
                <w:szCs w:val="21"/>
                <w:highlight w:val="none"/>
                <w:lang w:val="en-US" w:eastAsia="zh-CN"/>
              </w:rPr>
              <w:t>半挥发性有机物：硝基苯、苯胺、2-氯酚、苯并蒽、苯并芘、苯并[b]荧蒽、苯并[k]荧蒽、二苯并蒽、茚并芘、萘</w:t>
            </w:r>
          </w:p>
          <w:p>
            <w:pPr>
              <w:pStyle w:val="124"/>
              <w:spacing w:line="240" w:lineRule="auto"/>
              <w:jc w:val="both"/>
              <w:rPr>
                <w:rFonts w:hint="eastAsia"/>
                <w:color w:val="auto"/>
                <w:szCs w:val="21"/>
                <w:highlight w:val="none"/>
                <w:lang w:val="en-US" w:eastAsia="zh-CN"/>
              </w:rPr>
            </w:pPr>
            <w:r>
              <w:rPr>
                <w:rFonts w:hint="eastAsia"/>
                <w:color w:val="auto"/>
                <w:szCs w:val="21"/>
                <w:highlight w:val="none"/>
                <w:lang w:val="en-US" w:eastAsia="zh-CN"/>
              </w:rPr>
              <w:t>特征因子：</w:t>
            </w:r>
            <w:r>
              <w:rPr>
                <w:rFonts w:ascii="Times New Roman" w:cs="Times New Roman"/>
                <w:color w:val="auto"/>
                <w:sz w:val="21"/>
                <w:szCs w:val="21"/>
                <w:highlight w:val="none"/>
                <w:lang w:val="de-DE"/>
              </w:rPr>
              <w:t>pH、</w:t>
            </w:r>
            <w:r>
              <w:rPr>
                <w:rFonts w:hint="eastAsia"/>
                <w:color w:val="auto"/>
                <w:szCs w:val="21"/>
                <w:highlight w:val="none"/>
                <w:lang w:val="en-US" w:eastAsia="zh-CN"/>
              </w:rPr>
              <w:t>锌、银、锡</w:t>
            </w:r>
          </w:p>
        </w:tc>
      </w:tr>
    </w:tbl>
    <w:p>
      <w:pPr>
        <w:spacing w:line="360" w:lineRule="auto"/>
        <w:jc w:val="center"/>
        <w:rPr>
          <w:rFonts w:hint="eastAsia"/>
          <w:color w:val="auto"/>
          <w:sz w:val="24"/>
          <w:highlight w:val="none"/>
          <w:lang w:val="en-US" w:eastAsia="zh-CN"/>
        </w:rPr>
      </w:pPr>
      <w:r>
        <w:rPr>
          <w:color w:val="auto"/>
          <w:highlight w:val="none"/>
        </w:rPr>
        <w:drawing>
          <wp:inline distT="0" distB="0" distL="114300" distR="114300">
            <wp:extent cx="5430520" cy="3564255"/>
            <wp:effectExtent l="9525" t="9525" r="27305" b="26670"/>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pic:cNvPicPr>
                  </pic:nvPicPr>
                  <pic:blipFill>
                    <a:blip r:embed="rId48"/>
                    <a:stretch>
                      <a:fillRect/>
                    </a:stretch>
                  </pic:blipFill>
                  <pic:spPr>
                    <a:xfrm>
                      <a:off x="0" y="0"/>
                      <a:ext cx="5430520" cy="3564255"/>
                    </a:xfrm>
                    <a:prstGeom prst="rect">
                      <a:avLst/>
                    </a:prstGeom>
                    <a:noFill/>
                    <a:ln w="9525">
                      <a:solidFill>
                        <a:schemeClr val="tx1"/>
                      </a:solidFill>
                    </a:ln>
                  </pic:spPr>
                </pic:pic>
              </a:graphicData>
            </a:graphic>
          </wp:inline>
        </w:drawing>
      </w:r>
    </w:p>
    <w:p>
      <w:pPr>
        <w:pStyle w:val="73"/>
        <w:rPr>
          <w:rFonts w:hint="eastAsia"/>
          <w:color w:val="auto"/>
          <w:sz w:val="24"/>
          <w:highlight w:val="none"/>
          <w:lang w:val="en-US" w:eastAsia="zh-CN"/>
        </w:rPr>
      </w:pPr>
      <w:r>
        <w:rPr>
          <w:bCs/>
          <w:color w:val="auto"/>
          <w:sz w:val="24"/>
          <w:szCs w:val="24"/>
          <w:highlight w:val="none"/>
        </w:rPr>
        <w:t>图</w:t>
      </w:r>
      <w:r>
        <w:rPr>
          <w:rFonts w:hint="eastAsia"/>
          <w:bCs/>
          <w:color w:val="auto"/>
          <w:sz w:val="24"/>
          <w:szCs w:val="24"/>
          <w:highlight w:val="none"/>
          <w:lang w:eastAsia="zh-CN"/>
        </w:rPr>
        <w:t>3.6</w:t>
      </w:r>
      <w:r>
        <w:rPr>
          <w:bCs/>
          <w:color w:val="auto"/>
          <w:sz w:val="24"/>
          <w:szCs w:val="24"/>
          <w:highlight w:val="none"/>
        </w:rPr>
        <w:t>-</w:t>
      </w:r>
      <w:r>
        <w:rPr>
          <w:rFonts w:hint="eastAsia"/>
          <w:bCs/>
          <w:color w:val="auto"/>
          <w:sz w:val="24"/>
          <w:szCs w:val="24"/>
          <w:highlight w:val="none"/>
          <w:lang w:val="en-US" w:eastAsia="zh-CN"/>
        </w:rPr>
        <w:t>5</w:t>
      </w:r>
      <w:r>
        <w:rPr>
          <w:rFonts w:hint="eastAsia"/>
          <w:bCs/>
          <w:color w:val="auto"/>
          <w:sz w:val="24"/>
          <w:szCs w:val="24"/>
          <w:highlight w:val="none"/>
        </w:rPr>
        <w:t xml:space="preserve"> </w:t>
      </w:r>
      <w:r>
        <w:rPr>
          <w:rFonts w:hint="eastAsia"/>
          <w:bCs/>
          <w:color w:val="auto"/>
          <w:sz w:val="24"/>
          <w:szCs w:val="24"/>
          <w:highlight w:val="none"/>
          <w:lang w:val="en-US" w:eastAsia="zh-CN"/>
        </w:rPr>
        <w:t xml:space="preserve"> </w:t>
      </w:r>
      <w:r>
        <w:rPr>
          <w:rFonts w:hint="eastAsia" w:ascii="黑体" w:cs="黑体"/>
          <w:color w:val="auto"/>
          <w:sz w:val="24"/>
          <w:szCs w:val="24"/>
          <w:highlight w:val="none"/>
          <w:lang w:eastAsia="zh-CN"/>
        </w:rPr>
        <w:t>土壤</w:t>
      </w:r>
      <w:r>
        <w:rPr>
          <w:rFonts w:hint="eastAsia" w:ascii="黑体" w:cs="黑体"/>
          <w:color w:val="auto"/>
          <w:sz w:val="24"/>
          <w:szCs w:val="24"/>
          <w:highlight w:val="none"/>
        </w:rPr>
        <w:t>监测点位分布图</w:t>
      </w:r>
    </w:p>
    <w:p>
      <w:pPr>
        <w:spacing w:line="360" w:lineRule="auto"/>
        <w:ind w:firstLine="480" w:firstLineChars="200"/>
        <w:rPr>
          <w:color w:val="auto"/>
          <w:sz w:val="24"/>
          <w:highlight w:val="none"/>
        </w:rPr>
      </w:pPr>
      <w:r>
        <w:rPr>
          <w:rFonts w:hint="eastAsia"/>
          <w:color w:val="auto"/>
          <w:sz w:val="24"/>
          <w:highlight w:val="none"/>
          <w:lang w:val="en-US" w:eastAsia="zh-CN"/>
        </w:rPr>
        <w:t>2、</w:t>
      </w:r>
      <w:r>
        <w:rPr>
          <w:rFonts w:hint="eastAsia"/>
          <w:color w:val="auto"/>
          <w:sz w:val="24"/>
          <w:highlight w:val="none"/>
        </w:rPr>
        <w:t>监测时间与频率</w:t>
      </w:r>
    </w:p>
    <w:p>
      <w:pPr>
        <w:spacing w:line="360" w:lineRule="auto"/>
        <w:ind w:firstLine="480" w:firstLineChars="200"/>
        <w:rPr>
          <w:color w:val="auto"/>
          <w:sz w:val="24"/>
          <w:highlight w:val="none"/>
        </w:rPr>
      </w:pPr>
      <w:r>
        <w:rPr>
          <w:rFonts w:hint="eastAsia"/>
          <w:color w:val="auto"/>
          <w:sz w:val="24"/>
          <w:highlight w:val="none"/>
        </w:rPr>
        <w:t>201</w:t>
      </w:r>
      <w:r>
        <w:rPr>
          <w:rFonts w:hint="eastAsia"/>
          <w:color w:val="auto"/>
          <w:sz w:val="24"/>
          <w:highlight w:val="none"/>
          <w:lang w:val="en-US" w:eastAsia="zh-CN"/>
        </w:rPr>
        <w:t>9</w:t>
      </w:r>
      <w:r>
        <w:rPr>
          <w:rFonts w:hint="eastAsia"/>
          <w:color w:val="auto"/>
          <w:sz w:val="24"/>
          <w:highlight w:val="none"/>
        </w:rPr>
        <w:t>年</w:t>
      </w:r>
      <w:r>
        <w:rPr>
          <w:rFonts w:hint="eastAsia"/>
          <w:color w:val="auto"/>
          <w:sz w:val="24"/>
          <w:highlight w:val="none"/>
          <w:lang w:val="en-US" w:eastAsia="zh-CN"/>
        </w:rPr>
        <w:t>10</w:t>
      </w:r>
      <w:r>
        <w:rPr>
          <w:rFonts w:hint="eastAsia"/>
          <w:color w:val="auto"/>
          <w:sz w:val="24"/>
          <w:highlight w:val="none"/>
        </w:rPr>
        <w:t>月</w:t>
      </w:r>
      <w:r>
        <w:rPr>
          <w:rFonts w:hint="eastAsia"/>
          <w:color w:val="auto"/>
          <w:sz w:val="24"/>
          <w:highlight w:val="none"/>
          <w:lang w:val="en-US" w:eastAsia="zh-CN"/>
        </w:rPr>
        <w:t>8</w:t>
      </w:r>
      <w:r>
        <w:rPr>
          <w:rFonts w:hint="eastAsia"/>
          <w:color w:val="auto"/>
          <w:sz w:val="24"/>
          <w:highlight w:val="none"/>
        </w:rPr>
        <w:t>日监测一天</w:t>
      </w:r>
      <w:r>
        <w:rPr>
          <w:color w:val="auto"/>
          <w:sz w:val="24"/>
          <w:highlight w:val="none"/>
        </w:rPr>
        <w:t>，</w:t>
      </w:r>
      <w:r>
        <w:rPr>
          <w:rFonts w:hint="eastAsia"/>
          <w:color w:val="auto"/>
          <w:sz w:val="24"/>
          <w:highlight w:val="none"/>
        </w:rPr>
        <w:t>每天采样1 次。</w:t>
      </w:r>
    </w:p>
    <w:p>
      <w:pPr>
        <w:spacing w:line="360" w:lineRule="auto"/>
        <w:ind w:firstLine="480" w:firstLineChars="200"/>
        <w:rPr>
          <w:color w:val="auto"/>
          <w:sz w:val="24"/>
          <w:highlight w:val="none"/>
        </w:rPr>
      </w:pPr>
      <w:r>
        <w:rPr>
          <w:rFonts w:hint="eastAsia"/>
          <w:color w:val="auto"/>
          <w:sz w:val="24"/>
          <w:highlight w:val="none"/>
          <w:lang w:val="en-US" w:eastAsia="zh-CN"/>
        </w:rPr>
        <w:t>3、</w:t>
      </w:r>
      <w:r>
        <w:rPr>
          <w:color w:val="auto"/>
          <w:sz w:val="24"/>
          <w:highlight w:val="none"/>
        </w:rPr>
        <w:t>监测分析方法：</w:t>
      </w:r>
    </w:p>
    <w:p>
      <w:pPr>
        <w:spacing w:line="360" w:lineRule="auto"/>
        <w:ind w:firstLine="480" w:firstLineChars="200"/>
        <w:rPr>
          <w:rFonts w:hint="eastAsia" w:eastAsia="宋体"/>
          <w:color w:val="auto"/>
          <w:sz w:val="24"/>
          <w:highlight w:val="none"/>
          <w:lang w:eastAsia="zh-CN"/>
        </w:rPr>
      </w:pPr>
      <w:r>
        <w:rPr>
          <w:color w:val="auto"/>
          <w:sz w:val="24"/>
          <w:highlight w:val="none"/>
        </w:rPr>
        <w:t>测量方法按《环境监测分析方法》和《土壤元素的近代分析方法》进行</w:t>
      </w:r>
      <w:r>
        <w:rPr>
          <w:rFonts w:hint="eastAsia"/>
          <w:color w:val="auto"/>
          <w:sz w:val="24"/>
          <w:highlight w:val="none"/>
          <w:lang w:eastAsia="zh-CN"/>
        </w:rPr>
        <w:t>。</w:t>
      </w:r>
    </w:p>
    <w:p>
      <w:pPr>
        <w:spacing w:line="360" w:lineRule="auto"/>
        <w:ind w:firstLine="480" w:firstLineChars="200"/>
        <w:rPr>
          <w:color w:val="auto"/>
          <w:sz w:val="24"/>
          <w:highlight w:val="none"/>
        </w:rPr>
      </w:pPr>
      <w:r>
        <w:rPr>
          <w:rFonts w:hint="eastAsia"/>
          <w:color w:val="auto"/>
          <w:sz w:val="24"/>
          <w:highlight w:val="none"/>
          <w:lang w:val="en-US" w:eastAsia="zh-CN"/>
        </w:rPr>
        <w:t>4、</w:t>
      </w:r>
      <w:r>
        <w:rPr>
          <w:rFonts w:hint="eastAsia"/>
          <w:color w:val="auto"/>
          <w:sz w:val="24"/>
          <w:highlight w:val="none"/>
        </w:rPr>
        <w:t>监测结果</w:t>
      </w:r>
    </w:p>
    <w:p>
      <w:pPr>
        <w:spacing w:line="360" w:lineRule="auto"/>
        <w:ind w:firstLine="480" w:firstLineChars="200"/>
        <w:rPr>
          <w:rStyle w:val="41"/>
          <w:i w:val="0"/>
          <w:color w:val="auto"/>
          <w:sz w:val="24"/>
          <w:highlight w:val="none"/>
        </w:rPr>
      </w:pPr>
      <w:r>
        <w:rPr>
          <w:rStyle w:val="41"/>
          <w:rFonts w:hint="eastAsia"/>
          <w:i w:val="0"/>
          <w:color w:val="auto"/>
          <w:sz w:val="24"/>
          <w:highlight w:val="none"/>
        </w:rPr>
        <w:t>监测结果见表</w:t>
      </w:r>
      <w:r>
        <w:rPr>
          <w:rStyle w:val="41"/>
          <w:rFonts w:hint="eastAsia"/>
          <w:i w:val="0"/>
          <w:color w:val="auto"/>
          <w:sz w:val="24"/>
          <w:highlight w:val="none"/>
          <w:lang w:eastAsia="zh-CN"/>
        </w:rPr>
        <w:t>3.6</w:t>
      </w:r>
      <w:r>
        <w:rPr>
          <w:rStyle w:val="41"/>
          <w:rFonts w:hint="eastAsia"/>
          <w:i w:val="0"/>
          <w:color w:val="auto"/>
          <w:sz w:val="24"/>
          <w:highlight w:val="none"/>
        </w:rPr>
        <w:t>-</w:t>
      </w:r>
      <w:r>
        <w:rPr>
          <w:rStyle w:val="41"/>
          <w:rFonts w:hint="eastAsia"/>
          <w:i w:val="0"/>
          <w:color w:val="auto"/>
          <w:sz w:val="24"/>
          <w:highlight w:val="none"/>
          <w:lang w:val="en-US" w:eastAsia="zh-CN"/>
        </w:rPr>
        <w:t>16</w:t>
      </w:r>
      <w:r>
        <w:rPr>
          <w:rStyle w:val="41"/>
          <w:rFonts w:hint="eastAsia"/>
          <w:i w:val="0"/>
          <w:color w:val="auto"/>
          <w:sz w:val="24"/>
          <w:highlight w:val="none"/>
        </w:rPr>
        <w:t>。</w:t>
      </w:r>
    </w:p>
    <w:p>
      <w:pPr>
        <w:spacing w:line="360" w:lineRule="auto"/>
        <w:rPr>
          <w:rFonts w:hint="eastAsia"/>
          <w:color w:val="auto"/>
          <w:sz w:val="24"/>
          <w:highlight w:val="none"/>
          <w:lang w:val="zh-CN"/>
        </w:rPr>
        <w:sectPr>
          <w:footerReference r:id="rId9" w:type="even"/>
          <w:pgSz w:w="11907" w:h="16840"/>
          <w:pgMar w:top="1418" w:right="1418" w:bottom="1418" w:left="1474" w:header="964" w:footer="964" w:gutter="0"/>
          <w:pgBorders>
            <w:top w:val="none" w:sz="0" w:space="0"/>
            <w:left w:val="none" w:sz="0" w:space="0"/>
            <w:bottom w:val="none" w:sz="0" w:space="0"/>
            <w:right w:val="none" w:sz="0" w:space="0"/>
          </w:pgBorders>
          <w:pgNumType w:fmt="decimal"/>
          <w:cols w:space="720" w:num="1"/>
          <w:docGrid w:linePitch="312" w:charSpace="0"/>
        </w:sectPr>
      </w:pPr>
    </w:p>
    <w:p>
      <w:pPr>
        <w:jc w:val="center"/>
        <w:rPr>
          <w:rStyle w:val="41"/>
          <w:rFonts w:eastAsia="黑体"/>
          <w:i w:val="0"/>
          <w:color w:val="auto"/>
          <w:sz w:val="24"/>
          <w:szCs w:val="24"/>
          <w:highlight w:val="none"/>
        </w:rPr>
      </w:pPr>
      <w:r>
        <w:rPr>
          <w:rFonts w:eastAsia="黑体"/>
          <w:iCs/>
          <w:color w:val="auto"/>
          <w:sz w:val="24"/>
          <w:szCs w:val="24"/>
          <w:highlight w:val="none"/>
        </w:rPr>
        <w:t>表</w:t>
      </w:r>
      <w:r>
        <w:rPr>
          <w:rFonts w:hint="eastAsia" w:eastAsia="黑体"/>
          <w:iCs/>
          <w:color w:val="auto"/>
          <w:sz w:val="24"/>
          <w:szCs w:val="24"/>
          <w:highlight w:val="none"/>
          <w:lang w:eastAsia="zh-CN"/>
        </w:rPr>
        <w:t>3.6</w:t>
      </w:r>
      <w:r>
        <w:rPr>
          <w:rFonts w:eastAsia="黑体"/>
          <w:iCs/>
          <w:color w:val="auto"/>
          <w:sz w:val="24"/>
          <w:szCs w:val="24"/>
          <w:highlight w:val="none"/>
        </w:rPr>
        <w:t>-</w:t>
      </w:r>
      <w:r>
        <w:rPr>
          <w:rFonts w:hint="eastAsia" w:eastAsia="黑体"/>
          <w:iCs/>
          <w:color w:val="auto"/>
          <w:sz w:val="24"/>
          <w:szCs w:val="24"/>
          <w:highlight w:val="none"/>
          <w:lang w:val="en-US" w:eastAsia="zh-CN"/>
        </w:rPr>
        <w:t>16</w:t>
      </w:r>
      <w:r>
        <w:rPr>
          <w:rFonts w:eastAsia="黑体"/>
          <w:iCs/>
          <w:color w:val="auto"/>
          <w:sz w:val="24"/>
          <w:szCs w:val="24"/>
          <w:highlight w:val="none"/>
        </w:rPr>
        <w:t xml:space="preserve"> </w:t>
      </w:r>
      <w:r>
        <w:rPr>
          <w:rFonts w:hint="eastAsia" w:eastAsia="黑体"/>
          <w:iCs/>
          <w:color w:val="auto"/>
          <w:sz w:val="24"/>
          <w:szCs w:val="24"/>
          <w:highlight w:val="none"/>
          <w:lang w:val="en-US" w:eastAsia="zh-CN"/>
        </w:rPr>
        <w:t xml:space="preserve"> </w:t>
      </w:r>
      <w:r>
        <w:rPr>
          <w:rFonts w:eastAsia="黑体"/>
          <w:iCs/>
          <w:color w:val="auto"/>
          <w:sz w:val="24"/>
          <w:szCs w:val="24"/>
          <w:highlight w:val="none"/>
        </w:rPr>
        <w:t>土壤监测方法及结果  单位</w:t>
      </w:r>
      <w:r>
        <w:rPr>
          <w:rStyle w:val="41"/>
          <w:rFonts w:eastAsia="黑体"/>
          <w:i w:val="0"/>
          <w:color w:val="auto"/>
          <w:sz w:val="24"/>
          <w:szCs w:val="24"/>
          <w:highlight w:val="none"/>
        </w:rPr>
        <w:t>：</w:t>
      </w:r>
      <w:r>
        <w:rPr>
          <w:rFonts w:eastAsia="黑体"/>
          <w:color w:val="auto"/>
          <w:sz w:val="24"/>
          <w:szCs w:val="24"/>
          <w:highlight w:val="none"/>
        </w:rPr>
        <w:t>pH值(无量纲)，其他mg/kg</w:t>
      </w:r>
    </w:p>
    <w:tbl>
      <w:tblPr>
        <w:tblStyle w:val="36"/>
        <w:tblW w:w="14182" w:type="dxa"/>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2011"/>
        <w:gridCol w:w="724"/>
        <w:gridCol w:w="565"/>
        <w:gridCol w:w="906"/>
        <w:gridCol w:w="907"/>
        <w:gridCol w:w="907"/>
        <w:gridCol w:w="907"/>
        <w:gridCol w:w="906"/>
        <w:gridCol w:w="907"/>
        <w:gridCol w:w="907"/>
        <w:gridCol w:w="907"/>
        <w:gridCol w:w="907"/>
        <w:gridCol w:w="907"/>
        <w:gridCol w:w="907"/>
        <w:gridCol w:w="907"/>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4" w:hRule="atLeast"/>
          <w:jc w:val="center"/>
        </w:trPr>
        <w:tc>
          <w:tcPr>
            <w:tcW w:w="2011" w:type="dxa"/>
            <w:shd w:val="clear" w:color="auto" w:fill="auto"/>
            <w:noWrap/>
            <w:vAlign w:val="center"/>
          </w:tcPr>
          <w:p>
            <w:pPr>
              <w:widowControl/>
              <w:jc w:val="center"/>
              <w:rPr>
                <w:b/>
                <w:color w:val="auto"/>
                <w:kern w:val="0"/>
                <w:sz w:val="18"/>
                <w:szCs w:val="15"/>
                <w:highlight w:val="none"/>
              </w:rPr>
            </w:pPr>
            <w:r>
              <w:rPr>
                <w:b/>
                <w:color w:val="auto"/>
                <w:kern w:val="0"/>
                <w:sz w:val="18"/>
                <w:szCs w:val="15"/>
                <w:highlight w:val="none"/>
              </w:rPr>
              <w:t>名称</w:t>
            </w:r>
          </w:p>
        </w:tc>
        <w:tc>
          <w:tcPr>
            <w:tcW w:w="724" w:type="dxa"/>
            <w:shd w:val="clear" w:color="auto" w:fill="auto"/>
            <w:noWrap w:val="0"/>
            <w:vAlign w:val="center"/>
          </w:tcPr>
          <w:p>
            <w:pPr>
              <w:widowControl/>
              <w:jc w:val="center"/>
              <w:rPr>
                <w:b/>
                <w:color w:val="auto"/>
                <w:kern w:val="0"/>
                <w:sz w:val="15"/>
                <w:szCs w:val="15"/>
                <w:highlight w:val="none"/>
              </w:rPr>
            </w:pPr>
            <w:r>
              <w:rPr>
                <w:rFonts w:hint="eastAsia"/>
                <w:b/>
                <w:color w:val="auto"/>
                <w:kern w:val="0"/>
                <w:sz w:val="15"/>
                <w:szCs w:val="15"/>
                <w:highlight w:val="none"/>
              </w:rPr>
              <w:t>标准值</w:t>
            </w:r>
          </w:p>
        </w:tc>
        <w:tc>
          <w:tcPr>
            <w:tcW w:w="565" w:type="dxa"/>
            <w:shd w:val="clear" w:color="auto" w:fill="auto"/>
            <w:noWrap w:val="0"/>
            <w:vAlign w:val="center"/>
          </w:tcPr>
          <w:p>
            <w:pPr>
              <w:widowControl/>
              <w:jc w:val="center"/>
              <w:rPr>
                <w:rFonts w:eastAsia="Times New Roman"/>
                <w:b/>
                <w:color w:val="auto"/>
                <w:kern w:val="0"/>
                <w:sz w:val="15"/>
                <w:szCs w:val="15"/>
                <w:highlight w:val="none"/>
              </w:rPr>
            </w:pPr>
            <w:r>
              <w:rPr>
                <w:b/>
                <w:color w:val="auto"/>
                <w:kern w:val="0"/>
                <w:sz w:val="15"/>
                <w:szCs w:val="15"/>
                <w:highlight w:val="none"/>
              </w:rPr>
              <w:t>检出限</w:t>
            </w:r>
          </w:p>
        </w:tc>
        <w:tc>
          <w:tcPr>
            <w:tcW w:w="906" w:type="dxa"/>
            <w:shd w:val="clear" w:color="auto" w:fill="auto"/>
            <w:noWrap/>
            <w:vAlign w:val="center"/>
          </w:tcPr>
          <w:p>
            <w:pPr>
              <w:widowControl/>
              <w:jc w:val="center"/>
              <w:rPr>
                <w:rFonts w:hint="eastAsia" w:eastAsia="宋体"/>
                <w:b/>
                <w:color w:val="auto"/>
                <w:kern w:val="0"/>
                <w:sz w:val="15"/>
                <w:szCs w:val="15"/>
                <w:highlight w:val="none"/>
                <w:lang w:val="en-US" w:eastAsia="zh-CN"/>
              </w:rPr>
            </w:pPr>
            <w:r>
              <w:rPr>
                <w:rFonts w:hint="eastAsia"/>
                <w:b/>
                <w:color w:val="auto"/>
                <w:kern w:val="0"/>
                <w:sz w:val="15"/>
                <w:szCs w:val="15"/>
                <w:highlight w:val="none"/>
                <w:lang w:val="en-US" w:eastAsia="zh-CN"/>
              </w:rPr>
              <w:t>1#项目厂区表层D1</w:t>
            </w:r>
          </w:p>
        </w:tc>
        <w:tc>
          <w:tcPr>
            <w:tcW w:w="907" w:type="dxa"/>
            <w:shd w:val="clear" w:color="auto" w:fill="auto"/>
            <w:noWrap/>
            <w:vAlign w:val="center"/>
          </w:tcPr>
          <w:p>
            <w:pPr>
              <w:widowControl/>
              <w:jc w:val="center"/>
              <w:rPr>
                <w:b/>
                <w:color w:val="auto"/>
                <w:kern w:val="0"/>
                <w:sz w:val="15"/>
                <w:szCs w:val="15"/>
                <w:highlight w:val="none"/>
              </w:rPr>
            </w:pPr>
            <w:r>
              <w:rPr>
                <w:rFonts w:hint="eastAsia"/>
                <w:b/>
                <w:color w:val="auto"/>
                <w:kern w:val="0"/>
                <w:sz w:val="15"/>
                <w:szCs w:val="15"/>
                <w:highlight w:val="none"/>
                <w:lang w:val="en-US" w:eastAsia="zh-CN"/>
              </w:rPr>
              <w:t>1#厂区表层D2</w:t>
            </w:r>
          </w:p>
        </w:tc>
        <w:tc>
          <w:tcPr>
            <w:tcW w:w="907" w:type="dxa"/>
            <w:shd w:val="clear" w:color="auto" w:fill="auto"/>
            <w:noWrap/>
            <w:vAlign w:val="center"/>
          </w:tcPr>
          <w:p>
            <w:pPr>
              <w:widowControl/>
              <w:jc w:val="center"/>
              <w:rPr>
                <w:b/>
                <w:color w:val="auto"/>
                <w:kern w:val="0"/>
                <w:sz w:val="15"/>
                <w:szCs w:val="15"/>
                <w:highlight w:val="none"/>
              </w:rPr>
            </w:pPr>
            <w:r>
              <w:rPr>
                <w:rFonts w:hint="eastAsia"/>
                <w:b/>
                <w:color w:val="auto"/>
                <w:kern w:val="0"/>
                <w:sz w:val="15"/>
                <w:szCs w:val="15"/>
                <w:highlight w:val="none"/>
                <w:lang w:val="en-US" w:eastAsia="zh-CN"/>
              </w:rPr>
              <w:t>1#厂区表层D3</w:t>
            </w:r>
          </w:p>
        </w:tc>
        <w:tc>
          <w:tcPr>
            <w:tcW w:w="907" w:type="dxa"/>
            <w:shd w:val="clear" w:color="auto" w:fill="auto"/>
            <w:noWrap/>
            <w:vAlign w:val="center"/>
          </w:tcPr>
          <w:p>
            <w:pPr>
              <w:widowControl/>
              <w:jc w:val="center"/>
              <w:rPr>
                <w:b/>
                <w:color w:val="auto"/>
                <w:kern w:val="0"/>
                <w:sz w:val="15"/>
                <w:szCs w:val="15"/>
                <w:highlight w:val="none"/>
              </w:rPr>
            </w:pPr>
            <w:r>
              <w:rPr>
                <w:rFonts w:hint="eastAsia"/>
                <w:b/>
                <w:color w:val="auto"/>
                <w:kern w:val="0"/>
                <w:sz w:val="15"/>
                <w:szCs w:val="15"/>
                <w:highlight w:val="none"/>
                <w:lang w:val="en-US" w:eastAsia="zh-CN"/>
              </w:rPr>
              <w:t>2#项目厂区柱状点 D40.3m</w:t>
            </w:r>
          </w:p>
        </w:tc>
        <w:tc>
          <w:tcPr>
            <w:tcW w:w="906" w:type="dxa"/>
            <w:shd w:val="clear" w:color="auto" w:fill="auto"/>
            <w:noWrap/>
            <w:vAlign w:val="center"/>
          </w:tcPr>
          <w:p>
            <w:pPr>
              <w:widowControl/>
              <w:jc w:val="center"/>
              <w:rPr>
                <w:b/>
                <w:color w:val="auto"/>
                <w:kern w:val="0"/>
                <w:sz w:val="15"/>
                <w:szCs w:val="15"/>
                <w:highlight w:val="none"/>
              </w:rPr>
            </w:pPr>
            <w:r>
              <w:rPr>
                <w:rFonts w:hint="eastAsia"/>
                <w:b/>
                <w:color w:val="auto"/>
                <w:kern w:val="0"/>
                <w:sz w:val="15"/>
                <w:szCs w:val="15"/>
                <w:highlight w:val="none"/>
                <w:lang w:val="en-US" w:eastAsia="zh-CN"/>
              </w:rPr>
              <w:t>2#项目厂区柱状点 D41.0m</w:t>
            </w:r>
          </w:p>
        </w:tc>
        <w:tc>
          <w:tcPr>
            <w:tcW w:w="907" w:type="dxa"/>
            <w:shd w:val="clear" w:color="auto" w:fill="auto"/>
            <w:noWrap/>
            <w:vAlign w:val="center"/>
          </w:tcPr>
          <w:p>
            <w:pPr>
              <w:widowControl/>
              <w:jc w:val="center"/>
              <w:rPr>
                <w:b/>
                <w:color w:val="auto"/>
                <w:kern w:val="0"/>
                <w:sz w:val="15"/>
                <w:szCs w:val="15"/>
                <w:highlight w:val="none"/>
              </w:rPr>
            </w:pPr>
            <w:r>
              <w:rPr>
                <w:rFonts w:hint="eastAsia"/>
                <w:b/>
                <w:color w:val="auto"/>
                <w:kern w:val="0"/>
                <w:sz w:val="15"/>
                <w:szCs w:val="15"/>
                <w:highlight w:val="none"/>
                <w:lang w:val="en-US" w:eastAsia="zh-CN"/>
              </w:rPr>
              <w:t>2#项目厂区柱状点 D42.0m</w:t>
            </w:r>
          </w:p>
        </w:tc>
        <w:tc>
          <w:tcPr>
            <w:tcW w:w="907" w:type="dxa"/>
            <w:shd w:val="clear" w:color="auto" w:fill="auto"/>
            <w:noWrap/>
            <w:vAlign w:val="center"/>
          </w:tcPr>
          <w:p>
            <w:pPr>
              <w:widowControl/>
              <w:jc w:val="center"/>
              <w:rPr>
                <w:rFonts w:hint="eastAsia"/>
                <w:b/>
                <w:color w:val="auto"/>
                <w:kern w:val="0"/>
                <w:sz w:val="15"/>
                <w:szCs w:val="15"/>
                <w:highlight w:val="none"/>
                <w:lang w:val="en-US" w:eastAsia="zh-CN"/>
              </w:rPr>
            </w:pPr>
            <w:r>
              <w:rPr>
                <w:rFonts w:hint="eastAsia"/>
                <w:b/>
                <w:color w:val="auto"/>
                <w:kern w:val="0"/>
                <w:sz w:val="15"/>
                <w:szCs w:val="15"/>
                <w:highlight w:val="none"/>
                <w:lang w:val="en-US" w:eastAsia="zh-CN"/>
              </w:rPr>
              <w:t>2#项目厂区柱状点 D50.3m</w:t>
            </w:r>
          </w:p>
        </w:tc>
        <w:tc>
          <w:tcPr>
            <w:tcW w:w="907" w:type="dxa"/>
            <w:shd w:val="clear" w:color="auto" w:fill="auto"/>
            <w:noWrap/>
            <w:vAlign w:val="center"/>
          </w:tcPr>
          <w:p>
            <w:pPr>
              <w:widowControl/>
              <w:jc w:val="center"/>
              <w:rPr>
                <w:rFonts w:hint="eastAsia"/>
                <w:b/>
                <w:color w:val="auto"/>
                <w:kern w:val="0"/>
                <w:sz w:val="15"/>
                <w:szCs w:val="15"/>
                <w:highlight w:val="none"/>
                <w:lang w:val="en-US" w:eastAsia="zh-CN"/>
              </w:rPr>
            </w:pPr>
            <w:r>
              <w:rPr>
                <w:rFonts w:hint="eastAsia"/>
                <w:b/>
                <w:color w:val="auto"/>
                <w:kern w:val="0"/>
                <w:sz w:val="15"/>
                <w:szCs w:val="15"/>
                <w:highlight w:val="none"/>
                <w:lang w:val="en-US" w:eastAsia="zh-CN"/>
              </w:rPr>
              <w:t>2#项目厂区柱状点 D51.0m</w:t>
            </w:r>
          </w:p>
        </w:tc>
        <w:tc>
          <w:tcPr>
            <w:tcW w:w="907" w:type="dxa"/>
            <w:shd w:val="clear" w:color="auto" w:fill="auto"/>
            <w:noWrap/>
            <w:vAlign w:val="center"/>
          </w:tcPr>
          <w:p>
            <w:pPr>
              <w:widowControl/>
              <w:jc w:val="center"/>
              <w:rPr>
                <w:rFonts w:hint="eastAsia"/>
                <w:b/>
                <w:color w:val="auto"/>
                <w:kern w:val="0"/>
                <w:sz w:val="15"/>
                <w:szCs w:val="15"/>
                <w:highlight w:val="none"/>
                <w:lang w:val="en-US" w:eastAsia="zh-CN"/>
              </w:rPr>
            </w:pPr>
            <w:r>
              <w:rPr>
                <w:rFonts w:hint="eastAsia"/>
                <w:b/>
                <w:color w:val="auto"/>
                <w:kern w:val="0"/>
                <w:sz w:val="15"/>
                <w:szCs w:val="15"/>
                <w:highlight w:val="none"/>
                <w:lang w:val="en-US" w:eastAsia="zh-CN"/>
              </w:rPr>
              <w:t>2#项目厂区柱状点 D52.0m</w:t>
            </w:r>
          </w:p>
        </w:tc>
        <w:tc>
          <w:tcPr>
            <w:tcW w:w="907" w:type="dxa"/>
            <w:shd w:val="clear" w:color="auto" w:fill="auto"/>
            <w:noWrap/>
            <w:vAlign w:val="center"/>
          </w:tcPr>
          <w:p>
            <w:pPr>
              <w:widowControl/>
              <w:jc w:val="center"/>
              <w:rPr>
                <w:rFonts w:hint="eastAsia"/>
                <w:b/>
                <w:color w:val="auto"/>
                <w:kern w:val="0"/>
                <w:sz w:val="15"/>
                <w:szCs w:val="15"/>
                <w:highlight w:val="none"/>
                <w:lang w:val="en-US" w:eastAsia="zh-CN"/>
              </w:rPr>
            </w:pPr>
            <w:r>
              <w:rPr>
                <w:rFonts w:hint="eastAsia"/>
                <w:b/>
                <w:color w:val="auto"/>
                <w:kern w:val="0"/>
                <w:sz w:val="15"/>
                <w:szCs w:val="15"/>
                <w:highlight w:val="none"/>
                <w:lang w:val="en-US" w:eastAsia="zh-CN"/>
              </w:rPr>
              <w:t>2#项目厂区柱状点 D60.3m</w:t>
            </w:r>
          </w:p>
        </w:tc>
        <w:tc>
          <w:tcPr>
            <w:tcW w:w="907" w:type="dxa"/>
            <w:shd w:val="clear" w:color="auto" w:fill="auto"/>
            <w:noWrap/>
            <w:vAlign w:val="center"/>
          </w:tcPr>
          <w:p>
            <w:pPr>
              <w:widowControl/>
              <w:jc w:val="center"/>
              <w:rPr>
                <w:rFonts w:hint="eastAsia"/>
                <w:b/>
                <w:color w:val="auto"/>
                <w:kern w:val="0"/>
                <w:sz w:val="15"/>
                <w:szCs w:val="15"/>
                <w:highlight w:val="none"/>
                <w:lang w:val="en-US" w:eastAsia="zh-CN"/>
              </w:rPr>
            </w:pPr>
            <w:r>
              <w:rPr>
                <w:rFonts w:hint="eastAsia"/>
                <w:b/>
                <w:color w:val="auto"/>
                <w:kern w:val="0"/>
                <w:sz w:val="15"/>
                <w:szCs w:val="15"/>
                <w:highlight w:val="none"/>
                <w:lang w:val="en-US" w:eastAsia="zh-CN"/>
              </w:rPr>
              <w:t>2#项目厂区柱状点 D61.0m</w:t>
            </w:r>
          </w:p>
        </w:tc>
        <w:tc>
          <w:tcPr>
            <w:tcW w:w="907" w:type="dxa"/>
            <w:shd w:val="clear" w:color="auto" w:fill="auto"/>
            <w:noWrap/>
            <w:vAlign w:val="center"/>
          </w:tcPr>
          <w:p>
            <w:pPr>
              <w:widowControl/>
              <w:jc w:val="center"/>
              <w:rPr>
                <w:rFonts w:hint="eastAsia"/>
                <w:b/>
                <w:color w:val="auto"/>
                <w:kern w:val="0"/>
                <w:sz w:val="15"/>
                <w:szCs w:val="15"/>
                <w:highlight w:val="none"/>
                <w:lang w:val="en-US" w:eastAsia="zh-CN"/>
              </w:rPr>
            </w:pPr>
            <w:r>
              <w:rPr>
                <w:rFonts w:hint="eastAsia"/>
                <w:b/>
                <w:color w:val="auto"/>
                <w:kern w:val="0"/>
                <w:sz w:val="15"/>
                <w:szCs w:val="15"/>
                <w:highlight w:val="none"/>
                <w:lang w:val="en-US" w:eastAsia="zh-CN"/>
              </w:rPr>
              <w:t>2#项目厂区柱状点 D62.0m</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4" w:hRule="atLeast"/>
          <w:jc w:val="center"/>
        </w:trPr>
        <w:tc>
          <w:tcPr>
            <w:tcW w:w="2011" w:type="dxa"/>
            <w:shd w:val="clear" w:color="auto" w:fill="auto"/>
            <w:noWrap/>
            <w:vAlign w:val="center"/>
          </w:tcPr>
          <w:p>
            <w:pPr>
              <w:widowControl/>
              <w:jc w:val="center"/>
              <w:rPr>
                <w:color w:val="auto"/>
                <w:kern w:val="0"/>
                <w:sz w:val="18"/>
                <w:szCs w:val="15"/>
                <w:highlight w:val="none"/>
              </w:rPr>
            </w:pPr>
            <w:r>
              <w:rPr>
                <w:color w:val="auto"/>
                <w:kern w:val="0"/>
                <w:sz w:val="18"/>
                <w:szCs w:val="15"/>
                <w:highlight w:val="none"/>
              </w:rPr>
              <w:t>砷</w:t>
            </w:r>
          </w:p>
        </w:tc>
        <w:tc>
          <w:tcPr>
            <w:tcW w:w="724" w:type="dxa"/>
            <w:shd w:val="clear" w:color="auto" w:fill="auto"/>
            <w:noWrap w:val="0"/>
            <w:vAlign w:val="center"/>
          </w:tcPr>
          <w:p>
            <w:pPr>
              <w:widowControl/>
              <w:jc w:val="center"/>
              <w:rPr>
                <w:color w:val="auto"/>
                <w:kern w:val="0"/>
                <w:sz w:val="18"/>
                <w:szCs w:val="18"/>
                <w:highlight w:val="none"/>
              </w:rPr>
            </w:pPr>
            <w:r>
              <w:rPr>
                <w:rFonts w:hint="eastAsia"/>
                <w:color w:val="auto"/>
                <w:kern w:val="0"/>
                <w:sz w:val="18"/>
                <w:szCs w:val="18"/>
                <w:highlight w:val="none"/>
              </w:rPr>
              <w:t>6</w:t>
            </w:r>
            <w:r>
              <w:rPr>
                <w:color w:val="auto"/>
                <w:kern w:val="0"/>
                <w:sz w:val="18"/>
                <w:szCs w:val="18"/>
                <w:highlight w:val="none"/>
              </w:rPr>
              <w:t>0</w:t>
            </w:r>
          </w:p>
        </w:tc>
        <w:tc>
          <w:tcPr>
            <w:tcW w:w="565" w:type="dxa"/>
            <w:shd w:val="clear" w:color="auto" w:fill="auto"/>
            <w:noWrap w:val="0"/>
            <w:vAlign w:val="center"/>
          </w:tcPr>
          <w:p>
            <w:pPr>
              <w:widowControl/>
              <w:jc w:val="center"/>
              <w:rPr>
                <w:color w:val="auto"/>
                <w:kern w:val="0"/>
                <w:sz w:val="18"/>
                <w:szCs w:val="18"/>
                <w:highlight w:val="none"/>
              </w:rPr>
            </w:pPr>
            <w:r>
              <w:rPr>
                <w:color w:val="auto"/>
                <w:kern w:val="0"/>
                <w:sz w:val="18"/>
                <w:szCs w:val="18"/>
                <w:highlight w:val="none"/>
              </w:rPr>
              <w:t>1</w:t>
            </w:r>
          </w:p>
        </w:tc>
        <w:tc>
          <w:tcPr>
            <w:tcW w:w="906" w:type="dxa"/>
            <w:shd w:val="clear" w:color="auto" w:fill="auto"/>
            <w:noWrap/>
            <w:vAlign w:val="center"/>
          </w:tcPr>
          <w:p>
            <w:pPr>
              <w:jc w:val="center"/>
              <w:rPr>
                <w:rFonts w:hint="eastAsia" w:ascii="宋体" w:hAnsi="宋体" w:eastAsia="宋体" w:cs="宋体"/>
                <w:color w:val="auto"/>
                <w:sz w:val="18"/>
                <w:szCs w:val="18"/>
                <w:highlight w:val="none"/>
                <w:lang w:val="en-US" w:eastAsia="zh-CN"/>
              </w:rPr>
            </w:pPr>
            <w:r>
              <w:rPr>
                <w:rFonts w:hint="eastAsia"/>
                <w:color w:val="auto"/>
                <w:sz w:val="18"/>
                <w:szCs w:val="18"/>
                <w:highlight w:val="none"/>
                <w:lang w:val="en-US" w:eastAsia="zh-CN"/>
              </w:rPr>
              <w:t>4.12</w:t>
            </w:r>
          </w:p>
        </w:tc>
        <w:tc>
          <w:tcPr>
            <w:tcW w:w="907" w:type="dxa"/>
            <w:shd w:val="clear" w:color="auto" w:fill="auto"/>
            <w:noWrap/>
            <w:vAlign w:val="center"/>
          </w:tcPr>
          <w:p>
            <w:pPr>
              <w:jc w:val="center"/>
              <w:rPr>
                <w:rFonts w:hint="eastAsia" w:ascii="宋体" w:hAnsi="宋体" w:eastAsia="宋体" w:cs="宋体"/>
                <w:color w:val="auto"/>
                <w:sz w:val="18"/>
                <w:szCs w:val="18"/>
                <w:highlight w:val="none"/>
                <w:lang w:val="en-US" w:eastAsia="zh-CN"/>
              </w:rPr>
            </w:pPr>
            <w:r>
              <w:rPr>
                <w:rFonts w:hint="eastAsia"/>
                <w:color w:val="auto"/>
                <w:sz w:val="18"/>
                <w:szCs w:val="18"/>
                <w:highlight w:val="none"/>
                <w:lang w:val="en-US" w:eastAsia="zh-CN"/>
              </w:rPr>
              <w:t>4.10</w:t>
            </w:r>
          </w:p>
        </w:tc>
        <w:tc>
          <w:tcPr>
            <w:tcW w:w="907" w:type="dxa"/>
            <w:shd w:val="clear" w:color="auto" w:fill="auto"/>
            <w:noWrap/>
            <w:vAlign w:val="center"/>
          </w:tcPr>
          <w:p>
            <w:pPr>
              <w:jc w:val="center"/>
              <w:rPr>
                <w:rFonts w:hint="eastAsia" w:ascii="宋体" w:hAnsi="宋体" w:eastAsia="宋体" w:cs="宋体"/>
                <w:color w:val="auto"/>
                <w:sz w:val="18"/>
                <w:szCs w:val="18"/>
                <w:highlight w:val="none"/>
                <w:lang w:val="en-US" w:eastAsia="zh-CN"/>
              </w:rPr>
            </w:pPr>
            <w:r>
              <w:rPr>
                <w:rFonts w:hint="eastAsia"/>
                <w:color w:val="auto"/>
                <w:sz w:val="18"/>
                <w:szCs w:val="18"/>
                <w:highlight w:val="none"/>
                <w:lang w:val="en-US" w:eastAsia="zh-CN"/>
              </w:rPr>
              <w:t>3.81</w:t>
            </w:r>
          </w:p>
        </w:tc>
        <w:tc>
          <w:tcPr>
            <w:tcW w:w="907" w:type="dxa"/>
            <w:shd w:val="clear" w:color="auto" w:fill="auto"/>
            <w:noWrap/>
            <w:vAlign w:val="center"/>
          </w:tcPr>
          <w:p>
            <w:pPr>
              <w:jc w:val="center"/>
              <w:rPr>
                <w:rFonts w:hint="eastAsia"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rPr>
              <w:t>3.35</w:t>
            </w:r>
          </w:p>
        </w:tc>
        <w:tc>
          <w:tcPr>
            <w:tcW w:w="906"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lang w:val="en-US" w:eastAsia="zh-CN"/>
              </w:rPr>
              <w:t>3.08</w:t>
            </w:r>
          </w:p>
        </w:tc>
        <w:tc>
          <w:tcPr>
            <w:tcW w:w="907" w:type="dxa"/>
            <w:shd w:val="clear" w:color="auto" w:fill="auto"/>
            <w:noWrap/>
            <w:vAlign w:val="center"/>
          </w:tcPr>
          <w:p>
            <w:pPr>
              <w:jc w:val="center"/>
              <w:rPr>
                <w:rFonts w:hint="eastAsia" w:ascii="宋体" w:hAnsi="宋体" w:eastAsia="宋体" w:cs="宋体"/>
                <w:color w:val="auto"/>
                <w:sz w:val="18"/>
                <w:szCs w:val="18"/>
                <w:highlight w:val="none"/>
                <w:lang w:val="en-US" w:eastAsia="zh-CN"/>
              </w:rPr>
            </w:pPr>
            <w:r>
              <w:rPr>
                <w:rFonts w:hint="eastAsia"/>
                <w:color w:val="auto"/>
                <w:sz w:val="18"/>
                <w:szCs w:val="18"/>
                <w:highlight w:val="none"/>
                <w:lang w:val="en-US" w:eastAsia="zh-CN"/>
              </w:rPr>
              <w:t>3.20</w:t>
            </w:r>
          </w:p>
        </w:tc>
        <w:tc>
          <w:tcPr>
            <w:tcW w:w="907" w:type="dxa"/>
            <w:shd w:val="clear" w:color="auto" w:fill="auto"/>
            <w:noWrap/>
            <w:vAlign w:val="center"/>
          </w:tcPr>
          <w:p>
            <w:pPr>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4.91</w:t>
            </w:r>
          </w:p>
        </w:tc>
        <w:tc>
          <w:tcPr>
            <w:tcW w:w="907" w:type="dxa"/>
            <w:shd w:val="clear" w:color="auto" w:fill="auto"/>
            <w:noWrap/>
            <w:vAlign w:val="center"/>
          </w:tcPr>
          <w:p>
            <w:pPr>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4.33</w:t>
            </w:r>
          </w:p>
        </w:tc>
        <w:tc>
          <w:tcPr>
            <w:tcW w:w="907" w:type="dxa"/>
            <w:shd w:val="clear" w:color="auto" w:fill="auto"/>
            <w:noWrap/>
            <w:vAlign w:val="center"/>
          </w:tcPr>
          <w:p>
            <w:pPr>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4.12</w:t>
            </w:r>
          </w:p>
        </w:tc>
        <w:tc>
          <w:tcPr>
            <w:tcW w:w="907" w:type="dxa"/>
            <w:shd w:val="clear" w:color="auto" w:fill="auto"/>
            <w:noWrap/>
            <w:vAlign w:val="center"/>
          </w:tcPr>
          <w:p>
            <w:pPr>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5.88</w:t>
            </w:r>
          </w:p>
        </w:tc>
        <w:tc>
          <w:tcPr>
            <w:tcW w:w="907" w:type="dxa"/>
            <w:shd w:val="clear" w:color="auto" w:fill="auto"/>
            <w:noWrap/>
            <w:vAlign w:val="center"/>
          </w:tcPr>
          <w:p>
            <w:pPr>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4.57</w:t>
            </w:r>
          </w:p>
        </w:tc>
        <w:tc>
          <w:tcPr>
            <w:tcW w:w="907" w:type="dxa"/>
            <w:shd w:val="clear" w:color="auto" w:fill="auto"/>
            <w:noWrap/>
            <w:vAlign w:val="center"/>
          </w:tcPr>
          <w:p>
            <w:pPr>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4.03</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4" w:hRule="atLeast"/>
          <w:jc w:val="center"/>
        </w:trPr>
        <w:tc>
          <w:tcPr>
            <w:tcW w:w="2011" w:type="dxa"/>
            <w:shd w:val="clear" w:color="auto" w:fill="auto"/>
            <w:noWrap/>
            <w:vAlign w:val="center"/>
          </w:tcPr>
          <w:p>
            <w:pPr>
              <w:widowControl/>
              <w:jc w:val="center"/>
              <w:rPr>
                <w:color w:val="auto"/>
                <w:kern w:val="0"/>
                <w:sz w:val="18"/>
                <w:szCs w:val="15"/>
                <w:highlight w:val="none"/>
              </w:rPr>
            </w:pPr>
            <w:r>
              <w:rPr>
                <w:color w:val="auto"/>
                <w:kern w:val="0"/>
                <w:sz w:val="18"/>
                <w:szCs w:val="15"/>
                <w:highlight w:val="none"/>
              </w:rPr>
              <w:t>2－氯酚</w:t>
            </w:r>
          </w:p>
        </w:tc>
        <w:tc>
          <w:tcPr>
            <w:tcW w:w="724" w:type="dxa"/>
            <w:shd w:val="clear" w:color="auto" w:fill="auto"/>
            <w:noWrap w:val="0"/>
            <w:vAlign w:val="center"/>
          </w:tcPr>
          <w:p>
            <w:pPr>
              <w:widowControl/>
              <w:jc w:val="center"/>
              <w:rPr>
                <w:color w:val="auto"/>
                <w:kern w:val="0"/>
                <w:sz w:val="18"/>
                <w:szCs w:val="18"/>
                <w:highlight w:val="none"/>
              </w:rPr>
            </w:pPr>
            <w:r>
              <w:rPr>
                <w:rFonts w:hint="eastAsia"/>
                <w:color w:val="auto"/>
                <w:kern w:val="0"/>
                <w:sz w:val="18"/>
                <w:szCs w:val="18"/>
                <w:highlight w:val="none"/>
              </w:rPr>
              <w:t>2</w:t>
            </w:r>
            <w:r>
              <w:rPr>
                <w:color w:val="auto"/>
                <w:kern w:val="0"/>
                <w:sz w:val="18"/>
                <w:szCs w:val="18"/>
                <w:highlight w:val="none"/>
              </w:rPr>
              <w:t>256</w:t>
            </w:r>
          </w:p>
        </w:tc>
        <w:tc>
          <w:tcPr>
            <w:tcW w:w="565" w:type="dxa"/>
            <w:shd w:val="clear" w:color="auto" w:fill="auto"/>
            <w:noWrap w:val="0"/>
            <w:vAlign w:val="center"/>
          </w:tcPr>
          <w:p>
            <w:pPr>
              <w:widowControl/>
              <w:jc w:val="center"/>
              <w:rPr>
                <w:color w:val="auto"/>
                <w:kern w:val="0"/>
                <w:sz w:val="18"/>
                <w:szCs w:val="18"/>
                <w:highlight w:val="none"/>
              </w:rPr>
            </w:pPr>
            <w:r>
              <w:rPr>
                <w:color w:val="auto"/>
                <w:kern w:val="0"/>
                <w:sz w:val="18"/>
                <w:szCs w:val="18"/>
                <w:highlight w:val="none"/>
              </w:rPr>
              <w:t>0.2</w:t>
            </w:r>
          </w:p>
        </w:tc>
        <w:tc>
          <w:tcPr>
            <w:tcW w:w="906"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6"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4" w:hRule="atLeast"/>
          <w:jc w:val="center"/>
        </w:trPr>
        <w:tc>
          <w:tcPr>
            <w:tcW w:w="2011" w:type="dxa"/>
            <w:shd w:val="clear" w:color="auto" w:fill="auto"/>
            <w:noWrap/>
            <w:vAlign w:val="center"/>
          </w:tcPr>
          <w:p>
            <w:pPr>
              <w:widowControl/>
              <w:jc w:val="center"/>
              <w:rPr>
                <w:color w:val="auto"/>
                <w:kern w:val="0"/>
                <w:sz w:val="18"/>
                <w:szCs w:val="15"/>
                <w:highlight w:val="none"/>
              </w:rPr>
            </w:pPr>
            <w:r>
              <w:rPr>
                <w:color w:val="auto"/>
                <w:kern w:val="0"/>
                <w:sz w:val="18"/>
                <w:szCs w:val="15"/>
                <w:highlight w:val="none"/>
              </w:rPr>
              <w:t>萘</w:t>
            </w:r>
          </w:p>
        </w:tc>
        <w:tc>
          <w:tcPr>
            <w:tcW w:w="724" w:type="dxa"/>
            <w:shd w:val="clear" w:color="auto" w:fill="auto"/>
            <w:noWrap w:val="0"/>
            <w:vAlign w:val="center"/>
          </w:tcPr>
          <w:p>
            <w:pPr>
              <w:widowControl/>
              <w:jc w:val="center"/>
              <w:rPr>
                <w:color w:val="auto"/>
                <w:kern w:val="0"/>
                <w:sz w:val="18"/>
                <w:szCs w:val="18"/>
                <w:highlight w:val="none"/>
              </w:rPr>
            </w:pPr>
            <w:r>
              <w:rPr>
                <w:rFonts w:hint="eastAsia"/>
                <w:color w:val="auto"/>
                <w:kern w:val="0"/>
                <w:sz w:val="18"/>
                <w:szCs w:val="18"/>
                <w:highlight w:val="none"/>
              </w:rPr>
              <w:t>7</w:t>
            </w:r>
            <w:r>
              <w:rPr>
                <w:color w:val="auto"/>
                <w:kern w:val="0"/>
                <w:sz w:val="18"/>
                <w:szCs w:val="18"/>
                <w:highlight w:val="none"/>
              </w:rPr>
              <w:t>0</w:t>
            </w:r>
          </w:p>
        </w:tc>
        <w:tc>
          <w:tcPr>
            <w:tcW w:w="565" w:type="dxa"/>
            <w:shd w:val="clear" w:color="auto" w:fill="auto"/>
            <w:noWrap w:val="0"/>
            <w:vAlign w:val="center"/>
          </w:tcPr>
          <w:p>
            <w:pPr>
              <w:widowControl/>
              <w:jc w:val="center"/>
              <w:rPr>
                <w:color w:val="auto"/>
                <w:kern w:val="0"/>
                <w:sz w:val="18"/>
                <w:szCs w:val="18"/>
                <w:highlight w:val="none"/>
              </w:rPr>
            </w:pPr>
            <w:r>
              <w:rPr>
                <w:color w:val="auto"/>
                <w:kern w:val="0"/>
                <w:sz w:val="18"/>
                <w:szCs w:val="18"/>
                <w:highlight w:val="none"/>
              </w:rPr>
              <w:t>0.3</w:t>
            </w:r>
          </w:p>
        </w:tc>
        <w:tc>
          <w:tcPr>
            <w:tcW w:w="906"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6"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4" w:hRule="atLeast"/>
          <w:jc w:val="center"/>
        </w:trPr>
        <w:tc>
          <w:tcPr>
            <w:tcW w:w="2011" w:type="dxa"/>
            <w:shd w:val="clear" w:color="auto" w:fill="auto"/>
            <w:noWrap/>
            <w:vAlign w:val="center"/>
          </w:tcPr>
          <w:p>
            <w:pPr>
              <w:widowControl/>
              <w:jc w:val="center"/>
              <w:rPr>
                <w:color w:val="auto"/>
                <w:kern w:val="0"/>
                <w:sz w:val="18"/>
                <w:szCs w:val="15"/>
                <w:highlight w:val="none"/>
              </w:rPr>
            </w:pPr>
            <w:r>
              <w:rPr>
                <w:color w:val="auto"/>
                <w:kern w:val="0"/>
                <w:sz w:val="18"/>
                <w:szCs w:val="15"/>
                <w:highlight w:val="none"/>
              </w:rPr>
              <w:t>苯并</w:t>
            </w:r>
            <w:r>
              <w:rPr>
                <w:rFonts w:hint="eastAsia"/>
                <w:color w:val="auto"/>
                <w:kern w:val="0"/>
                <w:sz w:val="18"/>
                <w:szCs w:val="15"/>
                <w:highlight w:val="none"/>
                <w:lang w:eastAsia="zh-CN"/>
              </w:rPr>
              <w:t>(</w:t>
            </w:r>
            <w:r>
              <w:rPr>
                <w:color w:val="auto"/>
                <w:kern w:val="0"/>
                <w:sz w:val="18"/>
                <w:szCs w:val="15"/>
                <w:highlight w:val="none"/>
              </w:rPr>
              <w:t>a</w:t>
            </w:r>
            <w:r>
              <w:rPr>
                <w:rFonts w:hint="eastAsia"/>
                <w:color w:val="auto"/>
                <w:kern w:val="0"/>
                <w:sz w:val="18"/>
                <w:szCs w:val="15"/>
                <w:highlight w:val="none"/>
                <w:lang w:eastAsia="zh-CN"/>
              </w:rPr>
              <w:t>)</w:t>
            </w:r>
            <w:r>
              <w:rPr>
                <w:color w:val="auto"/>
                <w:kern w:val="0"/>
                <w:sz w:val="18"/>
                <w:szCs w:val="15"/>
                <w:highlight w:val="none"/>
              </w:rPr>
              <w:t>蒽</w:t>
            </w:r>
          </w:p>
        </w:tc>
        <w:tc>
          <w:tcPr>
            <w:tcW w:w="724" w:type="dxa"/>
            <w:shd w:val="clear" w:color="auto" w:fill="auto"/>
            <w:noWrap w:val="0"/>
            <w:vAlign w:val="center"/>
          </w:tcPr>
          <w:p>
            <w:pPr>
              <w:widowControl/>
              <w:jc w:val="center"/>
              <w:rPr>
                <w:color w:val="auto"/>
                <w:kern w:val="0"/>
                <w:sz w:val="18"/>
                <w:szCs w:val="18"/>
                <w:highlight w:val="none"/>
              </w:rPr>
            </w:pPr>
            <w:r>
              <w:rPr>
                <w:rFonts w:hint="eastAsia"/>
                <w:color w:val="auto"/>
                <w:kern w:val="0"/>
                <w:sz w:val="18"/>
                <w:szCs w:val="18"/>
                <w:highlight w:val="none"/>
              </w:rPr>
              <w:t>1</w:t>
            </w:r>
            <w:r>
              <w:rPr>
                <w:color w:val="auto"/>
                <w:kern w:val="0"/>
                <w:sz w:val="18"/>
                <w:szCs w:val="18"/>
                <w:highlight w:val="none"/>
              </w:rPr>
              <w:t>5</w:t>
            </w:r>
          </w:p>
        </w:tc>
        <w:tc>
          <w:tcPr>
            <w:tcW w:w="565" w:type="dxa"/>
            <w:shd w:val="clear" w:color="auto" w:fill="auto"/>
            <w:noWrap w:val="0"/>
            <w:vAlign w:val="center"/>
          </w:tcPr>
          <w:p>
            <w:pPr>
              <w:widowControl/>
              <w:jc w:val="center"/>
              <w:rPr>
                <w:color w:val="auto"/>
                <w:kern w:val="0"/>
                <w:sz w:val="18"/>
                <w:szCs w:val="18"/>
                <w:highlight w:val="none"/>
              </w:rPr>
            </w:pPr>
            <w:r>
              <w:rPr>
                <w:color w:val="auto"/>
                <w:kern w:val="0"/>
                <w:sz w:val="18"/>
                <w:szCs w:val="18"/>
                <w:highlight w:val="none"/>
              </w:rPr>
              <w:t>0.4</w:t>
            </w:r>
          </w:p>
        </w:tc>
        <w:tc>
          <w:tcPr>
            <w:tcW w:w="906"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6"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4" w:hRule="atLeast"/>
          <w:jc w:val="center"/>
        </w:trPr>
        <w:tc>
          <w:tcPr>
            <w:tcW w:w="2011" w:type="dxa"/>
            <w:shd w:val="clear" w:color="auto" w:fill="auto"/>
            <w:noWrap/>
            <w:vAlign w:val="center"/>
          </w:tcPr>
          <w:p>
            <w:pPr>
              <w:widowControl/>
              <w:jc w:val="center"/>
              <w:rPr>
                <w:color w:val="auto"/>
                <w:kern w:val="0"/>
                <w:sz w:val="18"/>
                <w:szCs w:val="15"/>
                <w:highlight w:val="none"/>
              </w:rPr>
            </w:pPr>
            <w:r>
              <w:rPr>
                <w:color w:val="auto"/>
                <w:kern w:val="0"/>
                <w:sz w:val="18"/>
                <w:szCs w:val="15"/>
                <w:highlight w:val="none"/>
              </w:rPr>
              <w:t>䓛</w:t>
            </w:r>
          </w:p>
        </w:tc>
        <w:tc>
          <w:tcPr>
            <w:tcW w:w="724" w:type="dxa"/>
            <w:shd w:val="clear" w:color="auto" w:fill="auto"/>
            <w:noWrap w:val="0"/>
            <w:vAlign w:val="center"/>
          </w:tcPr>
          <w:p>
            <w:pPr>
              <w:widowControl/>
              <w:jc w:val="center"/>
              <w:rPr>
                <w:color w:val="auto"/>
                <w:kern w:val="0"/>
                <w:sz w:val="18"/>
                <w:szCs w:val="18"/>
                <w:highlight w:val="none"/>
              </w:rPr>
            </w:pPr>
            <w:r>
              <w:rPr>
                <w:rFonts w:hint="eastAsia"/>
                <w:color w:val="auto"/>
                <w:kern w:val="0"/>
                <w:sz w:val="18"/>
                <w:szCs w:val="18"/>
                <w:highlight w:val="none"/>
              </w:rPr>
              <w:t>1</w:t>
            </w:r>
            <w:r>
              <w:rPr>
                <w:color w:val="auto"/>
                <w:kern w:val="0"/>
                <w:sz w:val="18"/>
                <w:szCs w:val="18"/>
                <w:highlight w:val="none"/>
              </w:rPr>
              <w:t>293</w:t>
            </w:r>
          </w:p>
        </w:tc>
        <w:tc>
          <w:tcPr>
            <w:tcW w:w="565" w:type="dxa"/>
            <w:shd w:val="clear" w:color="auto" w:fill="auto"/>
            <w:noWrap w:val="0"/>
            <w:vAlign w:val="center"/>
          </w:tcPr>
          <w:p>
            <w:pPr>
              <w:widowControl/>
              <w:jc w:val="center"/>
              <w:rPr>
                <w:color w:val="auto"/>
                <w:kern w:val="0"/>
                <w:sz w:val="18"/>
                <w:szCs w:val="18"/>
                <w:highlight w:val="none"/>
              </w:rPr>
            </w:pPr>
            <w:r>
              <w:rPr>
                <w:color w:val="auto"/>
                <w:kern w:val="0"/>
                <w:sz w:val="18"/>
                <w:szCs w:val="18"/>
                <w:highlight w:val="none"/>
              </w:rPr>
              <w:t>0.4</w:t>
            </w:r>
          </w:p>
        </w:tc>
        <w:tc>
          <w:tcPr>
            <w:tcW w:w="906"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6"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4" w:hRule="atLeast"/>
          <w:jc w:val="center"/>
        </w:trPr>
        <w:tc>
          <w:tcPr>
            <w:tcW w:w="2011" w:type="dxa"/>
            <w:shd w:val="clear" w:color="auto" w:fill="auto"/>
            <w:noWrap/>
            <w:vAlign w:val="center"/>
          </w:tcPr>
          <w:p>
            <w:pPr>
              <w:widowControl/>
              <w:jc w:val="center"/>
              <w:rPr>
                <w:color w:val="auto"/>
                <w:kern w:val="0"/>
                <w:sz w:val="18"/>
                <w:szCs w:val="15"/>
                <w:highlight w:val="none"/>
              </w:rPr>
            </w:pPr>
            <w:r>
              <w:rPr>
                <w:color w:val="auto"/>
                <w:kern w:val="0"/>
                <w:sz w:val="18"/>
                <w:szCs w:val="15"/>
                <w:highlight w:val="none"/>
              </w:rPr>
              <w:t>苯并</w:t>
            </w:r>
            <w:r>
              <w:rPr>
                <w:rFonts w:hint="eastAsia"/>
                <w:color w:val="auto"/>
                <w:kern w:val="0"/>
                <w:sz w:val="18"/>
                <w:szCs w:val="15"/>
                <w:highlight w:val="none"/>
                <w:lang w:eastAsia="zh-CN"/>
              </w:rPr>
              <w:t>(</w:t>
            </w:r>
            <w:r>
              <w:rPr>
                <w:color w:val="auto"/>
                <w:kern w:val="0"/>
                <w:sz w:val="18"/>
                <w:szCs w:val="15"/>
                <w:highlight w:val="none"/>
              </w:rPr>
              <w:t>b</w:t>
            </w:r>
            <w:r>
              <w:rPr>
                <w:rFonts w:hint="eastAsia"/>
                <w:color w:val="auto"/>
                <w:kern w:val="0"/>
                <w:sz w:val="18"/>
                <w:szCs w:val="15"/>
                <w:highlight w:val="none"/>
                <w:lang w:eastAsia="zh-CN"/>
              </w:rPr>
              <w:t>)</w:t>
            </w:r>
            <w:r>
              <w:rPr>
                <w:color w:val="auto"/>
                <w:kern w:val="0"/>
                <w:sz w:val="18"/>
                <w:szCs w:val="15"/>
                <w:highlight w:val="none"/>
              </w:rPr>
              <w:t>荧蒽</w:t>
            </w:r>
          </w:p>
        </w:tc>
        <w:tc>
          <w:tcPr>
            <w:tcW w:w="724" w:type="dxa"/>
            <w:shd w:val="clear" w:color="auto" w:fill="auto"/>
            <w:noWrap w:val="0"/>
            <w:vAlign w:val="center"/>
          </w:tcPr>
          <w:p>
            <w:pPr>
              <w:widowControl/>
              <w:jc w:val="center"/>
              <w:rPr>
                <w:color w:val="auto"/>
                <w:kern w:val="0"/>
                <w:sz w:val="18"/>
                <w:szCs w:val="18"/>
                <w:highlight w:val="none"/>
              </w:rPr>
            </w:pPr>
            <w:r>
              <w:rPr>
                <w:rFonts w:hint="eastAsia"/>
                <w:color w:val="auto"/>
                <w:kern w:val="0"/>
                <w:sz w:val="18"/>
                <w:szCs w:val="18"/>
                <w:highlight w:val="none"/>
              </w:rPr>
              <w:t>1</w:t>
            </w:r>
            <w:r>
              <w:rPr>
                <w:color w:val="auto"/>
                <w:kern w:val="0"/>
                <w:sz w:val="18"/>
                <w:szCs w:val="18"/>
                <w:highlight w:val="none"/>
              </w:rPr>
              <w:t>5</w:t>
            </w:r>
          </w:p>
        </w:tc>
        <w:tc>
          <w:tcPr>
            <w:tcW w:w="565" w:type="dxa"/>
            <w:shd w:val="clear" w:color="auto" w:fill="auto"/>
            <w:noWrap w:val="0"/>
            <w:vAlign w:val="center"/>
          </w:tcPr>
          <w:p>
            <w:pPr>
              <w:widowControl/>
              <w:jc w:val="center"/>
              <w:rPr>
                <w:color w:val="auto"/>
                <w:kern w:val="0"/>
                <w:sz w:val="18"/>
                <w:szCs w:val="18"/>
                <w:highlight w:val="none"/>
              </w:rPr>
            </w:pPr>
            <w:r>
              <w:rPr>
                <w:color w:val="auto"/>
                <w:kern w:val="0"/>
                <w:sz w:val="18"/>
                <w:szCs w:val="18"/>
                <w:highlight w:val="none"/>
              </w:rPr>
              <w:t>0.8</w:t>
            </w:r>
          </w:p>
        </w:tc>
        <w:tc>
          <w:tcPr>
            <w:tcW w:w="906"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6"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4" w:hRule="atLeast"/>
          <w:jc w:val="center"/>
        </w:trPr>
        <w:tc>
          <w:tcPr>
            <w:tcW w:w="2011" w:type="dxa"/>
            <w:shd w:val="clear" w:color="auto" w:fill="auto"/>
            <w:noWrap/>
            <w:vAlign w:val="center"/>
          </w:tcPr>
          <w:p>
            <w:pPr>
              <w:widowControl/>
              <w:jc w:val="center"/>
              <w:rPr>
                <w:color w:val="auto"/>
                <w:kern w:val="0"/>
                <w:sz w:val="18"/>
                <w:szCs w:val="15"/>
                <w:highlight w:val="none"/>
              </w:rPr>
            </w:pPr>
            <w:r>
              <w:rPr>
                <w:color w:val="auto"/>
                <w:kern w:val="0"/>
                <w:sz w:val="18"/>
                <w:szCs w:val="15"/>
                <w:highlight w:val="none"/>
              </w:rPr>
              <w:t>苯并</w:t>
            </w:r>
            <w:r>
              <w:rPr>
                <w:rFonts w:hint="eastAsia"/>
                <w:color w:val="auto"/>
                <w:kern w:val="0"/>
                <w:sz w:val="18"/>
                <w:szCs w:val="15"/>
                <w:highlight w:val="none"/>
                <w:lang w:eastAsia="zh-CN"/>
              </w:rPr>
              <w:t>(</w:t>
            </w:r>
            <w:r>
              <w:rPr>
                <w:color w:val="auto"/>
                <w:kern w:val="0"/>
                <w:sz w:val="18"/>
                <w:szCs w:val="15"/>
                <w:highlight w:val="none"/>
              </w:rPr>
              <w:t>k</w:t>
            </w:r>
            <w:r>
              <w:rPr>
                <w:rFonts w:hint="eastAsia"/>
                <w:color w:val="auto"/>
                <w:kern w:val="0"/>
                <w:sz w:val="18"/>
                <w:szCs w:val="15"/>
                <w:highlight w:val="none"/>
                <w:lang w:eastAsia="zh-CN"/>
              </w:rPr>
              <w:t>)</w:t>
            </w:r>
            <w:r>
              <w:rPr>
                <w:color w:val="auto"/>
                <w:kern w:val="0"/>
                <w:sz w:val="18"/>
                <w:szCs w:val="15"/>
                <w:highlight w:val="none"/>
              </w:rPr>
              <w:t>荧蒽</w:t>
            </w:r>
          </w:p>
        </w:tc>
        <w:tc>
          <w:tcPr>
            <w:tcW w:w="724" w:type="dxa"/>
            <w:shd w:val="clear" w:color="auto" w:fill="auto"/>
            <w:noWrap w:val="0"/>
            <w:vAlign w:val="center"/>
          </w:tcPr>
          <w:p>
            <w:pPr>
              <w:widowControl/>
              <w:jc w:val="center"/>
              <w:rPr>
                <w:color w:val="auto"/>
                <w:kern w:val="0"/>
                <w:sz w:val="18"/>
                <w:szCs w:val="18"/>
                <w:highlight w:val="none"/>
              </w:rPr>
            </w:pPr>
            <w:r>
              <w:rPr>
                <w:color w:val="auto"/>
                <w:kern w:val="0"/>
                <w:sz w:val="18"/>
                <w:szCs w:val="18"/>
                <w:highlight w:val="none"/>
              </w:rPr>
              <w:t>151</w:t>
            </w:r>
          </w:p>
        </w:tc>
        <w:tc>
          <w:tcPr>
            <w:tcW w:w="565" w:type="dxa"/>
            <w:shd w:val="clear" w:color="auto" w:fill="auto"/>
            <w:noWrap w:val="0"/>
            <w:vAlign w:val="center"/>
          </w:tcPr>
          <w:p>
            <w:pPr>
              <w:widowControl/>
              <w:jc w:val="center"/>
              <w:rPr>
                <w:color w:val="auto"/>
                <w:kern w:val="0"/>
                <w:sz w:val="18"/>
                <w:szCs w:val="18"/>
                <w:highlight w:val="none"/>
              </w:rPr>
            </w:pPr>
            <w:r>
              <w:rPr>
                <w:color w:val="auto"/>
                <w:kern w:val="0"/>
                <w:sz w:val="18"/>
                <w:szCs w:val="18"/>
                <w:highlight w:val="none"/>
              </w:rPr>
              <w:t>0.4</w:t>
            </w:r>
          </w:p>
        </w:tc>
        <w:tc>
          <w:tcPr>
            <w:tcW w:w="906"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6"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4" w:hRule="atLeast"/>
          <w:jc w:val="center"/>
        </w:trPr>
        <w:tc>
          <w:tcPr>
            <w:tcW w:w="2011" w:type="dxa"/>
            <w:shd w:val="clear" w:color="auto" w:fill="auto"/>
            <w:noWrap/>
            <w:vAlign w:val="center"/>
          </w:tcPr>
          <w:p>
            <w:pPr>
              <w:widowControl/>
              <w:jc w:val="center"/>
              <w:rPr>
                <w:color w:val="auto"/>
                <w:kern w:val="0"/>
                <w:sz w:val="18"/>
                <w:szCs w:val="15"/>
                <w:highlight w:val="none"/>
              </w:rPr>
            </w:pPr>
            <w:r>
              <w:rPr>
                <w:color w:val="auto"/>
                <w:kern w:val="0"/>
                <w:sz w:val="18"/>
                <w:szCs w:val="15"/>
                <w:highlight w:val="none"/>
              </w:rPr>
              <w:t>苯并</w:t>
            </w:r>
            <w:r>
              <w:rPr>
                <w:rFonts w:hint="eastAsia"/>
                <w:color w:val="auto"/>
                <w:kern w:val="0"/>
                <w:sz w:val="18"/>
                <w:szCs w:val="15"/>
                <w:highlight w:val="none"/>
                <w:lang w:eastAsia="zh-CN"/>
              </w:rPr>
              <w:t>(</w:t>
            </w:r>
            <w:r>
              <w:rPr>
                <w:color w:val="auto"/>
                <w:kern w:val="0"/>
                <w:sz w:val="18"/>
                <w:szCs w:val="15"/>
                <w:highlight w:val="none"/>
              </w:rPr>
              <w:t>a</w:t>
            </w:r>
            <w:r>
              <w:rPr>
                <w:rFonts w:hint="eastAsia"/>
                <w:color w:val="auto"/>
                <w:kern w:val="0"/>
                <w:sz w:val="18"/>
                <w:szCs w:val="15"/>
                <w:highlight w:val="none"/>
                <w:lang w:eastAsia="zh-CN"/>
              </w:rPr>
              <w:t>)</w:t>
            </w:r>
            <w:r>
              <w:rPr>
                <w:color w:val="auto"/>
                <w:kern w:val="0"/>
                <w:sz w:val="18"/>
                <w:szCs w:val="15"/>
                <w:highlight w:val="none"/>
              </w:rPr>
              <w:t>芘</w:t>
            </w:r>
          </w:p>
        </w:tc>
        <w:tc>
          <w:tcPr>
            <w:tcW w:w="724" w:type="dxa"/>
            <w:shd w:val="clear" w:color="auto" w:fill="auto"/>
            <w:noWrap w:val="0"/>
            <w:vAlign w:val="center"/>
          </w:tcPr>
          <w:p>
            <w:pPr>
              <w:widowControl/>
              <w:jc w:val="center"/>
              <w:rPr>
                <w:color w:val="auto"/>
                <w:kern w:val="0"/>
                <w:sz w:val="18"/>
                <w:szCs w:val="18"/>
                <w:highlight w:val="none"/>
              </w:rPr>
            </w:pPr>
            <w:r>
              <w:rPr>
                <w:color w:val="auto"/>
                <w:kern w:val="0"/>
                <w:sz w:val="18"/>
                <w:szCs w:val="18"/>
                <w:highlight w:val="none"/>
              </w:rPr>
              <w:t>1.5</w:t>
            </w:r>
          </w:p>
        </w:tc>
        <w:tc>
          <w:tcPr>
            <w:tcW w:w="565" w:type="dxa"/>
            <w:shd w:val="clear" w:color="auto" w:fill="auto"/>
            <w:noWrap w:val="0"/>
            <w:vAlign w:val="center"/>
          </w:tcPr>
          <w:p>
            <w:pPr>
              <w:widowControl/>
              <w:jc w:val="center"/>
              <w:rPr>
                <w:color w:val="auto"/>
                <w:kern w:val="0"/>
                <w:sz w:val="18"/>
                <w:szCs w:val="18"/>
                <w:highlight w:val="none"/>
              </w:rPr>
            </w:pPr>
            <w:r>
              <w:rPr>
                <w:color w:val="auto"/>
                <w:kern w:val="0"/>
                <w:sz w:val="18"/>
                <w:szCs w:val="18"/>
                <w:highlight w:val="none"/>
              </w:rPr>
              <w:t>0.4</w:t>
            </w:r>
          </w:p>
        </w:tc>
        <w:tc>
          <w:tcPr>
            <w:tcW w:w="906"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6"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4" w:hRule="atLeast"/>
          <w:jc w:val="center"/>
        </w:trPr>
        <w:tc>
          <w:tcPr>
            <w:tcW w:w="2011" w:type="dxa"/>
            <w:shd w:val="clear" w:color="auto" w:fill="auto"/>
            <w:noWrap/>
            <w:vAlign w:val="center"/>
          </w:tcPr>
          <w:p>
            <w:pPr>
              <w:widowControl/>
              <w:jc w:val="center"/>
              <w:rPr>
                <w:color w:val="auto"/>
                <w:kern w:val="0"/>
                <w:sz w:val="18"/>
                <w:szCs w:val="15"/>
                <w:highlight w:val="none"/>
              </w:rPr>
            </w:pPr>
            <w:r>
              <w:rPr>
                <w:color w:val="auto"/>
                <w:kern w:val="0"/>
                <w:sz w:val="18"/>
                <w:szCs w:val="15"/>
                <w:highlight w:val="none"/>
              </w:rPr>
              <w:t>茚并</w:t>
            </w:r>
            <w:r>
              <w:rPr>
                <w:rFonts w:hint="eastAsia"/>
                <w:color w:val="auto"/>
                <w:kern w:val="0"/>
                <w:sz w:val="18"/>
                <w:szCs w:val="15"/>
                <w:highlight w:val="none"/>
                <w:lang w:eastAsia="zh-CN"/>
              </w:rPr>
              <w:t>(</w:t>
            </w:r>
            <w:r>
              <w:rPr>
                <w:color w:val="auto"/>
                <w:kern w:val="0"/>
                <w:sz w:val="18"/>
                <w:szCs w:val="15"/>
                <w:highlight w:val="none"/>
              </w:rPr>
              <w:t>1，2，3－cd</w:t>
            </w:r>
            <w:r>
              <w:rPr>
                <w:rFonts w:hint="eastAsia"/>
                <w:color w:val="auto"/>
                <w:kern w:val="0"/>
                <w:sz w:val="18"/>
                <w:szCs w:val="15"/>
                <w:highlight w:val="none"/>
                <w:lang w:eastAsia="zh-CN"/>
              </w:rPr>
              <w:t>)</w:t>
            </w:r>
            <w:r>
              <w:rPr>
                <w:color w:val="auto"/>
                <w:kern w:val="0"/>
                <w:sz w:val="18"/>
                <w:szCs w:val="15"/>
                <w:highlight w:val="none"/>
              </w:rPr>
              <w:t>芘</w:t>
            </w:r>
          </w:p>
        </w:tc>
        <w:tc>
          <w:tcPr>
            <w:tcW w:w="724" w:type="dxa"/>
            <w:shd w:val="clear" w:color="auto" w:fill="auto"/>
            <w:noWrap w:val="0"/>
            <w:vAlign w:val="center"/>
          </w:tcPr>
          <w:p>
            <w:pPr>
              <w:widowControl/>
              <w:jc w:val="center"/>
              <w:rPr>
                <w:color w:val="auto"/>
                <w:kern w:val="0"/>
                <w:sz w:val="18"/>
                <w:szCs w:val="18"/>
                <w:highlight w:val="none"/>
              </w:rPr>
            </w:pPr>
            <w:r>
              <w:rPr>
                <w:color w:val="auto"/>
                <w:kern w:val="0"/>
                <w:sz w:val="18"/>
                <w:szCs w:val="18"/>
                <w:highlight w:val="none"/>
              </w:rPr>
              <w:t>15</w:t>
            </w:r>
          </w:p>
        </w:tc>
        <w:tc>
          <w:tcPr>
            <w:tcW w:w="565" w:type="dxa"/>
            <w:shd w:val="clear" w:color="auto" w:fill="auto"/>
            <w:noWrap w:val="0"/>
            <w:vAlign w:val="center"/>
          </w:tcPr>
          <w:p>
            <w:pPr>
              <w:widowControl/>
              <w:jc w:val="center"/>
              <w:rPr>
                <w:color w:val="auto"/>
                <w:kern w:val="0"/>
                <w:sz w:val="18"/>
                <w:szCs w:val="18"/>
                <w:highlight w:val="none"/>
              </w:rPr>
            </w:pPr>
            <w:r>
              <w:rPr>
                <w:color w:val="auto"/>
                <w:kern w:val="0"/>
                <w:sz w:val="18"/>
                <w:szCs w:val="18"/>
                <w:highlight w:val="none"/>
              </w:rPr>
              <w:t>0.4</w:t>
            </w:r>
          </w:p>
        </w:tc>
        <w:tc>
          <w:tcPr>
            <w:tcW w:w="906"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6"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4" w:hRule="atLeast"/>
          <w:jc w:val="center"/>
        </w:trPr>
        <w:tc>
          <w:tcPr>
            <w:tcW w:w="2011" w:type="dxa"/>
            <w:shd w:val="clear" w:color="auto" w:fill="auto"/>
            <w:noWrap/>
            <w:vAlign w:val="center"/>
          </w:tcPr>
          <w:p>
            <w:pPr>
              <w:widowControl/>
              <w:jc w:val="center"/>
              <w:rPr>
                <w:color w:val="auto"/>
                <w:kern w:val="0"/>
                <w:sz w:val="18"/>
                <w:szCs w:val="15"/>
                <w:highlight w:val="none"/>
              </w:rPr>
            </w:pPr>
            <w:r>
              <w:rPr>
                <w:color w:val="auto"/>
                <w:kern w:val="0"/>
                <w:sz w:val="18"/>
                <w:szCs w:val="15"/>
                <w:highlight w:val="none"/>
              </w:rPr>
              <w:t>二苯并</w:t>
            </w:r>
            <w:r>
              <w:rPr>
                <w:rFonts w:hint="eastAsia"/>
                <w:color w:val="auto"/>
                <w:kern w:val="0"/>
                <w:sz w:val="18"/>
                <w:szCs w:val="15"/>
                <w:highlight w:val="none"/>
                <w:lang w:eastAsia="zh-CN"/>
              </w:rPr>
              <w:t>(</w:t>
            </w:r>
            <w:r>
              <w:rPr>
                <w:color w:val="auto"/>
                <w:kern w:val="0"/>
                <w:sz w:val="18"/>
                <w:szCs w:val="15"/>
                <w:highlight w:val="none"/>
              </w:rPr>
              <w:t>a，h</w:t>
            </w:r>
            <w:r>
              <w:rPr>
                <w:rFonts w:hint="eastAsia"/>
                <w:color w:val="auto"/>
                <w:kern w:val="0"/>
                <w:sz w:val="18"/>
                <w:szCs w:val="15"/>
                <w:highlight w:val="none"/>
                <w:lang w:eastAsia="zh-CN"/>
              </w:rPr>
              <w:t>)</w:t>
            </w:r>
            <w:r>
              <w:rPr>
                <w:color w:val="auto"/>
                <w:kern w:val="0"/>
                <w:sz w:val="18"/>
                <w:szCs w:val="15"/>
                <w:highlight w:val="none"/>
              </w:rPr>
              <w:t>蒽</w:t>
            </w:r>
          </w:p>
        </w:tc>
        <w:tc>
          <w:tcPr>
            <w:tcW w:w="724" w:type="dxa"/>
            <w:shd w:val="clear" w:color="auto" w:fill="auto"/>
            <w:noWrap w:val="0"/>
            <w:vAlign w:val="center"/>
          </w:tcPr>
          <w:p>
            <w:pPr>
              <w:widowControl/>
              <w:jc w:val="center"/>
              <w:rPr>
                <w:color w:val="auto"/>
                <w:kern w:val="0"/>
                <w:sz w:val="18"/>
                <w:szCs w:val="18"/>
                <w:highlight w:val="none"/>
              </w:rPr>
            </w:pPr>
            <w:r>
              <w:rPr>
                <w:color w:val="auto"/>
                <w:kern w:val="0"/>
                <w:sz w:val="18"/>
                <w:szCs w:val="18"/>
                <w:highlight w:val="none"/>
              </w:rPr>
              <w:t>1.5</w:t>
            </w:r>
          </w:p>
        </w:tc>
        <w:tc>
          <w:tcPr>
            <w:tcW w:w="565" w:type="dxa"/>
            <w:shd w:val="clear" w:color="auto" w:fill="auto"/>
            <w:noWrap w:val="0"/>
            <w:vAlign w:val="center"/>
          </w:tcPr>
          <w:p>
            <w:pPr>
              <w:widowControl/>
              <w:jc w:val="center"/>
              <w:rPr>
                <w:color w:val="auto"/>
                <w:kern w:val="0"/>
                <w:sz w:val="18"/>
                <w:szCs w:val="18"/>
                <w:highlight w:val="none"/>
              </w:rPr>
            </w:pPr>
            <w:r>
              <w:rPr>
                <w:color w:val="auto"/>
                <w:kern w:val="0"/>
                <w:sz w:val="18"/>
                <w:szCs w:val="18"/>
                <w:highlight w:val="none"/>
              </w:rPr>
              <w:t>0.4</w:t>
            </w:r>
          </w:p>
        </w:tc>
        <w:tc>
          <w:tcPr>
            <w:tcW w:w="906"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6"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4" w:hRule="atLeast"/>
          <w:jc w:val="center"/>
        </w:trPr>
        <w:tc>
          <w:tcPr>
            <w:tcW w:w="2011" w:type="dxa"/>
            <w:shd w:val="clear" w:color="auto" w:fill="auto"/>
            <w:noWrap/>
            <w:vAlign w:val="center"/>
          </w:tcPr>
          <w:p>
            <w:pPr>
              <w:widowControl/>
              <w:jc w:val="center"/>
              <w:rPr>
                <w:color w:val="auto"/>
                <w:kern w:val="0"/>
                <w:sz w:val="18"/>
                <w:szCs w:val="15"/>
                <w:highlight w:val="none"/>
              </w:rPr>
            </w:pPr>
            <w:r>
              <w:rPr>
                <w:color w:val="auto"/>
                <w:kern w:val="0"/>
                <w:sz w:val="18"/>
                <w:szCs w:val="15"/>
                <w:highlight w:val="none"/>
              </w:rPr>
              <w:t>硝基苯</w:t>
            </w:r>
          </w:p>
        </w:tc>
        <w:tc>
          <w:tcPr>
            <w:tcW w:w="724" w:type="dxa"/>
            <w:shd w:val="clear" w:color="auto" w:fill="auto"/>
            <w:noWrap w:val="0"/>
            <w:vAlign w:val="center"/>
          </w:tcPr>
          <w:p>
            <w:pPr>
              <w:widowControl/>
              <w:jc w:val="center"/>
              <w:rPr>
                <w:color w:val="auto"/>
                <w:kern w:val="0"/>
                <w:sz w:val="18"/>
                <w:szCs w:val="18"/>
                <w:highlight w:val="none"/>
              </w:rPr>
            </w:pPr>
            <w:r>
              <w:rPr>
                <w:color w:val="auto"/>
                <w:kern w:val="0"/>
                <w:sz w:val="18"/>
                <w:szCs w:val="18"/>
                <w:highlight w:val="none"/>
              </w:rPr>
              <w:t>76</w:t>
            </w:r>
          </w:p>
        </w:tc>
        <w:tc>
          <w:tcPr>
            <w:tcW w:w="565" w:type="dxa"/>
            <w:shd w:val="clear" w:color="auto" w:fill="auto"/>
            <w:noWrap w:val="0"/>
            <w:vAlign w:val="center"/>
          </w:tcPr>
          <w:p>
            <w:pPr>
              <w:widowControl/>
              <w:jc w:val="center"/>
              <w:rPr>
                <w:color w:val="auto"/>
                <w:kern w:val="0"/>
                <w:sz w:val="18"/>
                <w:szCs w:val="18"/>
                <w:highlight w:val="none"/>
              </w:rPr>
            </w:pPr>
            <w:r>
              <w:rPr>
                <w:color w:val="auto"/>
                <w:kern w:val="0"/>
                <w:sz w:val="18"/>
                <w:szCs w:val="18"/>
                <w:highlight w:val="none"/>
              </w:rPr>
              <w:t>0.3</w:t>
            </w:r>
          </w:p>
        </w:tc>
        <w:tc>
          <w:tcPr>
            <w:tcW w:w="906"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6"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4" w:hRule="atLeast"/>
          <w:jc w:val="center"/>
        </w:trPr>
        <w:tc>
          <w:tcPr>
            <w:tcW w:w="2011" w:type="dxa"/>
            <w:shd w:val="clear" w:color="auto" w:fill="auto"/>
            <w:noWrap/>
            <w:vAlign w:val="center"/>
          </w:tcPr>
          <w:p>
            <w:pPr>
              <w:widowControl/>
              <w:jc w:val="center"/>
              <w:rPr>
                <w:color w:val="auto"/>
                <w:kern w:val="0"/>
                <w:sz w:val="18"/>
                <w:szCs w:val="15"/>
                <w:highlight w:val="none"/>
              </w:rPr>
            </w:pPr>
            <w:r>
              <w:rPr>
                <w:rFonts w:hint="eastAsia"/>
                <w:color w:val="auto"/>
                <w:kern w:val="0"/>
                <w:sz w:val="18"/>
                <w:szCs w:val="15"/>
                <w:highlight w:val="none"/>
                <w:lang w:val="en-US" w:eastAsia="zh-CN"/>
              </w:rPr>
              <w:t>六价</w:t>
            </w:r>
            <w:r>
              <w:rPr>
                <w:color w:val="auto"/>
                <w:kern w:val="0"/>
                <w:sz w:val="18"/>
                <w:szCs w:val="15"/>
                <w:highlight w:val="none"/>
              </w:rPr>
              <w:t>铬</w:t>
            </w:r>
          </w:p>
        </w:tc>
        <w:tc>
          <w:tcPr>
            <w:tcW w:w="724" w:type="dxa"/>
            <w:shd w:val="clear" w:color="auto" w:fill="auto"/>
            <w:noWrap w:val="0"/>
            <w:vAlign w:val="center"/>
          </w:tcPr>
          <w:p>
            <w:pPr>
              <w:widowControl/>
              <w:jc w:val="center"/>
              <w:rPr>
                <w:color w:val="auto"/>
                <w:kern w:val="0"/>
                <w:sz w:val="18"/>
                <w:szCs w:val="18"/>
                <w:highlight w:val="none"/>
              </w:rPr>
            </w:pPr>
            <w:r>
              <w:rPr>
                <w:color w:val="auto"/>
                <w:kern w:val="0"/>
                <w:sz w:val="18"/>
                <w:szCs w:val="18"/>
                <w:highlight w:val="none"/>
              </w:rPr>
              <w:t>5.7</w:t>
            </w:r>
          </w:p>
        </w:tc>
        <w:tc>
          <w:tcPr>
            <w:tcW w:w="565" w:type="dxa"/>
            <w:shd w:val="clear" w:color="auto" w:fill="auto"/>
            <w:noWrap w:val="0"/>
            <w:vAlign w:val="center"/>
          </w:tcPr>
          <w:p>
            <w:pPr>
              <w:widowControl/>
              <w:jc w:val="center"/>
              <w:rPr>
                <w:color w:val="auto"/>
                <w:kern w:val="0"/>
                <w:sz w:val="18"/>
                <w:szCs w:val="18"/>
                <w:highlight w:val="none"/>
              </w:rPr>
            </w:pPr>
            <w:r>
              <w:rPr>
                <w:color w:val="auto"/>
                <w:kern w:val="0"/>
                <w:sz w:val="18"/>
                <w:szCs w:val="18"/>
                <w:highlight w:val="none"/>
              </w:rPr>
              <w:t>0.5</w:t>
            </w:r>
          </w:p>
        </w:tc>
        <w:tc>
          <w:tcPr>
            <w:tcW w:w="906" w:type="dxa"/>
            <w:shd w:val="clear" w:color="auto" w:fill="auto"/>
            <w:noWrap/>
            <w:vAlign w:val="center"/>
          </w:tcPr>
          <w:p>
            <w:pPr>
              <w:jc w:val="center"/>
              <w:rPr>
                <w:rFonts w:hint="eastAsia" w:ascii="宋体" w:hAnsi="宋体" w:eastAsia="宋体" w:cs="宋体"/>
                <w:color w:val="auto"/>
                <w:sz w:val="18"/>
                <w:szCs w:val="18"/>
                <w:highlight w:val="none"/>
                <w:lang w:val="en-US" w:eastAsia="zh-CN"/>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ascii="宋体" w:hAnsi="宋体" w:eastAsia="宋体" w:cs="宋体"/>
                <w:color w:val="auto"/>
                <w:sz w:val="18"/>
                <w:szCs w:val="18"/>
                <w:highlight w:val="none"/>
                <w:lang w:val="en-US" w:eastAsia="zh-CN"/>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ascii="宋体" w:hAnsi="宋体" w:eastAsia="宋体" w:cs="宋体"/>
                <w:color w:val="auto"/>
                <w:sz w:val="18"/>
                <w:szCs w:val="18"/>
                <w:highlight w:val="none"/>
                <w:lang w:val="en-US" w:eastAsia="zh-CN"/>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ascii="宋体" w:hAnsi="宋体" w:eastAsia="宋体" w:cs="宋体"/>
                <w:color w:val="auto"/>
                <w:sz w:val="18"/>
                <w:szCs w:val="18"/>
                <w:highlight w:val="none"/>
                <w:lang w:val="en-US" w:eastAsia="zh-CN"/>
              </w:rPr>
            </w:pPr>
            <w:r>
              <w:rPr>
                <w:rFonts w:hint="eastAsia"/>
                <w:color w:val="auto"/>
                <w:sz w:val="18"/>
                <w:szCs w:val="18"/>
                <w:highlight w:val="none"/>
              </w:rPr>
              <w:t>未检出</w:t>
            </w:r>
          </w:p>
        </w:tc>
        <w:tc>
          <w:tcPr>
            <w:tcW w:w="906" w:type="dxa"/>
            <w:shd w:val="clear" w:color="auto" w:fill="auto"/>
            <w:noWrap/>
            <w:vAlign w:val="center"/>
          </w:tcPr>
          <w:p>
            <w:pPr>
              <w:jc w:val="center"/>
              <w:rPr>
                <w:rFonts w:hint="eastAsia" w:ascii="宋体" w:hAnsi="宋体" w:eastAsia="宋体" w:cs="宋体"/>
                <w:color w:val="auto"/>
                <w:sz w:val="18"/>
                <w:szCs w:val="18"/>
                <w:highlight w:val="none"/>
                <w:lang w:val="en-US" w:eastAsia="zh-CN"/>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ascii="宋体" w:hAnsi="宋体" w:eastAsia="宋体" w:cs="宋体"/>
                <w:color w:val="auto"/>
                <w:sz w:val="18"/>
                <w:szCs w:val="18"/>
                <w:highlight w:val="none"/>
                <w:lang w:val="en-US" w:eastAsia="zh-CN"/>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eastAsia="宋体"/>
                <w:color w:val="auto"/>
                <w:sz w:val="18"/>
                <w:szCs w:val="18"/>
                <w:highlight w:val="none"/>
                <w:lang w:val="en-US" w:eastAsia="zh-CN"/>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eastAsia="宋体"/>
                <w:color w:val="auto"/>
                <w:sz w:val="18"/>
                <w:szCs w:val="18"/>
                <w:highlight w:val="none"/>
                <w:lang w:val="en-US" w:eastAsia="zh-CN"/>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eastAsia="宋体"/>
                <w:color w:val="auto"/>
                <w:sz w:val="18"/>
                <w:szCs w:val="18"/>
                <w:highlight w:val="none"/>
                <w:lang w:val="en-US" w:eastAsia="zh-CN"/>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eastAsia="宋体"/>
                <w:color w:val="auto"/>
                <w:sz w:val="18"/>
                <w:szCs w:val="18"/>
                <w:highlight w:val="none"/>
                <w:lang w:val="en-US" w:eastAsia="zh-CN"/>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eastAsia="宋体"/>
                <w:color w:val="auto"/>
                <w:sz w:val="18"/>
                <w:szCs w:val="18"/>
                <w:highlight w:val="none"/>
                <w:lang w:val="en-US" w:eastAsia="zh-CN"/>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eastAsia="宋体"/>
                <w:color w:val="auto"/>
                <w:sz w:val="18"/>
                <w:szCs w:val="18"/>
                <w:highlight w:val="none"/>
                <w:lang w:val="en-US" w:eastAsia="zh-CN"/>
              </w:rPr>
            </w:pPr>
            <w:r>
              <w:rPr>
                <w:rFonts w:hint="eastAsia"/>
                <w:color w:val="auto"/>
                <w:sz w:val="18"/>
                <w:szCs w:val="18"/>
                <w:highlight w:val="none"/>
              </w:rPr>
              <w:t>未检出</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4" w:hRule="atLeast"/>
          <w:jc w:val="center"/>
        </w:trPr>
        <w:tc>
          <w:tcPr>
            <w:tcW w:w="2011" w:type="dxa"/>
            <w:shd w:val="clear" w:color="auto" w:fill="auto"/>
            <w:noWrap/>
            <w:vAlign w:val="center"/>
          </w:tcPr>
          <w:p>
            <w:pPr>
              <w:widowControl/>
              <w:jc w:val="center"/>
              <w:rPr>
                <w:color w:val="auto"/>
                <w:kern w:val="0"/>
                <w:sz w:val="18"/>
                <w:szCs w:val="15"/>
                <w:highlight w:val="none"/>
              </w:rPr>
            </w:pPr>
            <w:r>
              <w:rPr>
                <w:color w:val="auto"/>
                <w:kern w:val="0"/>
                <w:sz w:val="18"/>
                <w:szCs w:val="15"/>
                <w:highlight w:val="none"/>
              </w:rPr>
              <w:t>镍</w:t>
            </w:r>
          </w:p>
        </w:tc>
        <w:tc>
          <w:tcPr>
            <w:tcW w:w="724" w:type="dxa"/>
            <w:shd w:val="clear" w:color="auto" w:fill="auto"/>
            <w:noWrap w:val="0"/>
            <w:vAlign w:val="center"/>
          </w:tcPr>
          <w:p>
            <w:pPr>
              <w:widowControl/>
              <w:jc w:val="center"/>
              <w:rPr>
                <w:color w:val="auto"/>
                <w:kern w:val="0"/>
                <w:sz w:val="18"/>
                <w:szCs w:val="18"/>
                <w:highlight w:val="none"/>
              </w:rPr>
            </w:pPr>
            <w:r>
              <w:rPr>
                <w:color w:val="auto"/>
                <w:kern w:val="0"/>
                <w:sz w:val="18"/>
                <w:szCs w:val="18"/>
                <w:highlight w:val="none"/>
              </w:rPr>
              <w:t>900</w:t>
            </w:r>
          </w:p>
        </w:tc>
        <w:tc>
          <w:tcPr>
            <w:tcW w:w="565" w:type="dxa"/>
            <w:shd w:val="clear" w:color="auto" w:fill="auto"/>
            <w:noWrap w:val="0"/>
            <w:vAlign w:val="center"/>
          </w:tcPr>
          <w:p>
            <w:pPr>
              <w:widowControl/>
              <w:jc w:val="center"/>
              <w:rPr>
                <w:color w:val="auto"/>
                <w:kern w:val="0"/>
                <w:sz w:val="18"/>
                <w:szCs w:val="18"/>
                <w:highlight w:val="none"/>
              </w:rPr>
            </w:pPr>
            <w:r>
              <w:rPr>
                <w:color w:val="auto"/>
                <w:kern w:val="0"/>
                <w:sz w:val="18"/>
                <w:szCs w:val="18"/>
                <w:highlight w:val="none"/>
              </w:rPr>
              <w:t>5</w:t>
            </w:r>
          </w:p>
        </w:tc>
        <w:tc>
          <w:tcPr>
            <w:tcW w:w="906" w:type="dxa"/>
            <w:shd w:val="clear" w:color="auto" w:fill="auto"/>
            <w:noWrap/>
            <w:vAlign w:val="center"/>
          </w:tcPr>
          <w:p>
            <w:pPr>
              <w:jc w:val="center"/>
              <w:rPr>
                <w:rFonts w:hint="eastAsia" w:ascii="宋体" w:hAnsi="宋体" w:eastAsia="宋体" w:cs="宋体"/>
                <w:color w:val="auto"/>
                <w:sz w:val="18"/>
                <w:szCs w:val="18"/>
                <w:highlight w:val="none"/>
                <w:lang w:val="en-US" w:eastAsia="zh-CN"/>
              </w:rPr>
            </w:pPr>
            <w:r>
              <w:rPr>
                <w:rFonts w:hint="eastAsia"/>
                <w:color w:val="auto"/>
                <w:sz w:val="18"/>
                <w:szCs w:val="18"/>
                <w:highlight w:val="none"/>
                <w:lang w:val="en-US" w:eastAsia="zh-CN"/>
              </w:rPr>
              <w:t>16.8</w:t>
            </w:r>
          </w:p>
        </w:tc>
        <w:tc>
          <w:tcPr>
            <w:tcW w:w="907" w:type="dxa"/>
            <w:shd w:val="clear" w:color="auto" w:fill="auto"/>
            <w:noWrap/>
            <w:vAlign w:val="center"/>
          </w:tcPr>
          <w:p>
            <w:pPr>
              <w:jc w:val="center"/>
              <w:rPr>
                <w:rFonts w:hint="eastAsia" w:ascii="宋体" w:hAnsi="宋体" w:eastAsia="宋体" w:cs="宋体"/>
                <w:color w:val="auto"/>
                <w:sz w:val="18"/>
                <w:szCs w:val="18"/>
                <w:highlight w:val="none"/>
                <w:lang w:val="en-US" w:eastAsia="zh-CN"/>
              </w:rPr>
            </w:pPr>
            <w:r>
              <w:rPr>
                <w:rFonts w:hint="eastAsia"/>
                <w:color w:val="auto"/>
                <w:sz w:val="18"/>
                <w:szCs w:val="18"/>
                <w:highlight w:val="none"/>
                <w:lang w:val="en-US" w:eastAsia="zh-CN"/>
              </w:rPr>
              <w:t>20.9</w:t>
            </w:r>
          </w:p>
        </w:tc>
        <w:tc>
          <w:tcPr>
            <w:tcW w:w="907" w:type="dxa"/>
            <w:shd w:val="clear" w:color="auto" w:fill="auto"/>
            <w:noWrap/>
            <w:vAlign w:val="center"/>
          </w:tcPr>
          <w:p>
            <w:pPr>
              <w:jc w:val="center"/>
              <w:rPr>
                <w:rFonts w:hint="eastAsia" w:ascii="宋体" w:hAnsi="宋体" w:eastAsia="宋体" w:cs="宋体"/>
                <w:color w:val="auto"/>
                <w:sz w:val="18"/>
                <w:szCs w:val="18"/>
                <w:highlight w:val="none"/>
                <w:lang w:val="en-US" w:eastAsia="zh-CN"/>
              </w:rPr>
            </w:pPr>
            <w:r>
              <w:rPr>
                <w:rFonts w:hint="eastAsia"/>
                <w:color w:val="auto"/>
                <w:sz w:val="18"/>
                <w:szCs w:val="18"/>
                <w:highlight w:val="none"/>
                <w:lang w:val="en-US" w:eastAsia="zh-CN"/>
              </w:rPr>
              <w:t>19.3</w:t>
            </w:r>
          </w:p>
        </w:tc>
        <w:tc>
          <w:tcPr>
            <w:tcW w:w="907" w:type="dxa"/>
            <w:shd w:val="clear" w:color="auto" w:fill="auto"/>
            <w:noWrap/>
            <w:vAlign w:val="center"/>
          </w:tcPr>
          <w:p>
            <w:pPr>
              <w:jc w:val="center"/>
              <w:rPr>
                <w:rFonts w:hint="eastAsia" w:ascii="宋体" w:hAnsi="宋体" w:eastAsia="宋体" w:cs="宋体"/>
                <w:color w:val="auto"/>
                <w:sz w:val="18"/>
                <w:szCs w:val="18"/>
                <w:highlight w:val="none"/>
                <w:lang w:val="en-US" w:eastAsia="zh-CN"/>
              </w:rPr>
            </w:pPr>
            <w:r>
              <w:rPr>
                <w:rFonts w:hint="eastAsia"/>
                <w:color w:val="auto"/>
                <w:sz w:val="18"/>
                <w:szCs w:val="18"/>
                <w:highlight w:val="none"/>
                <w:lang w:val="en-US" w:eastAsia="zh-CN"/>
              </w:rPr>
              <w:t>19.8</w:t>
            </w:r>
          </w:p>
        </w:tc>
        <w:tc>
          <w:tcPr>
            <w:tcW w:w="906" w:type="dxa"/>
            <w:shd w:val="clear" w:color="auto" w:fill="auto"/>
            <w:noWrap/>
            <w:vAlign w:val="center"/>
          </w:tcPr>
          <w:p>
            <w:pPr>
              <w:jc w:val="center"/>
              <w:rPr>
                <w:rFonts w:hint="eastAsia" w:ascii="宋体" w:hAnsi="宋体" w:eastAsia="宋体" w:cs="宋体"/>
                <w:color w:val="auto"/>
                <w:sz w:val="18"/>
                <w:szCs w:val="18"/>
                <w:highlight w:val="none"/>
                <w:lang w:val="en-US" w:eastAsia="zh-CN"/>
              </w:rPr>
            </w:pPr>
            <w:r>
              <w:rPr>
                <w:rFonts w:hint="eastAsia"/>
                <w:color w:val="auto"/>
                <w:sz w:val="18"/>
                <w:szCs w:val="18"/>
                <w:highlight w:val="none"/>
                <w:lang w:val="en-US" w:eastAsia="zh-CN"/>
              </w:rPr>
              <w:t>12.6</w:t>
            </w:r>
          </w:p>
        </w:tc>
        <w:tc>
          <w:tcPr>
            <w:tcW w:w="907" w:type="dxa"/>
            <w:shd w:val="clear" w:color="auto" w:fill="auto"/>
            <w:noWrap/>
            <w:vAlign w:val="center"/>
          </w:tcPr>
          <w:p>
            <w:pPr>
              <w:jc w:val="center"/>
              <w:rPr>
                <w:rFonts w:hint="eastAsia" w:ascii="宋体" w:hAnsi="宋体" w:eastAsia="宋体" w:cs="宋体"/>
                <w:color w:val="auto"/>
                <w:sz w:val="18"/>
                <w:szCs w:val="18"/>
                <w:highlight w:val="none"/>
                <w:lang w:val="en-US" w:eastAsia="zh-CN"/>
              </w:rPr>
            </w:pPr>
            <w:r>
              <w:rPr>
                <w:rFonts w:hint="eastAsia"/>
                <w:color w:val="auto"/>
                <w:sz w:val="18"/>
                <w:szCs w:val="18"/>
                <w:highlight w:val="none"/>
                <w:lang w:val="en-US" w:eastAsia="zh-CN"/>
              </w:rPr>
              <w:t>12.3</w:t>
            </w:r>
          </w:p>
        </w:tc>
        <w:tc>
          <w:tcPr>
            <w:tcW w:w="907" w:type="dxa"/>
            <w:shd w:val="clear" w:color="auto" w:fill="auto"/>
            <w:noWrap/>
            <w:vAlign w:val="center"/>
          </w:tcPr>
          <w:p>
            <w:pPr>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15.7</w:t>
            </w:r>
          </w:p>
        </w:tc>
        <w:tc>
          <w:tcPr>
            <w:tcW w:w="907" w:type="dxa"/>
            <w:shd w:val="clear" w:color="auto" w:fill="auto"/>
            <w:noWrap/>
            <w:vAlign w:val="center"/>
          </w:tcPr>
          <w:p>
            <w:pPr>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12.5</w:t>
            </w:r>
          </w:p>
        </w:tc>
        <w:tc>
          <w:tcPr>
            <w:tcW w:w="907" w:type="dxa"/>
            <w:shd w:val="clear" w:color="auto" w:fill="auto"/>
            <w:noWrap/>
            <w:vAlign w:val="center"/>
          </w:tcPr>
          <w:p>
            <w:pPr>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12.8</w:t>
            </w:r>
          </w:p>
        </w:tc>
        <w:tc>
          <w:tcPr>
            <w:tcW w:w="907" w:type="dxa"/>
            <w:shd w:val="clear" w:color="auto" w:fill="auto"/>
            <w:noWrap/>
            <w:vAlign w:val="center"/>
          </w:tcPr>
          <w:p>
            <w:pPr>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22.7</w:t>
            </w:r>
          </w:p>
        </w:tc>
        <w:tc>
          <w:tcPr>
            <w:tcW w:w="907" w:type="dxa"/>
            <w:shd w:val="clear" w:color="auto" w:fill="auto"/>
            <w:noWrap/>
            <w:vAlign w:val="center"/>
          </w:tcPr>
          <w:p>
            <w:pPr>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22.4</w:t>
            </w:r>
          </w:p>
        </w:tc>
        <w:tc>
          <w:tcPr>
            <w:tcW w:w="907" w:type="dxa"/>
            <w:shd w:val="clear" w:color="auto" w:fill="auto"/>
            <w:noWrap/>
            <w:vAlign w:val="center"/>
          </w:tcPr>
          <w:p>
            <w:pPr>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21.6</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4" w:hRule="atLeast"/>
          <w:jc w:val="center"/>
        </w:trPr>
        <w:tc>
          <w:tcPr>
            <w:tcW w:w="2011" w:type="dxa"/>
            <w:shd w:val="clear" w:color="auto" w:fill="auto"/>
            <w:noWrap/>
            <w:vAlign w:val="center"/>
          </w:tcPr>
          <w:p>
            <w:pPr>
              <w:widowControl/>
              <w:jc w:val="center"/>
              <w:rPr>
                <w:color w:val="auto"/>
                <w:kern w:val="0"/>
                <w:sz w:val="18"/>
                <w:szCs w:val="15"/>
                <w:highlight w:val="none"/>
              </w:rPr>
            </w:pPr>
            <w:r>
              <w:rPr>
                <w:color w:val="auto"/>
                <w:kern w:val="0"/>
                <w:sz w:val="18"/>
                <w:szCs w:val="15"/>
                <w:highlight w:val="none"/>
              </w:rPr>
              <w:t>铅</w:t>
            </w:r>
          </w:p>
        </w:tc>
        <w:tc>
          <w:tcPr>
            <w:tcW w:w="724" w:type="dxa"/>
            <w:shd w:val="clear" w:color="auto" w:fill="auto"/>
            <w:noWrap w:val="0"/>
            <w:vAlign w:val="center"/>
          </w:tcPr>
          <w:p>
            <w:pPr>
              <w:widowControl/>
              <w:jc w:val="center"/>
              <w:rPr>
                <w:color w:val="auto"/>
                <w:kern w:val="0"/>
                <w:sz w:val="18"/>
                <w:szCs w:val="18"/>
                <w:highlight w:val="none"/>
              </w:rPr>
            </w:pPr>
            <w:r>
              <w:rPr>
                <w:color w:val="auto"/>
                <w:kern w:val="0"/>
                <w:sz w:val="18"/>
                <w:szCs w:val="18"/>
                <w:highlight w:val="none"/>
              </w:rPr>
              <w:t>800</w:t>
            </w:r>
          </w:p>
        </w:tc>
        <w:tc>
          <w:tcPr>
            <w:tcW w:w="565" w:type="dxa"/>
            <w:shd w:val="clear" w:color="auto" w:fill="auto"/>
            <w:noWrap w:val="0"/>
            <w:vAlign w:val="center"/>
          </w:tcPr>
          <w:p>
            <w:pPr>
              <w:widowControl/>
              <w:jc w:val="center"/>
              <w:rPr>
                <w:rFonts w:hint="eastAsia" w:eastAsia="宋体"/>
                <w:color w:val="auto"/>
                <w:kern w:val="0"/>
                <w:sz w:val="18"/>
                <w:szCs w:val="18"/>
                <w:highlight w:val="none"/>
                <w:lang w:val="en-US" w:eastAsia="zh-CN"/>
              </w:rPr>
            </w:pPr>
            <w:r>
              <w:rPr>
                <w:rFonts w:hint="eastAsia"/>
                <w:color w:val="auto"/>
                <w:kern w:val="0"/>
                <w:sz w:val="18"/>
                <w:szCs w:val="18"/>
                <w:highlight w:val="none"/>
                <w:lang w:val="en-US" w:eastAsia="zh-CN"/>
              </w:rPr>
              <w:t>0.1</w:t>
            </w:r>
          </w:p>
        </w:tc>
        <w:tc>
          <w:tcPr>
            <w:tcW w:w="906" w:type="dxa"/>
            <w:shd w:val="clear" w:color="auto" w:fill="auto"/>
            <w:noWrap/>
            <w:vAlign w:val="center"/>
          </w:tcPr>
          <w:p>
            <w:pPr>
              <w:widowControl/>
              <w:jc w:val="center"/>
              <w:rPr>
                <w:rFonts w:hint="eastAsia" w:ascii="宋体" w:hAnsi="宋体" w:eastAsia="宋体" w:cs="宋体"/>
                <w:color w:val="auto"/>
                <w:sz w:val="18"/>
                <w:szCs w:val="18"/>
                <w:highlight w:val="none"/>
                <w:lang w:val="en-US" w:eastAsia="zh-CN"/>
              </w:rPr>
            </w:pPr>
            <w:r>
              <w:rPr>
                <w:rFonts w:hint="eastAsia"/>
                <w:color w:val="auto"/>
                <w:kern w:val="0"/>
                <w:sz w:val="18"/>
                <w:szCs w:val="18"/>
                <w:highlight w:val="none"/>
                <w:lang w:val="en-US" w:eastAsia="zh-CN"/>
              </w:rPr>
              <w:t>15.3</w:t>
            </w:r>
          </w:p>
        </w:tc>
        <w:tc>
          <w:tcPr>
            <w:tcW w:w="907" w:type="dxa"/>
            <w:shd w:val="clear" w:color="auto" w:fill="auto"/>
            <w:noWrap/>
            <w:vAlign w:val="center"/>
          </w:tcPr>
          <w:p>
            <w:pPr>
              <w:jc w:val="center"/>
              <w:rPr>
                <w:rFonts w:hint="eastAsia" w:ascii="宋体" w:hAnsi="宋体" w:eastAsia="宋体" w:cs="宋体"/>
                <w:color w:val="auto"/>
                <w:sz w:val="18"/>
                <w:szCs w:val="18"/>
                <w:highlight w:val="none"/>
                <w:lang w:val="en-US" w:eastAsia="zh-CN"/>
              </w:rPr>
            </w:pPr>
            <w:r>
              <w:rPr>
                <w:rFonts w:hint="eastAsia"/>
                <w:color w:val="auto"/>
                <w:sz w:val="18"/>
                <w:szCs w:val="18"/>
                <w:highlight w:val="none"/>
                <w:lang w:val="en-US" w:eastAsia="zh-CN"/>
              </w:rPr>
              <w:t>16.9</w:t>
            </w:r>
          </w:p>
        </w:tc>
        <w:tc>
          <w:tcPr>
            <w:tcW w:w="907" w:type="dxa"/>
            <w:shd w:val="clear" w:color="auto" w:fill="auto"/>
            <w:noWrap/>
            <w:vAlign w:val="center"/>
          </w:tcPr>
          <w:p>
            <w:pPr>
              <w:jc w:val="center"/>
              <w:rPr>
                <w:rFonts w:hint="eastAsia" w:ascii="宋体" w:hAnsi="宋体" w:eastAsia="宋体" w:cs="宋体"/>
                <w:color w:val="auto"/>
                <w:sz w:val="18"/>
                <w:szCs w:val="18"/>
                <w:highlight w:val="none"/>
                <w:lang w:val="en-US" w:eastAsia="zh-CN"/>
              </w:rPr>
            </w:pPr>
            <w:r>
              <w:rPr>
                <w:rFonts w:hint="eastAsia"/>
                <w:color w:val="auto"/>
                <w:sz w:val="18"/>
                <w:szCs w:val="18"/>
                <w:highlight w:val="none"/>
                <w:lang w:val="en-US" w:eastAsia="zh-CN"/>
              </w:rPr>
              <w:t>13.5</w:t>
            </w:r>
          </w:p>
        </w:tc>
        <w:tc>
          <w:tcPr>
            <w:tcW w:w="907" w:type="dxa"/>
            <w:shd w:val="clear" w:color="auto" w:fill="auto"/>
            <w:noWrap/>
            <w:vAlign w:val="center"/>
          </w:tcPr>
          <w:p>
            <w:pPr>
              <w:jc w:val="center"/>
              <w:rPr>
                <w:rFonts w:hint="eastAsia" w:ascii="宋体" w:hAnsi="宋体" w:eastAsia="宋体" w:cs="宋体"/>
                <w:color w:val="auto"/>
                <w:sz w:val="18"/>
                <w:szCs w:val="18"/>
                <w:highlight w:val="none"/>
                <w:lang w:val="en-US" w:eastAsia="zh-CN"/>
              </w:rPr>
            </w:pPr>
            <w:r>
              <w:rPr>
                <w:rFonts w:hint="eastAsia"/>
                <w:color w:val="auto"/>
                <w:sz w:val="18"/>
                <w:szCs w:val="18"/>
                <w:highlight w:val="none"/>
                <w:lang w:val="en-US" w:eastAsia="zh-CN"/>
              </w:rPr>
              <w:t>16.0</w:t>
            </w:r>
          </w:p>
        </w:tc>
        <w:tc>
          <w:tcPr>
            <w:tcW w:w="906" w:type="dxa"/>
            <w:shd w:val="clear" w:color="auto" w:fill="auto"/>
            <w:noWrap/>
            <w:vAlign w:val="center"/>
          </w:tcPr>
          <w:p>
            <w:pPr>
              <w:jc w:val="center"/>
              <w:rPr>
                <w:rFonts w:hint="eastAsia" w:ascii="宋体" w:hAnsi="宋体" w:eastAsia="宋体" w:cs="宋体"/>
                <w:color w:val="auto"/>
                <w:sz w:val="18"/>
                <w:szCs w:val="18"/>
                <w:highlight w:val="none"/>
                <w:lang w:val="en-US" w:eastAsia="zh-CN"/>
              </w:rPr>
            </w:pPr>
            <w:r>
              <w:rPr>
                <w:rFonts w:hint="eastAsia"/>
                <w:color w:val="auto"/>
                <w:sz w:val="18"/>
                <w:szCs w:val="18"/>
                <w:highlight w:val="none"/>
                <w:lang w:val="en-US" w:eastAsia="zh-CN"/>
              </w:rPr>
              <w:t>14.8</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lang w:val="en-US" w:eastAsia="zh-CN"/>
              </w:rPr>
              <w:t>13.2</w:t>
            </w:r>
          </w:p>
        </w:tc>
        <w:tc>
          <w:tcPr>
            <w:tcW w:w="907" w:type="dxa"/>
            <w:shd w:val="clear" w:color="auto" w:fill="auto"/>
            <w:noWrap/>
            <w:vAlign w:val="center"/>
          </w:tcPr>
          <w:p>
            <w:pPr>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21.4</w:t>
            </w:r>
          </w:p>
        </w:tc>
        <w:tc>
          <w:tcPr>
            <w:tcW w:w="907" w:type="dxa"/>
            <w:shd w:val="clear" w:color="auto" w:fill="auto"/>
            <w:noWrap/>
            <w:vAlign w:val="center"/>
          </w:tcPr>
          <w:p>
            <w:pPr>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14.5</w:t>
            </w:r>
          </w:p>
        </w:tc>
        <w:tc>
          <w:tcPr>
            <w:tcW w:w="907" w:type="dxa"/>
            <w:shd w:val="clear" w:color="auto" w:fill="auto"/>
            <w:noWrap/>
            <w:vAlign w:val="center"/>
          </w:tcPr>
          <w:p>
            <w:pPr>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16.0</w:t>
            </w:r>
          </w:p>
        </w:tc>
        <w:tc>
          <w:tcPr>
            <w:tcW w:w="907" w:type="dxa"/>
            <w:shd w:val="clear" w:color="auto" w:fill="auto"/>
            <w:noWrap/>
            <w:vAlign w:val="center"/>
          </w:tcPr>
          <w:p>
            <w:pPr>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18.4</w:t>
            </w:r>
          </w:p>
        </w:tc>
        <w:tc>
          <w:tcPr>
            <w:tcW w:w="907" w:type="dxa"/>
            <w:shd w:val="clear" w:color="auto" w:fill="auto"/>
            <w:noWrap/>
            <w:vAlign w:val="center"/>
          </w:tcPr>
          <w:p>
            <w:pPr>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17.8</w:t>
            </w:r>
          </w:p>
        </w:tc>
        <w:tc>
          <w:tcPr>
            <w:tcW w:w="907" w:type="dxa"/>
            <w:shd w:val="clear" w:color="auto" w:fill="auto"/>
            <w:noWrap/>
            <w:vAlign w:val="center"/>
          </w:tcPr>
          <w:p>
            <w:pPr>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16.3</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4" w:hRule="atLeast"/>
          <w:jc w:val="center"/>
        </w:trPr>
        <w:tc>
          <w:tcPr>
            <w:tcW w:w="2011" w:type="dxa"/>
            <w:shd w:val="clear" w:color="auto" w:fill="auto"/>
            <w:noWrap/>
            <w:vAlign w:val="center"/>
          </w:tcPr>
          <w:p>
            <w:pPr>
              <w:widowControl/>
              <w:jc w:val="center"/>
              <w:rPr>
                <w:color w:val="auto"/>
                <w:kern w:val="0"/>
                <w:sz w:val="18"/>
                <w:szCs w:val="15"/>
                <w:highlight w:val="none"/>
              </w:rPr>
            </w:pPr>
            <w:r>
              <w:rPr>
                <w:color w:val="auto"/>
                <w:kern w:val="0"/>
                <w:sz w:val="18"/>
                <w:szCs w:val="15"/>
                <w:highlight w:val="none"/>
              </w:rPr>
              <w:t>铜</w:t>
            </w:r>
          </w:p>
        </w:tc>
        <w:tc>
          <w:tcPr>
            <w:tcW w:w="724" w:type="dxa"/>
            <w:shd w:val="clear" w:color="auto" w:fill="auto"/>
            <w:noWrap w:val="0"/>
            <w:vAlign w:val="center"/>
          </w:tcPr>
          <w:p>
            <w:pPr>
              <w:widowControl/>
              <w:jc w:val="center"/>
              <w:rPr>
                <w:color w:val="auto"/>
                <w:kern w:val="0"/>
                <w:sz w:val="18"/>
                <w:szCs w:val="18"/>
                <w:highlight w:val="none"/>
              </w:rPr>
            </w:pPr>
            <w:r>
              <w:rPr>
                <w:color w:val="auto"/>
                <w:kern w:val="0"/>
                <w:sz w:val="18"/>
                <w:szCs w:val="18"/>
                <w:highlight w:val="none"/>
              </w:rPr>
              <w:t>18000</w:t>
            </w:r>
          </w:p>
        </w:tc>
        <w:tc>
          <w:tcPr>
            <w:tcW w:w="565" w:type="dxa"/>
            <w:shd w:val="clear" w:color="auto" w:fill="auto"/>
            <w:noWrap w:val="0"/>
            <w:vAlign w:val="center"/>
          </w:tcPr>
          <w:p>
            <w:pPr>
              <w:widowControl/>
              <w:jc w:val="center"/>
              <w:rPr>
                <w:color w:val="auto"/>
                <w:kern w:val="0"/>
                <w:sz w:val="18"/>
                <w:szCs w:val="18"/>
                <w:highlight w:val="none"/>
              </w:rPr>
            </w:pPr>
            <w:r>
              <w:rPr>
                <w:color w:val="auto"/>
                <w:kern w:val="0"/>
                <w:sz w:val="18"/>
                <w:szCs w:val="18"/>
                <w:highlight w:val="none"/>
              </w:rPr>
              <w:t>0.5</w:t>
            </w:r>
          </w:p>
        </w:tc>
        <w:tc>
          <w:tcPr>
            <w:tcW w:w="906" w:type="dxa"/>
            <w:shd w:val="clear" w:color="auto" w:fill="auto"/>
            <w:noWrap/>
            <w:vAlign w:val="center"/>
          </w:tcPr>
          <w:p>
            <w:pPr>
              <w:jc w:val="center"/>
              <w:rPr>
                <w:rFonts w:hint="eastAsia" w:ascii="宋体" w:hAnsi="宋体" w:eastAsia="宋体" w:cs="宋体"/>
                <w:color w:val="auto"/>
                <w:sz w:val="18"/>
                <w:szCs w:val="18"/>
                <w:highlight w:val="none"/>
                <w:lang w:val="en-US" w:eastAsia="zh-CN"/>
              </w:rPr>
            </w:pPr>
            <w:r>
              <w:rPr>
                <w:rFonts w:hint="eastAsia"/>
                <w:color w:val="auto"/>
                <w:sz w:val="18"/>
                <w:szCs w:val="18"/>
                <w:highlight w:val="none"/>
                <w:lang w:val="en-US" w:eastAsia="zh-CN"/>
              </w:rPr>
              <w:t>34.1</w:t>
            </w:r>
          </w:p>
        </w:tc>
        <w:tc>
          <w:tcPr>
            <w:tcW w:w="907" w:type="dxa"/>
            <w:shd w:val="clear" w:color="auto" w:fill="auto"/>
            <w:noWrap/>
            <w:vAlign w:val="center"/>
          </w:tcPr>
          <w:p>
            <w:pPr>
              <w:jc w:val="center"/>
              <w:rPr>
                <w:rFonts w:hint="eastAsia" w:ascii="宋体" w:hAnsi="宋体" w:eastAsia="宋体" w:cs="宋体"/>
                <w:color w:val="auto"/>
                <w:sz w:val="18"/>
                <w:szCs w:val="18"/>
                <w:highlight w:val="none"/>
                <w:lang w:val="en-US" w:eastAsia="zh-CN"/>
              </w:rPr>
            </w:pPr>
            <w:r>
              <w:rPr>
                <w:rFonts w:hint="eastAsia"/>
                <w:color w:val="auto"/>
                <w:sz w:val="18"/>
                <w:szCs w:val="18"/>
                <w:highlight w:val="none"/>
                <w:lang w:val="en-US" w:eastAsia="zh-CN"/>
              </w:rPr>
              <w:t>45.2</w:t>
            </w:r>
          </w:p>
        </w:tc>
        <w:tc>
          <w:tcPr>
            <w:tcW w:w="907" w:type="dxa"/>
            <w:shd w:val="clear" w:color="auto" w:fill="auto"/>
            <w:noWrap/>
            <w:vAlign w:val="center"/>
          </w:tcPr>
          <w:p>
            <w:pPr>
              <w:jc w:val="center"/>
              <w:rPr>
                <w:rFonts w:hint="eastAsia" w:ascii="宋体" w:hAnsi="宋体" w:eastAsia="宋体" w:cs="宋体"/>
                <w:color w:val="auto"/>
                <w:sz w:val="18"/>
                <w:szCs w:val="18"/>
                <w:highlight w:val="none"/>
                <w:lang w:val="en-US" w:eastAsia="zh-CN"/>
              </w:rPr>
            </w:pPr>
            <w:r>
              <w:rPr>
                <w:rFonts w:hint="eastAsia"/>
                <w:color w:val="auto"/>
                <w:sz w:val="18"/>
                <w:szCs w:val="18"/>
                <w:highlight w:val="none"/>
                <w:lang w:val="en-US" w:eastAsia="zh-CN"/>
              </w:rPr>
              <w:t>29.6</w:t>
            </w:r>
          </w:p>
        </w:tc>
        <w:tc>
          <w:tcPr>
            <w:tcW w:w="907" w:type="dxa"/>
            <w:shd w:val="clear" w:color="auto" w:fill="auto"/>
            <w:noWrap/>
            <w:vAlign w:val="center"/>
          </w:tcPr>
          <w:p>
            <w:pPr>
              <w:jc w:val="center"/>
              <w:rPr>
                <w:rFonts w:hint="eastAsia" w:ascii="宋体" w:hAnsi="宋体" w:eastAsia="宋体" w:cs="宋体"/>
                <w:color w:val="auto"/>
                <w:sz w:val="18"/>
                <w:szCs w:val="18"/>
                <w:highlight w:val="none"/>
                <w:lang w:val="en-US" w:eastAsia="zh-CN"/>
              </w:rPr>
            </w:pPr>
            <w:r>
              <w:rPr>
                <w:rFonts w:hint="eastAsia"/>
                <w:color w:val="auto"/>
                <w:sz w:val="18"/>
                <w:szCs w:val="18"/>
                <w:highlight w:val="none"/>
                <w:lang w:val="en-US" w:eastAsia="zh-CN"/>
              </w:rPr>
              <w:t>32.7</w:t>
            </w:r>
          </w:p>
        </w:tc>
        <w:tc>
          <w:tcPr>
            <w:tcW w:w="906" w:type="dxa"/>
            <w:shd w:val="clear" w:color="auto" w:fill="auto"/>
            <w:noWrap/>
            <w:vAlign w:val="center"/>
          </w:tcPr>
          <w:p>
            <w:pPr>
              <w:jc w:val="center"/>
              <w:rPr>
                <w:rFonts w:hint="eastAsia" w:ascii="宋体" w:hAnsi="宋体" w:eastAsia="宋体" w:cs="宋体"/>
                <w:color w:val="auto"/>
                <w:sz w:val="18"/>
                <w:szCs w:val="18"/>
                <w:highlight w:val="none"/>
                <w:lang w:val="en-US" w:eastAsia="zh-CN"/>
              </w:rPr>
            </w:pPr>
            <w:r>
              <w:rPr>
                <w:rFonts w:hint="eastAsia"/>
                <w:color w:val="auto"/>
                <w:sz w:val="18"/>
                <w:szCs w:val="18"/>
                <w:highlight w:val="none"/>
                <w:lang w:val="en-US" w:eastAsia="zh-CN"/>
              </w:rPr>
              <w:t>45.2</w:t>
            </w:r>
          </w:p>
        </w:tc>
        <w:tc>
          <w:tcPr>
            <w:tcW w:w="907" w:type="dxa"/>
            <w:shd w:val="clear" w:color="auto" w:fill="auto"/>
            <w:noWrap/>
            <w:vAlign w:val="center"/>
          </w:tcPr>
          <w:p>
            <w:pPr>
              <w:jc w:val="center"/>
              <w:rPr>
                <w:rFonts w:hint="eastAsia" w:ascii="宋体" w:hAnsi="宋体" w:eastAsia="宋体" w:cs="宋体"/>
                <w:color w:val="auto"/>
                <w:sz w:val="18"/>
                <w:szCs w:val="18"/>
                <w:highlight w:val="none"/>
                <w:lang w:val="en-US" w:eastAsia="zh-CN"/>
              </w:rPr>
            </w:pPr>
            <w:r>
              <w:rPr>
                <w:rFonts w:hint="eastAsia"/>
                <w:color w:val="auto"/>
                <w:sz w:val="18"/>
                <w:szCs w:val="18"/>
                <w:highlight w:val="none"/>
                <w:lang w:val="en-US" w:eastAsia="zh-CN"/>
              </w:rPr>
              <w:t>29.1</w:t>
            </w:r>
          </w:p>
        </w:tc>
        <w:tc>
          <w:tcPr>
            <w:tcW w:w="907" w:type="dxa"/>
            <w:shd w:val="clear" w:color="auto" w:fill="auto"/>
            <w:noWrap/>
            <w:vAlign w:val="center"/>
          </w:tcPr>
          <w:p>
            <w:pPr>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52.5</w:t>
            </w:r>
          </w:p>
        </w:tc>
        <w:tc>
          <w:tcPr>
            <w:tcW w:w="907" w:type="dxa"/>
            <w:shd w:val="clear" w:color="auto" w:fill="auto"/>
            <w:noWrap/>
            <w:vAlign w:val="center"/>
          </w:tcPr>
          <w:p>
            <w:pPr>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50.3</w:t>
            </w:r>
          </w:p>
        </w:tc>
        <w:tc>
          <w:tcPr>
            <w:tcW w:w="907" w:type="dxa"/>
            <w:shd w:val="clear" w:color="auto" w:fill="auto"/>
            <w:noWrap/>
            <w:vAlign w:val="center"/>
          </w:tcPr>
          <w:p>
            <w:pPr>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44.1</w:t>
            </w:r>
          </w:p>
        </w:tc>
        <w:tc>
          <w:tcPr>
            <w:tcW w:w="907" w:type="dxa"/>
            <w:shd w:val="clear" w:color="auto" w:fill="auto"/>
            <w:noWrap/>
            <w:vAlign w:val="center"/>
          </w:tcPr>
          <w:p>
            <w:pPr>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53.1</w:t>
            </w:r>
          </w:p>
        </w:tc>
        <w:tc>
          <w:tcPr>
            <w:tcW w:w="907" w:type="dxa"/>
            <w:shd w:val="clear" w:color="auto" w:fill="auto"/>
            <w:noWrap/>
            <w:vAlign w:val="center"/>
          </w:tcPr>
          <w:p>
            <w:pPr>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40.6</w:t>
            </w:r>
          </w:p>
        </w:tc>
        <w:tc>
          <w:tcPr>
            <w:tcW w:w="907" w:type="dxa"/>
            <w:shd w:val="clear" w:color="auto" w:fill="auto"/>
            <w:noWrap/>
            <w:vAlign w:val="center"/>
          </w:tcPr>
          <w:p>
            <w:pPr>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35.8</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4" w:hRule="atLeast"/>
          <w:jc w:val="center"/>
        </w:trPr>
        <w:tc>
          <w:tcPr>
            <w:tcW w:w="2011" w:type="dxa"/>
            <w:shd w:val="clear" w:color="auto" w:fill="auto"/>
            <w:noWrap/>
            <w:vAlign w:val="center"/>
          </w:tcPr>
          <w:p>
            <w:pPr>
              <w:widowControl/>
              <w:jc w:val="center"/>
              <w:rPr>
                <w:color w:val="auto"/>
                <w:kern w:val="0"/>
                <w:sz w:val="18"/>
                <w:szCs w:val="15"/>
                <w:highlight w:val="none"/>
              </w:rPr>
            </w:pPr>
            <w:r>
              <w:rPr>
                <w:color w:val="auto"/>
                <w:kern w:val="0"/>
                <w:sz w:val="18"/>
                <w:szCs w:val="15"/>
                <w:highlight w:val="none"/>
              </w:rPr>
              <w:t>镉</w:t>
            </w:r>
          </w:p>
        </w:tc>
        <w:tc>
          <w:tcPr>
            <w:tcW w:w="724" w:type="dxa"/>
            <w:shd w:val="clear" w:color="auto" w:fill="auto"/>
            <w:noWrap w:val="0"/>
            <w:vAlign w:val="center"/>
          </w:tcPr>
          <w:p>
            <w:pPr>
              <w:widowControl/>
              <w:jc w:val="center"/>
              <w:rPr>
                <w:color w:val="auto"/>
                <w:kern w:val="0"/>
                <w:sz w:val="18"/>
                <w:szCs w:val="18"/>
                <w:highlight w:val="none"/>
              </w:rPr>
            </w:pPr>
            <w:r>
              <w:rPr>
                <w:color w:val="auto"/>
                <w:kern w:val="0"/>
                <w:sz w:val="18"/>
                <w:szCs w:val="18"/>
                <w:highlight w:val="none"/>
              </w:rPr>
              <w:t>65</w:t>
            </w:r>
          </w:p>
        </w:tc>
        <w:tc>
          <w:tcPr>
            <w:tcW w:w="565" w:type="dxa"/>
            <w:shd w:val="clear" w:color="auto" w:fill="auto"/>
            <w:noWrap w:val="0"/>
            <w:vAlign w:val="center"/>
          </w:tcPr>
          <w:p>
            <w:pPr>
              <w:widowControl/>
              <w:jc w:val="center"/>
              <w:rPr>
                <w:color w:val="auto"/>
                <w:kern w:val="0"/>
                <w:sz w:val="18"/>
                <w:szCs w:val="18"/>
                <w:highlight w:val="none"/>
              </w:rPr>
            </w:pPr>
            <w:r>
              <w:rPr>
                <w:color w:val="auto"/>
                <w:kern w:val="0"/>
                <w:sz w:val="18"/>
                <w:szCs w:val="18"/>
                <w:highlight w:val="none"/>
              </w:rPr>
              <w:t>0.01</w:t>
            </w:r>
          </w:p>
        </w:tc>
        <w:tc>
          <w:tcPr>
            <w:tcW w:w="906" w:type="dxa"/>
            <w:shd w:val="clear" w:color="auto" w:fill="auto"/>
            <w:noWrap/>
            <w:vAlign w:val="center"/>
          </w:tcPr>
          <w:p>
            <w:pPr>
              <w:jc w:val="center"/>
              <w:rPr>
                <w:rFonts w:hint="eastAsia" w:ascii="宋体" w:hAnsi="宋体" w:eastAsia="宋体" w:cs="宋体"/>
                <w:color w:val="auto"/>
                <w:sz w:val="18"/>
                <w:szCs w:val="18"/>
                <w:highlight w:val="none"/>
                <w:lang w:val="en-US" w:eastAsia="zh-CN"/>
              </w:rPr>
            </w:pPr>
            <w:r>
              <w:rPr>
                <w:rFonts w:hint="eastAsia"/>
                <w:color w:val="auto"/>
                <w:sz w:val="18"/>
                <w:szCs w:val="18"/>
                <w:highlight w:val="none"/>
                <w:lang w:val="en-US" w:eastAsia="zh-CN"/>
              </w:rPr>
              <w:t>4.27</w:t>
            </w:r>
          </w:p>
        </w:tc>
        <w:tc>
          <w:tcPr>
            <w:tcW w:w="907" w:type="dxa"/>
            <w:shd w:val="clear" w:color="auto" w:fill="auto"/>
            <w:noWrap/>
            <w:vAlign w:val="center"/>
          </w:tcPr>
          <w:p>
            <w:pPr>
              <w:jc w:val="center"/>
              <w:rPr>
                <w:rFonts w:hint="eastAsia" w:ascii="宋体" w:hAnsi="宋体" w:eastAsia="宋体" w:cs="宋体"/>
                <w:color w:val="auto"/>
                <w:sz w:val="18"/>
                <w:szCs w:val="18"/>
                <w:highlight w:val="none"/>
                <w:lang w:val="en-US" w:eastAsia="zh-CN"/>
              </w:rPr>
            </w:pPr>
            <w:r>
              <w:rPr>
                <w:rFonts w:hint="eastAsia"/>
                <w:color w:val="auto"/>
                <w:sz w:val="18"/>
                <w:szCs w:val="18"/>
                <w:highlight w:val="none"/>
                <w:lang w:val="en-US" w:eastAsia="zh-CN"/>
              </w:rPr>
              <w:t>3.29</w:t>
            </w:r>
          </w:p>
        </w:tc>
        <w:tc>
          <w:tcPr>
            <w:tcW w:w="907" w:type="dxa"/>
            <w:shd w:val="clear" w:color="auto" w:fill="auto"/>
            <w:noWrap/>
            <w:vAlign w:val="center"/>
          </w:tcPr>
          <w:p>
            <w:pPr>
              <w:jc w:val="center"/>
              <w:rPr>
                <w:rFonts w:hint="eastAsia" w:ascii="宋体" w:hAnsi="宋体" w:eastAsia="宋体" w:cs="宋体"/>
                <w:color w:val="auto"/>
                <w:sz w:val="18"/>
                <w:szCs w:val="18"/>
                <w:highlight w:val="none"/>
                <w:lang w:val="en-US" w:eastAsia="zh-CN"/>
              </w:rPr>
            </w:pPr>
            <w:r>
              <w:rPr>
                <w:rFonts w:hint="eastAsia"/>
                <w:color w:val="auto"/>
                <w:sz w:val="18"/>
                <w:szCs w:val="18"/>
                <w:highlight w:val="none"/>
                <w:lang w:val="en-US" w:eastAsia="zh-CN"/>
              </w:rPr>
              <w:t>2.79</w:t>
            </w:r>
          </w:p>
        </w:tc>
        <w:tc>
          <w:tcPr>
            <w:tcW w:w="907" w:type="dxa"/>
            <w:shd w:val="clear" w:color="auto" w:fill="auto"/>
            <w:noWrap/>
            <w:vAlign w:val="center"/>
          </w:tcPr>
          <w:p>
            <w:pPr>
              <w:jc w:val="center"/>
              <w:rPr>
                <w:rFonts w:hint="eastAsia" w:ascii="宋体" w:hAnsi="宋体" w:eastAsia="宋体" w:cs="宋体"/>
                <w:color w:val="auto"/>
                <w:sz w:val="18"/>
                <w:szCs w:val="18"/>
                <w:highlight w:val="none"/>
                <w:lang w:val="en-US" w:eastAsia="zh-CN"/>
              </w:rPr>
            </w:pPr>
            <w:r>
              <w:rPr>
                <w:rFonts w:hint="eastAsia"/>
                <w:color w:val="auto"/>
                <w:sz w:val="18"/>
                <w:szCs w:val="18"/>
                <w:highlight w:val="none"/>
                <w:lang w:val="en-US" w:eastAsia="zh-CN"/>
              </w:rPr>
              <w:t>4.07</w:t>
            </w:r>
          </w:p>
        </w:tc>
        <w:tc>
          <w:tcPr>
            <w:tcW w:w="906" w:type="dxa"/>
            <w:shd w:val="clear" w:color="auto" w:fill="auto"/>
            <w:noWrap/>
            <w:vAlign w:val="center"/>
          </w:tcPr>
          <w:p>
            <w:pPr>
              <w:jc w:val="center"/>
              <w:rPr>
                <w:rFonts w:hint="eastAsia" w:ascii="宋体" w:hAnsi="宋体" w:eastAsia="宋体" w:cs="宋体"/>
                <w:color w:val="auto"/>
                <w:sz w:val="18"/>
                <w:szCs w:val="18"/>
                <w:highlight w:val="none"/>
                <w:lang w:val="en-US" w:eastAsia="zh-CN"/>
              </w:rPr>
            </w:pPr>
            <w:r>
              <w:rPr>
                <w:rFonts w:hint="eastAsia"/>
                <w:color w:val="auto"/>
                <w:sz w:val="18"/>
                <w:szCs w:val="18"/>
                <w:highlight w:val="none"/>
                <w:lang w:val="en-US" w:eastAsia="zh-CN"/>
              </w:rPr>
              <w:t>3.40</w:t>
            </w:r>
          </w:p>
        </w:tc>
        <w:tc>
          <w:tcPr>
            <w:tcW w:w="907" w:type="dxa"/>
            <w:shd w:val="clear" w:color="auto" w:fill="auto"/>
            <w:noWrap/>
            <w:vAlign w:val="center"/>
          </w:tcPr>
          <w:p>
            <w:pPr>
              <w:jc w:val="center"/>
              <w:rPr>
                <w:rFonts w:hint="eastAsia" w:ascii="宋体" w:hAnsi="宋体" w:eastAsia="宋体" w:cs="宋体"/>
                <w:color w:val="auto"/>
                <w:sz w:val="18"/>
                <w:szCs w:val="18"/>
                <w:highlight w:val="none"/>
                <w:lang w:val="en-US" w:eastAsia="zh-CN"/>
              </w:rPr>
            </w:pPr>
            <w:r>
              <w:rPr>
                <w:rFonts w:hint="eastAsia"/>
                <w:color w:val="auto"/>
                <w:sz w:val="18"/>
                <w:szCs w:val="18"/>
                <w:highlight w:val="none"/>
                <w:lang w:val="en-US" w:eastAsia="zh-CN"/>
              </w:rPr>
              <w:t>4.21</w:t>
            </w:r>
          </w:p>
        </w:tc>
        <w:tc>
          <w:tcPr>
            <w:tcW w:w="907" w:type="dxa"/>
            <w:shd w:val="clear" w:color="auto" w:fill="auto"/>
            <w:noWrap/>
            <w:vAlign w:val="center"/>
          </w:tcPr>
          <w:p>
            <w:pPr>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7.18</w:t>
            </w:r>
          </w:p>
        </w:tc>
        <w:tc>
          <w:tcPr>
            <w:tcW w:w="907" w:type="dxa"/>
            <w:shd w:val="clear" w:color="auto" w:fill="auto"/>
            <w:noWrap/>
            <w:vAlign w:val="center"/>
          </w:tcPr>
          <w:p>
            <w:pPr>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6.84</w:t>
            </w:r>
          </w:p>
        </w:tc>
        <w:tc>
          <w:tcPr>
            <w:tcW w:w="907" w:type="dxa"/>
            <w:shd w:val="clear" w:color="auto" w:fill="auto"/>
            <w:noWrap/>
            <w:vAlign w:val="center"/>
          </w:tcPr>
          <w:p>
            <w:pPr>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6.15</w:t>
            </w:r>
          </w:p>
        </w:tc>
        <w:tc>
          <w:tcPr>
            <w:tcW w:w="907" w:type="dxa"/>
            <w:shd w:val="clear" w:color="auto" w:fill="auto"/>
            <w:noWrap/>
            <w:vAlign w:val="center"/>
          </w:tcPr>
          <w:p>
            <w:pPr>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6.02</w:t>
            </w:r>
          </w:p>
        </w:tc>
        <w:tc>
          <w:tcPr>
            <w:tcW w:w="907" w:type="dxa"/>
            <w:shd w:val="clear" w:color="auto" w:fill="auto"/>
            <w:noWrap/>
            <w:vAlign w:val="center"/>
          </w:tcPr>
          <w:p>
            <w:pPr>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5.88</w:t>
            </w:r>
          </w:p>
        </w:tc>
        <w:tc>
          <w:tcPr>
            <w:tcW w:w="907" w:type="dxa"/>
            <w:shd w:val="clear" w:color="auto" w:fill="auto"/>
            <w:noWrap/>
            <w:vAlign w:val="center"/>
          </w:tcPr>
          <w:p>
            <w:pPr>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5.17</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4" w:hRule="atLeast"/>
          <w:jc w:val="center"/>
        </w:trPr>
        <w:tc>
          <w:tcPr>
            <w:tcW w:w="2011" w:type="dxa"/>
            <w:shd w:val="clear" w:color="auto" w:fill="auto"/>
            <w:noWrap/>
            <w:vAlign w:val="center"/>
          </w:tcPr>
          <w:p>
            <w:pPr>
              <w:widowControl/>
              <w:jc w:val="center"/>
              <w:rPr>
                <w:color w:val="auto"/>
                <w:kern w:val="0"/>
                <w:sz w:val="18"/>
                <w:szCs w:val="15"/>
                <w:highlight w:val="none"/>
              </w:rPr>
            </w:pPr>
            <w:r>
              <w:rPr>
                <w:color w:val="auto"/>
                <w:kern w:val="0"/>
                <w:sz w:val="18"/>
                <w:szCs w:val="15"/>
                <w:highlight w:val="none"/>
              </w:rPr>
              <w:t>汞</w:t>
            </w:r>
          </w:p>
        </w:tc>
        <w:tc>
          <w:tcPr>
            <w:tcW w:w="724" w:type="dxa"/>
            <w:shd w:val="clear" w:color="auto" w:fill="auto"/>
            <w:noWrap w:val="0"/>
            <w:vAlign w:val="center"/>
          </w:tcPr>
          <w:p>
            <w:pPr>
              <w:widowControl/>
              <w:jc w:val="center"/>
              <w:rPr>
                <w:color w:val="auto"/>
                <w:kern w:val="0"/>
                <w:sz w:val="18"/>
                <w:szCs w:val="18"/>
                <w:highlight w:val="none"/>
              </w:rPr>
            </w:pPr>
            <w:r>
              <w:rPr>
                <w:color w:val="auto"/>
                <w:kern w:val="0"/>
                <w:sz w:val="18"/>
                <w:szCs w:val="18"/>
                <w:highlight w:val="none"/>
              </w:rPr>
              <w:t>38</w:t>
            </w:r>
          </w:p>
        </w:tc>
        <w:tc>
          <w:tcPr>
            <w:tcW w:w="565" w:type="dxa"/>
            <w:shd w:val="clear" w:color="auto" w:fill="auto"/>
            <w:noWrap w:val="0"/>
            <w:vAlign w:val="center"/>
          </w:tcPr>
          <w:p>
            <w:pPr>
              <w:widowControl/>
              <w:jc w:val="center"/>
              <w:rPr>
                <w:color w:val="auto"/>
                <w:kern w:val="0"/>
                <w:sz w:val="18"/>
                <w:szCs w:val="18"/>
                <w:highlight w:val="none"/>
              </w:rPr>
            </w:pPr>
            <w:r>
              <w:rPr>
                <w:color w:val="auto"/>
                <w:kern w:val="0"/>
                <w:sz w:val="18"/>
                <w:szCs w:val="18"/>
                <w:highlight w:val="none"/>
              </w:rPr>
              <w:t>0.05</w:t>
            </w:r>
          </w:p>
        </w:tc>
        <w:tc>
          <w:tcPr>
            <w:tcW w:w="906" w:type="dxa"/>
            <w:shd w:val="clear" w:color="auto" w:fill="auto"/>
            <w:noWrap/>
            <w:vAlign w:val="center"/>
          </w:tcPr>
          <w:p>
            <w:pPr>
              <w:jc w:val="center"/>
              <w:rPr>
                <w:rFonts w:hint="eastAsia" w:ascii="宋体" w:hAnsi="宋体" w:eastAsia="宋体" w:cs="宋体"/>
                <w:color w:val="auto"/>
                <w:sz w:val="18"/>
                <w:szCs w:val="18"/>
                <w:highlight w:val="none"/>
                <w:lang w:val="en-US" w:eastAsia="zh-CN"/>
              </w:rPr>
            </w:pPr>
            <w:r>
              <w:rPr>
                <w:rFonts w:hint="eastAsia"/>
                <w:color w:val="auto"/>
                <w:sz w:val="18"/>
                <w:szCs w:val="18"/>
                <w:highlight w:val="none"/>
                <w:lang w:val="en-US" w:eastAsia="zh-CN"/>
              </w:rPr>
              <w:t>1.14</w:t>
            </w:r>
          </w:p>
        </w:tc>
        <w:tc>
          <w:tcPr>
            <w:tcW w:w="907" w:type="dxa"/>
            <w:shd w:val="clear" w:color="auto" w:fill="auto"/>
            <w:noWrap/>
            <w:vAlign w:val="center"/>
          </w:tcPr>
          <w:p>
            <w:pPr>
              <w:jc w:val="center"/>
              <w:rPr>
                <w:rFonts w:hint="eastAsia" w:ascii="宋体" w:hAnsi="宋体" w:eastAsia="宋体" w:cs="宋体"/>
                <w:color w:val="auto"/>
                <w:sz w:val="18"/>
                <w:szCs w:val="18"/>
                <w:highlight w:val="none"/>
                <w:lang w:val="en-US" w:eastAsia="zh-CN"/>
              </w:rPr>
            </w:pPr>
            <w:r>
              <w:rPr>
                <w:rFonts w:hint="eastAsia"/>
                <w:color w:val="auto"/>
                <w:sz w:val="18"/>
                <w:szCs w:val="18"/>
                <w:highlight w:val="none"/>
                <w:lang w:val="en-US" w:eastAsia="zh-CN"/>
              </w:rPr>
              <w:t>0.961</w:t>
            </w:r>
          </w:p>
        </w:tc>
        <w:tc>
          <w:tcPr>
            <w:tcW w:w="907" w:type="dxa"/>
            <w:shd w:val="clear" w:color="auto" w:fill="auto"/>
            <w:noWrap/>
            <w:vAlign w:val="center"/>
          </w:tcPr>
          <w:p>
            <w:pPr>
              <w:jc w:val="center"/>
              <w:rPr>
                <w:rFonts w:hint="eastAsia" w:ascii="宋体" w:hAnsi="宋体" w:eastAsia="宋体" w:cs="宋体"/>
                <w:color w:val="auto"/>
                <w:sz w:val="18"/>
                <w:szCs w:val="18"/>
                <w:highlight w:val="none"/>
                <w:lang w:val="en-US" w:eastAsia="zh-CN"/>
              </w:rPr>
            </w:pPr>
            <w:r>
              <w:rPr>
                <w:rFonts w:hint="eastAsia"/>
                <w:color w:val="auto"/>
                <w:sz w:val="18"/>
                <w:szCs w:val="18"/>
                <w:highlight w:val="none"/>
                <w:lang w:val="en-US" w:eastAsia="zh-CN"/>
              </w:rPr>
              <w:t>0.897</w:t>
            </w:r>
          </w:p>
        </w:tc>
        <w:tc>
          <w:tcPr>
            <w:tcW w:w="907" w:type="dxa"/>
            <w:shd w:val="clear" w:color="auto" w:fill="auto"/>
            <w:noWrap/>
            <w:vAlign w:val="center"/>
          </w:tcPr>
          <w:p>
            <w:pPr>
              <w:jc w:val="center"/>
              <w:rPr>
                <w:rFonts w:hint="eastAsia" w:ascii="宋体" w:hAnsi="宋体" w:eastAsia="宋体" w:cs="宋体"/>
                <w:color w:val="auto"/>
                <w:sz w:val="18"/>
                <w:szCs w:val="18"/>
                <w:highlight w:val="none"/>
                <w:lang w:val="en-US" w:eastAsia="zh-CN"/>
              </w:rPr>
            </w:pPr>
            <w:r>
              <w:rPr>
                <w:rFonts w:hint="eastAsia"/>
                <w:color w:val="auto"/>
                <w:sz w:val="18"/>
                <w:szCs w:val="18"/>
                <w:highlight w:val="none"/>
                <w:lang w:val="en-US" w:eastAsia="zh-CN"/>
              </w:rPr>
              <w:t>0.761</w:t>
            </w:r>
          </w:p>
        </w:tc>
        <w:tc>
          <w:tcPr>
            <w:tcW w:w="906" w:type="dxa"/>
            <w:shd w:val="clear" w:color="auto" w:fill="auto"/>
            <w:noWrap/>
            <w:vAlign w:val="center"/>
          </w:tcPr>
          <w:p>
            <w:pPr>
              <w:jc w:val="center"/>
              <w:rPr>
                <w:rFonts w:hint="eastAsia" w:ascii="宋体" w:hAnsi="宋体" w:eastAsia="宋体" w:cs="宋体"/>
                <w:color w:val="auto"/>
                <w:sz w:val="18"/>
                <w:szCs w:val="18"/>
                <w:highlight w:val="none"/>
                <w:lang w:val="en-US" w:eastAsia="zh-CN"/>
              </w:rPr>
            </w:pPr>
            <w:r>
              <w:rPr>
                <w:rFonts w:hint="eastAsia"/>
                <w:color w:val="auto"/>
                <w:sz w:val="18"/>
                <w:szCs w:val="18"/>
                <w:highlight w:val="none"/>
                <w:lang w:val="en-US" w:eastAsia="zh-CN"/>
              </w:rPr>
              <w:t>0.693</w:t>
            </w:r>
          </w:p>
        </w:tc>
        <w:tc>
          <w:tcPr>
            <w:tcW w:w="907" w:type="dxa"/>
            <w:shd w:val="clear" w:color="auto" w:fill="auto"/>
            <w:noWrap/>
            <w:vAlign w:val="center"/>
          </w:tcPr>
          <w:p>
            <w:pPr>
              <w:jc w:val="center"/>
              <w:rPr>
                <w:rFonts w:hint="eastAsia" w:ascii="宋体" w:hAnsi="宋体" w:eastAsia="宋体" w:cs="宋体"/>
                <w:color w:val="auto"/>
                <w:sz w:val="18"/>
                <w:szCs w:val="18"/>
                <w:highlight w:val="none"/>
                <w:lang w:val="en-US" w:eastAsia="zh-CN"/>
              </w:rPr>
            </w:pPr>
            <w:r>
              <w:rPr>
                <w:rFonts w:hint="eastAsia"/>
                <w:color w:val="auto"/>
                <w:sz w:val="18"/>
                <w:szCs w:val="18"/>
                <w:highlight w:val="none"/>
              </w:rPr>
              <w:t>0.</w:t>
            </w:r>
            <w:r>
              <w:rPr>
                <w:rFonts w:hint="eastAsia"/>
                <w:color w:val="auto"/>
                <w:sz w:val="18"/>
                <w:szCs w:val="18"/>
                <w:highlight w:val="none"/>
                <w:lang w:val="en-US" w:eastAsia="zh-CN"/>
              </w:rPr>
              <w:t>668</w:t>
            </w:r>
          </w:p>
        </w:tc>
        <w:tc>
          <w:tcPr>
            <w:tcW w:w="907" w:type="dxa"/>
            <w:shd w:val="clear" w:color="auto" w:fill="auto"/>
            <w:noWrap/>
            <w:vAlign w:val="center"/>
          </w:tcPr>
          <w:p>
            <w:pPr>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0.942</w:t>
            </w:r>
          </w:p>
        </w:tc>
        <w:tc>
          <w:tcPr>
            <w:tcW w:w="907" w:type="dxa"/>
            <w:shd w:val="clear" w:color="auto" w:fill="auto"/>
            <w:noWrap/>
            <w:vAlign w:val="center"/>
          </w:tcPr>
          <w:p>
            <w:pPr>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0.875</w:t>
            </w:r>
          </w:p>
        </w:tc>
        <w:tc>
          <w:tcPr>
            <w:tcW w:w="907" w:type="dxa"/>
            <w:shd w:val="clear" w:color="auto" w:fill="auto"/>
            <w:noWrap/>
            <w:vAlign w:val="center"/>
          </w:tcPr>
          <w:p>
            <w:pPr>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0.726</w:t>
            </w:r>
          </w:p>
        </w:tc>
        <w:tc>
          <w:tcPr>
            <w:tcW w:w="907" w:type="dxa"/>
            <w:shd w:val="clear" w:color="auto" w:fill="auto"/>
            <w:noWrap/>
            <w:vAlign w:val="center"/>
          </w:tcPr>
          <w:p>
            <w:pPr>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0.694</w:t>
            </w:r>
          </w:p>
        </w:tc>
        <w:tc>
          <w:tcPr>
            <w:tcW w:w="907" w:type="dxa"/>
            <w:shd w:val="clear" w:color="auto" w:fill="auto"/>
            <w:noWrap/>
            <w:vAlign w:val="center"/>
          </w:tcPr>
          <w:p>
            <w:pPr>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0.608</w:t>
            </w:r>
          </w:p>
        </w:tc>
        <w:tc>
          <w:tcPr>
            <w:tcW w:w="907" w:type="dxa"/>
            <w:shd w:val="clear" w:color="auto" w:fill="auto"/>
            <w:noWrap/>
            <w:vAlign w:val="center"/>
          </w:tcPr>
          <w:p>
            <w:pPr>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0.721</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4" w:hRule="atLeast"/>
          <w:jc w:val="center"/>
        </w:trPr>
        <w:tc>
          <w:tcPr>
            <w:tcW w:w="2011" w:type="dxa"/>
            <w:shd w:val="clear" w:color="auto" w:fill="auto"/>
            <w:noWrap/>
            <w:vAlign w:val="center"/>
          </w:tcPr>
          <w:p>
            <w:pPr>
              <w:widowControl/>
              <w:jc w:val="center"/>
              <w:rPr>
                <w:color w:val="auto"/>
                <w:kern w:val="0"/>
                <w:sz w:val="18"/>
                <w:szCs w:val="15"/>
                <w:highlight w:val="none"/>
              </w:rPr>
            </w:pPr>
            <w:r>
              <w:rPr>
                <w:color w:val="auto"/>
                <w:kern w:val="0"/>
                <w:sz w:val="18"/>
                <w:szCs w:val="15"/>
                <w:highlight w:val="none"/>
              </w:rPr>
              <w:t>苯胺</w:t>
            </w:r>
          </w:p>
        </w:tc>
        <w:tc>
          <w:tcPr>
            <w:tcW w:w="724" w:type="dxa"/>
            <w:shd w:val="clear" w:color="auto" w:fill="auto"/>
            <w:noWrap w:val="0"/>
            <w:vAlign w:val="center"/>
          </w:tcPr>
          <w:p>
            <w:pPr>
              <w:widowControl/>
              <w:jc w:val="center"/>
              <w:rPr>
                <w:color w:val="auto"/>
                <w:kern w:val="0"/>
                <w:sz w:val="18"/>
                <w:szCs w:val="18"/>
                <w:highlight w:val="none"/>
              </w:rPr>
            </w:pPr>
            <w:r>
              <w:rPr>
                <w:color w:val="auto"/>
                <w:kern w:val="0"/>
                <w:sz w:val="18"/>
                <w:szCs w:val="18"/>
                <w:highlight w:val="none"/>
              </w:rPr>
              <w:t>260</w:t>
            </w:r>
          </w:p>
        </w:tc>
        <w:tc>
          <w:tcPr>
            <w:tcW w:w="565" w:type="dxa"/>
            <w:shd w:val="clear" w:color="auto" w:fill="auto"/>
            <w:noWrap w:val="0"/>
            <w:vAlign w:val="center"/>
          </w:tcPr>
          <w:p>
            <w:pPr>
              <w:widowControl/>
              <w:jc w:val="center"/>
              <w:rPr>
                <w:color w:val="auto"/>
                <w:kern w:val="0"/>
                <w:sz w:val="18"/>
                <w:szCs w:val="18"/>
                <w:highlight w:val="none"/>
              </w:rPr>
            </w:pPr>
            <w:r>
              <w:rPr>
                <w:color w:val="auto"/>
                <w:kern w:val="0"/>
                <w:sz w:val="18"/>
                <w:szCs w:val="18"/>
                <w:highlight w:val="none"/>
              </w:rPr>
              <w:t>0.1</w:t>
            </w:r>
          </w:p>
        </w:tc>
        <w:tc>
          <w:tcPr>
            <w:tcW w:w="906"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6"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4" w:hRule="atLeast"/>
          <w:jc w:val="center"/>
        </w:trPr>
        <w:tc>
          <w:tcPr>
            <w:tcW w:w="2011" w:type="dxa"/>
            <w:shd w:val="clear" w:color="auto" w:fill="auto"/>
            <w:noWrap/>
            <w:vAlign w:val="center"/>
          </w:tcPr>
          <w:p>
            <w:pPr>
              <w:widowControl/>
              <w:jc w:val="center"/>
              <w:rPr>
                <w:color w:val="auto"/>
                <w:kern w:val="0"/>
                <w:sz w:val="18"/>
                <w:szCs w:val="15"/>
                <w:highlight w:val="none"/>
              </w:rPr>
            </w:pPr>
            <w:r>
              <w:rPr>
                <w:color w:val="auto"/>
                <w:kern w:val="0"/>
                <w:sz w:val="18"/>
                <w:szCs w:val="15"/>
                <w:highlight w:val="none"/>
              </w:rPr>
              <w:t>1，2－二氯丙烷</w:t>
            </w:r>
          </w:p>
        </w:tc>
        <w:tc>
          <w:tcPr>
            <w:tcW w:w="724" w:type="dxa"/>
            <w:shd w:val="clear" w:color="auto" w:fill="auto"/>
            <w:noWrap w:val="0"/>
            <w:vAlign w:val="center"/>
          </w:tcPr>
          <w:p>
            <w:pPr>
              <w:widowControl/>
              <w:jc w:val="center"/>
              <w:rPr>
                <w:color w:val="auto"/>
                <w:kern w:val="0"/>
                <w:sz w:val="18"/>
                <w:szCs w:val="18"/>
                <w:highlight w:val="none"/>
              </w:rPr>
            </w:pPr>
            <w:r>
              <w:rPr>
                <w:rFonts w:hint="eastAsia"/>
                <w:color w:val="auto"/>
                <w:kern w:val="0"/>
                <w:sz w:val="18"/>
                <w:szCs w:val="18"/>
                <w:highlight w:val="none"/>
              </w:rPr>
              <w:t>5</w:t>
            </w:r>
          </w:p>
        </w:tc>
        <w:tc>
          <w:tcPr>
            <w:tcW w:w="565" w:type="dxa"/>
            <w:shd w:val="clear" w:color="auto" w:fill="auto"/>
            <w:noWrap w:val="0"/>
            <w:vAlign w:val="center"/>
          </w:tcPr>
          <w:p>
            <w:pPr>
              <w:widowControl/>
              <w:jc w:val="center"/>
              <w:rPr>
                <w:color w:val="auto"/>
                <w:kern w:val="0"/>
                <w:sz w:val="18"/>
                <w:szCs w:val="18"/>
                <w:highlight w:val="none"/>
              </w:rPr>
            </w:pPr>
            <w:r>
              <w:rPr>
                <w:color w:val="auto"/>
                <w:kern w:val="0"/>
                <w:sz w:val="18"/>
                <w:szCs w:val="18"/>
                <w:highlight w:val="none"/>
              </w:rPr>
              <w:t>0.05</w:t>
            </w:r>
          </w:p>
        </w:tc>
        <w:tc>
          <w:tcPr>
            <w:tcW w:w="906"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6"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4" w:hRule="atLeast"/>
          <w:jc w:val="center"/>
        </w:trPr>
        <w:tc>
          <w:tcPr>
            <w:tcW w:w="2011" w:type="dxa"/>
            <w:shd w:val="clear" w:color="auto" w:fill="auto"/>
            <w:noWrap/>
            <w:vAlign w:val="center"/>
          </w:tcPr>
          <w:p>
            <w:pPr>
              <w:widowControl/>
              <w:jc w:val="center"/>
              <w:rPr>
                <w:color w:val="auto"/>
                <w:kern w:val="0"/>
                <w:sz w:val="18"/>
                <w:szCs w:val="15"/>
                <w:highlight w:val="none"/>
              </w:rPr>
            </w:pPr>
            <w:r>
              <w:rPr>
                <w:color w:val="auto"/>
                <w:kern w:val="0"/>
                <w:sz w:val="18"/>
                <w:szCs w:val="15"/>
                <w:highlight w:val="none"/>
              </w:rPr>
              <w:t>氯甲烷</w:t>
            </w:r>
          </w:p>
        </w:tc>
        <w:tc>
          <w:tcPr>
            <w:tcW w:w="724" w:type="dxa"/>
            <w:shd w:val="clear" w:color="auto" w:fill="auto"/>
            <w:noWrap w:val="0"/>
            <w:vAlign w:val="center"/>
          </w:tcPr>
          <w:p>
            <w:pPr>
              <w:widowControl/>
              <w:jc w:val="center"/>
              <w:rPr>
                <w:color w:val="auto"/>
                <w:kern w:val="0"/>
                <w:sz w:val="18"/>
                <w:szCs w:val="18"/>
                <w:highlight w:val="none"/>
              </w:rPr>
            </w:pPr>
            <w:r>
              <w:rPr>
                <w:color w:val="auto"/>
                <w:kern w:val="0"/>
                <w:sz w:val="18"/>
                <w:szCs w:val="18"/>
                <w:highlight w:val="none"/>
              </w:rPr>
              <w:t>37</w:t>
            </w:r>
          </w:p>
        </w:tc>
        <w:tc>
          <w:tcPr>
            <w:tcW w:w="565" w:type="dxa"/>
            <w:shd w:val="clear" w:color="auto" w:fill="auto"/>
            <w:noWrap w:val="0"/>
            <w:vAlign w:val="center"/>
          </w:tcPr>
          <w:p>
            <w:pPr>
              <w:widowControl/>
              <w:jc w:val="center"/>
              <w:rPr>
                <w:color w:val="auto"/>
                <w:kern w:val="0"/>
                <w:sz w:val="18"/>
                <w:szCs w:val="18"/>
                <w:highlight w:val="none"/>
              </w:rPr>
            </w:pPr>
            <w:r>
              <w:rPr>
                <w:color w:val="auto"/>
                <w:kern w:val="0"/>
                <w:sz w:val="18"/>
                <w:szCs w:val="18"/>
                <w:highlight w:val="none"/>
              </w:rPr>
              <w:t>0.1</w:t>
            </w:r>
          </w:p>
        </w:tc>
        <w:tc>
          <w:tcPr>
            <w:tcW w:w="906"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6"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2011" w:type="dxa"/>
            <w:shd w:val="clear" w:color="auto" w:fill="auto"/>
            <w:noWrap/>
            <w:vAlign w:val="center"/>
          </w:tcPr>
          <w:p>
            <w:pPr>
              <w:widowControl/>
              <w:jc w:val="center"/>
              <w:rPr>
                <w:color w:val="auto"/>
                <w:kern w:val="0"/>
                <w:sz w:val="18"/>
                <w:szCs w:val="15"/>
                <w:highlight w:val="none"/>
              </w:rPr>
            </w:pPr>
            <w:r>
              <w:rPr>
                <w:color w:val="auto"/>
                <w:kern w:val="0"/>
                <w:sz w:val="18"/>
                <w:szCs w:val="15"/>
                <w:highlight w:val="none"/>
              </w:rPr>
              <w:t>氯乙烯</w:t>
            </w:r>
          </w:p>
        </w:tc>
        <w:tc>
          <w:tcPr>
            <w:tcW w:w="724" w:type="dxa"/>
            <w:shd w:val="clear" w:color="auto" w:fill="auto"/>
            <w:noWrap w:val="0"/>
            <w:vAlign w:val="center"/>
          </w:tcPr>
          <w:p>
            <w:pPr>
              <w:widowControl/>
              <w:jc w:val="center"/>
              <w:rPr>
                <w:color w:val="auto"/>
                <w:kern w:val="0"/>
                <w:sz w:val="18"/>
                <w:szCs w:val="18"/>
                <w:highlight w:val="none"/>
              </w:rPr>
            </w:pPr>
            <w:r>
              <w:rPr>
                <w:color w:val="auto"/>
                <w:kern w:val="0"/>
                <w:sz w:val="18"/>
                <w:szCs w:val="18"/>
                <w:highlight w:val="none"/>
              </w:rPr>
              <w:t>0.43</w:t>
            </w:r>
          </w:p>
        </w:tc>
        <w:tc>
          <w:tcPr>
            <w:tcW w:w="565" w:type="dxa"/>
            <w:shd w:val="clear" w:color="auto" w:fill="auto"/>
            <w:noWrap w:val="0"/>
            <w:vAlign w:val="center"/>
          </w:tcPr>
          <w:p>
            <w:pPr>
              <w:widowControl/>
              <w:jc w:val="center"/>
              <w:rPr>
                <w:color w:val="auto"/>
                <w:kern w:val="0"/>
                <w:sz w:val="18"/>
                <w:szCs w:val="18"/>
                <w:highlight w:val="none"/>
              </w:rPr>
            </w:pPr>
            <w:r>
              <w:rPr>
                <w:color w:val="auto"/>
                <w:kern w:val="0"/>
                <w:sz w:val="18"/>
                <w:szCs w:val="18"/>
                <w:highlight w:val="none"/>
              </w:rPr>
              <w:t>0.1</w:t>
            </w:r>
          </w:p>
        </w:tc>
        <w:tc>
          <w:tcPr>
            <w:tcW w:w="906"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6"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4" w:hRule="atLeast"/>
          <w:jc w:val="center"/>
        </w:trPr>
        <w:tc>
          <w:tcPr>
            <w:tcW w:w="2011" w:type="dxa"/>
            <w:shd w:val="clear" w:color="auto" w:fill="auto"/>
            <w:noWrap/>
            <w:vAlign w:val="center"/>
          </w:tcPr>
          <w:p>
            <w:pPr>
              <w:widowControl/>
              <w:jc w:val="center"/>
              <w:rPr>
                <w:color w:val="auto"/>
                <w:kern w:val="0"/>
                <w:sz w:val="18"/>
                <w:szCs w:val="15"/>
                <w:highlight w:val="none"/>
              </w:rPr>
            </w:pPr>
            <w:r>
              <w:rPr>
                <w:color w:val="auto"/>
                <w:kern w:val="0"/>
                <w:sz w:val="18"/>
                <w:szCs w:val="15"/>
                <w:highlight w:val="none"/>
              </w:rPr>
              <w:t>二氯甲烷</w:t>
            </w:r>
          </w:p>
        </w:tc>
        <w:tc>
          <w:tcPr>
            <w:tcW w:w="724" w:type="dxa"/>
            <w:shd w:val="clear" w:color="auto" w:fill="auto"/>
            <w:noWrap w:val="0"/>
            <w:vAlign w:val="center"/>
          </w:tcPr>
          <w:p>
            <w:pPr>
              <w:widowControl/>
              <w:jc w:val="center"/>
              <w:rPr>
                <w:color w:val="auto"/>
                <w:kern w:val="0"/>
                <w:sz w:val="18"/>
                <w:szCs w:val="18"/>
                <w:highlight w:val="none"/>
              </w:rPr>
            </w:pPr>
            <w:r>
              <w:rPr>
                <w:color w:val="auto"/>
                <w:kern w:val="0"/>
                <w:sz w:val="18"/>
                <w:szCs w:val="18"/>
                <w:highlight w:val="none"/>
              </w:rPr>
              <w:t>616</w:t>
            </w:r>
          </w:p>
        </w:tc>
        <w:tc>
          <w:tcPr>
            <w:tcW w:w="565" w:type="dxa"/>
            <w:shd w:val="clear" w:color="auto" w:fill="auto"/>
            <w:noWrap w:val="0"/>
            <w:vAlign w:val="center"/>
          </w:tcPr>
          <w:p>
            <w:pPr>
              <w:widowControl/>
              <w:jc w:val="center"/>
              <w:rPr>
                <w:color w:val="auto"/>
                <w:kern w:val="0"/>
                <w:sz w:val="18"/>
                <w:szCs w:val="18"/>
                <w:highlight w:val="none"/>
              </w:rPr>
            </w:pPr>
            <w:r>
              <w:rPr>
                <w:color w:val="auto"/>
                <w:kern w:val="0"/>
                <w:sz w:val="18"/>
                <w:szCs w:val="18"/>
                <w:highlight w:val="none"/>
              </w:rPr>
              <w:t>0.05</w:t>
            </w:r>
          </w:p>
        </w:tc>
        <w:tc>
          <w:tcPr>
            <w:tcW w:w="906"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6"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4" w:hRule="atLeast"/>
          <w:jc w:val="center"/>
        </w:trPr>
        <w:tc>
          <w:tcPr>
            <w:tcW w:w="2011" w:type="dxa"/>
            <w:shd w:val="clear" w:color="auto" w:fill="auto"/>
            <w:noWrap/>
            <w:vAlign w:val="center"/>
          </w:tcPr>
          <w:p>
            <w:pPr>
              <w:widowControl/>
              <w:jc w:val="center"/>
              <w:rPr>
                <w:color w:val="auto"/>
                <w:kern w:val="0"/>
                <w:sz w:val="18"/>
                <w:szCs w:val="15"/>
                <w:highlight w:val="none"/>
              </w:rPr>
            </w:pPr>
            <w:r>
              <w:rPr>
                <w:color w:val="auto"/>
                <w:kern w:val="0"/>
                <w:sz w:val="18"/>
                <w:szCs w:val="15"/>
                <w:highlight w:val="none"/>
              </w:rPr>
              <w:t>四氯化碳</w:t>
            </w:r>
          </w:p>
        </w:tc>
        <w:tc>
          <w:tcPr>
            <w:tcW w:w="724" w:type="dxa"/>
            <w:shd w:val="clear" w:color="auto" w:fill="auto"/>
            <w:noWrap w:val="0"/>
            <w:vAlign w:val="center"/>
          </w:tcPr>
          <w:p>
            <w:pPr>
              <w:widowControl/>
              <w:jc w:val="center"/>
              <w:rPr>
                <w:color w:val="auto"/>
                <w:kern w:val="0"/>
                <w:sz w:val="18"/>
                <w:szCs w:val="18"/>
                <w:highlight w:val="none"/>
              </w:rPr>
            </w:pPr>
            <w:r>
              <w:rPr>
                <w:color w:val="auto"/>
                <w:kern w:val="0"/>
                <w:sz w:val="18"/>
                <w:szCs w:val="18"/>
                <w:highlight w:val="none"/>
              </w:rPr>
              <w:t>2.8</w:t>
            </w:r>
          </w:p>
        </w:tc>
        <w:tc>
          <w:tcPr>
            <w:tcW w:w="565" w:type="dxa"/>
            <w:shd w:val="clear" w:color="auto" w:fill="auto"/>
            <w:noWrap w:val="0"/>
            <w:vAlign w:val="center"/>
          </w:tcPr>
          <w:p>
            <w:pPr>
              <w:widowControl/>
              <w:jc w:val="center"/>
              <w:rPr>
                <w:color w:val="auto"/>
                <w:kern w:val="0"/>
                <w:sz w:val="18"/>
                <w:szCs w:val="18"/>
                <w:highlight w:val="none"/>
              </w:rPr>
            </w:pPr>
            <w:r>
              <w:rPr>
                <w:color w:val="auto"/>
                <w:kern w:val="0"/>
                <w:sz w:val="18"/>
                <w:szCs w:val="18"/>
                <w:highlight w:val="none"/>
              </w:rPr>
              <w:t>0.05</w:t>
            </w:r>
          </w:p>
        </w:tc>
        <w:tc>
          <w:tcPr>
            <w:tcW w:w="906"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6"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4" w:hRule="atLeast"/>
          <w:jc w:val="center"/>
        </w:trPr>
        <w:tc>
          <w:tcPr>
            <w:tcW w:w="2011" w:type="dxa"/>
            <w:shd w:val="clear" w:color="auto" w:fill="auto"/>
            <w:noWrap/>
            <w:vAlign w:val="center"/>
          </w:tcPr>
          <w:p>
            <w:pPr>
              <w:widowControl/>
              <w:jc w:val="center"/>
              <w:rPr>
                <w:color w:val="auto"/>
                <w:kern w:val="0"/>
                <w:sz w:val="18"/>
                <w:szCs w:val="15"/>
                <w:highlight w:val="none"/>
              </w:rPr>
            </w:pPr>
            <w:r>
              <w:rPr>
                <w:color w:val="auto"/>
                <w:kern w:val="0"/>
                <w:sz w:val="18"/>
                <w:szCs w:val="15"/>
                <w:highlight w:val="none"/>
              </w:rPr>
              <w:t>1,1-二氯乙烷</w:t>
            </w:r>
          </w:p>
        </w:tc>
        <w:tc>
          <w:tcPr>
            <w:tcW w:w="724" w:type="dxa"/>
            <w:shd w:val="clear" w:color="auto" w:fill="auto"/>
            <w:noWrap w:val="0"/>
            <w:vAlign w:val="center"/>
          </w:tcPr>
          <w:p>
            <w:pPr>
              <w:widowControl/>
              <w:jc w:val="center"/>
              <w:rPr>
                <w:color w:val="auto"/>
                <w:kern w:val="0"/>
                <w:sz w:val="18"/>
                <w:szCs w:val="18"/>
                <w:highlight w:val="none"/>
              </w:rPr>
            </w:pPr>
            <w:r>
              <w:rPr>
                <w:rFonts w:hint="eastAsia"/>
                <w:color w:val="auto"/>
                <w:kern w:val="0"/>
                <w:sz w:val="18"/>
                <w:szCs w:val="18"/>
                <w:highlight w:val="none"/>
              </w:rPr>
              <w:t>9</w:t>
            </w:r>
          </w:p>
        </w:tc>
        <w:tc>
          <w:tcPr>
            <w:tcW w:w="565" w:type="dxa"/>
            <w:shd w:val="clear" w:color="auto" w:fill="auto"/>
            <w:noWrap w:val="0"/>
            <w:vAlign w:val="center"/>
          </w:tcPr>
          <w:p>
            <w:pPr>
              <w:widowControl/>
              <w:jc w:val="center"/>
              <w:rPr>
                <w:color w:val="auto"/>
                <w:kern w:val="0"/>
                <w:sz w:val="18"/>
                <w:szCs w:val="18"/>
                <w:highlight w:val="none"/>
              </w:rPr>
            </w:pPr>
            <w:r>
              <w:rPr>
                <w:color w:val="auto"/>
                <w:kern w:val="0"/>
                <w:sz w:val="18"/>
                <w:szCs w:val="18"/>
                <w:highlight w:val="none"/>
              </w:rPr>
              <w:t>0.05</w:t>
            </w:r>
          </w:p>
        </w:tc>
        <w:tc>
          <w:tcPr>
            <w:tcW w:w="906"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6"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4" w:hRule="atLeast"/>
          <w:jc w:val="center"/>
        </w:trPr>
        <w:tc>
          <w:tcPr>
            <w:tcW w:w="2011" w:type="dxa"/>
            <w:shd w:val="clear" w:color="auto" w:fill="auto"/>
            <w:noWrap/>
            <w:vAlign w:val="center"/>
          </w:tcPr>
          <w:p>
            <w:pPr>
              <w:widowControl/>
              <w:jc w:val="center"/>
              <w:rPr>
                <w:color w:val="auto"/>
                <w:kern w:val="0"/>
                <w:sz w:val="18"/>
                <w:szCs w:val="15"/>
                <w:highlight w:val="none"/>
              </w:rPr>
            </w:pPr>
            <w:r>
              <w:rPr>
                <w:color w:val="auto"/>
                <w:kern w:val="0"/>
                <w:sz w:val="18"/>
                <w:szCs w:val="15"/>
                <w:highlight w:val="none"/>
              </w:rPr>
              <w:t>1,2-二氯乙烷</w:t>
            </w:r>
          </w:p>
        </w:tc>
        <w:tc>
          <w:tcPr>
            <w:tcW w:w="724" w:type="dxa"/>
            <w:shd w:val="clear" w:color="auto" w:fill="auto"/>
            <w:noWrap w:val="0"/>
            <w:vAlign w:val="center"/>
          </w:tcPr>
          <w:p>
            <w:pPr>
              <w:widowControl/>
              <w:jc w:val="center"/>
              <w:rPr>
                <w:color w:val="auto"/>
                <w:kern w:val="0"/>
                <w:sz w:val="18"/>
                <w:szCs w:val="18"/>
                <w:highlight w:val="none"/>
              </w:rPr>
            </w:pPr>
            <w:r>
              <w:rPr>
                <w:rFonts w:hint="eastAsia"/>
                <w:color w:val="auto"/>
                <w:kern w:val="0"/>
                <w:sz w:val="18"/>
                <w:szCs w:val="18"/>
                <w:highlight w:val="none"/>
              </w:rPr>
              <w:t>5</w:t>
            </w:r>
          </w:p>
        </w:tc>
        <w:tc>
          <w:tcPr>
            <w:tcW w:w="565" w:type="dxa"/>
            <w:shd w:val="clear" w:color="auto" w:fill="auto"/>
            <w:noWrap w:val="0"/>
            <w:vAlign w:val="center"/>
          </w:tcPr>
          <w:p>
            <w:pPr>
              <w:widowControl/>
              <w:jc w:val="center"/>
              <w:rPr>
                <w:color w:val="auto"/>
                <w:kern w:val="0"/>
                <w:sz w:val="18"/>
                <w:szCs w:val="18"/>
                <w:highlight w:val="none"/>
              </w:rPr>
            </w:pPr>
            <w:r>
              <w:rPr>
                <w:color w:val="auto"/>
                <w:kern w:val="0"/>
                <w:sz w:val="18"/>
                <w:szCs w:val="18"/>
                <w:highlight w:val="none"/>
              </w:rPr>
              <w:t>0.05</w:t>
            </w:r>
          </w:p>
        </w:tc>
        <w:tc>
          <w:tcPr>
            <w:tcW w:w="906"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6"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4" w:hRule="atLeast"/>
          <w:jc w:val="center"/>
        </w:trPr>
        <w:tc>
          <w:tcPr>
            <w:tcW w:w="2011" w:type="dxa"/>
            <w:shd w:val="clear" w:color="auto" w:fill="auto"/>
            <w:noWrap/>
            <w:vAlign w:val="center"/>
          </w:tcPr>
          <w:p>
            <w:pPr>
              <w:widowControl/>
              <w:jc w:val="center"/>
              <w:rPr>
                <w:color w:val="auto"/>
                <w:kern w:val="0"/>
                <w:sz w:val="18"/>
                <w:szCs w:val="15"/>
                <w:highlight w:val="none"/>
              </w:rPr>
            </w:pPr>
            <w:r>
              <w:rPr>
                <w:color w:val="auto"/>
                <w:kern w:val="0"/>
                <w:sz w:val="18"/>
                <w:szCs w:val="15"/>
                <w:highlight w:val="none"/>
              </w:rPr>
              <w:t>1,1,1-三氯乙烷</w:t>
            </w:r>
          </w:p>
        </w:tc>
        <w:tc>
          <w:tcPr>
            <w:tcW w:w="724" w:type="dxa"/>
            <w:shd w:val="clear" w:color="auto" w:fill="auto"/>
            <w:noWrap w:val="0"/>
            <w:vAlign w:val="center"/>
          </w:tcPr>
          <w:p>
            <w:pPr>
              <w:widowControl/>
              <w:jc w:val="center"/>
              <w:rPr>
                <w:color w:val="auto"/>
                <w:kern w:val="0"/>
                <w:sz w:val="18"/>
                <w:szCs w:val="18"/>
                <w:highlight w:val="none"/>
              </w:rPr>
            </w:pPr>
            <w:r>
              <w:rPr>
                <w:rFonts w:hint="eastAsia"/>
                <w:color w:val="auto"/>
                <w:kern w:val="0"/>
                <w:sz w:val="18"/>
                <w:szCs w:val="18"/>
                <w:highlight w:val="none"/>
              </w:rPr>
              <w:t>8</w:t>
            </w:r>
            <w:r>
              <w:rPr>
                <w:color w:val="auto"/>
                <w:kern w:val="0"/>
                <w:sz w:val="18"/>
                <w:szCs w:val="18"/>
                <w:highlight w:val="none"/>
              </w:rPr>
              <w:t>40</w:t>
            </w:r>
          </w:p>
        </w:tc>
        <w:tc>
          <w:tcPr>
            <w:tcW w:w="565" w:type="dxa"/>
            <w:shd w:val="clear" w:color="auto" w:fill="auto"/>
            <w:noWrap w:val="0"/>
            <w:vAlign w:val="center"/>
          </w:tcPr>
          <w:p>
            <w:pPr>
              <w:widowControl/>
              <w:jc w:val="center"/>
              <w:rPr>
                <w:color w:val="auto"/>
                <w:kern w:val="0"/>
                <w:sz w:val="18"/>
                <w:szCs w:val="18"/>
                <w:highlight w:val="none"/>
              </w:rPr>
            </w:pPr>
            <w:r>
              <w:rPr>
                <w:color w:val="auto"/>
                <w:kern w:val="0"/>
                <w:sz w:val="18"/>
                <w:szCs w:val="18"/>
                <w:highlight w:val="none"/>
              </w:rPr>
              <w:t>0.05</w:t>
            </w:r>
          </w:p>
        </w:tc>
        <w:tc>
          <w:tcPr>
            <w:tcW w:w="906"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6"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4" w:hRule="atLeast"/>
          <w:jc w:val="center"/>
        </w:trPr>
        <w:tc>
          <w:tcPr>
            <w:tcW w:w="2011" w:type="dxa"/>
            <w:shd w:val="clear" w:color="auto" w:fill="auto"/>
            <w:noWrap/>
            <w:vAlign w:val="center"/>
          </w:tcPr>
          <w:p>
            <w:pPr>
              <w:widowControl/>
              <w:jc w:val="center"/>
              <w:rPr>
                <w:color w:val="auto"/>
                <w:kern w:val="0"/>
                <w:sz w:val="18"/>
                <w:szCs w:val="15"/>
                <w:highlight w:val="none"/>
              </w:rPr>
            </w:pPr>
            <w:r>
              <w:rPr>
                <w:color w:val="auto"/>
                <w:kern w:val="0"/>
                <w:sz w:val="18"/>
                <w:szCs w:val="15"/>
                <w:highlight w:val="none"/>
              </w:rPr>
              <w:t>1,1,2-三氯乙烷</w:t>
            </w:r>
          </w:p>
        </w:tc>
        <w:tc>
          <w:tcPr>
            <w:tcW w:w="724" w:type="dxa"/>
            <w:shd w:val="clear" w:color="auto" w:fill="auto"/>
            <w:noWrap w:val="0"/>
            <w:vAlign w:val="center"/>
          </w:tcPr>
          <w:p>
            <w:pPr>
              <w:widowControl/>
              <w:jc w:val="center"/>
              <w:rPr>
                <w:color w:val="auto"/>
                <w:kern w:val="0"/>
                <w:sz w:val="18"/>
                <w:szCs w:val="18"/>
                <w:highlight w:val="none"/>
              </w:rPr>
            </w:pPr>
            <w:r>
              <w:rPr>
                <w:rFonts w:hint="eastAsia"/>
                <w:color w:val="auto"/>
                <w:kern w:val="0"/>
                <w:sz w:val="18"/>
                <w:szCs w:val="18"/>
                <w:highlight w:val="none"/>
              </w:rPr>
              <w:t>2</w:t>
            </w:r>
            <w:r>
              <w:rPr>
                <w:color w:val="auto"/>
                <w:kern w:val="0"/>
                <w:sz w:val="18"/>
                <w:szCs w:val="18"/>
                <w:highlight w:val="none"/>
              </w:rPr>
              <w:t>.8</w:t>
            </w:r>
          </w:p>
        </w:tc>
        <w:tc>
          <w:tcPr>
            <w:tcW w:w="565" w:type="dxa"/>
            <w:shd w:val="clear" w:color="auto" w:fill="auto"/>
            <w:noWrap w:val="0"/>
            <w:vAlign w:val="center"/>
          </w:tcPr>
          <w:p>
            <w:pPr>
              <w:widowControl/>
              <w:jc w:val="center"/>
              <w:rPr>
                <w:color w:val="auto"/>
                <w:kern w:val="0"/>
                <w:sz w:val="18"/>
                <w:szCs w:val="18"/>
                <w:highlight w:val="none"/>
              </w:rPr>
            </w:pPr>
            <w:r>
              <w:rPr>
                <w:color w:val="auto"/>
                <w:kern w:val="0"/>
                <w:sz w:val="18"/>
                <w:szCs w:val="18"/>
                <w:highlight w:val="none"/>
              </w:rPr>
              <w:t>0.05</w:t>
            </w:r>
          </w:p>
        </w:tc>
        <w:tc>
          <w:tcPr>
            <w:tcW w:w="906"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6"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4" w:hRule="atLeast"/>
          <w:jc w:val="center"/>
        </w:trPr>
        <w:tc>
          <w:tcPr>
            <w:tcW w:w="2011" w:type="dxa"/>
            <w:shd w:val="clear" w:color="auto" w:fill="auto"/>
            <w:noWrap/>
            <w:vAlign w:val="center"/>
          </w:tcPr>
          <w:p>
            <w:pPr>
              <w:widowControl/>
              <w:jc w:val="center"/>
              <w:rPr>
                <w:color w:val="auto"/>
                <w:kern w:val="0"/>
                <w:sz w:val="18"/>
                <w:szCs w:val="15"/>
                <w:highlight w:val="none"/>
              </w:rPr>
            </w:pPr>
            <w:r>
              <w:rPr>
                <w:color w:val="auto"/>
                <w:kern w:val="0"/>
                <w:sz w:val="18"/>
                <w:szCs w:val="15"/>
                <w:highlight w:val="none"/>
              </w:rPr>
              <w:t>1,1,2,2-四氯乙烷</w:t>
            </w:r>
          </w:p>
        </w:tc>
        <w:tc>
          <w:tcPr>
            <w:tcW w:w="724" w:type="dxa"/>
            <w:shd w:val="clear" w:color="auto" w:fill="auto"/>
            <w:noWrap w:val="0"/>
            <w:vAlign w:val="center"/>
          </w:tcPr>
          <w:p>
            <w:pPr>
              <w:widowControl/>
              <w:jc w:val="center"/>
              <w:rPr>
                <w:color w:val="auto"/>
                <w:kern w:val="0"/>
                <w:sz w:val="18"/>
                <w:szCs w:val="18"/>
                <w:highlight w:val="none"/>
              </w:rPr>
            </w:pPr>
            <w:r>
              <w:rPr>
                <w:rFonts w:hint="eastAsia"/>
                <w:color w:val="auto"/>
                <w:kern w:val="0"/>
                <w:sz w:val="18"/>
                <w:szCs w:val="18"/>
                <w:highlight w:val="none"/>
              </w:rPr>
              <w:t>6</w:t>
            </w:r>
            <w:r>
              <w:rPr>
                <w:color w:val="auto"/>
                <w:kern w:val="0"/>
                <w:sz w:val="18"/>
                <w:szCs w:val="18"/>
                <w:highlight w:val="none"/>
              </w:rPr>
              <w:t>.8</w:t>
            </w:r>
          </w:p>
        </w:tc>
        <w:tc>
          <w:tcPr>
            <w:tcW w:w="565" w:type="dxa"/>
            <w:shd w:val="clear" w:color="auto" w:fill="auto"/>
            <w:noWrap w:val="0"/>
            <w:vAlign w:val="center"/>
          </w:tcPr>
          <w:p>
            <w:pPr>
              <w:widowControl/>
              <w:jc w:val="center"/>
              <w:rPr>
                <w:color w:val="auto"/>
                <w:kern w:val="0"/>
                <w:sz w:val="18"/>
                <w:szCs w:val="18"/>
                <w:highlight w:val="none"/>
              </w:rPr>
            </w:pPr>
            <w:r>
              <w:rPr>
                <w:color w:val="auto"/>
                <w:kern w:val="0"/>
                <w:sz w:val="18"/>
                <w:szCs w:val="18"/>
                <w:highlight w:val="none"/>
              </w:rPr>
              <w:t>0.05</w:t>
            </w:r>
          </w:p>
        </w:tc>
        <w:tc>
          <w:tcPr>
            <w:tcW w:w="906"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6"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4" w:hRule="atLeast"/>
          <w:jc w:val="center"/>
        </w:trPr>
        <w:tc>
          <w:tcPr>
            <w:tcW w:w="2011" w:type="dxa"/>
            <w:shd w:val="clear" w:color="auto" w:fill="auto"/>
            <w:noWrap/>
            <w:vAlign w:val="center"/>
          </w:tcPr>
          <w:p>
            <w:pPr>
              <w:widowControl/>
              <w:jc w:val="center"/>
              <w:rPr>
                <w:color w:val="auto"/>
                <w:kern w:val="0"/>
                <w:sz w:val="18"/>
                <w:szCs w:val="15"/>
                <w:highlight w:val="none"/>
              </w:rPr>
            </w:pPr>
            <w:r>
              <w:rPr>
                <w:color w:val="auto"/>
                <w:kern w:val="0"/>
                <w:sz w:val="18"/>
                <w:szCs w:val="15"/>
                <w:highlight w:val="none"/>
              </w:rPr>
              <w:t>1,1,1,2-四氯乙烷</w:t>
            </w:r>
          </w:p>
        </w:tc>
        <w:tc>
          <w:tcPr>
            <w:tcW w:w="724" w:type="dxa"/>
            <w:shd w:val="clear" w:color="auto" w:fill="auto"/>
            <w:noWrap w:val="0"/>
            <w:vAlign w:val="center"/>
          </w:tcPr>
          <w:p>
            <w:pPr>
              <w:widowControl/>
              <w:jc w:val="center"/>
              <w:rPr>
                <w:color w:val="auto"/>
                <w:kern w:val="0"/>
                <w:sz w:val="18"/>
                <w:szCs w:val="18"/>
                <w:highlight w:val="none"/>
              </w:rPr>
            </w:pPr>
            <w:r>
              <w:rPr>
                <w:rFonts w:hint="eastAsia"/>
                <w:color w:val="auto"/>
                <w:kern w:val="0"/>
                <w:sz w:val="18"/>
                <w:szCs w:val="18"/>
                <w:highlight w:val="none"/>
              </w:rPr>
              <w:t>1</w:t>
            </w:r>
            <w:r>
              <w:rPr>
                <w:color w:val="auto"/>
                <w:kern w:val="0"/>
                <w:sz w:val="18"/>
                <w:szCs w:val="18"/>
                <w:highlight w:val="none"/>
              </w:rPr>
              <w:t>0</w:t>
            </w:r>
          </w:p>
        </w:tc>
        <w:tc>
          <w:tcPr>
            <w:tcW w:w="565" w:type="dxa"/>
            <w:shd w:val="clear" w:color="auto" w:fill="auto"/>
            <w:noWrap w:val="0"/>
            <w:vAlign w:val="center"/>
          </w:tcPr>
          <w:p>
            <w:pPr>
              <w:widowControl/>
              <w:jc w:val="center"/>
              <w:rPr>
                <w:color w:val="auto"/>
                <w:kern w:val="0"/>
                <w:sz w:val="18"/>
                <w:szCs w:val="18"/>
                <w:highlight w:val="none"/>
              </w:rPr>
            </w:pPr>
            <w:r>
              <w:rPr>
                <w:color w:val="auto"/>
                <w:kern w:val="0"/>
                <w:sz w:val="18"/>
                <w:szCs w:val="18"/>
                <w:highlight w:val="none"/>
              </w:rPr>
              <w:t>0.05</w:t>
            </w:r>
          </w:p>
        </w:tc>
        <w:tc>
          <w:tcPr>
            <w:tcW w:w="906"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6"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4" w:hRule="atLeast"/>
          <w:jc w:val="center"/>
        </w:trPr>
        <w:tc>
          <w:tcPr>
            <w:tcW w:w="2011" w:type="dxa"/>
            <w:shd w:val="clear" w:color="auto" w:fill="auto"/>
            <w:noWrap/>
            <w:vAlign w:val="center"/>
          </w:tcPr>
          <w:p>
            <w:pPr>
              <w:widowControl/>
              <w:jc w:val="center"/>
              <w:rPr>
                <w:color w:val="auto"/>
                <w:kern w:val="0"/>
                <w:sz w:val="18"/>
                <w:szCs w:val="15"/>
                <w:highlight w:val="none"/>
              </w:rPr>
            </w:pPr>
            <w:r>
              <w:rPr>
                <w:color w:val="auto"/>
                <w:kern w:val="0"/>
                <w:sz w:val="18"/>
                <w:szCs w:val="15"/>
                <w:highlight w:val="none"/>
              </w:rPr>
              <w:t>1,2,3-三氯丙烷</w:t>
            </w:r>
          </w:p>
        </w:tc>
        <w:tc>
          <w:tcPr>
            <w:tcW w:w="724" w:type="dxa"/>
            <w:shd w:val="clear" w:color="auto" w:fill="auto"/>
            <w:noWrap w:val="0"/>
            <w:vAlign w:val="center"/>
          </w:tcPr>
          <w:p>
            <w:pPr>
              <w:widowControl/>
              <w:jc w:val="center"/>
              <w:rPr>
                <w:color w:val="auto"/>
                <w:kern w:val="0"/>
                <w:sz w:val="18"/>
                <w:szCs w:val="18"/>
                <w:highlight w:val="none"/>
              </w:rPr>
            </w:pPr>
            <w:r>
              <w:rPr>
                <w:rFonts w:hint="eastAsia"/>
                <w:color w:val="auto"/>
                <w:kern w:val="0"/>
                <w:sz w:val="18"/>
                <w:szCs w:val="18"/>
                <w:highlight w:val="none"/>
              </w:rPr>
              <w:t>0</w:t>
            </w:r>
            <w:r>
              <w:rPr>
                <w:color w:val="auto"/>
                <w:kern w:val="0"/>
                <w:sz w:val="18"/>
                <w:szCs w:val="18"/>
                <w:highlight w:val="none"/>
              </w:rPr>
              <w:t>.5</w:t>
            </w:r>
          </w:p>
        </w:tc>
        <w:tc>
          <w:tcPr>
            <w:tcW w:w="565" w:type="dxa"/>
            <w:shd w:val="clear" w:color="auto" w:fill="auto"/>
            <w:noWrap w:val="0"/>
            <w:vAlign w:val="center"/>
          </w:tcPr>
          <w:p>
            <w:pPr>
              <w:widowControl/>
              <w:jc w:val="center"/>
              <w:rPr>
                <w:color w:val="auto"/>
                <w:kern w:val="0"/>
                <w:sz w:val="18"/>
                <w:szCs w:val="18"/>
                <w:highlight w:val="none"/>
              </w:rPr>
            </w:pPr>
            <w:r>
              <w:rPr>
                <w:color w:val="auto"/>
                <w:kern w:val="0"/>
                <w:sz w:val="18"/>
                <w:szCs w:val="18"/>
                <w:highlight w:val="none"/>
              </w:rPr>
              <w:t>0.05</w:t>
            </w:r>
          </w:p>
        </w:tc>
        <w:tc>
          <w:tcPr>
            <w:tcW w:w="906"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6"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4" w:hRule="atLeast"/>
          <w:jc w:val="center"/>
        </w:trPr>
        <w:tc>
          <w:tcPr>
            <w:tcW w:w="2011" w:type="dxa"/>
            <w:shd w:val="clear" w:color="auto" w:fill="auto"/>
            <w:noWrap/>
            <w:vAlign w:val="center"/>
          </w:tcPr>
          <w:p>
            <w:pPr>
              <w:widowControl/>
              <w:jc w:val="center"/>
              <w:rPr>
                <w:color w:val="auto"/>
                <w:kern w:val="0"/>
                <w:sz w:val="18"/>
                <w:szCs w:val="15"/>
                <w:highlight w:val="none"/>
              </w:rPr>
            </w:pPr>
            <w:r>
              <w:rPr>
                <w:color w:val="auto"/>
                <w:kern w:val="0"/>
                <w:sz w:val="18"/>
                <w:szCs w:val="15"/>
                <w:highlight w:val="none"/>
              </w:rPr>
              <w:t>1,1-二氯乙烯</w:t>
            </w:r>
          </w:p>
        </w:tc>
        <w:tc>
          <w:tcPr>
            <w:tcW w:w="724" w:type="dxa"/>
            <w:shd w:val="clear" w:color="auto" w:fill="auto"/>
            <w:noWrap w:val="0"/>
            <w:vAlign w:val="center"/>
          </w:tcPr>
          <w:p>
            <w:pPr>
              <w:widowControl/>
              <w:jc w:val="center"/>
              <w:rPr>
                <w:color w:val="auto"/>
                <w:kern w:val="0"/>
                <w:sz w:val="18"/>
                <w:szCs w:val="18"/>
                <w:highlight w:val="none"/>
              </w:rPr>
            </w:pPr>
            <w:r>
              <w:rPr>
                <w:rFonts w:hint="eastAsia"/>
                <w:color w:val="auto"/>
                <w:kern w:val="0"/>
                <w:sz w:val="18"/>
                <w:szCs w:val="18"/>
                <w:highlight w:val="none"/>
              </w:rPr>
              <w:t>6</w:t>
            </w:r>
            <w:r>
              <w:rPr>
                <w:color w:val="auto"/>
                <w:kern w:val="0"/>
                <w:sz w:val="18"/>
                <w:szCs w:val="18"/>
                <w:highlight w:val="none"/>
              </w:rPr>
              <w:t>6</w:t>
            </w:r>
          </w:p>
        </w:tc>
        <w:tc>
          <w:tcPr>
            <w:tcW w:w="565" w:type="dxa"/>
            <w:shd w:val="clear" w:color="auto" w:fill="auto"/>
            <w:noWrap w:val="0"/>
            <w:vAlign w:val="center"/>
          </w:tcPr>
          <w:p>
            <w:pPr>
              <w:widowControl/>
              <w:jc w:val="center"/>
              <w:rPr>
                <w:color w:val="auto"/>
                <w:kern w:val="0"/>
                <w:sz w:val="18"/>
                <w:szCs w:val="18"/>
                <w:highlight w:val="none"/>
              </w:rPr>
            </w:pPr>
            <w:r>
              <w:rPr>
                <w:color w:val="auto"/>
                <w:kern w:val="0"/>
                <w:sz w:val="18"/>
                <w:szCs w:val="18"/>
                <w:highlight w:val="none"/>
              </w:rPr>
              <w:t>0.05</w:t>
            </w:r>
          </w:p>
        </w:tc>
        <w:tc>
          <w:tcPr>
            <w:tcW w:w="906"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6"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4" w:hRule="atLeast"/>
          <w:jc w:val="center"/>
        </w:trPr>
        <w:tc>
          <w:tcPr>
            <w:tcW w:w="2011" w:type="dxa"/>
            <w:shd w:val="clear" w:color="auto" w:fill="auto"/>
            <w:noWrap/>
            <w:vAlign w:val="center"/>
          </w:tcPr>
          <w:p>
            <w:pPr>
              <w:widowControl/>
              <w:jc w:val="center"/>
              <w:rPr>
                <w:color w:val="auto"/>
                <w:kern w:val="0"/>
                <w:sz w:val="18"/>
                <w:szCs w:val="15"/>
                <w:highlight w:val="none"/>
              </w:rPr>
            </w:pPr>
            <w:r>
              <w:rPr>
                <w:color w:val="auto"/>
                <w:kern w:val="0"/>
                <w:sz w:val="18"/>
                <w:szCs w:val="15"/>
                <w:highlight w:val="none"/>
              </w:rPr>
              <w:t>反-1,2-二氯乙烯</w:t>
            </w:r>
          </w:p>
        </w:tc>
        <w:tc>
          <w:tcPr>
            <w:tcW w:w="724" w:type="dxa"/>
            <w:shd w:val="clear" w:color="auto" w:fill="auto"/>
            <w:noWrap w:val="0"/>
            <w:vAlign w:val="center"/>
          </w:tcPr>
          <w:p>
            <w:pPr>
              <w:widowControl/>
              <w:jc w:val="center"/>
              <w:rPr>
                <w:color w:val="auto"/>
                <w:kern w:val="0"/>
                <w:sz w:val="18"/>
                <w:szCs w:val="18"/>
                <w:highlight w:val="none"/>
              </w:rPr>
            </w:pPr>
            <w:r>
              <w:rPr>
                <w:rFonts w:hint="eastAsia"/>
                <w:color w:val="auto"/>
                <w:kern w:val="0"/>
                <w:sz w:val="18"/>
                <w:szCs w:val="18"/>
                <w:highlight w:val="none"/>
              </w:rPr>
              <w:t>5</w:t>
            </w:r>
            <w:r>
              <w:rPr>
                <w:color w:val="auto"/>
                <w:kern w:val="0"/>
                <w:sz w:val="18"/>
                <w:szCs w:val="18"/>
                <w:highlight w:val="none"/>
              </w:rPr>
              <w:t>4</w:t>
            </w:r>
          </w:p>
        </w:tc>
        <w:tc>
          <w:tcPr>
            <w:tcW w:w="565" w:type="dxa"/>
            <w:shd w:val="clear" w:color="auto" w:fill="auto"/>
            <w:noWrap w:val="0"/>
            <w:vAlign w:val="center"/>
          </w:tcPr>
          <w:p>
            <w:pPr>
              <w:widowControl/>
              <w:jc w:val="center"/>
              <w:rPr>
                <w:color w:val="auto"/>
                <w:kern w:val="0"/>
                <w:sz w:val="18"/>
                <w:szCs w:val="18"/>
                <w:highlight w:val="none"/>
              </w:rPr>
            </w:pPr>
            <w:r>
              <w:rPr>
                <w:color w:val="auto"/>
                <w:kern w:val="0"/>
                <w:sz w:val="18"/>
                <w:szCs w:val="18"/>
                <w:highlight w:val="none"/>
              </w:rPr>
              <w:t>0.05</w:t>
            </w:r>
          </w:p>
        </w:tc>
        <w:tc>
          <w:tcPr>
            <w:tcW w:w="906"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6"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4" w:hRule="atLeast"/>
          <w:jc w:val="center"/>
        </w:trPr>
        <w:tc>
          <w:tcPr>
            <w:tcW w:w="2011" w:type="dxa"/>
            <w:shd w:val="clear" w:color="auto" w:fill="auto"/>
            <w:noWrap/>
            <w:vAlign w:val="center"/>
          </w:tcPr>
          <w:p>
            <w:pPr>
              <w:widowControl/>
              <w:jc w:val="center"/>
              <w:rPr>
                <w:color w:val="auto"/>
                <w:kern w:val="0"/>
                <w:sz w:val="18"/>
                <w:szCs w:val="15"/>
                <w:highlight w:val="none"/>
              </w:rPr>
            </w:pPr>
            <w:r>
              <w:rPr>
                <w:color w:val="auto"/>
                <w:kern w:val="0"/>
                <w:sz w:val="18"/>
                <w:szCs w:val="15"/>
                <w:highlight w:val="none"/>
              </w:rPr>
              <w:t>顺-1,2-二氯乙烯</w:t>
            </w:r>
          </w:p>
        </w:tc>
        <w:tc>
          <w:tcPr>
            <w:tcW w:w="724" w:type="dxa"/>
            <w:shd w:val="clear" w:color="auto" w:fill="auto"/>
            <w:noWrap w:val="0"/>
            <w:vAlign w:val="center"/>
          </w:tcPr>
          <w:p>
            <w:pPr>
              <w:widowControl/>
              <w:jc w:val="center"/>
              <w:rPr>
                <w:color w:val="auto"/>
                <w:kern w:val="0"/>
                <w:sz w:val="18"/>
                <w:szCs w:val="18"/>
                <w:highlight w:val="none"/>
              </w:rPr>
            </w:pPr>
            <w:r>
              <w:rPr>
                <w:rFonts w:hint="eastAsia"/>
                <w:color w:val="auto"/>
                <w:kern w:val="0"/>
                <w:sz w:val="18"/>
                <w:szCs w:val="18"/>
                <w:highlight w:val="none"/>
              </w:rPr>
              <w:t>5</w:t>
            </w:r>
            <w:r>
              <w:rPr>
                <w:color w:val="auto"/>
                <w:kern w:val="0"/>
                <w:sz w:val="18"/>
                <w:szCs w:val="18"/>
                <w:highlight w:val="none"/>
              </w:rPr>
              <w:t>96</w:t>
            </w:r>
          </w:p>
        </w:tc>
        <w:tc>
          <w:tcPr>
            <w:tcW w:w="565" w:type="dxa"/>
            <w:shd w:val="clear" w:color="auto" w:fill="auto"/>
            <w:noWrap w:val="0"/>
            <w:vAlign w:val="center"/>
          </w:tcPr>
          <w:p>
            <w:pPr>
              <w:widowControl/>
              <w:jc w:val="center"/>
              <w:rPr>
                <w:color w:val="auto"/>
                <w:kern w:val="0"/>
                <w:sz w:val="18"/>
                <w:szCs w:val="18"/>
                <w:highlight w:val="none"/>
              </w:rPr>
            </w:pPr>
            <w:r>
              <w:rPr>
                <w:color w:val="auto"/>
                <w:kern w:val="0"/>
                <w:sz w:val="18"/>
                <w:szCs w:val="18"/>
                <w:highlight w:val="none"/>
              </w:rPr>
              <w:t>0.05</w:t>
            </w:r>
          </w:p>
        </w:tc>
        <w:tc>
          <w:tcPr>
            <w:tcW w:w="906"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6"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4" w:hRule="atLeast"/>
          <w:jc w:val="center"/>
        </w:trPr>
        <w:tc>
          <w:tcPr>
            <w:tcW w:w="2011" w:type="dxa"/>
            <w:shd w:val="clear" w:color="auto" w:fill="auto"/>
            <w:noWrap/>
            <w:vAlign w:val="center"/>
          </w:tcPr>
          <w:p>
            <w:pPr>
              <w:widowControl/>
              <w:jc w:val="center"/>
              <w:rPr>
                <w:color w:val="auto"/>
                <w:kern w:val="0"/>
                <w:sz w:val="18"/>
                <w:szCs w:val="15"/>
                <w:highlight w:val="none"/>
              </w:rPr>
            </w:pPr>
            <w:r>
              <w:rPr>
                <w:color w:val="auto"/>
                <w:kern w:val="0"/>
                <w:sz w:val="18"/>
                <w:szCs w:val="15"/>
                <w:highlight w:val="none"/>
              </w:rPr>
              <w:t>三氯乙烯</w:t>
            </w:r>
          </w:p>
        </w:tc>
        <w:tc>
          <w:tcPr>
            <w:tcW w:w="724" w:type="dxa"/>
            <w:shd w:val="clear" w:color="auto" w:fill="auto"/>
            <w:noWrap w:val="0"/>
            <w:vAlign w:val="center"/>
          </w:tcPr>
          <w:p>
            <w:pPr>
              <w:widowControl/>
              <w:jc w:val="center"/>
              <w:rPr>
                <w:color w:val="auto"/>
                <w:kern w:val="0"/>
                <w:sz w:val="18"/>
                <w:szCs w:val="18"/>
                <w:highlight w:val="none"/>
              </w:rPr>
            </w:pPr>
            <w:r>
              <w:rPr>
                <w:rFonts w:hint="eastAsia"/>
                <w:color w:val="auto"/>
                <w:kern w:val="0"/>
                <w:sz w:val="18"/>
                <w:szCs w:val="18"/>
                <w:highlight w:val="none"/>
              </w:rPr>
              <w:t>2</w:t>
            </w:r>
            <w:r>
              <w:rPr>
                <w:color w:val="auto"/>
                <w:kern w:val="0"/>
                <w:sz w:val="18"/>
                <w:szCs w:val="18"/>
                <w:highlight w:val="none"/>
              </w:rPr>
              <w:t>.8</w:t>
            </w:r>
          </w:p>
        </w:tc>
        <w:tc>
          <w:tcPr>
            <w:tcW w:w="565" w:type="dxa"/>
            <w:shd w:val="clear" w:color="auto" w:fill="auto"/>
            <w:noWrap w:val="0"/>
            <w:vAlign w:val="center"/>
          </w:tcPr>
          <w:p>
            <w:pPr>
              <w:widowControl/>
              <w:jc w:val="center"/>
              <w:rPr>
                <w:color w:val="auto"/>
                <w:kern w:val="0"/>
                <w:sz w:val="18"/>
                <w:szCs w:val="18"/>
                <w:highlight w:val="none"/>
              </w:rPr>
            </w:pPr>
            <w:r>
              <w:rPr>
                <w:color w:val="auto"/>
                <w:kern w:val="0"/>
                <w:sz w:val="18"/>
                <w:szCs w:val="18"/>
                <w:highlight w:val="none"/>
              </w:rPr>
              <w:t>0.05</w:t>
            </w:r>
          </w:p>
        </w:tc>
        <w:tc>
          <w:tcPr>
            <w:tcW w:w="906"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6"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4" w:hRule="atLeast"/>
          <w:jc w:val="center"/>
        </w:trPr>
        <w:tc>
          <w:tcPr>
            <w:tcW w:w="2011" w:type="dxa"/>
            <w:shd w:val="clear" w:color="auto" w:fill="auto"/>
            <w:noWrap/>
            <w:vAlign w:val="center"/>
          </w:tcPr>
          <w:p>
            <w:pPr>
              <w:widowControl/>
              <w:jc w:val="center"/>
              <w:rPr>
                <w:color w:val="auto"/>
                <w:kern w:val="0"/>
                <w:sz w:val="18"/>
                <w:szCs w:val="15"/>
                <w:highlight w:val="none"/>
              </w:rPr>
            </w:pPr>
            <w:r>
              <w:rPr>
                <w:color w:val="auto"/>
                <w:kern w:val="0"/>
                <w:sz w:val="18"/>
                <w:szCs w:val="15"/>
                <w:highlight w:val="none"/>
              </w:rPr>
              <w:t>四氯乙烯</w:t>
            </w:r>
          </w:p>
        </w:tc>
        <w:tc>
          <w:tcPr>
            <w:tcW w:w="724" w:type="dxa"/>
            <w:shd w:val="clear" w:color="auto" w:fill="auto"/>
            <w:noWrap w:val="0"/>
            <w:vAlign w:val="center"/>
          </w:tcPr>
          <w:p>
            <w:pPr>
              <w:widowControl/>
              <w:jc w:val="center"/>
              <w:rPr>
                <w:color w:val="auto"/>
                <w:kern w:val="0"/>
                <w:sz w:val="18"/>
                <w:szCs w:val="18"/>
                <w:highlight w:val="none"/>
              </w:rPr>
            </w:pPr>
            <w:r>
              <w:rPr>
                <w:rFonts w:hint="eastAsia"/>
                <w:color w:val="auto"/>
                <w:kern w:val="0"/>
                <w:sz w:val="18"/>
                <w:szCs w:val="18"/>
                <w:highlight w:val="none"/>
              </w:rPr>
              <w:t>5</w:t>
            </w:r>
            <w:r>
              <w:rPr>
                <w:color w:val="auto"/>
                <w:kern w:val="0"/>
                <w:sz w:val="18"/>
                <w:szCs w:val="18"/>
                <w:highlight w:val="none"/>
              </w:rPr>
              <w:t>3</w:t>
            </w:r>
          </w:p>
        </w:tc>
        <w:tc>
          <w:tcPr>
            <w:tcW w:w="565" w:type="dxa"/>
            <w:shd w:val="clear" w:color="auto" w:fill="auto"/>
            <w:noWrap w:val="0"/>
            <w:vAlign w:val="center"/>
          </w:tcPr>
          <w:p>
            <w:pPr>
              <w:widowControl/>
              <w:jc w:val="center"/>
              <w:rPr>
                <w:color w:val="auto"/>
                <w:kern w:val="0"/>
                <w:sz w:val="18"/>
                <w:szCs w:val="18"/>
                <w:highlight w:val="none"/>
              </w:rPr>
            </w:pPr>
            <w:r>
              <w:rPr>
                <w:color w:val="auto"/>
                <w:kern w:val="0"/>
                <w:sz w:val="18"/>
                <w:szCs w:val="18"/>
                <w:highlight w:val="none"/>
              </w:rPr>
              <w:t>0.05</w:t>
            </w:r>
          </w:p>
        </w:tc>
        <w:tc>
          <w:tcPr>
            <w:tcW w:w="906"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6"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4" w:hRule="atLeast"/>
          <w:jc w:val="center"/>
        </w:trPr>
        <w:tc>
          <w:tcPr>
            <w:tcW w:w="2011" w:type="dxa"/>
            <w:shd w:val="clear" w:color="auto" w:fill="auto"/>
            <w:noWrap/>
            <w:vAlign w:val="center"/>
          </w:tcPr>
          <w:p>
            <w:pPr>
              <w:widowControl/>
              <w:jc w:val="center"/>
              <w:rPr>
                <w:color w:val="auto"/>
                <w:kern w:val="0"/>
                <w:sz w:val="18"/>
                <w:szCs w:val="15"/>
                <w:highlight w:val="none"/>
              </w:rPr>
            </w:pPr>
            <w:r>
              <w:rPr>
                <w:color w:val="auto"/>
                <w:kern w:val="0"/>
                <w:sz w:val="18"/>
                <w:szCs w:val="15"/>
                <w:highlight w:val="none"/>
              </w:rPr>
              <w:t>氯苯</w:t>
            </w:r>
          </w:p>
        </w:tc>
        <w:tc>
          <w:tcPr>
            <w:tcW w:w="724" w:type="dxa"/>
            <w:shd w:val="clear" w:color="auto" w:fill="auto"/>
            <w:noWrap w:val="0"/>
            <w:vAlign w:val="center"/>
          </w:tcPr>
          <w:p>
            <w:pPr>
              <w:widowControl/>
              <w:jc w:val="center"/>
              <w:rPr>
                <w:color w:val="auto"/>
                <w:kern w:val="0"/>
                <w:sz w:val="18"/>
                <w:szCs w:val="18"/>
                <w:highlight w:val="none"/>
              </w:rPr>
            </w:pPr>
            <w:r>
              <w:rPr>
                <w:rFonts w:hint="eastAsia"/>
                <w:color w:val="auto"/>
                <w:kern w:val="0"/>
                <w:sz w:val="18"/>
                <w:szCs w:val="18"/>
                <w:highlight w:val="none"/>
              </w:rPr>
              <w:t>2</w:t>
            </w:r>
            <w:r>
              <w:rPr>
                <w:color w:val="auto"/>
                <w:kern w:val="0"/>
                <w:sz w:val="18"/>
                <w:szCs w:val="18"/>
                <w:highlight w:val="none"/>
              </w:rPr>
              <w:t>70</w:t>
            </w:r>
          </w:p>
        </w:tc>
        <w:tc>
          <w:tcPr>
            <w:tcW w:w="565" w:type="dxa"/>
            <w:shd w:val="clear" w:color="auto" w:fill="auto"/>
            <w:noWrap w:val="0"/>
            <w:vAlign w:val="center"/>
          </w:tcPr>
          <w:p>
            <w:pPr>
              <w:widowControl/>
              <w:jc w:val="center"/>
              <w:rPr>
                <w:color w:val="auto"/>
                <w:kern w:val="0"/>
                <w:sz w:val="18"/>
                <w:szCs w:val="18"/>
                <w:highlight w:val="none"/>
              </w:rPr>
            </w:pPr>
            <w:r>
              <w:rPr>
                <w:color w:val="auto"/>
                <w:kern w:val="0"/>
                <w:sz w:val="18"/>
                <w:szCs w:val="18"/>
                <w:highlight w:val="none"/>
              </w:rPr>
              <w:t>0.05</w:t>
            </w:r>
          </w:p>
        </w:tc>
        <w:tc>
          <w:tcPr>
            <w:tcW w:w="906"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6"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4" w:hRule="atLeast"/>
          <w:jc w:val="center"/>
        </w:trPr>
        <w:tc>
          <w:tcPr>
            <w:tcW w:w="2011" w:type="dxa"/>
            <w:shd w:val="clear" w:color="auto" w:fill="auto"/>
            <w:noWrap/>
            <w:vAlign w:val="center"/>
          </w:tcPr>
          <w:p>
            <w:pPr>
              <w:widowControl/>
              <w:jc w:val="center"/>
              <w:rPr>
                <w:color w:val="auto"/>
                <w:kern w:val="0"/>
                <w:sz w:val="18"/>
                <w:szCs w:val="15"/>
                <w:highlight w:val="none"/>
              </w:rPr>
            </w:pPr>
            <w:r>
              <w:rPr>
                <w:color w:val="auto"/>
                <w:kern w:val="0"/>
                <w:sz w:val="18"/>
                <w:szCs w:val="15"/>
                <w:highlight w:val="none"/>
              </w:rPr>
              <w:t>1，2－二氯苯</w:t>
            </w:r>
          </w:p>
        </w:tc>
        <w:tc>
          <w:tcPr>
            <w:tcW w:w="724" w:type="dxa"/>
            <w:shd w:val="clear" w:color="auto" w:fill="auto"/>
            <w:noWrap w:val="0"/>
            <w:vAlign w:val="center"/>
          </w:tcPr>
          <w:p>
            <w:pPr>
              <w:widowControl/>
              <w:jc w:val="center"/>
              <w:rPr>
                <w:color w:val="auto"/>
                <w:kern w:val="0"/>
                <w:sz w:val="18"/>
                <w:szCs w:val="18"/>
                <w:highlight w:val="none"/>
              </w:rPr>
            </w:pPr>
            <w:r>
              <w:rPr>
                <w:rFonts w:hint="eastAsia"/>
                <w:color w:val="auto"/>
                <w:kern w:val="0"/>
                <w:sz w:val="18"/>
                <w:szCs w:val="18"/>
                <w:highlight w:val="none"/>
              </w:rPr>
              <w:t>5</w:t>
            </w:r>
            <w:r>
              <w:rPr>
                <w:color w:val="auto"/>
                <w:kern w:val="0"/>
                <w:sz w:val="18"/>
                <w:szCs w:val="18"/>
                <w:highlight w:val="none"/>
              </w:rPr>
              <w:t>60</w:t>
            </w:r>
          </w:p>
        </w:tc>
        <w:tc>
          <w:tcPr>
            <w:tcW w:w="565" w:type="dxa"/>
            <w:shd w:val="clear" w:color="auto" w:fill="auto"/>
            <w:noWrap w:val="0"/>
            <w:vAlign w:val="center"/>
          </w:tcPr>
          <w:p>
            <w:pPr>
              <w:widowControl/>
              <w:jc w:val="center"/>
              <w:rPr>
                <w:color w:val="auto"/>
                <w:kern w:val="0"/>
                <w:sz w:val="18"/>
                <w:szCs w:val="18"/>
                <w:highlight w:val="none"/>
              </w:rPr>
            </w:pPr>
            <w:r>
              <w:rPr>
                <w:color w:val="auto"/>
                <w:kern w:val="0"/>
                <w:sz w:val="18"/>
                <w:szCs w:val="18"/>
                <w:highlight w:val="none"/>
              </w:rPr>
              <w:t>0.05</w:t>
            </w:r>
          </w:p>
        </w:tc>
        <w:tc>
          <w:tcPr>
            <w:tcW w:w="906"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6"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4" w:hRule="atLeast"/>
          <w:jc w:val="center"/>
        </w:trPr>
        <w:tc>
          <w:tcPr>
            <w:tcW w:w="2011" w:type="dxa"/>
            <w:shd w:val="clear" w:color="auto" w:fill="auto"/>
            <w:noWrap/>
            <w:vAlign w:val="center"/>
          </w:tcPr>
          <w:p>
            <w:pPr>
              <w:widowControl/>
              <w:jc w:val="center"/>
              <w:rPr>
                <w:color w:val="auto"/>
                <w:kern w:val="0"/>
                <w:sz w:val="18"/>
                <w:szCs w:val="15"/>
                <w:highlight w:val="none"/>
              </w:rPr>
            </w:pPr>
            <w:r>
              <w:rPr>
                <w:color w:val="auto"/>
                <w:kern w:val="0"/>
                <w:sz w:val="18"/>
                <w:szCs w:val="15"/>
                <w:highlight w:val="none"/>
              </w:rPr>
              <w:t>1，4－二氯苯</w:t>
            </w:r>
          </w:p>
        </w:tc>
        <w:tc>
          <w:tcPr>
            <w:tcW w:w="724" w:type="dxa"/>
            <w:shd w:val="clear" w:color="auto" w:fill="auto"/>
            <w:noWrap w:val="0"/>
            <w:vAlign w:val="center"/>
          </w:tcPr>
          <w:p>
            <w:pPr>
              <w:widowControl/>
              <w:jc w:val="center"/>
              <w:rPr>
                <w:color w:val="auto"/>
                <w:kern w:val="0"/>
                <w:sz w:val="18"/>
                <w:szCs w:val="18"/>
                <w:highlight w:val="none"/>
              </w:rPr>
            </w:pPr>
            <w:r>
              <w:rPr>
                <w:rFonts w:hint="eastAsia"/>
                <w:color w:val="auto"/>
                <w:kern w:val="0"/>
                <w:sz w:val="18"/>
                <w:szCs w:val="18"/>
                <w:highlight w:val="none"/>
              </w:rPr>
              <w:t>2</w:t>
            </w:r>
            <w:r>
              <w:rPr>
                <w:color w:val="auto"/>
                <w:kern w:val="0"/>
                <w:sz w:val="18"/>
                <w:szCs w:val="18"/>
                <w:highlight w:val="none"/>
              </w:rPr>
              <w:t>0</w:t>
            </w:r>
          </w:p>
        </w:tc>
        <w:tc>
          <w:tcPr>
            <w:tcW w:w="565" w:type="dxa"/>
            <w:shd w:val="clear" w:color="auto" w:fill="auto"/>
            <w:noWrap w:val="0"/>
            <w:vAlign w:val="center"/>
          </w:tcPr>
          <w:p>
            <w:pPr>
              <w:widowControl/>
              <w:jc w:val="center"/>
              <w:rPr>
                <w:color w:val="auto"/>
                <w:kern w:val="0"/>
                <w:sz w:val="18"/>
                <w:szCs w:val="18"/>
                <w:highlight w:val="none"/>
              </w:rPr>
            </w:pPr>
            <w:r>
              <w:rPr>
                <w:color w:val="auto"/>
                <w:kern w:val="0"/>
                <w:sz w:val="18"/>
                <w:szCs w:val="18"/>
                <w:highlight w:val="none"/>
              </w:rPr>
              <w:t>0.05</w:t>
            </w:r>
          </w:p>
        </w:tc>
        <w:tc>
          <w:tcPr>
            <w:tcW w:w="906"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6"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4" w:hRule="atLeast"/>
          <w:jc w:val="center"/>
        </w:trPr>
        <w:tc>
          <w:tcPr>
            <w:tcW w:w="2011" w:type="dxa"/>
            <w:shd w:val="clear" w:color="auto" w:fill="auto"/>
            <w:noWrap/>
            <w:vAlign w:val="center"/>
          </w:tcPr>
          <w:p>
            <w:pPr>
              <w:widowControl/>
              <w:jc w:val="center"/>
              <w:rPr>
                <w:color w:val="auto"/>
                <w:kern w:val="0"/>
                <w:sz w:val="18"/>
                <w:szCs w:val="15"/>
                <w:highlight w:val="none"/>
              </w:rPr>
            </w:pPr>
            <w:r>
              <w:rPr>
                <w:color w:val="auto"/>
                <w:kern w:val="0"/>
                <w:sz w:val="18"/>
                <w:szCs w:val="15"/>
                <w:highlight w:val="none"/>
              </w:rPr>
              <w:t>苯</w:t>
            </w:r>
          </w:p>
        </w:tc>
        <w:tc>
          <w:tcPr>
            <w:tcW w:w="724" w:type="dxa"/>
            <w:shd w:val="clear" w:color="auto" w:fill="auto"/>
            <w:noWrap w:val="0"/>
            <w:vAlign w:val="center"/>
          </w:tcPr>
          <w:p>
            <w:pPr>
              <w:widowControl/>
              <w:jc w:val="center"/>
              <w:rPr>
                <w:color w:val="auto"/>
                <w:kern w:val="0"/>
                <w:sz w:val="18"/>
                <w:szCs w:val="18"/>
                <w:highlight w:val="none"/>
              </w:rPr>
            </w:pPr>
            <w:r>
              <w:rPr>
                <w:rFonts w:hint="eastAsia"/>
                <w:color w:val="auto"/>
                <w:kern w:val="0"/>
                <w:sz w:val="18"/>
                <w:szCs w:val="18"/>
                <w:highlight w:val="none"/>
              </w:rPr>
              <w:t>4</w:t>
            </w:r>
          </w:p>
        </w:tc>
        <w:tc>
          <w:tcPr>
            <w:tcW w:w="565" w:type="dxa"/>
            <w:shd w:val="clear" w:color="auto" w:fill="auto"/>
            <w:noWrap w:val="0"/>
            <w:vAlign w:val="center"/>
          </w:tcPr>
          <w:p>
            <w:pPr>
              <w:widowControl/>
              <w:jc w:val="center"/>
              <w:rPr>
                <w:color w:val="auto"/>
                <w:kern w:val="0"/>
                <w:sz w:val="18"/>
                <w:szCs w:val="18"/>
                <w:highlight w:val="none"/>
              </w:rPr>
            </w:pPr>
            <w:r>
              <w:rPr>
                <w:color w:val="auto"/>
                <w:kern w:val="0"/>
                <w:sz w:val="18"/>
                <w:szCs w:val="18"/>
                <w:highlight w:val="none"/>
              </w:rPr>
              <w:t>0.05</w:t>
            </w:r>
          </w:p>
        </w:tc>
        <w:tc>
          <w:tcPr>
            <w:tcW w:w="906"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6"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4" w:hRule="atLeast"/>
          <w:jc w:val="center"/>
        </w:trPr>
        <w:tc>
          <w:tcPr>
            <w:tcW w:w="2011" w:type="dxa"/>
            <w:shd w:val="clear" w:color="auto" w:fill="auto"/>
            <w:noWrap/>
            <w:vAlign w:val="center"/>
          </w:tcPr>
          <w:p>
            <w:pPr>
              <w:widowControl/>
              <w:jc w:val="center"/>
              <w:rPr>
                <w:color w:val="auto"/>
                <w:kern w:val="0"/>
                <w:sz w:val="18"/>
                <w:szCs w:val="15"/>
                <w:highlight w:val="none"/>
              </w:rPr>
            </w:pPr>
            <w:r>
              <w:rPr>
                <w:color w:val="auto"/>
                <w:kern w:val="0"/>
                <w:sz w:val="18"/>
                <w:szCs w:val="15"/>
                <w:highlight w:val="none"/>
              </w:rPr>
              <w:t>甲苯</w:t>
            </w:r>
          </w:p>
        </w:tc>
        <w:tc>
          <w:tcPr>
            <w:tcW w:w="724" w:type="dxa"/>
            <w:shd w:val="clear" w:color="auto" w:fill="auto"/>
            <w:noWrap w:val="0"/>
            <w:vAlign w:val="center"/>
          </w:tcPr>
          <w:p>
            <w:pPr>
              <w:widowControl/>
              <w:jc w:val="center"/>
              <w:rPr>
                <w:color w:val="auto"/>
                <w:kern w:val="0"/>
                <w:sz w:val="18"/>
                <w:szCs w:val="18"/>
                <w:highlight w:val="none"/>
              </w:rPr>
            </w:pPr>
            <w:r>
              <w:rPr>
                <w:rFonts w:hint="eastAsia"/>
                <w:color w:val="auto"/>
                <w:kern w:val="0"/>
                <w:sz w:val="18"/>
                <w:szCs w:val="18"/>
                <w:highlight w:val="none"/>
              </w:rPr>
              <w:t>1</w:t>
            </w:r>
            <w:r>
              <w:rPr>
                <w:color w:val="auto"/>
                <w:kern w:val="0"/>
                <w:sz w:val="18"/>
                <w:szCs w:val="18"/>
                <w:highlight w:val="none"/>
              </w:rPr>
              <w:t>200</w:t>
            </w:r>
          </w:p>
        </w:tc>
        <w:tc>
          <w:tcPr>
            <w:tcW w:w="565" w:type="dxa"/>
            <w:shd w:val="clear" w:color="auto" w:fill="auto"/>
            <w:noWrap w:val="0"/>
            <w:vAlign w:val="center"/>
          </w:tcPr>
          <w:p>
            <w:pPr>
              <w:widowControl/>
              <w:jc w:val="center"/>
              <w:rPr>
                <w:color w:val="auto"/>
                <w:kern w:val="0"/>
                <w:sz w:val="18"/>
                <w:szCs w:val="18"/>
                <w:highlight w:val="none"/>
              </w:rPr>
            </w:pPr>
            <w:r>
              <w:rPr>
                <w:color w:val="auto"/>
                <w:kern w:val="0"/>
                <w:sz w:val="18"/>
                <w:szCs w:val="18"/>
                <w:highlight w:val="none"/>
              </w:rPr>
              <w:t>0.05</w:t>
            </w:r>
          </w:p>
        </w:tc>
        <w:tc>
          <w:tcPr>
            <w:tcW w:w="906"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6"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4" w:hRule="atLeast"/>
          <w:jc w:val="center"/>
        </w:trPr>
        <w:tc>
          <w:tcPr>
            <w:tcW w:w="2011" w:type="dxa"/>
            <w:shd w:val="clear" w:color="auto" w:fill="auto"/>
            <w:noWrap/>
            <w:vAlign w:val="center"/>
          </w:tcPr>
          <w:p>
            <w:pPr>
              <w:widowControl/>
              <w:jc w:val="center"/>
              <w:rPr>
                <w:color w:val="auto"/>
                <w:kern w:val="0"/>
                <w:sz w:val="18"/>
                <w:szCs w:val="15"/>
                <w:highlight w:val="none"/>
              </w:rPr>
            </w:pPr>
            <w:r>
              <w:rPr>
                <w:color w:val="auto"/>
                <w:kern w:val="0"/>
                <w:sz w:val="18"/>
                <w:szCs w:val="15"/>
                <w:highlight w:val="none"/>
              </w:rPr>
              <w:t>乙苯</w:t>
            </w:r>
          </w:p>
        </w:tc>
        <w:tc>
          <w:tcPr>
            <w:tcW w:w="724" w:type="dxa"/>
            <w:shd w:val="clear" w:color="auto" w:fill="auto"/>
            <w:noWrap w:val="0"/>
            <w:vAlign w:val="center"/>
          </w:tcPr>
          <w:p>
            <w:pPr>
              <w:widowControl/>
              <w:jc w:val="center"/>
              <w:rPr>
                <w:color w:val="auto"/>
                <w:kern w:val="0"/>
                <w:sz w:val="18"/>
                <w:szCs w:val="18"/>
                <w:highlight w:val="none"/>
              </w:rPr>
            </w:pPr>
            <w:r>
              <w:rPr>
                <w:rFonts w:hint="eastAsia"/>
                <w:color w:val="auto"/>
                <w:kern w:val="0"/>
                <w:sz w:val="18"/>
                <w:szCs w:val="18"/>
                <w:highlight w:val="none"/>
              </w:rPr>
              <w:t>2</w:t>
            </w:r>
            <w:r>
              <w:rPr>
                <w:color w:val="auto"/>
                <w:kern w:val="0"/>
                <w:sz w:val="18"/>
                <w:szCs w:val="18"/>
                <w:highlight w:val="none"/>
              </w:rPr>
              <w:t>8</w:t>
            </w:r>
          </w:p>
        </w:tc>
        <w:tc>
          <w:tcPr>
            <w:tcW w:w="565" w:type="dxa"/>
            <w:shd w:val="clear" w:color="auto" w:fill="auto"/>
            <w:noWrap w:val="0"/>
            <w:vAlign w:val="center"/>
          </w:tcPr>
          <w:p>
            <w:pPr>
              <w:widowControl/>
              <w:jc w:val="center"/>
              <w:rPr>
                <w:color w:val="auto"/>
                <w:kern w:val="0"/>
                <w:sz w:val="18"/>
                <w:szCs w:val="18"/>
                <w:highlight w:val="none"/>
              </w:rPr>
            </w:pPr>
            <w:r>
              <w:rPr>
                <w:color w:val="auto"/>
                <w:kern w:val="0"/>
                <w:sz w:val="18"/>
                <w:szCs w:val="18"/>
                <w:highlight w:val="none"/>
              </w:rPr>
              <w:t>0.05</w:t>
            </w:r>
          </w:p>
        </w:tc>
        <w:tc>
          <w:tcPr>
            <w:tcW w:w="906"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6"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4" w:hRule="atLeast"/>
          <w:jc w:val="center"/>
        </w:trPr>
        <w:tc>
          <w:tcPr>
            <w:tcW w:w="2011" w:type="dxa"/>
            <w:shd w:val="clear" w:color="auto" w:fill="auto"/>
            <w:noWrap/>
            <w:vAlign w:val="center"/>
          </w:tcPr>
          <w:p>
            <w:pPr>
              <w:widowControl/>
              <w:jc w:val="center"/>
              <w:rPr>
                <w:color w:val="auto"/>
                <w:kern w:val="0"/>
                <w:sz w:val="18"/>
                <w:szCs w:val="15"/>
                <w:highlight w:val="none"/>
              </w:rPr>
            </w:pPr>
            <w:r>
              <w:rPr>
                <w:color w:val="auto"/>
                <w:kern w:val="0"/>
                <w:sz w:val="18"/>
                <w:szCs w:val="15"/>
                <w:highlight w:val="none"/>
              </w:rPr>
              <w:t>苯乙烯</w:t>
            </w:r>
          </w:p>
        </w:tc>
        <w:tc>
          <w:tcPr>
            <w:tcW w:w="724" w:type="dxa"/>
            <w:shd w:val="clear" w:color="auto" w:fill="auto"/>
            <w:noWrap w:val="0"/>
            <w:vAlign w:val="center"/>
          </w:tcPr>
          <w:p>
            <w:pPr>
              <w:widowControl/>
              <w:jc w:val="center"/>
              <w:rPr>
                <w:color w:val="auto"/>
                <w:kern w:val="0"/>
                <w:sz w:val="18"/>
                <w:szCs w:val="18"/>
                <w:highlight w:val="none"/>
              </w:rPr>
            </w:pPr>
            <w:r>
              <w:rPr>
                <w:color w:val="auto"/>
                <w:kern w:val="0"/>
                <w:sz w:val="18"/>
                <w:szCs w:val="18"/>
                <w:highlight w:val="none"/>
              </w:rPr>
              <w:t>1290</w:t>
            </w:r>
          </w:p>
        </w:tc>
        <w:tc>
          <w:tcPr>
            <w:tcW w:w="565" w:type="dxa"/>
            <w:shd w:val="clear" w:color="auto" w:fill="auto"/>
            <w:noWrap w:val="0"/>
            <w:vAlign w:val="center"/>
          </w:tcPr>
          <w:p>
            <w:pPr>
              <w:widowControl/>
              <w:jc w:val="center"/>
              <w:rPr>
                <w:color w:val="auto"/>
                <w:kern w:val="0"/>
                <w:sz w:val="18"/>
                <w:szCs w:val="18"/>
                <w:highlight w:val="none"/>
              </w:rPr>
            </w:pPr>
            <w:r>
              <w:rPr>
                <w:color w:val="auto"/>
                <w:kern w:val="0"/>
                <w:sz w:val="18"/>
                <w:szCs w:val="18"/>
                <w:highlight w:val="none"/>
              </w:rPr>
              <w:t>0.05</w:t>
            </w:r>
          </w:p>
        </w:tc>
        <w:tc>
          <w:tcPr>
            <w:tcW w:w="906"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6"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4" w:hRule="atLeast"/>
          <w:jc w:val="center"/>
        </w:trPr>
        <w:tc>
          <w:tcPr>
            <w:tcW w:w="2011" w:type="dxa"/>
            <w:shd w:val="clear" w:color="auto" w:fill="auto"/>
            <w:noWrap/>
            <w:vAlign w:val="center"/>
          </w:tcPr>
          <w:p>
            <w:pPr>
              <w:widowControl/>
              <w:jc w:val="center"/>
              <w:rPr>
                <w:color w:val="auto"/>
                <w:kern w:val="0"/>
                <w:sz w:val="18"/>
                <w:szCs w:val="15"/>
                <w:highlight w:val="none"/>
              </w:rPr>
            </w:pPr>
            <w:r>
              <w:rPr>
                <w:color w:val="auto"/>
                <w:kern w:val="0"/>
                <w:sz w:val="18"/>
                <w:szCs w:val="15"/>
                <w:highlight w:val="none"/>
              </w:rPr>
              <w:t>间二甲苯+邻二甲苯</w:t>
            </w:r>
          </w:p>
        </w:tc>
        <w:tc>
          <w:tcPr>
            <w:tcW w:w="724" w:type="dxa"/>
            <w:shd w:val="clear" w:color="auto" w:fill="auto"/>
            <w:noWrap w:val="0"/>
            <w:vAlign w:val="center"/>
          </w:tcPr>
          <w:p>
            <w:pPr>
              <w:widowControl/>
              <w:jc w:val="center"/>
              <w:rPr>
                <w:color w:val="auto"/>
                <w:kern w:val="0"/>
                <w:sz w:val="18"/>
                <w:szCs w:val="18"/>
                <w:highlight w:val="none"/>
              </w:rPr>
            </w:pPr>
            <w:r>
              <w:rPr>
                <w:rFonts w:hint="eastAsia"/>
                <w:color w:val="auto"/>
                <w:kern w:val="0"/>
                <w:sz w:val="18"/>
                <w:szCs w:val="18"/>
                <w:highlight w:val="none"/>
              </w:rPr>
              <w:t>5</w:t>
            </w:r>
            <w:r>
              <w:rPr>
                <w:color w:val="auto"/>
                <w:kern w:val="0"/>
                <w:sz w:val="18"/>
                <w:szCs w:val="18"/>
                <w:highlight w:val="none"/>
              </w:rPr>
              <w:t>70</w:t>
            </w:r>
          </w:p>
        </w:tc>
        <w:tc>
          <w:tcPr>
            <w:tcW w:w="565" w:type="dxa"/>
            <w:shd w:val="clear" w:color="auto" w:fill="auto"/>
            <w:noWrap w:val="0"/>
            <w:vAlign w:val="center"/>
          </w:tcPr>
          <w:p>
            <w:pPr>
              <w:widowControl/>
              <w:jc w:val="center"/>
              <w:rPr>
                <w:color w:val="auto"/>
                <w:kern w:val="0"/>
                <w:sz w:val="18"/>
                <w:szCs w:val="18"/>
                <w:highlight w:val="none"/>
              </w:rPr>
            </w:pPr>
            <w:r>
              <w:rPr>
                <w:color w:val="auto"/>
                <w:kern w:val="0"/>
                <w:sz w:val="18"/>
                <w:szCs w:val="18"/>
                <w:highlight w:val="none"/>
              </w:rPr>
              <w:t>0.05</w:t>
            </w:r>
          </w:p>
        </w:tc>
        <w:tc>
          <w:tcPr>
            <w:tcW w:w="906"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6"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4" w:hRule="atLeast"/>
          <w:jc w:val="center"/>
        </w:trPr>
        <w:tc>
          <w:tcPr>
            <w:tcW w:w="2011" w:type="dxa"/>
            <w:shd w:val="clear" w:color="auto" w:fill="auto"/>
            <w:noWrap/>
            <w:vAlign w:val="center"/>
          </w:tcPr>
          <w:p>
            <w:pPr>
              <w:widowControl/>
              <w:jc w:val="center"/>
              <w:rPr>
                <w:color w:val="auto"/>
                <w:kern w:val="0"/>
                <w:sz w:val="18"/>
                <w:szCs w:val="15"/>
                <w:highlight w:val="none"/>
              </w:rPr>
            </w:pPr>
            <w:r>
              <w:rPr>
                <w:color w:val="auto"/>
                <w:kern w:val="0"/>
                <w:sz w:val="18"/>
                <w:szCs w:val="15"/>
                <w:highlight w:val="none"/>
              </w:rPr>
              <w:t>邻二甲苯</w:t>
            </w:r>
          </w:p>
        </w:tc>
        <w:tc>
          <w:tcPr>
            <w:tcW w:w="724" w:type="dxa"/>
            <w:shd w:val="clear" w:color="auto" w:fill="auto"/>
            <w:noWrap w:val="0"/>
            <w:vAlign w:val="center"/>
          </w:tcPr>
          <w:p>
            <w:pPr>
              <w:widowControl/>
              <w:jc w:val="center"/>
              <w:rPr>
                <w:color w:val="auto"/>
                <w:kern w:val="0"/>
                <w:sz w:val="18"/>
                <w:szCs w:val="18"/>
                <w:highlight w:val="none"/>
              </w:rPr>
            </w:pPr>
            <w:r>
              <w:rPr>
                <w:rFonts w:hint="eastAsia"/>
                <w:color w:val="auto"/>
                <w:kern w:val="0"/>
                <w:sz w:val="18"/>
                <w:szCs w:val="18"/>
                <w:highlight w:val="none"/>
              </w:rPr>
              <w:t>6</w:t>
            </w:r>
            <w:r>
              <w:rPr>
                <w:color w:val="auto"/>
                <w:kern w:val="0"/>
                <w:sz w:val="18"/>
                <w:szCs w:val="18"/>
                <w:highlight w:val="none"/>
              </w:rPr>
              <w:t>40</w:t>
            </w:r>
          </w:p>
        </w:tc>
        <w:tc>
          <w:tcPr>
            <w:tcW w:w="565" w:type="dxa"/>
            <w:shd w:val="clear" w:color="auto" w:fill="auto"/>
            <w:noWrap w:val="0"/>
            <w:vAlign w:val="center"/>
          </w:tcPr>
          <w:p>
            <w:pPr>
              <w:widowControl/>
              <w:jc w:val="center"/>
              <w:rPr>
                <w:color w:val="auto"/>
                <w:kern w:val="0"/>
                <w:sz w:val="18"/>
                <w:szCs w:val="18"/>
                <w:highlight w:val="none"/>
              </w:rPr>
            </w:pPr>
            <w:r>
              <w:rPr>
                <w:color w:val="auto"/>
                <w:kern w:val="0"/>
                <w:sz w:val="18"/>
                <w:szCs w:val="18"/>
                <w:highlight w:val="none"/>
              </w:rPr>
              <w:t>0.05</w:t>
            </w:r>
          </w:p>
        </w:tc>
        <w:tc>
          <w:tcPr>
            <w:tcW w:w="906"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6"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4" w:hRule="atLeast"/>
          <w:jc w:val="center"/>
        </w:trPr>
        <w:tc>
          <w:tcPr>
            <w:tcW w:w="2011" w:type="dxa"/>
            <w:shd w:val="clear" w:color="auto" w:fill="auto"/>
            <w:noWrap/>
            <w:vAlign w:val="center"/>
          </w:tcPr>
          <w:p>
            <w:pPr>
              <w:widowControl/>
              <w:jc w:val="center"/>
              <w:rPr>
                <w:color w:val="auto"/>
                <w:kern w:val="0"/>
                <w:sz w:val="18"/>
                <w:szCs w:val="15"/>
                <w:highlight w:val="none"/>
              </w:rPr>
            </w:pPr>
            <w:r>
              <w:rPr>
                <w:color w:val="auto"/>
                <w:kern w:val="0"/>
                <w:sz w:val="18"/>
                <w:szCs w:val="15"/>
                <w:highlight w:val="none"/>
              </w:rPr>
              <w:t>氯仿</w:t>
            </w:r>
          </w:p>
        </w:tc>
        <w:tc>
          <w:tcPr>
            <w:tcW w:w="724" w:type="dxa"/>
            <w:shd w:val="clear" w:color="auto" w:fill="auto"/>
            <w:noWrap w:val="0"/>
            <w:vAlign w:val="center"/>
          </w:tcPr>
          <w:p>
            <w:pPr>
              <w:widowControl/>
              <w:jc w:val="center"/>
              <w:rPr>
                <w:color w:val="auto"/>
                <w:kern w:val="0"/>
                <w:sz w:val="18"/>
                <w:szCs w:val="18"/>
                <w:highlight w:val="none"/>
              </w:rPr>
            </w:pPr>
            <w:r>
              <w:rPr>
                <w:rFonts w:hint="eastAsia"/>
                <w:color w:val="auto"/>
                <w:kern w:val="0"/>
                <w:sz w:val="18"/>
                <w:szCs w:val="18"/>
                <w:highlight w:val="none"/>
              </w:rPr>
              <w:t>0</w:t>
            </w:r>
            <w:r>
              <w:rPr>
                <w:color w:val="auto"/>
                <w:kern w:val="0"/>
                <w:sz w:val="18"/>
                <w:szCs w:val="18"/>
                <w:highlight w:val="none"/>
              </w:rPr>
              <w:t>.9</w:t>
            </w:r>
          </w:p>
        </w:tc>
        <w:tc>
          <w:tcPr>
            <w:tcW w:w="565" w:type="dxa"/>
            <w:shd w:val="clear" w:color="auto" w:fill="auto"/>
            <w:noWrap w:val="0"/>
            <w:vAlign w:val="center"/>
          </w:tcPr>
          <w:p>
            <w:pPr>
              <w:widowControl/>
              <w:jc w:val="center"/>
              <w:rPr>
                <w:color w:val="auto"/>
                <w:kern w:val="0"/>
                <w:sz w:val="18"/>
                <w:szCs w:val="18"/>
                <w:highlight w:val="none"/>
              </w:rPr>
            </w:pPr>
            <w:r>
              <w:rPr>
                <w:color w:val="auto"/>
                <w:kern w:val="0"/>
                <w:sz w:val="18"/>
                <w:szCs w:val="18"/>
                <w:highlight w:val="none"/>
              </w:rPr>
              <w:t>0.05</w:t>
            </w:r>
          </w:p>
        </w:tc>
        <w:tc>
          <w:tcPr>
            <w:tcW w:w="906"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6"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ascii="宋体" w:hAnsi="宋体" w:cs="宋体"/>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c>
          <w:tcPr>
            <w:tcW w:w="907" w:type="dxa"/>
            <w:shd w:val="clear" w:color="auto" w:fill="auto"/>
            <w:noWrap/>
            <w:vAlign w:val="center"/>
          </w:tcPr>
          <w:p>
            <w:pPr>
              <w:jc w:val="center"/>
              <w:rPr>
                <w:rFonts w:hint="eastAsia"/>
                <w:color w:val="auto"/>
                <w:sz w:val="18"/>
                <w:szCs w:val="18"/>
                <w:highlight w:val="none"/>
              </w:rPr>
            </w:pPr>
            <w:r>
              <w:rPr>
                <w:rFonts w:hint="eastAsia"/>
                <w:color w:val="auto"/>
                <w:sz w:val="18"/>
                <w:szCs w:val="18"/>
                <w:highlight w:val="none"/>
              </w:rPr>
              <w:t>未检出</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4" w:hRule="atLeast"/>
          <w:jc w:val="center"/>
        </w:trPr>
        <w:tc>
          <w:tcPr>
            <w:tcW w:w="2011" w:type="dxa"/>
            <w:shd w:val="clear" w:color="auto" w:fill="auto"/>
            <w:noWrap/>
            <w:vAlign w:val="center"/>
          </w:tcPr>
          <w:p>
            <w:pPr>
              <w:widowControl/>
              <w:jc w:val="center"/>
              <w:rPr>
                <w:rFonts w:hint="eastAsia" w:eastAsia="宋体"/>
                <w:color w:val="auto"/>
                <w:kern w:val="0"/>
                <w:sz w:val="18"/>
                <w:szCs w:val="15"/>
                <w:highlight w:val="none"/>
                <w:lang w:val="en-US" w:eastAsia="zh-CN"/>
              </w:rPr>
            </w:pPr>
            <w:r>
              <w:rPr>
                <w:rFonts w:hint="eastAsia"/>
                <w:color w:val="auto"/>
                <w:kern w:val="0"/>
                <w:sz w:val="18"/>
                <w:szCs w:val="15"/>
                <w:highlight w:val="none"/>
                <w:lang w:val="en-US" w:eastAsia="zh-CN"/>
              </w:rPr>
              <w:t>pH</w:t>
            </w:r>
          </w:p>
        </w:tc>
        <w:tc>
          <w:tcPr>
            <w:tcW w:w="724" w:type="dxa"/>
            <w:shd w:val="clear" w:color="auto" w:fill="auto"/>
            <w:noWrap w:val="0"/>
            <w:vAlign w:val="center"/>
          </w:tcPr>
          <w:p>
            <w:pPr>
              <w:widowControl/>
              <w:jc w:val="center"/>
              <w:rPr>
                <w:rFonts w:hint="eastAsia" w:eastAsia="宋体"/>
                <w:color w:val="auto"/>
                <w:kern w:val="0"/>
                <w:sz w:val="18"/>
                <w:szCs w:val="18"/>
                <w:highlight w:val="none"/>
                <w:lang w:val="en-US" w:eastAsia="zh-CN"/>
              </w:rPr>
            </w:pPr>
            <w:r>
              <w:rPr>
                <w:rFonts w:hint="eastAsia"/>
                <w:color w:val="auto"/>
                <w:kern w:val="0"/>
                <w:sz w:val="18"/>
                <w:szCs w:val="18"/>
                <w:highlight w:val="none"/>
                <w:lang w:val="en-US" w:eastAsia="zh-CN"/>
              </w:rPr>
              <w:t>/</w:t>
            </w:r>
          </w:p>
        </w:tc>
        <w:tc>
          <w:tcPr>
            <w:tcW w:w="565" w:type="dxa"/>
            <w:shd w:val="clear" w:color="auto" w:fill="auto"/>
            <w:noWrap w:val="0"/>
            <w:vAlign w:val="center"/>
          </w:tcPr>
          <w:p>
            <w:pPr>
              <w:widowControl/>
              <w:jc w:val="center"/>
              <w:rPr>
                <w:rFonts w:hint="eastAsia" w:eastAsia="宋体"/>
                <w:color w:val="auto"/>
                <w:kern w:val="0"/>
                <w:sz w:val="18"/>
                <w:szCs w:val="18"/>
                <w:highlight w:val="none"/>
                <w:lang w:val="en-US" w:eastAsia="zh-CN"/>
              </w:rPr>
            </w:pPr>
            <w:r>
              <w:rPr>
                <w:rFonts w:hint="eastAsia"/>
                <w:color w:val="auto"/>
                <w:kern w:val="0"/>
                <w:sz w:val="18"/>
                <w:szCs w:val="18"/>
                <w:highlight w:val="none"/>
                <w:lang w:val="en-US" w:eastAsia="zh-CN"/>
              </w:rPr>
              <w:t>/</w:t>
            </w:r>
          </w:p>
        </w:tc>
        <w:tc>
          <w:tcPr>
            <w:tcW w:w="906" w:type="dxa"/>
            <w:shd w:val="clear" w:color="auto" w:fill="auto"/>
            <w:noWrap/>
            <w:vAlign w:val="center"/>
          </w:tcPr>
          <w:p>
            <w:pPr>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8.29</w:t>
            </w:r>
          </w:p>
        </w:tc>
        <w:tc>
          <w:tcPr>
            <w:tcW w:w="907" w:type="dxa"/>
            <w:shd w:val="clear" w:color="auto" w:fill="auto"/>
            <w:noWrap/>
            <w:vAlign w:val="center"/>
          </w:tcPr>
          <w:p>
            <w:pPr>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8.35</w:t>
            </w:r>
          </w:p>
        </w:tc>
        <w:tc>
          <w:tcPr>
            <w:tcW w:w="907" w:type="dxa"/>
            <w:shd w:val="clear" w:color="auto" w:fill="auto"/>
            <w:noWrap/>
            <w:vAlign w:val="center"/>
          </w:tcPr>
          <w:p>
            <w:pPr>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8.52</w:t>
            </w:r>
          </w:p>
        </w:tc>
        <w:tc>
          <w:tcPr>
            <w:tcW w:w="907" w:type="dxa"/>
            <w:shd w:val="clear" w:color="auto" w:fill="auto"/>
            <w:noWrap/>
            <w:vAlign w:val="center"/>
          </w:tcPr>
          <w:p>
            <w:pPr>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8.41</w:t>
            </w:r>
          </w:p>
        </w:tc>
        <w:tc>
          <w:tcPr>
            <w:tcW w:w="906" w:type="dxa"/>
            <w:shd w:val="clear" w:color="auto" w:fill="auto"/>
            <w:noWrap/>
            <w:vAlign w:val="center"/>
          </w:tcPr>
          <w:p>
            <w:pPr>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8.49</w:t>
            </w:r>
          </w:p>
        </w:tc>
        <w:tc>
          <w:tcPr>
            <w:tcW w:w="907" w:type="dxa"/>
            <w:shd w:val="clear" w:color="auto" w:fill="auto"/>
            <w:noWrap/>
            <w:vAlign w:val="center"/>
          </w:tcPr>
          <w:p>
            <w:pPr>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8.38</w:t>
            </w:r>
          </w:p>
        </w:tc>
        <w:tc>
          <w:tcPr>
            <w:tcW w:w="907" w:type="dxa"/>
            <w:shd w:val="clear" w:color="auto" w:fill="auto"/>
            <w:noWrap/>
            <w:vAlign w:val="center"/>
          </w:tcPr>
          <w:p>
            <w:pPr>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8.32</w:t>
            </w:r>
          </w:p>
        </w:tc>
        <w:tc>
          <w:tcPr>
            <w:tcW w:w="907" w:type="dxa"/>
            <w:shd w:val="clear" w:color="auto" w:fill="auto"/>
            <w:noWrap/>
            <w:vAlign w:val="center"/>
          </w:tcPr>
          <w:p>
            <w:pPr>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8.41</w:t>
            </w:r>
          </w:p>
        </w:tc>
        <w:tc>
          <w:tcPr>
            <w:tcW w:w="907" w:type="dxa"/>
            <w:shd w:val="clear" w:color="auto" w:fill="auto"/>
            <w:noWrap/>
            <w:vAlign w:val="center"/>
          </w:tcPr>
          <w:p>
            <w:pPr>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8.29</w:t>
            </w:r>
          </w:p>
        </w:tc>
        <w:tc>
          <w:tcPr>
            <w:tcW w:w="907" w:type="dxa"/>
            <w:shd w:val="clear" w:color="auto" w:fill="auto"/>
            <w:noWrap/>
            <w:vAlign w:val="center"/>
          </w:tcPr>
          <w:p>
            <w:pPr>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8.41</w:t>
            </w:r>
          </w:p>
        </w:tc>
        <w:tc>
          <w:tcPr>
            <w:tcW w:w="907" w:type="dxa"/>
            <w:shd w:val="clear" w:color="auto" w:fill="auto"/>
            <w:noWrap/>
            <w:vAlign w:val="center"/>
          </w:tcPr>
          <w:p>
            <w:pPr>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8.50</w:t>
            </w:r>
          </w:p>
        </w:tc>
        <w:tc>
          <w:tcPr>
            <w:tcW w:w="907" w:type="dxa"/>
            <w:shd w:val="clear" w:color="auto" w:fill="auto"/>
            <w:noWrap/>
            <w:vAlign w:val="center"/>
          </w:tcPr>
          <w:p>
            <w:pPr>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8.40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4" w:hRule="atLeast"/>
          <w:jc w:val="center"/>
        </w:trPr>
        <w:tc>
          <w:tcPr>
            <w:tcW w:w="2011" w:type="dxa"/>
            <w:shd w:val="clear" w:color="auto" w:fill="auto"/>
            <w:noWrap/>
            <w:vAlign w:val="center"/>
          </w:tcPr>
          <w:p>
            <w:pPr>
              <w:widowControl/>
              <w:jc w:val="center"/>
              <w:rPr>
                <w:rFonts w:hint="eastAsia" w:eastAsia="宋体"/>
                <w:color w:val="auto"/>
                <w:kern w:val="0"/>
                <w:sz w:val="18"/>
                <w:szCs w:val="15"/>
                <w:highlight w:val="none"/>
                <w:lang w:val="en-US" w:eastAsia="zh-CN"/>
              </w:rPr>
            </w:pPr>
            <w:r>
              <w:rPr>
                <w:rFonts w:hint="eastAsia"/>
                <w:color w:val="auto"/>
                <w:kern w:val="0"/>
                <w:sz w:val="18"/>
                <w:szCs w:val="15"/>
                <w:highlight w:val="none"/>
                <w:lang w:val="en-US" w:eastAsia="zh-CN"/>
              </w:rPr>
              <w:t>锌</w:t>
            </w:r>
          </w:p>
        </w:tc>
        <w:tc>
          <w:tcPr>
            <w:tcW w:w="724" w:type="dxa"/>
            <w:shd w:val="clear" w:color="auto" w:fill="auto"/>
            <w:noWrap w:val="0"/>
            <w:vAlign w:val="center"/>
          </w:tcPr>
          <w:p>
            <w:pPr>
              <w:widowControl/>
              <w:jc w:val="center"/>
              <w:rPr>
                <w:rFonts w:hint="eastAsia"/>
                <w:color w:val="auto"/>
                <w:kern w:val="0"/>
                <w:sz w:val="18"/>
                <w:szCs w:val="18"/>
                <w:highlight w:val="none"/>
              </w:rPr>
            </w:pPr>
            <w:r>
              <w:rPr>
                <w:rFonts w:hint="eastAsia"/>
                <w:color w:val="auto"/>
                <w:kern w:val="0"/>
                <w:sz w:val="18"/>
                <w:szCs w:val="18"/>
                <w:highlight w:val="none"/>
                <w:lang w:val="en-US" w:eastAsia="zh-CN"/>
              </w:rPr>
              <w:t>/</w:t>
            </w:r>
          </w:p>
        </w:tc>
        <w:tc>
          <w:tcPr>
            <w:tcW w:w="565" w:type="dxa"/>
            <w:shd w:val="clear" w:color="auto" w:fill="auto"/>
            <w:noWrap w:val="0"/>
            <w:vAlign w:val="center"/>
          </w:tcPr>
          <w:p>
            <w:pPr>
              <w:widowControl/>
              <w:jc w:val="center"/>
              <w:rPr>
                <w:color w:val="auto"/>
                <w:kern w:val="0"/>
                <w:sz w:val="18"/>
                <w:szCs w:val="18"/>
                <w:highlight w:val="none"/>
              </w:rPr>
            </w:pPr>
            <w:r>
              <w:rPr>
                <w:rFonts w:hint="eastAsia"/>
                <w:color w:val="auto"/>
                <w:kern w:val="0"/>
                <w:sz w:val="18"/>
                <w:szCs w:val="18"/>
                <w:highlight w:val="none"/>
                <w:lang w:val="en-US" w:eastAsia="zh-CN"/>
              </w:rPr>
              <w:t>/</w:t>
            </w:r>
          </w:p>
        </w:tc>
        <w:tc>
          <w:tcPr>
            <w:tcW w:w="906" w:type="dxa"/>
            <w:shd w:val="clear" w:color="auto" w:fill="auto"/>
            <w:noWrap/>
            <w:vAlign w:val="center"/>
          </w:tcPr>
          <w:p>
            <w:pPr>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65.1</w:t>
            </w:r>
          </w:p>
        </w:tc>
        <w:tc>
          <w:tcPr>
            <w:tcW w:w="907" w:type="dxa"/>
            <w:shd w:val="clear" w:color="auto" w:fill="auto"/>
            <w:noWrap/>
            <w:vAlign w:val="center"/>
          </w:tcPr>
          <w:p>
            <w:pPr>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57.8</w:t>
            </w:r>
          </w:p>
        </w:tc>
        <w:tc>
          <w:tcPr>
            <w:tcW w:w="907" w:type="dxa"/>
            <w:shd w:val="clear" w:color="auto" w:fill="auto"/>
            <w:noWrap/>
            <w:vAlign w:val="center"/>
          </w:tcPr>
          <w:p>
            <w:pPr>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40.4</w:t>
            </w:r>
          </w:p>
        </w:tc>
        <w:tc>
          <w:tcPr>
            <w:tcW w:w="907" w:type="dxa"/>
            <w:shd w:val="clear" w:color="auto" w:fill="auto"/>
            <w:noWrap/>
            <w:vAlign w:val="center"/>
          </w:tcPr>
          <w:p>
            <w:pPr>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26.0</w:t>
            </w:r>
          </w:p>
        </w:tc>
        <w:tc>
          <w:tcPr>
            <w:tcW w:w="906" w:type="dxa"/>
            <w:shd w:val="clear" w:color="auto" w:fill="auto"/>
            <w:noWrap/>
            <w:vAlign w:val="center"/>
          </w:tcPr>
          <w:p>
            <w:pPr>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47.3</w:t>
            </w:r>
          </w:p>
        </w:tc>
        <w:tc>
          <w:tcPr>
            <w:tcW w:w="907" w:type="dxa"/>
            <w:shd w:val="clear" w:color="auto" w:fill="auto"/>
            <w:noWrap/>
            <w:vAlign w:val="center"/>
          </w:tcPr>
          <w:p>
            <w:pPr>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45.9</w:t>
            </w:r>
          </w:p>
        </w:tc>
        <w:tc>
          <w:tcPr>
            <w:tcW w:w="907" w:type="dxa"/>
            <w:shd w:val="clear" w:color="auto" w:fill="auto"/>
            <w:noWrap/>
            <w:vAlign w:val="center"/>
          </w:tcPr>
          <w:p>
            <w:pPr>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73.6</w:t>
            </w:r>
          </w:p>
        </w:tc>
        <w:tc>
          <w:tcPr>
            <w:tcW w:w="907" w:type="dxa"/>
            <w:shd w:val="clear" w:color="auto" w:fill="auto"/>
            <w:noWrap/>
            <w:vAlign w:val="center"/>
          </w:tcPr>
          <w:p>
            <w:pPr>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64.2</w:t>
            </w:r>
          </w:p>
        </w:tc>
        <w:tc>
          <w:tcPr>
            <w:tcW w:w="907" w:type="dxa"/>
            <w:shd w:val="clear" w:color="auto" w:fill="auto"/>
            <w:noWrap/>
            <w:vAlign w:val="center"/>
          </w:tcPr>
          <w:p>
            <w:pPr>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61.3</w:t>
            </w:r>
          </w:p>
        </w:tc>
        <w:tc>
          <w:tcPr>
            <w:tcW w:w="907" w:type="dxa"/>
            <w:shd w:val="clear" w:color="auto" w:fill="auto"/>
            <w:noWrap/>
            <w:vAlign w:val="center"/>
          </w:tcPr>
          <w:p>
            <w:pPr>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68.7</w:t>
            </w:r>
          </w:p>
        </w:tc>
        <w:tc>
          <w:tcPr>
            <w:tcW w:w="907" w:type="dxa"/>
            <w:shd w:val="clear" w:color="auto" w:fill="auto"/>
            <w:noWrap/>
            <w:vAlign w:val="center"/>
          </w:tcPr>
          <w:p>
            <w:pPr>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59.6</w:t>
            </w:r>
          </w:p>
        </w:tc>
        <w:tc>
          <w:tcPr>
            <w:tcW w:w="907" w:type="dxa"/>
            <w:shd w:val="clear" w:color="auto" w:fill="auto"/>
            <w:noWrap/>
            <w:vAlign w:val="center"/>
          </w:tcPr>
          <w:p>
            <w:pPr>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54.2</w:t>
            </w:r>
          </w:p>
        </w:tc>
      </w:tr>
    </w:tbl>
    <w:p>
      <w:pPr>
        <w:spacing w:line="360" w:lineRule="auto"/>
        <w:rPr>
          <w:rFonts w:hint="eastAsia"/>
          <w:color w:val="auto"/>
          <w:sz w:val="24"/>
          <w:highlight w:val="none"/>
          <w:lang w:val="zh-CN"/>
        </w:rPr>
        <w:sectPr>
          <w:pgSz w:w="16840" w:h="11907" w:orient="landscape"/>
          <w:pgMar w:top="1474" w:right="1418" w:bottom="1418" w:left="1418" w:header="964" w:footer="964" w:gutter="0"/>
          <w:pgBorders>
            <w:top w:val="none" w:sz="0" w:space="0"/>
            <w:left w:val="none" w:sz="0" w:space="0"/>
            <w:bottom w:val="none" w:sz="0" w:space="0"/>
            <w:right w:val="none" w:sz="0" w:space="0"/>
          </w:pgBorders>
          <w:pgNumType w:fmt="decimal"/>
          <w:cols w:space="720" w:num="1"/>
          <w:docGrid w:linePitch="312" w:charSpace="0"/>
        </w:sectPr>
      </w:pPr>
    </w:p>
    <w:p>
      <w:pPr>
        <w:spacing w:line="360" w:lineRule="auto"/>
        <w:ind w:firstLine="480" w:firstLineChars="200"/>
        <w:rPr>
          <w:color w:val="auto"/>
          <w:sz w:val="24"/>
          <w:highlight w:val="none"/>
          <w:lang w:val="zh-CN"/>
        </w:rPr>
      </w:pPr>
      <w:r>
        <w:rPr>
          <w:rFonts w:hint="eastAsia"/>
          <w:color w:val="auto"/>
          <w:sz w:val="24"/>
          <w:highlight w:val="none"/>
          <w:lang w:val="zh-CN"/>
        </w:rPr>
        <w:t>由上表可知，监测点位的各项监测因子均达标，满足《土壤环境质量 建设用地土壤污染风险管控标准(试行)》(GB36600-2018)表1中第二类用地筛选值标准要求。</w:t>
      </w:r>
    </w:p>
    <w:p>
      <w:pPr>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eastAsia="黑体"/>
          <w:color w:val="auto"/>
          <w:sz w:val="24"/>
          <w:highlight w:val="none"/>
        </w:rPr>
      </w:pPr>
      <w:r>
        <w:rPr>
          <w:rFonts w:hint="eastAsia" w:eastAsia="黑体"/>
          <w:color w:val="auto"/>
          <w:sz w:val="24"/>
          <w:highlight w:val="none"/>
          <w:lang w:eastAsia="zh-CN"/>
        </w:rPr>
        <w:t>3.6</w:t>
      </w:r>
      <w:r>
        <w:rPr>
          <w:rFonts w:hint="eastAsia" w:eastAsia="黑体"/>
          <w:color w:val="auto"/>
          <w:sz w:val="24"/>
          <w:highlight w:val="none"/>
          <w:lang w:val="en-US" w:eastAsia="zh-CN"/>
        </w:rPr>
        <w:t>.5</w:t>
      </w:r>
      <w:r>
        <w:rPr>
          <w:rFonts w:eastAsia="黑体"/>
          <w:color w:val="auto"/>
          <w:sz w:val="24"/>
          <w:highlight w:val="none"/>
        </w:rPr>
        <w:t xml:space="preserve">.2 </w:t>
      </w:r>
      <w:r>
        <w:rPr>
          <w:rFonts w:ascii="Times New Roman" w:hAnsi="Times New Roman" w:cs="Times New Roman"/>
          <w:color w:val="auto"/>
          <w:sz w:val="24"/>
          <w:szCs w:val="24"/>
          <w:highlight w:val="none"/>
        </w:rPr>
        <w:t>土壤</w:t>
      </w:r>
      <w:r>
        <w:rPr>
          <w:rFonts w:eastAsia="黑体"/>
          <w:color w:val="auto"/>
          <w:sz w:val="24"/>
          <w:highlight w:val="none"/>
        </w:rPr>
        <w:t>环境变化趋势</w:t>
      </w:r>
    </w:p>
    <w:p>
      <w:pPr>
        <w:spacing w:line="360" w:lineRule="auto"/>
        <w:ind w:firstLine="480" w:firstLineChars="200"/>
        <w:rPr>
          <w:color w:val="auto"/>
          <w:sz w:val="24"/>
          <w:highlight w:val="none"/>
        </w:rPr>
      </w:pPr>
      <w:r>
        <w:rPr>
          <w:rFonts w:hint="eastAsia"/>
          <w:color w:val="auto"/>
          <w:sz w:val="24"/>
          <w:highlight w:val="none"/>
          <w:lang w:val="zh-CN"/>
        </w:rPr>
        <w:t>项目登记表未对土壤环境情况进行监测和评价，本次环评期间引用</w:t>
      </w:r>
      <w:r>
        <w:rPr>
          <w:color w:val="auto"/>
          <w:sz w:val="24"/>
          <w:highlight w:val="none"/>
          <w:lang w:val="zh-CN"/>
        </w:rPr>
        <w:t>《</w:t>
      </w:r>
      <w:r>
        <w:rPr>
          <w:rFonts w:hint="eastAsia"/>
          <w:color w:val="auto"/>
          <w:sz w:val="24"/>
          <w:highlight w:val="none"/>
        </w:rPr>
        <w:t>青岛</w:t>
      </w:r>
      <w:r>
        <w:rPr>
          <w:rFonts w:hint="eastAsia"/>
          <w:color w:val="auto"/>
          <w:sz w:val="24"/>
          <w:highlight w:val="none"/>
          <w:lang w:eastAsia="zh-CN"/>
        </w:rPr>
        <w:t>金泰表面工程有限公司</w:t>
      </w:r>
      <w:r>
        <w:rPr>
          <w:rFonts w:hint="eastAsia"/>
          <w:color w:val="auto"/>
          <w:sz w:val="24"/>
          <w:highlight w:val="none"/>
        </w:rPr>
        <w:t>青岛</w:t>
      </w:r>
      <w:r>
        <w:rPr>
          <w:rFonts w:hint="eastAsia"/>
          <w:color w:val="auto"/>
          <w:sz w:val="24"/>
          <w:highlight w:val="none"/>
          <w:lang w:eastAsia="zh-CN"/>
        </w:rPr>
        <w:t>经济技术开发区电镀工业园</w:t>
      </w:r>
      <w:r>
        <w:rPr>
          <w:rFonts w:hint="eastAsia"/>
          <w:color w:val="auto"/>
          <w:sz w:val="24"/>
          <w:highlight w:val="none"/>
        </w:rPr>
        <w:t>建设项目环境影响报告书</w:t>
      </w:r>
      <w:r>
        <w:rPr>
          <w:color w:val="auto"/>
          <w:sz w:val="24"/>
          <w:highlight w:val="none"/>
          <w:lang w:val="zh-CN"/>
        </w:rPr>
        <w:t>》</w:t>
      </w:r>
      <w:r>
        <w:rPr>
          <w:rFonts w:hint="eastAsia"/>
          <w:color w:val="auto"/>
          <w:sz w:val="24"/>
          <w:highlight w:val="none"/>
          <w:lang w:val="zh-CN"/>
        </w:rPr>
        <w:t>内容中的监测数据，监测时间为2</w:t>
      </w:r>
      <w:r>
        <w:rPr>
          <w:color w:val="auto"/>
          <w:sz w:val="24"/>
          <w:highlight w:val="none"/>
          <w:lang w:val="zh-CN"/>
        </w:rPr>
        <w:t>0</w:t>
      </w:r>
      <w:r>
        <w:rPr>
          <w:rFonts w:hint="eastAsia"/>
          <w:color w:val="auto"/>
          <w:sz w:val="24"/>
          <w:highlight w:val="none"/>
          <w:lang w:val="en-US" w:eastAsia="zh-CN"/>
        </w:rPr>
        <w:t>03</w:t>
      </w:r>
      <w:r>
        <w:rPr>
          <w:rFonts w:hint="eastAsia"/>
          <w:color w:val="auto"/>
          <w:sz w:val="24"/>
          <w:highlight w:val="none"/>
          <w:lang w:val="zh-CN"/>
        </w:rPr>
        <w:t>年8月，监测结果见下表3.6-</w:t>
      </w:r>
      <w:r>
        <w:rPr>
          <w:rFonts w:hint="eastAsia"/>
          <w:color w:val="auto"/>
          <w:sz w:val="24"/>
          <w:highlight w:val="none"/>
          <w:lang w:val="en-US" w:eastAsia="zh-CN"/>
        </w:rPr>
        <w:t>17</w:t>
      </w:r>
      <w:r>
        <w:rPr>
          <w:rFonts w:hint="eastAsia"/>
          <w:color w:val="auto"/>
          <w:sz w:val="24"/>
          <w:highlight w:val="none"/>
          <w:lang w:val="zh-CN"/>
        </w:rPr>
        <w:t>。</w:t>
      </w:r>
    </w:p>
    <w:p>
      <w:pPr>
        <w:jc w:val="right"/>
        <w:rPr>
          <w:rFonts w:eastAsia="黑体"/>
          <w:iCs/>
          <w:color w:val="auto"/>
          <w:szCs w:val="21"/>
          <w:highlight w:val="none"/>
        </w:rPr>
      </w:pPr>
      <w:r>
        <w:rPr>
          <w:rFonts w:eastAsia="黑体"/>
          <w:iCs/>
          <w:color w:val="auto"/>
          <w:sz w:val="24"/>
          <w:szCs w:val="24"/>
          <w:highlight w:val="none"/>
        </w:rPr>
        <w:t>表</w:t>
      </w:r>
      <w:r>
        <w:rPr>
          <w:rFonts w:hint="eastAsia" w:eastAsia="黑体"/>
          <w:iCs/>
          <w:color w:val="auto"/>
          <w:sz w:val="24"/>
          <w:szCs w:val="24"/>
          <w:highlight w:val="none"/>
          <w:lang w:eastAsia="zh-CN"/>
        </w:rPr>
        <w:t>3.6</w:t>
      </w:r>
      <w:r>
        <w:rPr>
          <w:rFonts w:eastAsia="黑体"/>
          <w:iCs/>
          <w:color w:val="auto"/>
          <w:sz w:val="24"/>
          <w:szCs w:val="24"/>
          <w:highlight w:val="none"/>
        </w:rPr>
        <w:t>-</w:t>
      </w:r>
      <w:r>
        <w:rPr>
          <w:rFonts w:hint="eastAsia" w:eastAsia="黑体"/>
          <w:iCs/>
          <w:color w:val="auto"/>
          <w:sz w:val="24"/>
          <w:szCs w:val="24"/>
          <w:highlight w:val="none"/>
          <w:lang w:val="en-US" w:eastAsia="zh-CN"/>
        </w:rPr>
        <w:t>17</w:t>
      </w:r>
      <w:r>
        <w:rPr>
          <w:rFonts w:eastAsia="黑体"/>
          <w:iCs/>
          <w:color w:val="auto"/>
          <w:sz w:val="24"/>
          <w:szCs w:val="24"/>
          <w:highlight w:val="none"/>
        </w:rPr>
        <w:t xml:space="preserve"> </w:t>
      </w:r>
      <w:r>
        <w:rPr>
          <w:rFonts w:hint="eastAsia" w:eastAsia="黑体"/>
          <w:iCs/>
          <w:color w:val="auto"/>
          <w:sz w:val="24"/>
          <w:szCs w:val="24"/>
          <w:highlight w:val="none"/>
          <w:lang w:val="en-US" w:eastAsia="zh-CN"/>
        </w:rPr>
        <w:t xml:space="preserve"> </w:t>
      </w:r>
      <w:r>
        <w:rPr>
          <w:rFonts w:eastAsia="黑体"/>
          <w:iCs/>
          <w:color w:val="auto"/>
          <w:sz w:val="24"/>
          <w:szCs w:val="24"/>
          <w:highlight w:val="none"/>
        </w:rPr>
        <w:t xml:space="preserve">土壤监测结果 </w:t>
      </w:r>
      <w:r>
        <w:rPr>
          <w:rFonts w:hint="eastAsia" w:eastAsia="黑体"/>
          <w:iCs/>
          <w:color w:val="auto"/>
          <w:sz w:val="24"/>
          <w:szCs w:val="24"/>
          <w:highlight w:val="none"/>
          <w:lang w:val="en-US" w:eastAsia="zh-CN"/>
        </w:rPr>
        <w:t xml:space="preserve">     </w:t>
      </w:r>
      <w:r>
        <w:rPr>
          <w:rFonts w:eastAsia="黑体"/>
          <w:iCs/>
          <w:color w:val="auto"/>
          <w:sz w:val="24"/>
          <w:szCs w:val="24"/>
          <w:highlight w:val="none"/>
        </w:rPr>
        <w:t>单位：</w:t>
      </w:r>
      <w:r>
        <w:rPr>
          <w:rFonts w:eastAsia="黑体"/>
          <w:color w:val="auto"/>
          <w:sz w:val="24"/>
          <w:szCs w:val="24"/>
          <w:highlight w:val="none"/>
        </w:rPr>
        <w:t>pH值(无量纲)，其他mg/kg</w:t>
      </w:r>
    </w:p>
    <w:tbl>
      <w:tblPr>
        <w:tblStyle w:val="36"/>
        <w:tblW w:w="9117" w:type="dxa"/>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436"/>
        <w:gridCol w:w="2500"/>
        <w:gridCol w:w="2834"/>
        <w:gridCol w:w="2347"/>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1436" w:type="dxa"/>
            <w:vAlign w:val="center"/>
          </w:tcPr>
          <w:p>
            <w:pPr>
              <w:jc w:val="center"/>
              <w:rPr>
                <w:color w:val="auto"/>
                <w:szCs w:val="21"/>
                <w:highlight w:val="none"/>
              </w:rPr>
            </w:pPr>
            <w:r>
              <w:rPr>
                <w:rFonts w:hAnsi="宋体"/>
                <w:color w:val="auto"/>
                <w:szCs w:val="21"/>
                <w:highlight w:val="none"/>
              </w:rPr>
              <w:t>监测项目</w:t>
            </w:r>
          </w:p>
        </w:tc>
        <w:tc>
          <w:tcPr>
            <w:tcW w:w="2500" w:type="dxa"/>
            <w:vAlign w:val="center"/>
          </w:tcPr>
          <w:p>
            <w:pPr>
              <w:jc w:val="center"/>
              <w:rPr>
                <w:rFonts w:hint="eastAsia" w:eastAsia="宋体"/>
                <w:color w:val="auto"/>
                <w:szCs w:val="21"/>
                <w:highlight w:val="none"/>
                <w:lang w:eastAsia="zh-CN"/>
              </w:rPr>
            </w:pPr>
            <w:r>
              <w:rPr>
                <w:rFonts w:hint="eastAsia" w:hAnsi="宋体"/>
                <w:color w:val="auto"/>
                <w:szCs w:val="21"/>
                <w:highlight w:val="none"/>
                <w:lang w:eastAsia="zh-CN"/>
              </w:rPr>
              <w:t>电镀工业园</w:t>
            </w:r>
          </w:p>
        </w:tc>
        <w:tc>
          <w:tcPr>
            <w:tcW w:w="2834" w:type="dxa"/>
            <w:vAlign w:val="center"/>
          </w:tcPr>
          <w:p>
            <w:pPr>
              <w:jc w:val="center"/>
              <w:rPr>
                <w:rFonts w:hint="eastAsia" w:eastAsia="宋体"/>
                <w:color w:val="auto"/>
                <w:szCs w:val="21"/>
                <w:highlight w:val="none"/>
                <w:lang w:eastAsia="zh-CN"/>
              </w:rPr>
            </w:pPr>
            <w:r>
              <w:rPr>
                <w:rFonts w:hint="eastAsia" w:hAnsi="宋体"/>
                <w:color w:val="auto"/>
                <w:szCs w:val="21"/>
                <w:highlight w:val="none"/>
                <w:lang w:eastAsia="zh-CN"/>
              </w:rPr>
              <w:t>标准值</w:t>
            </w:r>
          </w:p>
        </w:tc>
        <w:tc>
          <w:tcPr>
            <w:tcW w:w="2347" w:type="dxa"/>
            <w:vAlign w:val="center"/>
          </w:tcPr>
          <w:p>
            <w:pPr>
              <w:jc w:val="center"/>
              <w:rPr>
                <w:rFonts w:hint="eastAsia" w:eastAsia="宋体"/>
                <w:color w:val="auto"/>
                <w:szCs w:val="21"/>
                <w:highlight w:val="none"/>
                <w:lang w:eastAsia="zh-CN"/>
              </w:rPr>
            </w:pPr>
            <w:r>
              <w:rPr>
                <w:rFonts w:hint="eastAsia" w:hAnsi="宋体"/>
                <w:color w:val="auto"/>
                <w:szCs w:val="21"/>
                <w:highlight w:val="none"/>
                <w:lang w:eastAsia="zh-CN"/>
              </w:rPr>
              <w:t>指数</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1436" w:type="dxa"/>
            <w:vAlign w:val="center"/>
          </w:tcPr>
          <w:p>
            <w:pPr>
              <w:jc w:val="center"/>
              <w:rPr>
                <w:color w:val="auto"/>
                <w:szCs w:val="21"/>
                <w:highlight w:val="none"/>
              </w:rPr>
            </w:pPr>
            <w:r>
              <w:rPr>
                <w:color w:val="auto"/>
                <w:szCs w:val="21"/>
                <w:highlight w:val="none"/>
              </w:rPr>
              <w:t>pH</w:t>
            </w:r>
            <w:r>
              <w:rPr>
                <w:rFonts w:hAnsi="宋体"/>
                <w:color w:val="auto"/>
                <w:szCs w:val="21"/>
                <w:highlight w:val="none"/>
              </w:rPr>
              <w:t>值</w:t>
            </w:r>
          </w:p>
        </w:tc>
        <w:tc>
          <w:tcPr>
            <w:tcW w:w="2500"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4.56</w:t>
            </w:r>
          </w:p>
        </w:tc>
        <w:tc>
          <w:tcPr>
            <w:tcW w:w="2834" w:type="dxa"/>
            <w:vAlign w:val="center"/>
          </w:tcPr>
          <w:p>
            <w:pPr>
              <w:jc w:val="center"/>
              <w:rPr>
                <w:rFonts w:hint="eastAsia" w:eastAsia="宋体"/>
                <w:color w:val="auto"/>
                <w:szCs w:val="21"/>
                <w:highlight w:val="none"/>
                <w:lang w:eastAsia="zh-CN"/>
              </w:rPr>
            </w:pPr>
            <w:r>
              <w:rPr>
                <w:rFonts w:hint="eastAsia"/>
                <w:color w:val="auto"/>
                <w:szCs w:val="21"/>
                <w:highlight w:val="none"/>
                <w:lang w:val="en-US" w:eastAsia="zh-CN"/>
              </w:rPr>
              <w:t>/</w:t>
            </w:r>
          </w:p>
        </w:tc>
        <w:tc>
          <w:tcPr>
            <w:tcW w:w="2347" w:type="dxa"/>
            <w:vAlign w:val="center"/>
          </w:tcPr>
          <w:p>
            <w:pPr>
              <w:jc w:val="center"/>
              <w:rPr>
                <w:rFonts w:hint="eastAsia" w:eastAsia="宋体"/>
                <w:color w:val="auto"/>
                <w:szCs w:val="21"/>
                <w:highlight w:val="none"/>
                <w:lang w:eastAsia="zh-CN"/>
              </w:rPr>
            </w:pPr>
            <w:r>
              <w:rPr>
                <w:rFonts w:hint="eastAsia"/>
                <w:color w:val="auto"/>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1436" w:type="dxa"/>
            <w:vAlign w:val="center"/>
          </w:tcPr>
          <w:p>
            <w:pPr>
              <w:jc w:val="center"/>
              <w:rPr>
                <w:color w:val="auto"/>
                <w:szCs w:val="21"/>
                <w:highlight w:val="none"/>
              </w:rPr>
            </w:pPr>
            <w:r>
              <w:rPr>
                <w:rFonts w:hint="eastAsia"/>
                <w:color w:val="auto"/>
                <w:szCs w:val="21"/>
                <w:highlight w:val="none"/>
              </w:rPr>
              <w:t>铬</w:t>
            </w:r>
          </w:p>
        </w:tc>
        <w:tc>
          <w:tcPr>
            <w:tcW w:w="2500"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65.2</w:t>
            </w:r>
          </w:p>
        </w:tc>
        <w:tc>
          <w:tcPr>
            <w:tcW w:w="2834"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w:t>
            </w:r>
          </w:p>
        </w:tc>
        <w:tc>
          <w:tcPr>
            <w:tcW w:w="2347"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1436" w:type="dxa"/>
            <w:vAlign w:val="center"/>
          </w:tcPr>
          <w:p>
            <w:pPr>
              <w:jc w:val="center"/>
              <w:rPr>
                <w:color w:val="auto"/>
                <w:szCs w:val="21"/>
                <w:highlight w:val="none"/>
              </w:rPr>
            </w:pPr>
            <w:r>
              <w:rPr>
                <w:rFonts w:hint="eastAsia" w:hAnsi="宋体"/>
                <w:color w:val="auto"/>
                <w:szCs w:val="21"/>
                <w:highlight w:val="none"/>
              </w:rPr>
              <w:t>锌</w:t>
            </w:r>
          </w:p>
        </w:tc>
        <w:tc>
          <w:tcPr>
            <w:tcW w:w="2500"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11.5</w:t>
            </w:r>
          </w:p>
        </w:tc>
        <w:tc>
          <w:tcPr>
            <w:tcW w:w="2834"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w:t>
            </w:r>
          </w:p>
        </w:tc>
        <w:tc>
          <w:tcPr>
            <w:tcW w:w="2347" w:type="dxa"/>
            <w:vAlign w:val="center"/>
          </w:tcPr>
          <w:p>
            <w:pPr>
              <w:jc w:val="center"/>
              <w:rPr>
                <w:rFonts w:hint="eastAsia" w:eastAsia="宋体"/>
                <w:color w:val="auto"/>
                <w:szCs w:val="21"/>
                <w:highlight w:val="none"/>
                <w:lang w:eastAsia="zh-CN"/>
              </w:rPr>
            </w:pPr>
            <w:r>
              <w:rPr>
                <w:rFonts w:hint="eastAsia"/>
                <w:color w:val="auto"/>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1436" w:type="dxa"/>
            <w:vAlign w:val="center"/>
          </w:tcPr>
          <w:p>
            <w:pPr>
              <w:jc w:val="center"/>
              <w:rPr>
                <w:rFonts w:hAnsi="宋体"/>
                <w:color w:val="auto"/>
                <w:szCs w:val="21"/>
                <w:highlight w:val="none"/>
              </w:rPr>
            </w:pPr>
            <w:r>
              <w:rPr>
                <w:rFonts w:hint="eastAsia"/>
                <w:color w:val="auto"/>
                <w:szCs w:val="21"/>
                <w:highlight w:val="none"/>
              </w:rPr>
              <w:t>铜</w:t>
            </w:r>
          </w:p>
        </w:tc>
        <w:tc>
          <w:tcPr>
            <w:tcW w:w="2500"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17.2</w:t>
            </w:r>
          </w:p>
        </w:tc>
        <w:tc>
          <w:tcPr>
            <w:tcW w:w="2834"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18000</w:t>
            </w:r>
          </w:p>
        </w:tc>
        <w:tc>
          <w:tcPr>
            <w:tcW w:w="2347"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0.001</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1436" w:type="dxa"/>
            <w:vAlign w:val="center"/>
          </w:tcPr>
          <w:p>
            <w:pPr>
              <w:jc w:val="center"/>
              <w:rPr>
                <w:rFonts w:hAnsi="宋体"/>
                <w:color w:val="auto"/>
                <w:szCs w:val="21"/>
                <w:highlight w:val="none"/>
              </w:rPr>
            </w:pPr>
            <w:r>
              <w:rPr>
                <w:rFonts w:hint="eastAsia"/>
                <w:color w:val="auto"/>
                <w:szCs w:val="21"/>
                <w:highlight w:val="none"/>
              </w:rPr>
              <w:t>镍</w:t>
            </w:r>
          </w:p>
        </w:tc>
        <w:tc>
          <w:tcPr>
            <w:tcW w:w="2500"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53.3</w:t>
            </w:r>
          </w:p>
        </w:tc>
        <w:tc>
          <w:tcPr>
            <w:tcW w:w="2834"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900</w:t>
            </w:r>
          </w:p>
        </w:tc>
        <w:tc>
          <w:tcPr>
            <w:tcW w:w="2347" w:type="dxa"/>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0.06</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jc w:val="center"/>
        </w:trPr>
        <w:tc>
          <w:tcPr>
            <w:tcW w:w="1436" w:type="dxa"/>
            <w:vAlign w:val="center"/>
          </w:tcPr>
          <w:p>
            <w:pPr>
              <w:jc w:val="center"/>
              <w:rPr>
                <w:rFonts w:hAnsi="宋体"/>
                <w:color w:val="auto"/>
                <w:szCs w:val="21"/>
                <w:highlight w:val="none"/>
              </w:rPr>
            </w:pPr>
            <w:r>
              <w:rPr>
                <w:rFonts w:hint="eastAsia"/>
                <w:color w:val="auto"/>
                <w:szCs w:val="21"/>
                <w:highlight w:val="none"/>
                <w:lang w:eastAsia="zh-CN"/>
              </w:rPr>
              <w:t>总有机质</w:t>
            </w:r>
          </w:p>
        </w:tc>
        <w:tc>
          <w:tcPr>
            <w:tcW w:w="2500" w:type="dxa"/>
            <w:vAlign w:val="center"/>
          </w:tcPr>
          <w:p>
            <w:pPr>
              <w:jc w:val="center"/>
              <w:rPr>
                <w:color w:val="auto"/>
                <w:szCs w:val="21"/>
                <w:highlight w:val="none"/>
              </w:rPr>
            </w:pPr>
            <w:r>
              <w:rPr>
                <w:rFonts w:hint="eastAsia"/>
                <w:color w:val="auto"/>
                <w:szCs w:val="21"/>
                <w:highlight w:val="none"/>
                <w:lang w:val="en-US" w:eastAsia="zh-CN"/>
              </w:rPr>
              <w:t>0.399%</w:t>
            </w:r>
          </w:p>
        </w:tc>
        <w:tc>
          <w:tcPr>
            <w:tcW w:w="2834" w:type="dxa"/>
            <w:vAlign w:val="center"/>
          </w:tcPr>
          <w:p>
            <w:pPr>
              <w:jc w:val="center"/>
              <w:rPr>
                <w:rFonts w:hint="eastAsia" w:eastAsia="宋体"/>
                <w:color w:val="auto"/>
                <w:szCs w:val="21"/>
                <w:highlight w:val="none"/>
                <w:lang w:eastAsia="zh-CN"/>
              </w:rPr>
            </w:pPr>
            <w:r>
              <w:rPr>
                <w:rFonts w:hint="eastAsia"/>
                <w:color w:val="auto"/>
                <w:szCs w:val="21"/>
                <w:highlight w:val="none"/>
                <w:lang w:val="en-US" w:eastAsia="zh-CN"/>
              </w:rPr>
              <w:t>/</w:t>
            </w:r>
          </w:p>
        </w:tc>
        <w:tc>
          <w:tcPr>
            <w:tcW w:w="2347" w:type="dxa"/>
            <w:vAlign w:val="center"/>
          </w:tcPr>
          <w:p>
            <w:pPr>
              <w:jc w:val="center"/>
              <w:rPr>
                <w:rFonts w:hint="eastAsia" w:eastAsia="宋体"/>
                <w:color w:val="auto"/>
                <w:szCs w:val="21"/>
                <w:highlight w:val="none"/>
                <w:lang w:eastAsia="zh-CN"/>
              </w:rPr>
            </w:pPr>
            <w:r>
              <w:rPr>
                <w:rFonts w:hint="eastAsia"/>
                <w:color w:val="auto"/>
                <w:szCs w:val="21"/>
                <w:highlight w:val="none"/>
                <w:lang w:val="en-US" w:eastAsia="zh-CN"/>
              </w:rPr>
              <w:t>/</w:t>
            </w:r>
          </w:p>
        </w:tc>
      </w:tr>
    </w:tbl>
    <w:p>
      <w:pPr>
        <w:adjustRightInd w:val="0"/>
        <w:snapToGrid w:val="0"/>
        <w:spacing w:line="360" w:lineRule="auto"/>
        <w:ind w:firstLine="480" w:firstLineChars="200"/>
        <w:rPr>
          <w:color w:val="auto"/>
          <w:sz w:val="24"/>
          <w:highlight w:val="none"/>
        </w:rPr>
      </w:pPr>
      <w:r>
        <w:rPr>
          <w:rFonts w:hint="eastAsia"/>
          <w:color w:val="auto"/>
          <w:sz w:val="24"/>
          <w:highlight w:val="none"/>
        </w:rPr>
        <w:t>由2</w:t>
      </w:r>
      <w:r>
        <w:rPr>
          <w:color w:val="auto"/>
          <w:sz w:val="24"/>
          <w:highlight w:val="none"/>
        </w:rPr>
        <w:t>0</w:t>
      </w:r>
      <w:r>
        <w:rPr>
          <w:rFonts w:hint="eastAsia"/>
          <w:color w:val="auto"/>
          <w:sz w:val="24"/>
          <w:highlight w:val="none"/>
          <w:lang w:val="en-US" w:eastAsia="zh-CN"/>
        </w:rPr>
        <w:t>03</w:t>
      </w:r>
      <w:r>
        <w:rPr>
          <w:rFonts w:hint="eastAsia"/>
          <w:color w:val="auto"/>
          <w:sz w:val="24"/>
          <w:highlight w:val="none"/>
        </w:rPr>
        <w:t>年监测数据可知，</w:t>
      </w:r>
      <w:r>
        <w:rPr>
          <w:rFonts w:hint="eastAsia"/>
          <w:color w:val="auto"/>
          <w:sz w:val="24"/>
          <w:highlight w:val="none"/>
          <w:lang w:eastAsia="zh-CN"/>
        </w:rPr>
        <w:t>电镀工业园</w:t>
      </w:r>
      <w:r>
        <w:rPr>
          <w:rFonts w:hint="eastAsia"/>
          <w:color w:val="auto"/>
          <w:sz w:val="24"/>
          <w:highlight w:val="none"/>
        </w:rPr>
        <w:t>监测指标均满足</w:t>
      </w:r>
      <w:r>
        <w:rPr>
          <w:rFonts w:hint="eastAsia"/>
          <w:color w:val="auto"/>
          <w:sz w:val="24"/>
          <w:highlight w:val="none"/>
          <w:lang w:val="zh-CN"/>
        </w:rPr>
        <w:t>《土壤环境质量 建设用地土壤污染风险管控标准(试行)》(GB36600-2018)表1中第二类用地筛选值</w:t>
      </w:r>
      <w:r>
        <w:rPr>
          <w:rFonts w:hint="eastAsia"/>
          <w:color w:val="auto"/>
          <w:sz w:val="24"/>
          <w:highlight w:val="none"/>
        </w:rPr>
        <w:t>标准要求。</w:t>
      </w:r>
    </w:p>
    <w:p>
      <w:pPr>
        <w:adjustRightInd w:val="0"/>
        <w:snapToGrid w:val="0"/>
        <w:spacing w:line="360" w:lineRule="auto"/>
        <w:ind w:firstLine="480" w:firstLineChars="200"/>
        <w:rPr>
          <w:color w:val="auto"/>
          <w:sz w:val="24"/>
          <w:highlight w:val="none"/>
        </w:rPr>
      </w:pPr>
      <w:r>
        <w:rPr>
          <w:rFonts w:hint="eastAsia"/>
          <w:color w:val="auto"/>
          <w:sz w:val="24"/>
          <w:highlight w:val="none"/>
        </w:rPr>
        <w:t>根据2</w:t>
      </w:r>
      <w:r>
        <w:rPr>
          <w:color w:val="auto"/>
          <w:sz w:val="24"/>
          <w:highlight w:val="none"/>
        </w:rPr>
        <w:t>01</w:t>
      </w:r>
      <w:r>
        <w:rPr>
          <w:rFonts w:hint="eastAsia"/>
          <w:color w:val="auto"/>
          <w:sz w:val="24"/>
          <w:highlight w:val="none"/>
          <w:lang w:val="en-US" w:eastAsia="zh-CN"/>
        </w:rPr>
        <w:t>9</w:t>
      </w:r>
      <w:r>
        <w:rPr>
          <w:rFonts w:hint="eastAsia"/>
          <w:color w:val="auto"/>
          <w:sz w:val="24"/>
          <w:highlight w:val="none"/>
        </w:rPr>
        <w:t>年监测数据和2</w:t>
      </w:r>
      <w:r>
        <w:rPr>
          <w:color w:val="auto"/>
          <w:sz w:val="24"/>
          <w:highlight w:val="none"/>
        </w:rPr>
        <w:t>0</w:t>
      </w:r>
      <w:r>
        <w:rPr>
          <w:rFonts w:hint="eastAsia"/>
          <w:color w:val="auto"/>
          <w:sz w:val="24"/>
          <w:highlight w:val="none"/>
          <w:lang w:val="en-US" w:eastAsia="zh-CN"/>
        </w:rPr>
        <w:t>03</w:t>
      </w:r>
      <w:r>
        <w:rPr>
          <w:rFonts w:hint="eastAsia"/>
          <w:color w:val="auto"/>
          <w:sz w:val="24"/>
          <w:highlight w:val="none"/>
        </w:rPr>
        <w:t>年监测数据对比可知，</w:t>
      </w:r>
      <w:r>
        <w:rPr>
          <w:rFonts w:hint="eastAsia"/>
          <w:color w:val="auto"/>
          <w:sz w:val="24"/>
          <w:highlight w:val="none"/>
          <w:lang w:eastAsia="zh-CN"/>
        </w:rPr>
        <w:t>土壤中铜监测值有所升高，</w:t>
      </w:r>
      <w:r>
        <w:rPr>
          <w:rFonts w:hint="eastAsia"/>
          <w:color w:val="auto"/>
          <w:sz w:val="24"/>
          <w:highlight w:val="none"/>
          <w:lang w:val="en-US" w:eastAsia="zh-CN"/>
        </w:rPr>
        <w:t>依然</w:t>
      </w:r>
      <w:r>
        <w:rPr>
          <w:rFonts w:hint="eastAsia"/>
          <w:color w:val="auto"/>
          <w:sz w:val="24"/>
          <w:highlight w:val="none"/>
          <w:lang w:val="zh-CN"/>
        </w:rPr>
        <w:t>满足《土壤环境质量 建设用地土壤污染风险管控标准(试行)》(GB36600-2018)表1中第二类用地筛选值标准要求</w:t>
      </w:r>
      <w:r>
        <w:rPr>
          <w:rFonts w:hint="eastAsia"/>
          <w:color w:val="auto"/>
          <w:sz w:val="24"/>
          <w:highlight w:val="none"/>
        </w:rPr>
        <w:t>。</w:t>
      </w:r>
    </w:p>
    <w:p>
      <w:pPr>
        <w:adjustRightInd w:val="0"/>
        <w:snapToGrid w:val="0"/>
        <w:spacing w:line="360" w:lineRule="auto"/>
        <w:jc w:val="left"/>
        <w:rPr>
          <w:color w:val="auto"/>
          <w:sz w:val="24"/>
          <w:highlight w:val="none"/>
        </w:rPr>
      </w:pPr>
    </w:p>
    <w:p>
      <w:pPr>
        <w:adjustRightInd w:val="0"/>
        <w:snapToGrid w:val="0"/>
        <w:spacing w:line="360" w:lineRule="auto"/>
        <w:ind w:firstLine="480" w:firstLineChars="200"/>
        <w:jc w:val="left"/>
        <w:rPr>
          <w:color w:val="auto"/>
          <w:sz w:val="24"/>
          <w:highlight w:val="none"/>
        </w:rPr>
      </w:pPr>
    </w:p>
    <w:p>
      <w:pPr>
        <w:adjustRightInd w:val="0"/>
        <w:snapToGrid w:val="0"/>
        <w:spacing w:line="360" w:lineRule="auto"/>
        <w:ind w:firstLine="480" w:firstLineChars="200"/>
        <w:jc w:val="left"/>
        <w:rPr>
          <w:color w:val="auto"/>
          <w:sz w:val="24"/>
          <w:highlight w:val="none"/>
        </w:rPr>
      </w:pPr>
    </w:p>
    <w:p>
      <w:pPr>
        <w:pStyle w:val="55"/>
        <w:keepNext/>
        <w:keepLines/>
        <w:numPr>
          <w:ilvl w:val="0"/>
          <w:numId w:val="14"/>
        </w:numPr>
        <w:spacing w:line="360" w:lineRule="auto"/>
        <w:ind w:firstLineChars="0"/>
        <w:jc w:val="left"/>
        <w:outlineLvl w:val="0"/>
        <w:rPr>
          <w:rFonts w:eastAsia="黑体"/>
          <w:bCs/>
          <w:color w:val="auto"/>
          <w:kern w:val="44"/>
          <w:sz w:val="28"/>
          <w:szCs w:val="28"/>
          <w:highlight w:val="none"/>
        </w:rPr>
        <w:sectPr>
          <w:pgSz w:w="11907" w:h="16840"/>
          <w:pgMar w:top="1418" w:right="1418" w:bottom="1418" w:left="1474" w:header="964" w:footer="964" w:gutter="0"/>
          <w:pgBorders>
            <w:top w:val="none" w:sz="0" w:space="0"/>
            <w:left w:val="none" w:sz="0" w:space="0"/>
            <w:bottom w:val="none" w:sz="0" w:space="0"/>
            <w:right w:val="none" w:sz="0" w:space="0"/>
          </w:pgBorders>
          <w:pgNumType w:fmt="decimal"/>
          <w:cols w:space="720" w:num="1"/>
          <w:docGrid w:linePitch="312" w:charSpace="0"/>
        </w:sectPr>
      </w:pPr>
      <w:bookmarkStart w:id="144" w:name="_Toc530655610"/>
      <w:bookmarkStart w:id="145" w:name="_Toc519063307"/>
      <w:bookmarkStart w:id="146" w:name="_Toc199153123"/>
      <w:bookmarkStart w:id="147" w:name="_Toc175457984"/>
      <w:bookmarkStart w:id="148" w:name="_Toc209854566"/>
      <w:bookmarkStart w:id="149" w:name="_Toc175478403"/>
      <w:bookmarkStart w:id="150" w:name="_Toc182646257"/>
      <w:bookmarkStart w:id="151" w:name="_Toc177801610"/>
      <w:bookmarkStart w:id="152" w:name="_Toc194824904"/>
      <w:bookmarkStart w:id="153" w:name="_Toc184006159"/>
      <w:bookmarkStart w:id="154" w:name="_Toc194825030"/>
      <w:bookmarkStart w:id="155" w:name="_Toc177805091"/>
      <w:bookmarkStart w:id="156" w:name="_Toc177805245"/>
      <w:bookmarkStart w:id="157" w:name="_Toc175480182"/>
      <w:bookmarkStart w:id="158" w:name="_Toc176775952"/>
      <w:bookmarkStart w:id="159" w:name="_Toc178060022"/>
    </w:p>
    <w:p>
      <w:pPr>
        <w:pStyle w:val="55"/>
        <w:keepNext/>
        <w:keepLines/>
        <w:numPr>
          <w:ilvl w:val="0"/>
          <w:numId w:val="14"/>
        </w:numPr>
        <w:spacing w:line="360" w:lineRule="auto"/>
        <w:ind w:firstLineChars="0"/>
        <w:jc w:val="left"/>
        <w:outlineLvl w:val="0"/>
        <w:rPr>
          <w:rFonts w:hint="eastAsia" w:ascii="Times New Roman" w:hAnsi="Times New Roman" w:eastAsia="黑体" w:cs="Times New Roman"/>
          <w:bCs/>
          <w:color w:val="auto"/>
          <w:sz w:val="24"/>
          <w:highlight w:val="none"/>
          <w:lang w:val="zh-CN"/>
        </w:rPr>
      </w:pPr>
      <w:bookmarkStart w:id="160" w:name="_Toc28920"/>
      <w:r>
        <w:rPr>
          <w:rFonts w:hint="eastAsia" w:eastAsia="黑体"/>
          <w:bCs/>
          <w:color w:val="auto"/>
          <w:kern w:val="44"/>
          <w:sz w:val="28"/>
          <w:szCs w:val="28"/>
          <w:highlight w:val="none"/>
        </w:rPr>
        <w:t>环境保护措施有效性评估</w:t>
      </w:r>
      <w:bookmarkEnd w:id="144"/>
      <w:bookmarkEnd w:id="145"/>
      <w:bookmarkEnd w:id="160"/>
      <w:bookmarkStart w:id="161" w:name="_Toc530655841"/>
      <w:bookmarkEnd w:id="161"/>
      <w:bookmarkStart w:id="162" w:name="_Toc530655611"/>
      <w:bookmarkEnd w:id="162"/>
      <w:bookmarkStart w:id="163" w:name="_Toc390360303"/>
      <w:bookmarkEnd w:id="163"/>
      <w:bookmarkStart w:id="164" w:name="_Toc390360383"/>
      <w:bookmarkEnd w:id="164"/>
      <w:bookmarkStart w:id="165" w:name="_Toc531246604"/>
      <w:bookmarkEnd w:id="165"/>
      <w:bookmarkStart w:id="166" w:name="_Toc518976435"/>
      <w:bookmarkEnd w:id="166"/>
      <w:bookmarkStart w:id="167" w:name="_Toc519063308"/>
      <w:bookmarkEnd w:id="167"/>
      <w:bookmarkStart w:id="168" w:name="_Toc391301255"/>
      <w:bookmarkEnd w:id="168"/>
      <w:bookmarkStart w:id="169" w:name="_Toc519063255"/>
      <w:bookmarkEnd w:id="169"/>
      <w:bookmarkStart w:id="170" w:name="_Toc530655612"/>
      <w:bookmarkStart w:id="171" w:name="_Toc519063309"/>
    </w:p>
    <w:p>
      <w:pPr>
        <w:keepNext/>
        <w:keepLines/>
        <w:adjustRightInd w:val="0"/>
        <w:snapToGrid w:val="0"/>
        <w:spacing w:line="360" w:lineRule="auto"/>
        <w:jc w:val="left"/>
        <w:outlineLvl w:val="1"/>
        <w:rPr>
          <w:rFonts w:hint="eastAsia" w:ascii="Times New Roman" w:hAnsi="Times New Roman" w:eastAsia="黑体" w:cs="Times New Roman"/>
          <w:bCs/>
          <w:color w:val="auto"/>
          <w:sz w:val="24"/>
          <w:highlight w:val="none"/>
          <w:lang w:val="zh-CN"/>
        </w:rPr>
      </w:pPr>
      <w:bookmarkStart w:id="172" w:name="_Toc25361"/>
      <w:r>
        <w:rPr>
          <w:rFonts w:hint="eastAsia" w:ascii="Times New Roman" w:hAnsi="Times New Roman" w:eastAsia="黑体" w:cs="Times New Roman"/>
          <w:bCs/>
          <w:color w:val="auto"/>
          <w:sz w:val="24"/>
          <w:highlight w:val="none"/>
          <w:lang w:val="zh-CN"/>
        </w:rPr>
        <w:t>4.1 废气</w:t>
      </w:r>
      <w:r>
        <w:rPr>
          <w:rFonts w:hint="eastAsia" w:eastAsia="黑体" w:cs="Times New Roman"/>
          <w:bCs/>
          <w:color w:val="auto"/>
          <w:sz w:val="24"/>
          <w:highlight w:val="none"/>
          <w:lang w:val="en-US" w:eastAsia="zh-CN"/>
        </w:rPr>
        <w:t>污染防治</w:t>
      </w:r>
      <w:r>
        <w:rPr>
          <w:rFonts w:hint="eastAsia" w:ascii="Times New Roman" w:hAnsi="Times New Roman" w:eastAsia="黑体" w:cs="Times New Roman"/>
          <w:bCs/>
          <w:color w:val="auto"/>
          <w:sz w:val="24"/>
          <w:highlight w:val="none"/>
          <w:lang w:val="zh-CN"/>
        </w:rPr>
        <w:t>措施有效性评估</w:t>
      </w:r>
      <w:bookmarkEnd w:id="170"/>
      <w:bookmarkEnd w:id="171"/>
      <w:bookmarkEnd w:id="172"/>
    </w:p>
    <w:p>
      <w:pPr>
        <w:snapToGrid w:val="0"/>
        <w:spacing w:line="360" w:lineRule="auto"/>
        <w:ind w:firstLine="480"/>
        <w:rPr>
          <w:color w:val="auto"/>
          <w:sz w:val="24"/>
          <w:highlight w:val="none"/>
        </w:rPr>
      </w:pPr>
      <w:r>
        <w:rPr>
          <w:color w:val="auto"/>
          <w:sz w:val="24"/>
          <w:highlight w:val="none"/>
        </w:rPr>
        <w:t>项目废气主要包括酸碱雾(氯化氢、硫酸雾、</w:t>
      </w:r>
      <w:r>
        <w:rPr>
          <w:rFonts w:hint="eastAsia"/>
          <w:color w:val="auto"/>
          <w:sz w:val="24"/>
          <w:highlight w:val="none"/>
        </w:rPr>
        <w:t>氮氧化物、</w:t>
      </w:r>
      <w:r>
        <w:rPr>
          <w:color w:val="auto"/>
          <w:sz w:val="24"/>
          <w:highlight w:val="none"/>
        </w:rPr>
        <w:t>少量碱雾)、铬酸雾，分别经集气装置收集进入各酸雾净化塔处理。</w:t>
      </w:r>
    </w:p>
    <w:p>
      <w:pPr>
        <w:snapToGrid w:val="0"/>
        <w:spacing w:line="360" w:lineRule="auto"/>
        <w:ind w:firstLine="480"/>
        <w:rPr>
          <w:color w:val="auto"/>
          <w:sz w:val="24"/>
          <w:highlight w:val="none"/>
        </w:rPr>
      </w:pPr>
      <w:r>
        <w:rPr>
          <w:color w:val="auto"/>
          <w:sz w:val="24"/>
          <w:highlight w:val="none"/>
        </w:rPr>
        <w:t>1、有组织排放废气的防治措施</w:t>
      </w:r>
    </w:p>
    <w:p>
      <w:pPr>
        <w:snapToGrid w:val="0"/>
        <w:spacing w:line="360" w:lineRule="auto"/>
        <w:ind w:firstLine="480"/>
        <w:rPr>
          <w:color w:val="auto"/>
          <w:sz w:val="24"/>
          <w:highlight w:val="none"/>
        </w:rPr>
      </w:pPr>
      <w:r>
        <w:rPr>
          <w:color w:val="auto"/>
          <w:sz w:val="24"/>
          <w:highlight w:val="none"/>
        </w:rPr>
        <w:t>(1)收集措施</w:t>
      </w:r>
    </w:p>
    <w:p>
      <w:pPr>
        <w:snapToGrid w:val="0"/>
        <w:spacing w:line="360" w:lineRule="auto"/>
        <w:ind w:firstLine="480"/>
        <w:rPr>
          <w:rFonts w:hint="default" w:eastAsia="宋体"/>
          <w:color w:val="auto"/>
          <w:sz w:val="24"/>
          <w:highlight w:val="none"/>
          <w:lang w:val="en-US" w:eastAsia="zh-CN"/>
        </w:rPr>
      </w:pPr>
      <w:r>
        <w:rPr>
          <w:rFonts w:hint="eastAsia"/>
          <w:color w:val="auto"/>
          <w:sz w:val="24"/>
          <w:highlight w:val="none"/>
        </w:rPr>
        <w:t>为确保电镀生产过程中酸碱雾的有效收集，项目根据生产线的设置情况，在生产线设置密闭罩，实现电镀加工在封闭罩体内进行，考虑消防安全，罩体需采用防火材料，封闭罩内顶部设置顶吸、槽边设置槽边孔侧吸</w:t>
      </w:r>
      <w:r>
        <w:rPr>
          <w:rFonts w:hint="eastAsia"/>
          <w:color w:val="auto"/>
          <w:sz w:val="24"/>
          <w:highlight w:val="none"/>
          <w:lang w:eastAsia="zh-CN"/>
        </w:rPr>
        <w:t>、</w:t>
      </w:r>
      <w:r>
        <w:rPr>
          <w:rFonts w:hint="eastAsia"/>
          <w:color w:val="auto"/>
          <w:sz w:val="24"/>
          <w:highlight w:val="none"/>
          <w:lang w:val="en-US" w:eastAsia="zh-CN"/>
        </w:rPr>
        <w:t>水封</w:t>
      </w:r>
      <w:r>
        <w:rPr>
          <w:rFonts w:hint="eastAsia"/>
          <w:color w:val="auto"/>
          <w:sz w:val="24"/>
          <w:highlight w:val="none"/>
        </w:rPr>
        <w:t>等集气装置，可对各种电镀废气起到有效收集</w:t>
      </w:r>
      <w:r>
        <w:rPr>
          <w:rFonts w:hint="eastAsia"/>
          <w:color w:val="auto"/>
          <w:sz w:val="24"/>
          <w:highlight w:val="none"/>
          <w:lang w:eastAsia="zh-CN"/>
        </w:rPr>
        <w:t>。</w:t>
      </w:r>
      <w:r>
        <w:rPr>
          <w:rFonts w:hint="eastAsia"/>
          <w:color w:val="auto"/>
          <w:sz w:val="24"/>
          <w:highlight w:val="none"/>
          <w:lang w:val="en-US" w:eastAsia="zh-CN"/>
        </w:rPr>
        <w:t>根据现场调查，1#、2#车间尚需要整改，落实整改计划后，废气的收集效率将提高。</w:t>
      </w:r>
    </w:p>
    <w:tbl>
      <w:tblPr>
        <w:tblStyle w:val="37"/>
        <w:tblW w:w="92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15"/>
        <w:gridCol w:w="46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0" w:hRule="atLeast"/>
        </w:trPr>
        <w:tc>
          <w:tcPr>
            <w:tcW w:w="4615" w:type="dxa"/>
          </w:tcPr>
          <w:p>
            <w:pPr>
              <w:pStyle w:val="2"/>
              <w:ind w:left="0" w:leftChars="0" w:firstLine="0" w:firstLineChars="0"/>
              <w:rPr>
                <w:color w:val="auto"/>
                <w:highlight w:val="none"/>
                <w:vertAlign w:val="baseline"/>
              </w:rPr>
            </w:pPr>
            <w:r>
              <w:rPr>
                <w:color w:val="auto"/>
                <w:sz w:val="21"/>
                <w:highlight w:val="none"/>
              </w:rPr>
              <w:pict>
                <v:shape id="_x0000_s2839" o:spid="_x0000_s2839" o:spt="202" type="#_x0000_t202" style="position:absolute;left:0pt;margin-left:30.95pt;margin-top:30.3pt;height:21.95pt;width:78.75pt;z-index:252166144;mso-width-relative:page;mso-height-relative:page;" fillcolor="#FFFFFF" filled="t" stroked="t" coordsize="21600,21600">
                  <v:path/>
                  <v:fill on="t" color2="#FFFFFF" focussize="0,0"/>
                  <v:stroke color="#000000"/>
                  <v:imagedata o:title=""/>
                  <o:lock v:ext="edit" aspectratio="f"/>
                  <v:textbox>
                    <w:txbxContent>
                      <w:p>
                        <w:pPr>
                          <w:jc w:val="center"/>
                          <w:rPr>
                            <w:rFonts w:hint="eastAsia" w:eastAsia="宋体"/>
                            <w:lang w:val="en-US" w:eastAsia="zh-CN"/>
                          </w:rPr>
                        </w:pPr>
                        <w:r>
                          <w:rPr>
                            <w:rFonts w:hint="eastAsia"/>
                            <w:lang w:val="en-US" w:eastAsia="zh-CN"/>
                          </w:rPr>
                          <w:t>半封闭车间</w:t>
                        </w:r>
                      </w:p>
                    </w:txbxContent>
                  </v:textbox>
                </v:shape>
              </w:pict>
            </w:r>
            <w:r>
              <w:rPr>
                <w:color w:val="auto"/>
                <w:highlight w:val="none"/>
              </w:rPr>
              <w:drawing>
                <wp:inline distT="0" distB="0" distL="114300" distR="114300">
                  <wp:extent cx="2823845" cy="1924685"/>
                  <wp:effectExtent l="0" t="0" r="14605" b="18415"/>
                  <wp:docPr id="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pic:cNvPicPr>
                            <a:picLocks noChangeAspect="1"/>
                          </pic:cNvPicPr>
                        </pic:nvPicPr>
                        <pic:blipFill>
                          <a:blip r:embed="rId49"/>
                          <a:srcRect l="742" t="6859" r="-742" b="3915"/>
                          <a:stretch>
                            <a:fillRect/>
                          </a:stretch>
                        </pic:blipFill>
                        <pic:spPr>
                          <a:xfrm>
                            <a:off x="0" y="0"/>
                            <a:ext cx="2823845" cy="1924685"/>
                          </a:xfrm>
                          <a:prstGeom prst="rect">
                            <a:avLst/>
                          </a:prstGeom>
                          <a:noFill/>
                          <a:ln w="9525">
                            <a:noFill/>
                          </a:ln>
                        </pic:spPr>
                      </pic:pic>
                    </a:graphicData>
                  </a:graphic>
                </wp:inline>
              </w:drawing>
            </w:r>
          </w:p>
        </w:tc>
        <w:tc>
          <w:tcPr>
            <w:tcW w:w="4616" w:type="dxa"/>
          </w:tcPr>
          <w:p>
            <w:pPr>
              <w:pStyle w:val="2"/>
              <w:ind w:left="0" w:leftChars="0" w:firstLine="0" w:firstLineChars="0"/>
              <w:jc w:val="left"/>
              <w:rPr>
                <w:color w:val="auto"/>
                <w:highlight w:val="none"/>
                <w:vertAlign w:val="baseline"/>
              </w:rPr>
            </w:pPr>
            <w:r>
              <w:rPr>
                <w:color w:val="auto"/>
                <w:sz w:val="21"/>
                <w:highlight w:val="none"/>
              </w:rPr>
              <w:pict>
                <v:shape id="_x0000_s2840" o:spid="_x0000_s2840" o:spt="202" type="#_x0000_t202" style="position:absolute;left:0pt;margin-left:49.7pt;margin-top:15.65pt;height:21.95pt;width:78.75pt;z-index:252675072;mso-width-relative:page;mso-height-relative:page;" fillcolor="#FFFFFF" filled="t" stroked="t" coordsize="21600,21600">
                  <v:path/>
                  <v:fill on="t" color2="#FFFFFF" focussize="0,0"/>
                  <v:stroke color="#000000"/>
                  <v:imagedata o:title=""/>
                  <o:lock v:ext="edit" aspectratio="f"/>
                  <v:textbox>
                    <w:txbxContent>
                      <w:p>
                        <w:pPr>
                          <w:jc w:val="center"/>
                          <w:rPr>
                            <w:rFonts w:hint="eastAsia" w:eastAsia="宋体"/>
                            <w:lang w:val="en-US" w:eastAsia="zh-CN"/>
                          </w:rPr>
                        </w:pPr>
                        <w:r>
                          <w:rPr>
                            <w:rFonts w:hint="eastAsia"/>
                            <w:lang w:val="en-US" w:eastAsia="zh-CN"/>
                          </w:rPr>
                          <w:t>全封闭车间</w:t>
                        </w:r>
                      </w:p>
                    </w:txbxContent>
                  </v:textbox>
                </v:shape>
              </w:pict>
            </w:r>
            <w:r>
              <w:rPr>
                <w:color w:val="auto"/>
                <w:highlight w:val="none"/>
              </w:rPr>
              <w:drawing>
                <wp:inline distT="0" distB="0" distL="114300" distR="114300">
                  <wp:extent cx="2940685" cy="1890395"/>
                  <wp:effectExtent l="0" t="0" r="12065" b="14605"/>
                  <wp:docPr id="2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
                          <pic:cNvPicPr>
                            <a:picLocks noChangeAspect="1"/>
                          </pic:cNvPicPr>
                        </pic:nvPicPr>
                        <pic:blipFill>
                          <a:blip r:embed="rId50"/>
                          <a:srcRect b="10975"/>
                          <a:stretch>
                            <a:fillRect/>
                          </a:stretch>
                        </pic:blipFill>
                        <pic:spPr>
                          <a:xfrm>
                            <a:off x="0" y="0"/>
                            <a:ext cx="2940685" cy="189039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6" w:hRule="atLeast"/>
        </w:trPr>
        <w:tc>
          <w:tcPr>
            <w:tcW w:w="4615" w:type="dxa"/>
          </w:tcPr>
          <w:p>
            <w:pPr>
              <w:pStyle w:val="2"/>
              <w:ind w:left="0" w:leftChars="0" w:firstLine="0" w:firstLineChars="0"/>
              <w:rPr>
                <w:color w:val="auto"/>
                <w:highlight w:val="none"/>
                <w:vertAlign w:val="baseline"/>
              </w:rPr>
            </w:pPr>
            <w:r>
              <w:rPr>
                <w:color w:val="auto"/>
                <w:sz w:val="21"/>
                <w:highlight w:val="none"/>
              </w:rPr>
              <w:pict>
                <v:shape id="_x0000_s2841" o:spid="_x0000_s2841" o:spt="202" type="#_x0000_t202" style="position:absolute;left:0pt;margin-left:34.65pt;margin-top:9.8pt;height:21.95pt;width:58.75pt;z-index:253184000;mso-width-relative:page;mso-height-relative:page;" fillcolor="#FFFFFF" filled="t" stroked="t" coordsize="21600,21600">
                  <v:path/>
                  <v:fill on="t" color2="#FFFFFF" focussize="0,0"/>
                  <v:stroke color="#000000" joinstyle="miter"/>
                  <v:imagedata o:title=""/>
                  <o:lock v:ext="edit" aspectratio="f"/>
                  <v:textbox>
                    <w:txbxContent>
                      <w:p>
                        <w:pPr>
                          <w:jc w:val="center"/>
                          <w:rPr>
                            <w:rFonts w:hint="eastAsia" w:eastAsia="宋体"/>
                            <w:lang w:val="en-US" w:eastAsia="zh-CN"/>
                          </w:rPr>
                        </w:pPr>
                        <w:r>
                          <w:rPr>
                            <w:rFonts w:hint="eastAsia"/>
                            <w:lang w:val="en-US" w:eastAsia="zh-CN"/>
                          </w:rPr>
                          <w:t>顶吸罩</w:t>
                        </w:r>
                      </w:p>
                    </w:txbxContent>
                  </v:textbox>
                </v:shape>
              </w:pict>
            </w:r>
            <w:r>
              <w:rPr>
                <w:color w:val="auto"/>
                <w:highlight w:val="none"/>
              </w:rPr>
              <w:drawing>
                <wp:inline distT="0" distB="0" distL="114300" distR="114300">
                  <wp:extent cx="2793365" cy="1811655"/>
                  <wp:effectExtent l="0" t="0" r="6985" b="17145"/>
                  <wp:docPr id="2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pic:cNvPicPr>
                            <a:picLocks noChangeAspect="1"/>
                          </pic:cNvPicPr>
                        </pic:nvPicPr>
                        <pic:blipFill>
                          <a:blip r:embed="rId51"/>
                          <a:srcRect l="364" t="9130" r="-364" b="4047"/>
                          <a:stretch>
                            <a:fillRect/>
                          </a:stretch>
                        </pic:blipFill>
                        <pic:spPr>
                          <a:xfrm>
                            <a:off x="0" y="0"/>
                            <a:ext cx="2793365" cy="1811655"/>
                          </a:xfrm>
                          <a:prstGeom prst="rect">
                            <a:avLst/>
                          </a:prstGeom>
                          <a:noFill/>
                          <a:ln w="9525">
                            <a:noFill/>
                          </a:ln>
                        </pic:spPr>
                      </pic:pic>
                    </a:graphicData>
                  </a:graphic>
                </wp:inline>
              </w:drawing>
            </w:r>
          </w:p>
        </w:tc>
        <w:tc>
          <w:tcPr>
            <w:tcW w:w="4616" w:type="dxa"/>
          </w:tcPr>
          <w:p>
            <w:pPr>
              <w:pStyle w:val="2"/>
              <w:ind w:left="0" w:leftChars="0" w:firstLine="0" w:firstLineChars="0"/>
              <w:jc w:val="both"/>
              <w:rPr>
                <w:color w:val="auto"/>
                <w:highlight w:val="none"/>
                <w:vertAlign w:val="baseline"/>
              </w:rPr>
            </w:pPr>
            <w:r>
              <w:rPr>
                <w:color w:val="auto"/>
                <w:sz w:val="21"/>
                <w:highlight w:val="none"/>
              </w:rPr>
              <w:pict>
                <v:shape id="_x0000_s2842" o:spid="_x0000_s2842" o:spt="202" type="#_x0000_t202" style="position:absolute;left:0pt;margin-left:63.85pt;margin-top:50.65pt;height:21.95pt;width:52.1pt;z-index:253692928;mso-width-relative:page;mso-height-relative:page;" fillcolor="#FFFFFF" filled="t" stroked="t" coordsize="21600,21600">
                  <v:path/>
                  <v:fill on="t" color2="#FFFFFF" focussize="0,0"/>
                  <v:stroke color="#000000" joinstyle="miter"/>
                  <v:imagedata o:title=""/>
                  <o:lock v:ext="edit" aspectratio="f"/>
                  <v:textbox>
                    <w:txbxContent>
                      <w:p>
                        <w:pPr>
                          <w:jc w:val="center"/>
                          <w:rPr>
                            <w:rFonts w:hint="eastAsia" w:eastAsia="宋体"/>
                            <w:lang w:val="en-US" w:eastAsia="zh-CN"/>
                          </w:rPr>
                        </w:pPr>
                        <w:r>
                          <w:rPr>
                            <w:rFonts w:hint="eastAsia"/>
                            <w:lang w:val="en-US" w:eastAsia="zh-CN"/>
                          </w:rPr>
                          <w:t>侧吸孔</w:t>
                        </w:r>
                      </w:p>
                    </w:txbxContent>
                  </v:textbox>
                </v:shape>
              </w:pict>
            </w:r>
            <w:r>
              <w:rPr>
                <w:color w:val="auto"/>
                <w:highlight w:val="none"/>
              </w:rPr>
              <w:drawing>
                <wp:inline distT="0" distB="0" distL="114300" distR="114300">
                  <wp:extent cx="2789555" cy="1833880"/>
                  <wp:effectExtent l="0" t="0" r="10795" b="13970"/>
                  <wp:docPr id="2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4"/>
                          <pic:cNvPicPr>
                            <a:picLocks noChangeAspect="1"/>
                          </pic:cNvPicPr>
                        </pic:nvPicPr>
                        <pic:blipFill>
                          <a:blip r:embed="rId52"/>
                          <a:srcRect b="1668"/>
                          <a:stretch>
                            <a:fillRect/>
                          </a:stretch>
                        </pic:blipFill>
                        <pic:spPr>
                          <a:xfrm>
                            <a:off x="0" y="0"/>
                            <a:ext cx="2789555" cy="183388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1" w:hRule="atLeast"/>
        </w:trPr>
        <w:tc>
          <w:tcPr>
            <w:tcW w:w="4615" w:type="dxa"/>
          </w:tcPr>
          <w:p>
            <w:pPr>
              <w:pStyle w:val="2"/>
              <w:ind w:left="0" w:leftChars="0" w:firstLine="0" w:firstLineChars="0"/>
              <w:rPr>
                <w:color w:val="auto"/>
                <w:sz w:val="21"/>
                <w:highlight w:val="none"/>
              </w:rPr>
            </w:pPr>
            <w:r>
              <w:rPr>
                <w:color w:val="auto"/>
                <w:sz w:val="21"/>
                <w:highlight w:val="none"/>
              </w:rPr>
              <w:pict>
                <v:shape id="_x0000_s2843" o:spid="_x0000_s2843" o:spt="202" type="#_x0000_t202" style="position:absolute;left:0pt;margin-left:6.65pt;margin-top:43.7pt;height:21.95pt;width:117.85pt;z-index:255219712;mso-width-relative:page;mso-height-relative:page;" fillcolor="#FFFFFF" filled="t" stroked="t" coordsize="21600,21600">
                  <v:path/>
                  <v:fill on="t" color2="#FFFFFF" focussize="0,0"/>
                  <v:stroke color="#000000" joinstyle="miter"/>
                  <v:imagedata o:title=""/>
                  <o:lock v:ext="edit" aspectratio="f"/>
                  <v:textbox>
                    <w:txbxContent>
                      <w:p>
                        <w:pPr>
                          <w:jc w:val="center"/>
                          <w:rPr>
                            <w:rFonts w:hint="eastAsia" w:eastAsia="宋体"/>
                            <w:lang w:val="en-US" w:eastAsia="zh-CN"/>
                          </w:rPr>
                        </w:pPr>
                        <w:r>
                          <w:rPr>
                            <w:rFonts w:hint="eastAsia"/>
                            <w:lang w:val="en-US" w:eastAsia="zh-CN"/>
                          </w:rPr>
                          <w:t>水封+槽盖+顶吸罩</w:t>
                        </w:r>
                      </w:p>
                    </w:txbxContent>
                  </v:textbox>
                </v:shape>
              </w:pict>
            </w:r>
            <w:r>
              <w:rPr>
                <w:color w:val="auto"/>
                <w:highlight w:val="none"/>
              </w:rPr>
              <w:drawing>
                <wp:inline distT="0" distB="0" distL="114300" distR="114300">
                  <wp:extent cx="2792095" cy="1732280"/>
                  <wp:effectExtent l="0" t="0" r="8255" b="1270"/>
                  <wp:docPr id="2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5"/>
                          <pic:cNvPicPr>
                            <a:picLocks noChangeAspect="1"/>
                          </pic:cNvPicPr>
                        </pic:nvPicPr>
                        <pic:blipFill>
                          <a:blip r:embed="rId53"/>
                          <a:stretch>
                            <a:fillRect/>
                          </a:stretch>
                        </pic:blipFill>
                        <pic:spPr>
                          <a:xfrm>
                            <a:off x="0" y="0"/>
                            <a:ext cx="2792095" cy="1732280"/>
                          </a:xfrm>
                          <a:prstGeom prst="rect">
                            <a:avLst/>
                          </a:prstGeom>
                          <a:noFill/>
                          <a:ln w="9525">
                            <a:noFill/>
                          </a:ln>
                        </pic:spPr>
                      </pic:pic>
                    </a:graphicData>
                  </a:graphic>
                </wp:inline>
              </w:drawing>
            </w:r>
          </w:p>
        </w:tc>
        <w:tc>
          <w:tcPr>
            <w:tcW w:w="4616" w:type="dxa"/>
          </w:tcPr>
          <w:p>
            <w:pPr>
              <w:pStyle w:val="2"/>
              <w:ind w:left="0" w:leftChars="0" w:firstLine="0" w:firstLineChars="0"/>
              <w:jc w:val="both"/>
              <w:rPr>
                <w:color w:val="auto"/>
                <w:sz w:val="21"/>
                <w:highlight w:val="none"/>
              </w:rPr>
            </w:pPr>
            <w:r>
              <w:rPr>
                <w:color w:val="auto"/>
                <w:sz w:val="21"/>
                <w:highlight w:val="none"/>
              </w:rPr>
              <w:pict>
                <v:shape id="_x0000_s2844" o:spid="_x0000_s2844" o:spt="202" type="#_x0000_t202" style="position:absolute;left:0pt;margin-left:39.25pt;margin-top:22.85pt;height:21.95pt;width:71.25pt;z-index:256746496;mso-width-relative:page;mso-height-relative:page;" fillcolor="#FFFFFF" filled="t" stroked="t" coordsize="21600,21600">
                  <v:path/>
                  <v:fill on="t" color2="#FFFFFF" focussize="0,0"/>
                  <v:stroke color="#000000" joinstyle="miter"/>
                  <v:imagedata o:title=""/>
                  <o:lock v:ext="edit" aspectratio="f"/>
                  <v:textbox>
                    <w:txbxContent>
                      <w:p>
                        <w:pPr>
                          <w:jc w:val="center"/>
                          <w:rPr>
                            <w:rFonts w:hint="eastAsia" w:eastAsia="宋体"/>
                            <w:lang w:val="en-US" w:eastAsia="zh-CN"/>
                          </w:rPr>
                        </w:pPr>
                        <w:r>
                          <w:rPr>
                            <w:rFonts w:hint="eastAsia"/>
                            <w:lang w:val="en-US" w:eastAsia="zh-CN"/>
                          </w:rPr>
                          <w:t>侧吸孔+盖</w:t>
                        </w:r>
                      </w:p>
                    </w:txbxContent>
                  </v:textbox>
                </v:shape>
              </w:pict>
            </w:r>
            <w:r>
              <w:rPr>
                <w:color w:val="auto"/>
                <w:highlight w:val="none"/>
              </w:rPr>
              <w:drawing>
                <wp:inline distT="0" distB="0" distL="114300" distR="114300">
                  <wp:extent cx="2791460" cy="1740535"/>
                  <wp:effectExtent l="0" t="0" r="8890" b="12065"/>
                  <wp:docPr id="2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6"/>
                          <pic:cNvPicPr>
                            <a:picLocks noChangeAspect="1"/>
                          </pic:cNvPicPr>
                        </pic:nvPicPr>
                        <pic:blipFill>
                          <a:blip r:embed="rId54"/>
                          <a:stretch>
                            <a:fillRect/>
                          </a:stretch>
                        </pic:blipFill>
                        <pic:spPr>
                          <a:xfrm>
                            <a:off x="0" y="0"/>
                            <a:ext cx="2791460" cy="1740535"/>
                          </a:xfrm>
                          <a:prstGeom prst="rect">
                            <a:avLst/>
                          </a:prstGeom>
                          <a:noFill/>
                          <a:ln w="9525">
                            <a:noFill/>
                          </a:ln>
                        </pic:spPr>
                      </pic:pic>
                    </a:graphicData>
                  </a:graphic>
                </wp:inline>
              </w:drawing>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eastAsia="黑体"/>
          <w:color w:val="auto"/>
          <w:sz w:val="24"/>
          <w:highlight w:val="none"/>
        </w:rPr>
      </w:pPr>
      <w:r>
        <w:rPr>
          <w:rFonts w:eastAsia="黑体"/>
          <w:color w:val="auto"/>
          <w:sz w:val="24"/>
          <w:highlight w:val="none"/>
        </w:rPr>
        <w:t>图</w:t>
      </w:r>
      <w:r>
        <w:rPr>
          <w:rFonts w:hint="eastAsia" w:eastAsia="黑体"/>
          <w:color w:val="auto"/>
          <w:sz w:val="24"/>
          <w:highlight w:val="none"/>
          <w:lang w:val="en-US" w:eastAsia="zh-CN"/>
        </w:rPr>
        <w:t>4</w:t>
      </w:r>
      <w:r>
        <w:rPr>
          <w:rFonts w:eastAsia="黑体"/>
          <w:color w:val="auto"/>
          <w:sz w:val="24"/>
          <w:highlight w:val="none"/>
        </w:rPr>
        <w:t>.1-1  废气收集方式示例图</w:t>
      </w:r>
    </w:p>
    <w:p>
      <w:pPr>
        <w:keepNext w:val="0"/>
        <w:keepLines w:val="0"/>
        <w:pageBreakBefore w:val="0"/>
        <w:widowControl w:val="0"/>
        <w:kinsoku/>
        <w:wordWrap/>
        <w:overflowPunct/>
        <w:topLinePunct w:val="0"/>
        <w:autoSpaceDE/>
        <w:autoSpaceDN/>
        <w:bidi w:val="0"/>
        <w:snapToGrid w:val="0"/>
        <w:spacing w:line="360" w:lineRule="auto"/>
        <w:ind w:firstLine="480"/>
        <w:textAlignment w:val="auto"/>
        <w:rPr>
          <w:color w:val="auto"/>
          <w:sz w:val="24"/>
          <w:highlight w:val="none"/>
        </w:rPr>
      </w:pPr>
      <w:r>
        <w:rPr>
          <w:color w:val="auto"/>
          <w:sz w:val="24"/>
          <w:highlight w:val="none"/>
        </w:rPr>
        <w:t>项目主要根据废气污染物性质及产生工序的不同对废气进行分类收集，进而针对各股废气污染物的性质采取有针对性措施进行净化处理，其分类收集方案较为合理。</w:t>
      </w:r>
    </w:p>
    <w:p>
      <w:pPr>
        <w:snapToGrid w:val="0"/>
        <w:spacing w:line="360" w:lineRule="auto"/>
        <w:ind w:firstLine="480"/>
        <w:rPr>
          <w:color w:val="auto"/>
          <w:sz w:val="24"/>
          <w:highlight w:val="none"/>
        </w:rPr>
      </w:pPr>
      <w:r>
        <w:rPr>
          <w:color w:val="auto"/>
          <w:sz w:val="24"/>
          <w:highlight w:val="none"/>
        </w:rPr>
        <w:t>(2)净化措施</w:t>
      </w:r>
    </w:p>
    <w:p>
      <w:pPr>
        <w:snapToGrid w:val="0"/>
        <w:spacing w:line="360" w:lineRule="auto"/>
        <w:ind w:firstLine="480"/>
        <w:rPr>
          <w:color w:val="auto"/>
          <w:sz w:val="24"/>
          <w:highlight w:val="none"/>
        </w:rPr>
      </w:pPr>
      <w:r>
        <w:rPr>
          <w:color w:val="auto"/>
          <w:sz w:val="24"/>
          <w:highlight w:val="none"/>
        </w:rPr>
        <w:fldChar w:fldCharType="begin"/>
      </w:r>
      <w:r>
        <w:rPr>
          <w:color w:val="auto"/>
          <w:sz w:val="24"/>
          <w:highlight w:val="none"/>
        </w:rPr>
        <w:instrText xml:space="preserve"> = 1 \* GB3 </w:instrText>
      </w:r>
      <w:r>
        <w:rPr>
          <w:color w:val="auto"/>
          <w:sz w:val="24"/>
          <w:highlight w:val="none"/>
        </w:rPr>
        <w:fldChar w:fldCharType="separate"/>
      </w:r>
      <w:r>
        <w:rPr>
          <w:color w:val="auto"/>
          <w:sz w:val="24"/>
          <w:highlight w:val="none"/>
        </w:rPr>
        <w:t>①</w:t>
      </w:r>
      <w:r>
        <w:rPr>
          <w:color w:val="auto"/>
          <w:sz w:val="24"/>
          <w:highlight w:val="none"/>
        </w:rPr>
        <w:fldChar w:fldCharType="end"/>
      </w:r>
      <w:r>
        <w:rPr>
          <w:color w:val="auto"/>
          <w:sz w:val="24"/>
          <w:highlight w:val="none"/>
        </w:rPr>
        <w:t>酸碱雾 (氯化氢、硫酸、</w:t>
      </w:r>
      <w:r>
        <w:rPr>
          <w:rFonts w:hint="eastAsia"/>
          <w:color w:val="auto"/>
          <w:sz w:val="24"/>
          <w:highlight w:val="none"/>
        </w:rPr>
        <w:t>氮氧化物</w:t>
      </w:r>
      <w:r>
        <w:rPr>
          <w:color w:val="auto"/>
          <w:sz w:val="24"/>
          <w:highlight w:val="none"/>
        </w:rPr>
        <w:t>少量碱雾)</w:t>
      </w:r>
    </w:p>
    <w:p>
      <w:pPr>
        <w:snapToGrid w:val="0"/>
        <w:spacing w:line="360" w:lineRule="auto"/>
        <w:ind w:firstLine="480"/>
        <w:rPr>
          <w:color w:val="auto"/>
          <w:sz w:val="24"/>
          <w:highlight w:val="none"/>
        </w:rPr>
      </w:pPr>
      <w:r>
        <w:rPr>
          <w:color w:val="auto"/>
          <w:sz w:val="24"/>
          <w:highlight w:val="none"/>
        </w:rPr>
        <w:t>项目拟设置2套普通酸雾净化处理装置；净化装置采用填料喷淋塔，以2%~6%的NaOH溶液作为吸收液，硫酸雾</w:t>
      </w:r>
      <w:r>
        <w:rPr>
          <w:rFonts w:hint="eastAsia"/>
          <w:color w:val="auto"/>
          <w:sz w:val="24"/>
          <w:highlight w:val="none"/>
        </w:rPr>
        <w:t>、氮氧化物</w:t>
      </w:r>
      <w:r>
        <w:rPr>
          <w:color w:val="auto"/>
          <w:sz w:val="24"/>
          <w:highlight w:val="none"/>
        </w:rPr>
        <w:t>和盐酸雾设计净化效率＞9</w:t>
      </w:r>
      <w:r>
        <w:rPr>
          <w:rFonts w:hint="eastAsia"/>
          <w:color w:val="auto"/>
          <w:sz w:val="24"/>
          <w:highlight w:val="none"/>
        </w:rPr>
        <w:t>0</w:t>
      </w:r>
      <w:r>
        <w:rPr>
          <w:color w:val="auto"/>
          <w:sz w:val="24"/>
          <w:highlight w:val="none"/>
        </w:rPr>
        <w:t>%。具体过程为：普通酸雾经风管由喷淋塔底部引入，废气由下往上通过二段填料层，在每段填料层，酸雾与氢氧化钠吸收液进行气液两相充分接触吸收中和反应，废气经过净化后再经除雾板脱除水雾由排气筒排入大气。吸收液在塔底经水泵增压后在塔顶喷淋而下，最后回流至塔底循环使用，循环水槽设置pH自动加药，自动控制pH值。</w:t>
      </w:r>
    </w:p>
    <w:p>
      <w:pPr>
        <w:snapToGrid w:val="0"/>
        <w:spacing w:line="360" w:lineRule="auto"/>
        <w:ind w:firstLine="480"/>
        <w:rPr>
          <w:color w:val="auto"/>
          <w:sz w:val="24"/>
          <w:highlight w:val="none"/>
        </w:rPr>
      </w:pPr>
      <w:r>
        <w:rPr>
          <w:color w:val="auto"/>
          <w:sz w:val="24"/>
          <w:highlight w:val="none"/>
        </w:rPr>
        <w:t>碱液喷淋是普通酸雾最为常见净化方式，处理技术成熟可靠，且项目采用两段式填料喷淋塔，气液接触效果较好</w:t>
      </w:r>
      <w:r>
        <w:rPr>
          <w:rFonts w:hint="eastAsia"/>
          <w:color w:val="auto"/>
          <w:sz w:val="24"/>
          <w:highlight w:val="none"/>
          <w:lang w:eastAsia="zh-CN"/>
        </w:rPr>
        <w:t>。</w:t>
      </w:r>
      <w:r>
        <w:rPr>
          <w:rFonts w:hint="eastAsia"/>
          <w:color w:val="auto"/>
          <w:sz w:val="24"/>
          <w:highlight w:val="none"/>
          <w:lang w:val="en-US" w:eastAsia="zh-CN"/>
        </w:rPr>
        <w:t>根据项目监测报告分析，酸雾塔的净化效率基本可达85</w:t>
      </w:r>
      <w:r>
        <w:rPr>
          <w:color w:val="auto"/>
          <w:sz w:val="24"/>
          <w:highlight w:val="none"/>
        </w:rPr>
        <w:t>%以上，外排废气污染物浓度、速率</w:t>
      </w:r>
      <w:r>
        <w:rPr>
          <w:rFonts w:hint="eastAsia"/>
          <w:color w:val="auto"/>
          <w:sz w:val="24"/>
          <w:highlight w:val="none"/>
          <w:lang w:val="en-US" w:eastAsia="zh-CN"/>
        </w:rPr>
        <w:t>均</w:t>
      </w:r>
      <w:r>
        <w:rPr>
          <w:color w:val="auto"/>
          <w:sz w:val="24"/>
          <w:highlight w:val="none"/>
        </w:rPr>
        <w:t>能满足《电镀污染物排放标准》表5、6中有关新建企业硫酸雾、</w:t>
      </w:r>
      <w:r>
        <w:rPr>
          <w:rFonts w:hint="eastAsia"/>
          <w:color w:val="auto"/>
          <w:sz w:val="24"/>
          <w:highlight w:val="none"/>
        </w:rPr>
        <w:t>氮氧化物、</w:t>
      </w:r>
      <w:r>
        <w:rPr>
          <w:color w:val="auto"/>
          <w:sz w:val="24"/>
          <w:highlight w:val="none"/>
        </w:rPr>
        <w:t>盐酸雾排放限值要求。</w:t>
      </w:r>
    </w:p>
    <w:p>
      <w:pPr>
        <w:snapToGrid w:val="0"/>
        <w:spacing w:line="360" w:lineRule="auto"/>
        <w:ind w:firstLine="480"/>
        <w:rPr>
          <w:color w:val="auto"/>
          <w:sz w:val="24"/>
          <w:highlight w:val="none"/>
        </w:rPr>
      </w:pPr>
      <w:r>
        <w:rPr>
          <w:color w:val="auto"/>
          <w:sz w:val="24"/>
          <w:highlight w:val="none"/>
        </w:rPr>
        <w:fldChar w:fldCharType="begin"/>
      </w:r>
      <w:r>
        <w:rPr>
          <w:color w:val="auto"/>
          <w:sz w:val="24"/>
          <w:highlight w:val="none"/>
        </w:rPr>
        <w:instrText xml:space="preserve"> = 2 \* GB3 </w:instrText>
      </w:r>
      <w:r>
        <w:rPr>
          <w:color w:val="auto"/>
          <w:sz w:val="24"/>
          <w:highlight w:val="none"/>
        </w:rPr>
        <w:fldChar w:fldCharType="separate"/>
      </w:r>
      <w:r>
        <w:rPr>
          <w:color w:val="auto"/>
          <w:sz w:val="24"/>
          <w:highlight w:val="none"/>
        </w:rPr>
        <w:t>②</w:t>
      </w:r>
      <w:r>
        <w:rPr>
          <w:color w:val="auto"/>
          <w:sz w:val="24"/>
          <w:highlight w:val="none"/>
        </w:rPr>
        <w:fldChar w:fldCharType="end"/>
      </w:r>
      <w:r>
        <w:rPr>
          <w:color w:val="auto"/>
          <w:sz w:val="24"/>
          <w:highlight w:val="none"/>
        </w:rPr>
        <w:t>铬酸雾</w:t>
      </w:r>
    </w:p>
    <w:p>
      <w:pPr>
        <w:snapToGrid w:val="0"/>
        <w:spacing w:line="360" w:lineRule="auto"/>
        <w:ind w:firstLine="480"/>
        <w:rPr>
          <w:color w:val="auto"/>
          <w:sz w:val="24"/>
          <w:highlight w:val="none"/>
        </w:rPr>
      </w:pPr>
      <w:r>
        <w:rPr>
          <w:color w:val="auto"/>
          <w:sz w:val="24"/>
          <w:highlight w:val="none"/>
        </w:rPr>
        <w:t>项目拟设置1套铬酸雾废气净化处理装置；</w:t>
      </w:r>
      <w:r>
        <w:rPr>
          <w:rFonts w:hint="eastAsia"/>
          <w:color w:val="auto"/>
          <w:sz w:val="24"/>
          <w:highlight w:val="none"/>
        </w:rPr>
        <w:t>镀铬槽加盖，采用集气罩和侧吸孔吸收铬酸雾，</w:t>
      </w:r>
      <w:r>
        <w:rPr>
          <w:color w:val="auto"/>
          <w:sz w:val="24"/>
          <w:highlight w:val="none"/>
        </w:rPr>
        <w:t xml:space="preserve">采用铬雾回收+碱液喷淋方法进行处理，铬酸雾净化效率不低于99%。具体过程为：铬酸雾废气经风管由铬雾回收器底部引入，废气由下往上通过丝网层、填料层，同时装置内设有喷淋系统喷淋，铬酸因具有比重大且易于凝聚的特点，不同粒径的铬酸雾滴悬浮在流动的空气中时，互相碰撞而凝聚成较大的颗粒，当含有铬酸颗粒的空气进入铬雾回收装置丝网和填料层时，由于通过曲折狭窄的通道，提高了互相碰撞的机会使之更容易凝聚，由于重力作用和吸附作用，细小的铬酸雾便附着在填料表面上，不断附着的结果使细小的铬酸颗粒凝结成较大的液体而沿网格降落下来。经铬酸雾回收装置净化处理后的废气由喷淋塔底部引入，废气由下往上通过二段填料层，在每段填料层，铬酸与碱吸收液进行气液两相充分接触并发生化学反应，废气经过净化后再经除雾板脱除水雾由排气筒排入大气。吸收液在塔底经水泵增压后在塔顶喷淋而下，最后回流至塔底循环使用。 </w:t>
      </w:r>
    </w:p>
    <w:p>
      <w:pPr>
        <w:snapToGrid w:val="0"/>
        <w:spacing w:line="360" w:lineRule="auto"/>
        <w:ind w:firstLine="480"/>
        <w:rPr>
          <w:color w:val="auto"/>
          <w:sz w:val="24"/>
          <w:highlight w:val="none"/>
        </w:rPr>
      </w:pPr>
      <w:r>
        <w:rPr>
          <w:color w:val="auto"/>
          <w:sz w:val="24"/>
          <w:highlight w:val="none"/>
        </w:rPr>
        <w:t>采用上述两段式处理后，外排铬酸雾浓度较低，亦是《电镀工业污染防治最佳可行技术指南(试行)》推荐的处理方法；外排污染物排放浓度可达到外排废气污染物浓度能满足《电镀污染物排放标准》表5、6中排放限值要求。</w:t>
      </w:r>
    </w:p>
    <w:p>
      <w:pPr>
        <w:snapToGrid w:val="0"/>
        <w:spacing w:line="360" w:lineRule="auto"/>
        <w:ind w:firstLine="480" w:firstLineChars="200"/>
        <w:jc w:val="left"/>
        <w:rPr>
          <w:color w:val="auto"/>
          <w:sz w:val="24"/>
          <w:highlight w:val="none"/>
        </w:rPr>
      </w:pPr>
      <w:r>
        <w:rPr>
          <w:color w:val="auto"/>
          <w:sz w:val="24"/>
          <w:highlight w:val="none"/>
        </w:rPr>
        <w:pict>
          <v:group id="_x0000_s2694" o:spid="_x0000_s2694" o:spt="203" style="height:122.8pt;width:433pt;" coordorigin="1418,10684" coordsize="8660,2456">
            <o:lock v:ext="edit" rotation="t"/>
            <v:shape id="_x0000_s2695" o:spid="_x0000_s2695" o:spt="202" type="#_x0000_t202" style="position:absolute;left:8978;top:12396;height:454;width:1100;" filled="f" stroked="f" insetpen="f" coordsize="21600,21600">
              <v:path/>
              <v:fill on="f" alignshape="1" focussize="0,0"/>
              <v:stroke on="f" imagealignshape="1"/>
              <v:imagedata o:title=""/>
              <o:lock v:ext="edit"/>
              <o:callout minusx="t" minusy="t"/>
              <v:textbox inset="1mm,2mm,0mm,1.27mm">
                <w:txbxContent>
                  <w:p>
                    <w:pPr>
                      <w:rPr>
                        <w:szCs w:val="21"/>
                      </w:rPr>
                    </w:pPr>
                    <w:r>
                      <w:rPr>
                        <w:rFonts w:hint="eastAsia"/>
                        <w:szCs w:val="21"/>
                      </w:rPr>
                      <w:t>去污水站</w:t>
                    </w:r>
                  </w:p>
                </w:txbxContent>
              </v:textbox>
            </v:shape>
            <v:line id="_x0000_s2696" o:spid="_x0000_s2696" o:spt="20" style="position:absolute;left:1963;top:12683;height:0;width:500;" filled="f" stroked="t" coordsize="21600,21600">
              <v:path arrowok="t"/>
              <v:fill on="f" focussize="0,0"/>
              <v:stroke dashstyle="dash" imagealignshape="1" endarrow="block"/>
              <v:imagedata o:title=""/>
              <o:lock v:ext="edit"/>
              <o:callout minusx="t" minusy="t"/>
              <v:textbox inset="1mm,2mm,0mm,1.27mm"/>
            </v:line>
            <v:shape id="_x0000_s2697" o:spid="_x0000_s2697" o:spt="202" type="#_x0000_t202" style="position:absolute;left:2478;top:12466;height:397;width:986;" filled="f" stroked="t" insetpen="f" coordsize="21600,21600">
              <v:path/>
              <v:fill on="f" alignshape="1" focussize="0,0"/>
              <v:stroke imagealignshape="1"/>
              <v:imagedata o:title=""/>
              <o:lock v:ext="edit"/>
              <o:callout minusx="t" minusy="t"/>
              <v:textbox inset="1mm,1mm,0mm,0mm">
                <w:txbxContent>
                  <w:p>
                    <w:pPr>
                      <w:ind w:firstLine="105" w:firstLineChars="50"/>
                      <w:jc w:val="center"/>
                      <w:rPr>
                        <w:szCs w:val="21"/>
                      </w:rPr>
                    </w:pPr>
                    <w:r>
                      <w:rPr>
                        <w:rFonts w:hint="eastAsia"/>
                        <w:szCs w:val="21"/>
                      </w:rPr>
                      <w:t>集气</w:t>
                    </w:r>
                  </w:p>
                </w:txbxContent>
              </v:textbox>
            </v:shape>
            <v:line id="_x0000_s2698" o:spid="_x0000_s2698" o:spt="20" style="position:absolute;left:3464;top:12678;flip:y;height:0;width:617;" filled="f" stroked="t" coordsize="21600,21600">
              <v:path arrowok="t"/>
              <v:fill on="f" focussize="0,0"/>
              <v:stroke dashstyle="dash" imagealignshape="1" endarrow="block"/>
              <v:imagedata o:title=""/>
              <o:lock v:ext="edit"/>
              <o:callout minusx="t" minusy="t"/>
              <v:textbox inset="1mm,2mm,0mm,1.27mm"/>
            </v:line>
            <v:shape id="_x0000_s2699" o:spid="_x0000_s2699" o:spt="202" type="#_x0000_t202" style="position:absolute;left:4081;top:12454;height:397;width:986;" filled="f" stroked="t" insetpen="f" coordsize="21600,21600">
              <v:path/>
              <v:fill on="f" alignshape="1" focussize="0,0"/>
              <v:stroke imagealignshape="1"/>
              <v:imagedata o:title=""/>
              <o:lock v:ext="edit"/>
              <o:callout minusx="t" minusy="t"/>
              <v:textbox inset="1mm,1mm,0mm,0mm">
                <w:txbxContent>
                  <w:p>
                    <w:pPr>
                      <w:ind w:firstLine="105" w:firstLineChars="50"/>
                      <w:rPr>
                        <w:szCs w:val="21"/>
                      </w:rPr>
                    </w:pPr>
                    <w:r>
                      <w:rPr>
                        <w:rFonts w:hint="eastAsia"/>
                        <w:szCs w:val="21"/>
                      </w:rPr>
                      <w:t>引风机</w:t>
                    </w:r>
                  </w:p>
                </w:txbxContent>
              </v:textbox>
            </v:shape>
            <v:line id="_x0000_s2700" o:spid="_x0000_s2700" o:spt="20" style="position:absolute;left:5067;top:12678;height:0;width:581;" filled="f" stroked="t" coordsize="21600,21600">
              <v:path arrowok="t"/>
              <v:fill on="f" focussize="0,0"/>
              <v:stroke dashstyle="dash" imagealignshape="1" endarrow="block"/>
              <v:imagedata o:title=""/>
              <o:lock v:ext="edit"/>
              <o:callout minusx="t" minusy="t"/>
              <v:textbox inset="1mm,2mm,0mm,1.27mm"/>
            </v:line>
            <v:shape id="_x0000_s2701" o:spid="_x0000_s2701" o:spt="202" type="#_x0000_t202" style="position:absolute;left:5678;top:12454;height:397;width:986;" filled="f" stroked="t" insetpen="f" coordsize="21600,21600">
              <v:path/>
              <v:fill on="f" alignshape="1" focussize="0,0"/>
              <v:stroke imagealignshape="1"/>
              <v:imagedata o:title=""/>
              <o:lock v:ext="edit"/>
              <o:callout minusx="t" minusy="t"/>
              <v:textbox inset="1mm,1mm,0mm,0mm">
                <w:txbxContent>
                  <w:p>
                    <w:pPr>
                      <w:ind w:firstLine="105" w:firstLineChars="50"/>
                      <w:rPr>
                        <w:szCs w:val="21"/>
                      </w:rPr>
                    </w:pPr>
                    <w:r>
                      <w:rPr>
                        <w:rFonts w:hint="eastAsia"/>
                        <w:szCs w:val="21"/>
                      </w:rPr>
                      <w:t>洗气塔</w:t>
                    </w:r>
                  </w:p>
                </w:txbxContent>
              </v:textbox>
            </v:shape>
            <v:shape id="_x0000_s2702" o:spid="_x0000_s2702" o:spt="202" type="#_x0000_t202" style="position:absolute;left:5678;top:11620;height:397;width:986;" filled="f" stroked="t" insetpen="f" coordsize="21600,21600">
              <v:path/>
              <v:fill on="f" alignshape="1" focussize="0,0"/>
              <v:stroke imagealignshape="1"/>
              <v:imagedata o:title=""/>
              <o:lock v:ext="edit"/>
              <o:callout minusx="t" minusy="t"/>
              <v:textbox inset="1mm,1mm,0mm,0mm">
                <w:txbxContent>
                  <w:p>
                    <w:pPr>
                      <w:ind w:firstLine="105" w:firstLineChars="50"/>
                      <w:rPr>
                        <w:szCs w:val="21"/>
                      </w:rPr>
                    </w:pPr>
                    <w:r>
                      <w:rPr>
                        <w:rFonts w:hint="eastAsia"/>
                        <w:szCs w:val="21"/>
                      </w:rPr>
                      <w:t>排气筒</w:t>
                    </w:r>
                  </w:p>
                </w:txbxContent>
              </v:textbox>
            </v:shape>
            <v:line id="_x0000_s2703" o:spid="_x0000_s2703" o:spt="20" style="position:absolute;left:6178;top:12000;flip:y;height:411;width:0;" filled="f" stroked="t" coordsize="21600,21600">
              <v:path arrowok="t"/>
              <v:fill on="f" focussize="0,0"/>
              <v:stroke dashstyle="dash" imagealignshape="1" endarrow="block"/>
              <v:imagedata o:title=""/>
              <o:lock v:ext="edit"/>
              <o:callout minusx="t" minusy="t"/>
              <v:textbox inset="1mm,2mm,0mm,1.27mm"/>
            </v:line>
            <v:line id="_x0000_s2704" o:spid="_x0000_s2704" o:spt="20" style="position:absolute;left:6178;top:11138;flip:y;height:411;width:0;" filled="f" stroked="t" coordsize="21600,21600">
              <v:path arrowok="t"/>
              <v:fill on="f" focussize="0,0"/>
              <v:stroke dashstyle="dash" imagealignshape="1" endarrow="block"/>
              <v:imagedata o:title=""/>
              <o:lock v:ext="edit"/>
              <o:callout minusx="t" minusy="t"/>
              <v:textbox inset="1mm,2mm,0mm,1.27mm"/>
            </v:line>
            <v:shape id="_x0000_s2705" o:spid="_x0000_s2705" o:spt="202" type="#_x0000_t202" style="position:absolute;left:7348;top:12448;height:397;width:986;" filled="f" stroked="t" insetpen="f" coordsize="21600,21600">
              <v:path/>
              <v:fill on="f" alignshape="1" focussize="0,0"/>
              <v:stroke imagealignshape="1"/>
              <v:imagedata o:title=""/>
              <o:lock v:ext="edit"/>
              <o:callout minusx="t" minusy="t"/>
              <v:textbox inset="1mm,1mm,0mm,0.3mm">
                <w:txbxContent>
                  <w:p>
                    <w:pPr>
                      <w:ind w:firstLine="105" w:firstLineChars="50"/>
                      <w:rPr>
                        <w:szCs w:val="21"/>
                      </w:rPr>
                    </w:pPr>
                    <w:r>
                      <w:rPr>
                        <w:rFonts w:hint="eastAsia"/>
                        <w:szCs w:val="21"/>
                      </w:rPr>
                      <w:t>循环池</w:t>
                    </w:r>
                  </w:p>
                </w:txbxContent>
              </v:textbox>
            </v:shape>
            <v:line id="_x0000_s2706" o:spid="_x0000_s2706" o:spt="20" style="position:absolute;left:6664;top:12678;flip:y;height:5;width:684;" filled="f" stroked="t" coordsize="21600,21600">
              <v:path arrowok="t"/>
              <v:fill on="f" focussize="0,0"/>
              <v:stroke imagealignshape="1" startarrow="block"/>
              <v:imagedata o:title=""/>
              <o:lock v:ext="edit"/>
              <o:callout minusx="t" minusy="t"/>
              <v:textbox inset="1mm,2mm,0mm,1.27mm"/>
            </v:line>
            <v:line id="_x0000_s2707" o:spid="_x0000_s2707" o:spt="20" style="position:absolute;left:7838;top:12020;flip:y;height:411;width:0;" filled="f" stroked="t" coordsize="21600,21600">
              <v:path arrowok="t"/>
              <v:fill on="f" focussize="0,0"/>
              <v:stroke imagealignshape="1" startarrow="block"/>
              <v:imagedata o:title=""/>
              <o:lock v:ext="edit"/>
              <o:callout minusx="t" minusy="t"/>
              <v:textbox inset="1mm,2mm,0mm,1.27mm"/>
            </v:line>
            <v:shape id="_x0000_s2708" o:spid="_x0000_s2708" o:spt="202" type="#_x0000_t202" style="position:absolute;left:7303;top:11431;height:454;width:1335;" filled="f" stroked="f" insetpen="f" coordsize="21600,21600">
              <v:path/>
              <v:fill on="f" alignshape="1" focussize="0,0"/>
              <v:stroke on="f" imagealignshape="1"/>
              <v:imagedata o:title=""/>
              <o:lock v:ext="edit"/>
              <o:callout minusx="t" minusy="t"/>
              <v:textbox inset="1mm,2mm,0mm,1.27mm">
                <w:txbxContent>
                  <w:p>
                    <w:pPr>
                      <w:rPr>
                        <w:sz w:val="24"/>
                      </w:rPr>
                    </w:pPr>
                    <w:r>
                      <w:rPr>
                        <w:rFonts w:hint="eastAsia"/>
                        <w:szCs w:val="21"/>
                      </w:rPr>
                      <w:t>片碱、自来水</w:t>
                    </w:r>
                  </w:p>
                </w:txbxContent>
              </v:textbox>
            </v:shape>
            <v:line id="_x0000_s2709" o:spid="_x0000_s2709" o:spt="20" style="position:absolute;left:6278;top:13140;height:0;width:1500;" filled="f" stroked="t" coordsize="21600,21600">
              <v:path arrowok="t"/>
              <v:fill on="f" focussize="0,0"/>
              <v:stroke imagealignshape="1"/>
              <v:imagedata o:title=""/>
              <o:lock v:ext="edit"/>
              <o:callout minusx="t" minusy="t"/>
              <v:textbox inset="1mm,2mm,0mm,1.27mm"/>
            </v:line>
            <v:line id="_x0000_s2710" o:spid="_x0000_s2710" o:spt="20" style="position:absolute;left:7778;top:12845;flip:y;height:274;width:0;" filled="f" stroked="t" coordsize="21600,21600">
              <v:path arrowok="t"/>
              <v:fill on="f" focussize="0,0"/>
              <v:stroke imagealignshape="1" endarrow="block"/>
              <v:imagedata o:title=""/>
              <o:lock v:ext="edit"/>
              <o:callout minusx="t" minusy="t"/>
              <v:textbox inset="1mm,2mm,0mm,1.27mm"/>
            </v:line>
            <v:line id="_x0000_s2711" o:spid="_x0000_s2711" o:spt="20" style="position:absolute;left:6278;top:12845;height:274;width:0;" filled="f" stroked="t" coordsize="21600,21600">
              <v:path arrowok="t"/>
              <v:fill on="f" focussize="0,0"/>
              <v:stroke imagealignshape="1"/>
              <v:imagedata o:title=""/>
              <o:lock v:ext="edit"/>
              <o:callout minusx="t" minusy="t"/>
              <v:textbox inset="1mm,2mm,0mm,1.27mm"/>
            </v:line>
            <v:line id="_x0000_s2712" o:spid="_x0000_s2712" o:spt="20" style="position:absolute;left:8334;top:12633;height:0;width:500;" filled="f" stroked="t" coordsize="21600,21600">
              <v:path arrowok="t"/>
              <v:fill on="f" focussize="0,0"/>
              <v:stroke imagealignshape="1" endarrow="block"/>
              <v:imagedata o:title=""/>
              <o:lock v:ext="edit"/>
              <o:callout minusx="t" minusy="t"/>
              <v:textbox inset="1mm,2mm,0mm,1.27mm"/>
            </v:line>
            <v:shape id="_x0000_s2713" o:spid="_x0000_s2713" o:spt="202" type="#_x0000_t202" style="position:absolute;left:1418;top:12435;height:454;width:540;" filled="f" stroked="f" insetpen="f" coordsize="21600,21600">
              <v:path/>
              <v:fill on="f" alignshape="1" focussize="0,0"/>
              <v:stroke on="f" imagealignshape="1"/>
              <v:imagedata o:title=""/>
              <o:lock v:ext="edit"/>
              <o:callout minusx="t" minusy="t"/>
              <v:textbox inset="1mm,2mm,0mm,1.27mm">
                <w:txbxContent>
                  <w:p>
                    <w:pPr>
                      <w:rPr>
                        <w:rFonts w:hint="eastAsia"/>
                        <w:szCs w:val="21"/>
                      </w:rPr>
                    </w:pPr>
                    <w:r>
                      <w:rPr>
                        <w:rFonts w:hint="eastAsia"/>
                        <w:szCs w:val="21"/>
                      </w:rPr>
                      <w:t>废气</w:t>
                    </w:r>
                  </w:p>
                </w:txbxContent>
              </v:textbox>
            </v:shape>
            <v:shape id="_x0000_s2714" o:spid="_x0000_s2714" o:spt="202" type="#_x0000_t202" style="position:absolute;left:5624;top:10684;height:454;width:1100;" filled="f" stroked="f" insetpen="f" coordsize="21600,21600">
              <v:path/>
              <v:fill on="f" alignshape="1" focussize="0,0"/>
              <v:stroke on="f" imagealignshape="1"/>
              <v:imagedata o:title=""/>
              <o:lock v:ext="edit"/>
              <o:callout minusx="t" minusy="t"/>
              <v:textbox inset="1mm,2mm,0mm,1.27mm">
                <w:txbxContent>
                  <w:p>
                    <w:pPr>
                      <w:ind w:firstLine="210" w:firstLineChars="100"/>
                      <w:rPr>
                        <w:szCs w:val="21"/>
                      </w:rPr>
                    </w:pPr>
                    <w:r>
                      <w:rPr>
                        <w:rFonts w:hint="eastAsia"/>
                        <w:szCs w:val="21"/>
                      </w:rPr>
                      <w:t>排放</w:t>
                    </w:r>
                  </w:p>
                </w:txbxContent>
              </v:textbox>
            </v:shape>
            <w10:wrap type="none"/>
            <w10:anchorlock/>
          </v:group>
        </w:pict>
      </w:r>
    </w:p>
    <w:p>
      <w:pPr>
        <w:snapToGrid w:val="0"/>
        <w:spacing w:line="360" w:lineRule="auto"/>
        <w:jc w:val="center"/>
        <w:rPr>
          <w:rFonts w:eastAsia="黑体"/>
          <w:color w:val="auto"/>
          <w:highlight w:val="none"/>
        </w:rPr>
      </w:pPr>
      <w:r>
        <w:rPr>
          <w:rFonts w:eastAsia="黑体"/>
          <w:color w:val="auto"/>
          <w:sz w:val="24"/>
          <w:highlight w:val="none"/>
        </w:rPr>
        <w:t>图</w:t>
      </w:r>
      <w:r>
        <w:rPr>
          <w:rFonts w:hint="eastAsia" w:eastAsia="黑体"/>
          <w:color w:val="auto"/>
          <w:sz w:val="24"/>
          <w:highlight w:val="none"/>
          <w:lang w:val="en-US" w:eastAsia="zh-CN"/>
        </w:rPr>
        <w:t>4</w:t>
      </w:r>
      <w:r>
        <w:rPr>
          <w:rFonts w:eastAsia="黑体"/>
          <w:color w:val="auto"/>
          <w:sz w:val="24"/>
          <w:highlight w:val="none"/>
        </w:rPr>
        <w:t>.1-1  废气净化工艺流程示意图</w:t>
      </w:r>
    </w:p>
    <w:p>
      <w:pPr>
        <w:snapToGrid w:val="0"/>
        <w:ind w:firstLine="480"/>
        <w:jc w:val="center"/>
        <w:rPr>
          <w:color w:val="auto"/>
          <w:sz w:val="24"/>
          <w:highlight w:val="none"/>
        </w:rPr>
      </w:pPr>
      <w:r>
        <w:rPr>
          <w:color w:val="auto"/>
          <w:sz w:val="24"/>
          <w:highlight w:val="none"/>
        </w:rPr>
        <w:pict>
          <v:group id="_x0000_s2715" o:spid="_x0000_s2715" o:spt="203" style="height:226.2pt;width:324pt;" coordorigin="3038,4936" coordsize="6550,4992">
            <o:lock v:ext="edit" rotation="t"/>
            <v:shape id="_x0000_s2716" o:spid="_x0000_s2716" o:spt="75" type="#_x0000_t75" style="position:absolute;left:3038;top:4936;height:4992;width:6550;" filled="f" stroked="t" coordsize="21600,21600">
              <v:path/>
              <v:fill on="f" focussize="0,0"/>
              <v:stroke weight="1pt"/>
              <v:imagedata r:id="rId55" o:title=""/>
              <o:lock v:ext="edit" aspectratio="t"/>
            </v:shape>
            <v:shape id="_x0000_s2717" o:spid="_x0000_s2717" o:spt="202" type="#_x0000_t202" style="position:absolute;left:4726;top:9232;height:468;width:900;" fillcolor="#F8F8F8" filled="t" stroked="f" coordsize="21600,21600">
              <v:path/>
              <v:fill type="tile" on="t" o:title="新闻纸" alignshape="1" focussize="0,0" rotate="t" r:id="rId56"/>
              <v:stroke on="f"/>
              <v:imagedata o:title=""/>
              <o:lock v:ext="edit"/>
              <v:textbox>
                <w:txbxContent>
                  <w:p>
                    <w:pPr>
                      <w:snapToGrid w:val="0"/>
                      <w:ind w:firstLine="105" w:firstLineChars="50"/>
                      <w:rPr>
                        <w:rFonts w:hint="eastAsia"/>
                      </w:rPr>
                    </w:pPr>
                    <w:r>
                      <w:rPr>
                        <w:rFonts w:hint="eastAsia"/>
                      </w:rPr>
                      <w:t>废气</w:t>
                    </w:r>
                  </w:p>
                </w:txbxContent>
              </v:textbox>
            </v:shape>
            <w10:wrap type="none"/>
            <w10:anchorlock/>
          </v:group>
        </w:pict>
      </w:r>
    </w:p>
    <w:p>
      <w:pPr>
        <w:snapToGrid w:val="0"/>
        <w:spacing w:line="360" w:lineRule="auto"/>
        <w:jc w:val="center"/>
        <w:rPr>
          <w:rFonts w:eastAsia="黑体"/>
          <w:color w:val="auto"/>
          <w:sz w:val="24"/>
          <w:highlight w:val="none"/>
        </w:rPr>
      </w:pPr>
      <w:r>
        <w:rPr>
          <w:rFonts w:eastAsia="黑体"/>
          <w:color w:val="auto"/>
          <w:sz w:val="24"/>
          <w:highlight w:val="none"/>
        </w:rPr>
        <w:t>图</w:t>
      </w:r>
      <w:r>
        <w:rPr>
          <w:rFonts w:hint="eastAsia" w:eastAsia="黑体"/>
          <w:color w:val="auto"/>
          <w:sz w:val="24"/>
          <w:highlight w:val="none"/>
          <w:lang w:val="en-US" w:eastAsia="zh-CN"/>
        </w:rPr>
        <w:t>4</w:t>
      </w:r>
      <w:r>
        <w:rPr>
          <w:rFonts w:eastAsia="黑体"/>
          <w:color w:val="auto"/>
          <w:sz w:val="24"/>
          <w:highlight w:val="none"/>
        </w:rPr>
        <w:t xml:space="preserve">.1-2 </w:t>
      </w:r>
      <w:r>
        <w:rPr>
          <w:rFonts w:hint="eastAsia" w:eastAsia="黑体"/>
          <w:color w:val="auto"/>
          <w:sz w:val="24"/>
          <w:highlight w:val="none"/>
          <w:lang w:val="en-US" w:eastAsia="zh-CN"/>
        </w:rPr>
        <w:t xml:space="preserve"> </w:t>
      </w:r>
      <w:r>
        <w:rPr>
          <w:rFonts w:eastAsia="黑体"/>
          <w:color w:val="auto"/>
          <w:sz w:val="24"/>
          <w:highlight w:val="none"/>
        </w:rPr>
        <w:t>综合废气净化塔结构示意图</w:t>
      </w:r>
    </w:p>
    <w:p>
      <w:pPr>
        <w:adjustRightInd w:val="0"/>
        <w:snapToGrid w:val="0"/>
        <w:spacing w:line="360" w:lineRule="auto"/>
        <w:ind w:firstLine="480" w:firstLineChars="200"/>
        <w:rPr>
          <w:color w:val="auto"/>
          <w:sz w:val="24"/>
          <w:highlight w:val="none"/>
        </w:rPr>
      </w:pPr>
      <w:r>
        <w:rPr>
          <w:color w:val="auto"/>
          <w:sz w:val="24"/>
          <w:highlight w:val="none"/>
        </w:rPr>
        <w:t>综上，该项目对工艺废气的治理措施是目前同类厂家普遍采用的可靠技术，是比较经济有效的。</w:t>
      </w:r>
    </w:p>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Pr>
        <w:keepNext/>
        <w:keepLines/>
        <w:adjustRightInd w:val="0"/>
        <w:snapToGrid w:val="0"/>
        <w:spacing w:line="360" w:lineRule="auto"/>
        <w:jc w:val="left"/>
        <w:outlineLvl w:val="1"/>
        <w:rPr>
          <w:rFonts w:eastAsia="黑体"/>
          <w:bCs/>
          <w:color w:val="auto"/>
          <w:sz w:val="24"/>
          <w:highlight w:val="none"/>
          <w:lang w:val="zh-CN"/>
        </w:rPr>
      </w:pPr>
      <w:bookmarkStart w:id="173" w:name="_Toc391301257"/>
      <w:bookmarkStart w:id="174" w:name="_Toc306032801"/>
      <w:bookmarkStart w:id="175" w:name="_Toc519063310"/>
      <w:bookmarkStart w:id="176" w:name="_Toc530655613"/>
      <w:bookmarkStart w:id="177" w:name="_Toc26587"/>
      <w:r>
        <w:rPr>
          <w:rFonts w:hint="eastAsia" w:eastAsia="黑体"/>
          <w:bCs/>
          <w:color w:val="auto"/>
          <w:sz w:val="24"/>
          <w:highlight w:val="none"/>
          <w:lang w:val="zh-CN"/>
        </w:rPr>
        <w:t xml:space="preserve">4.2 </w:t>
      </w:r>
      <w:r>
        <w:rPr>
          <w:rFonts w:eastAsia="黑体"/>
          <w:bCs/>
          <w:color w:val="auto"/>
          <w:sz w:val="24"/>
          <w:highlight w:val="none"/>
          <w:lang w:val="zh-CN"/>
        </w:rPr>
        <w:t>水</w:t>
      </w:r>
      <w:bookmarkEnd w:id="173"/>
      <w:bookmarkEnd w:id="174"/>
      <w:r>
        <w:rPr>
          <w:rFonts w:hint="eastAsia" w:eastAsia="黑体"/>
          <w:bCs/>
          <w:color w:val="auto"/>
          <w:sz w:val="24"/>
          <w:highlight w:val="none"/>
          <w:lang w:val="zh-CN"/>
        </w:rPr>
        <w:t>污染防治措施</w:t>
      </w:r>
      <w:bookmarkEnd w:id="175"/>
      <w:bookmarkEnd w:id="176"/>
      <w:r>
        <w:rPr>
          <w:rFonts w:hint="eastAsia" w:ascii="Times New Roman" w:hAnsi="Times New Roman" w:eastAsia="黑体" w:cs="Times New Roman"/>
          <w:bCs/>
          <w:color w:val="auto"/>
          <w:sz w:val="24"/>
          <w:highlight w:val="none"/>
          <w:lang w:val="zh-CN"/>
        </w:rPr>
        <w:t>有效性评估</w:t>
      </w:r>
      <w:bookmarkEnd w:id="177"/>
    </w:p>
    <w:p>
      <w:pPr>
        <w:keepNext/>
        <w:keepLines/>
        <w:pageBreakBefore w:val="0"/>
        <w:widowControl w:val="0"/>
        <w:kinsoku/>
        <w:wordWrap/>
        <w:overflowPunct/>
        <w:topLinePunct w:val="0"/>
        <w:autoSpaceDE/>
        <w:autoSpaceDN/>
        <w:bidi w:val="0"/>
        <w:adjustRightInd w:val="0"/>
        <w:snapToGrid w:val="0"/>
        <w:spacing w:line="360" w:lineRule="auto"/>
        <w:jc w:val="left"/>
        <w:textAlignment w:val="auto"/>
        <w:outlineLvl w:val="2"/>
        <w:rPr>
          <w:color w:val="auto"/>
          <w:sz w:val="24"/>
          <w:highlight w:val="none"/>
        </w:rPr>
      </w:pPr>
      <w:bookmarkStart w:id="178" w:name="_Toc162112104"/>
      <w:r>
        <w:rPr>
          <w:rFonts w:hint="eastAsia" w:eastAsia="黑体"/>
          <w:bCs/>
          <w:color w:val="auto"/>
          <w:sz w:val="24"/>
          <w:highlight w:val="none"/>
          <w:lang w:val="zh-CN"/>
        </w:rPr>
        <w:t>4.2</w:t>
      </w:r>
      <w:r>
        <w:rPr>
          <w:rFonts w:hint="eastAsia" w:eastAsia="黑体"/>
          <w:bCs/>
          <w:color w:val="auto"/>
          <w:sz w:val="24"/>
          <w:highlight w:val="none"/>
          <w:lang w:val="en-US" w:eastAsia="zh-CN"/>
        </w:rPr>
        <w:t>.1</w:t>
      </w:r>
      <w:r>
        <w:rPr>
          <w:rFonts w:hint="eastAsia" w:eastAsia="黑体"/>
          <w:bCs/>
          <w:color w:val="auto"/>
          <w:sz w:val="24"/>
          <w:highlight w:val="none"/>
          <w:lang w:val="zh-CN"/>
        </w:rPr>
        <w:t xml:space="preserve"> </w:t>
      </w:r>
      <w:r>
        <w:rPr>
          <w:rFonts w:hint="eastAsia" w:eastAsia="黑体"/>
          <w:bCs/>
          <w:color w:val="auto"/>
          <w:sz w:val="24"/>
          <w:highlight w:val="none"/>
          <w:lang w:val="en-US" w:eastAsia="zh-CN"/>
        </w:rPr>
        <w:t>废</w:t>
      </w:r>
      <w:r>
        <w:rPr>
          <w:rFonts w:eastAsia="黑体"/>
          <w:bCs/>
          <w:color w:val="auto"/>
          <w:sz w:val="24"/>
          <w:highlight w:val="none"/>
          <w:lang w:val="zh-CN"/>
        </w:rPr>
        <w:t>水</w:t>
      </w:r>
      <w:r>
        <w:rPr>
          <w:rFonts w:hint="eastAsia" w:eastAsia="黑体"/>
          <w:bCs/>
          <w:color w:val="auto"/>
          <w:sz w:val="24"/>
          <w:highlight w:val="none"/>
          <w:lang w:val="zh-CN"/>
        </w:rPr>
        <w:t>污染防治措施</w:t>
      </w:r>
      <w:r>
        <w:rPr>
          <w:rFonts w:hint="eastAsia" w:ascii="Times New Roman" w:hAnsi="Times New Roman" w:eastAsia="黑体" w:cs="Times New Roman"/>
          <w:bCs/>
          <w:color w:val="auto"/>
          <w:sz w:val="24"/>
          <w:highlight w:val="none"/>
          <w:lang w:val="zh-CN"/>
        </w:rPr>
        <w:t>有效性评估</w:t>
      </w:r>
    </w:p>
    <w:p>
      <w:pPr>
        <w:widowControl/>
        <w:snapToGrid w:val="0"/>
        <w:spacing w:line="360" w:lineRule="auto"/>
        <w:ind w:firstLine="480" w:firstLineChars="200"/>
        <w:rPr>
          <w:color w:val="auto"/>
          <w:sz w:val="24"/>
          <w:highlight w:val="none"/>
        </w:rPr>
      </w:pPr>
      <w:r>
        <w:rPr>
          <w:color w:val="auto"/>
          <w:sz w:val="24"/>
          <w:highlight w:val="none"/>
        </w:rPr>
        <w:t>1、该项目废水污染防治措施可行性分析</w:t>
      </w:r>
      <w:r>
        <w:rPr>
          <w:color w:val="auto"/>
          <w:kern w:val="0"/>
          <w:sz w:val="24"/>
          <w:highlight w:val="none"/>
        </w:rPr>
        <w:tab/>
      </w:r>
    </w:p>
    <w:p>
      <w:pPr>
        <w:autoSpaceDE w:val="0"/>
        <w:adjustRightInd w:val="0"/>
        <w:snapToGrid w:val="0"/>
        <w:spacing w:line="360" w:lineRule="auto"/>
        <w:ind w:firstLine="480" w:firstLineChars="200"/>
        <w:rPr>
          <w:snapToGrid w:val="0"/>
          <w:color w:val="auto"/>
          <w:kern w:val="0"/>
          <w:sz w:val="24"/>
          <w:highlight w:val="none"/>
        </w:rPr>
      </w:pPr>
      <w:r>
        <w:rPr>
          <w:snapToGrid w:val="0"/>
          <w:color w:val="auto"/>
          <w:kern w:val="0"/>
          <w:sz w:val="24"/>
          <w:highlight w:val="none"/>
        </w:rPr>
        <w:t>(1)生活污水</w:t>
      </w:r>
    </w:p>
    <w:p>
      <w:pPr>
        <w:adjustRightInd w:val="0"/>
        <w:snapToGrid w:val="0"/>
        <w:spacing w:line="360" w:lineRule="auto"/>
        <w:ind w:firstLine="480" w:firstLineChars="200"/>
        <w:rPr>
          <w:color w:val="auto"/>
          <w:sz w:val="24"/>
          <w:highlight w:val="none"/>
        </w:rPr>
      </w:pPr>
      <w:r>
        <w:rPr>
          <w:color w:val="auto"/>
          <w:sz w:val="24"/>
          <w:highlight w:val="none"/>
        </w:rPr>
        <w:t>生活污水直接经城市污水管道，进入</w:t>
      </w:r>
      <w:r>
        <w:rPr>
          <w:rFonts w:hint="eastAsia"/>
          <w:color w:val="auto"/>
          <w:sz w:val="24"/>
          <w:highlight w:val="none"/>
          <w:lang w:eastAsia="zh-CN"/>
        </w:rPr>
        <w:t>镰湾河水质净化厂</w:t>
      </w:r>
      <w:r>
        <w:rPr>
          <w:color w:val="auto"/>
          <w:sz w:val="24"/>
          <w:highlight w:val="none"/>
        </w:rPr>
        <w:t>处理。生活污水水质满足《污水排入城镇下水道水质标准》(GB/T31962-2015)表1中B级标准限值要求及</w:t>
      </w:r>
      <w:r>
        <w:rPr>
          <w:rFonts w:hint="eastAsia"/>
          <w:color w:val="auto"/>
          <w:sz w:val="24"/>
          <w:highlight w:val="none"/>
          <w:lang w:eastAsia="zh-CN"/>
        </w:rPr>
        <w:t>镰湾河水质净化厂</w:t>
      </w:r>
      <w:r>
        <w:rPr>
          <w:color w:val="auto"/>
          <w:sz w:val="24"/>
          <w:highlight w:val="none"/>
        </w:rPr>
        <w:t>进水水质、水量的要求。</w:t>
      </w:r>
    </w:p>
    <w:p>
      <w:pPr>
        <w:widowControl/>
        <w:adjustRightInd w:val="0"/>
        <w:snapToGrid w:val="0"/>
        <w:spacing w:line="360" w:lineRule="auto"/>
        <w:ind w:firstLine="480" w:firstLineChars="200"/>
        <w:rPr>
          <w:color w:val="auto"/>
          <w:sz w:val="24"/>
          <w:highlight w:val="none"/>
        </w:rPr>
      </w:pPr>
      <w:r>
        <w:rPr>
          <w:color w:val="auto"/>
          <w:sz w:val="24"/>
          <w:highlight w:val="none"/>
        </w:rPr>
        <w:t>(2)生产废水</w:t>
      </w:r>
    </w:p>
    <w:p>
      <w:pPr>
        <w:adjustRightInd w:val="0"/>
        <w:snapToGrid w:val="0"/>
        <w:spacing w:line="360" w:lineRule="auto"/>
        <w:ind w:firstLine="480" w:firstLineChars="200"/>
        <w:rPr>
          <w:rFonts w:hint="eastAsia"/>
          <w:color w:val="auto"/>
          <w:sz w:val="24"/>
          <w:highlight w:val="none"/>
        </w:rPr>
      </w:pPr>
      <w:r>
        <w:rPr>
          <w:rFonts w:hint="eastAsia"/>
          <w:color w:val="auto"/>
          <w:sz w:val="24"/>
          <w:highlight w:val="none"/>
        </w:rPr>
        <w:t>该项目电镀废水包括综合废水、含镍废水、含铬废水。该项目车间将铺设有综合废</w:t>
      </w:r>
    </w:p>
    <w:p>
      <w:pPr>
        <w:adjustRightInd w:val="0"/>
        <w:snapToGrid w:val="0"/>
        <w:spacing w:line="360" w:lineRule="auto"/>
        <w:rPr>
          <w:rFonts w:hint="eastAsia"/>
          <w:color w:val="auto"/>
          <w:sz w:val="24"/>
          <w:highlight w:val="none"/>
        </w:rPr>
      </w:pPr>
      <w:r>
        <w:rPr>
          <w:rFonts w:hint="eastAsia"/>
          <w:color w:val="auto"/>
          <w:sz w:val="24"/>
          <w:highlight w:val="none"/>
        </w:rPr>
        <w:t>水、含铬废水、含镍废水三条独立管道。项目产生的综合废水、含镍废水和含铬废水被分类收集后通过相应的排污管道进入电镀工业园污水站分类处理。车间冲洗废水按废水分区分类进入相应的废水管道，废气处理产生的综合废水分类进入相应的废水管道，再</w:t>
      </w:r>
    </w:p>
    <w:p>
      <w:pPr>
        <w:adjustRightInd w:val="0"/>
        <w:snapToGrid w:val="0"/>
        <w:spacing w:line="360" w:lineRule="auto"/>
        <w:rPr>
          <w:color w:val="auto"/>
          <w:kern w:val="0"/>
          <w:sz w:val="24"/>
          <w:highlight w:val="none"/>
        </w:rPr>
      </w:pPr>
      <w:r>
        <w:rPr>
          <w:rFonts w:hint="eastAsia"/>
          <w:color w:val="auto"/>
          <w:sz w:val="24"/>
          <w:highlight w:val="none"/>
        </w:rPr>
        <w:t>进入电镀园区污水站</w:t>
      </w:r>
      <w:r>
        <w:rPr>
          <w:color w:val="auto"/>
          <w:kern w:val="0"/>
          <w:sz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含银废水的回收处理：该项目5#车间化学镀银和电镀银会产生含银废水，由于银属于贵重金属，车间会于车间进行回收银处理。产生的含银废水先加入20%的氯化钠使残存的银离子形成氯化银沉淀，再加入少量的碘化钾，最大可能得回收银离子。反应式如下：</w:t>
      </w:r>
    </w:p>
    <w:p>
      <w:pPr>
        <w:pStyle w:val="35"/>
        <w:rPr>
          <w:rFonts w:hint="default"/>
          <w:color w:val="auto"/>
          <w:sz w:val="24"/>
          <w:szCs w:val="24"/>
          <w:highlight w:val="none"/>
          <w:lang w:val="en-US" w:eastAsia="zh-CN"/>
        </w:rPr>
      </w:pPr>
      <w:r>
        <w:rPr>
          <w:rFonts w:hint="eastAsia"/>
          <w:color w:val="auto"/>
          <w:sz w:val="24"/>
          <w:szCs w:val="24"/>
          <w:highlight w:val="none"/>
          <w:lang w:val="en-US" w:eastAsia="zh-CN"/>
        </w:rPr>
        <w:t>Ag</w:t>
      </w:r>
      <w:r>
        <w:rPr>
          <w:rFonts w:hint="eastAsia"/>
          <w:color w:val="auto"/>
          <w:sz w:val="24"/>
          <w:szCs w:val="24"/>
          <w:highlight w:val="none"/>
          <w:vertAlign w:val="superscript"/>
          <w:lang w:val="en-US" w:eastAsia="zh-CN"/>
        </w:rPr>
        <w:t>+</w:t>
      </w:r>
      <w:r>
        <w:rPr>
          <w:rFonts w:hint="default"/>
          <w:color w:val="auto"/>
          <w:sz w:val="24"/>
          <w:szCs w:val="24"/>
          <w:highlight w:val="none"/>
          <w:lang w:val="en-US" w:eastAsia="zh-CN"/>
        </w:rPr>
        <w:t>+</w:t>
      </w:r>
      <w:r>
        <w:rPr>
          <w:rFonts w:hint="eastAsia"/>
          <w:color w:val="auto"/>
          <w:sz w:val="24"/>
          <w:szCs w:val="24"/>
          <w:highlight w:val="none"/>
          <w:lang w:val="en-US" w:eastAsia="zh-CN"/>
        </w:rPr>
        <w:t>Cl</w:t>
      </w:r>
      <w:r>
        <w:rPr>
          <w:rFonts w:hint="eastAsia"/>
          <w:color w:val="auto"/>
          <w:sz w:val="24"/>
          <w:szCs w:val="24"/>
          <w:highlight w:val="none"/>
          <w:vertAlign w:val="superscript"/>
          <w:lang w:val="en-US" w:eastAsia="zh-CN"/>
        </w:rPr>
        <w:t>-</w:t>
      </w:r>
      <w:r>
        <w:rPr>
          <w:rFonts w:hint="default"/>
          <w:color w:val="auto"/>
          <w:sz w:val="24"/>
          <w:szCs w:val="24"/>
          <w:highlight w:val="none"/>
          <w:lang w:val="en-US" w:eastAsia="zh-CN"/>
        </w:rPr>
        <w:t>=</w:t>
      </w:r>
      <w:r>
        <w:rPr>
          <w:rFonts w:hint="eastAsia"/>
          <w:color w:val="auto"/>
          <w:sz w:val="24"/>
          <w:szCs w:val="24"/>
          <w:highlight w:val="none"/>
          <w:lang w:val="en-US" w:eastAsia="zh-CN"/>
        </w:rPr>
        <w:t>AgCl</w:t>
      </w:r>
      <w:r>
        <w:rPr>
          <w:rFonts w:hint="default"/>
          <w:color w:val="auto"/>
          <w:sz w:val="24"/>
          <w:szCs w:val="24"/>
          <w:highlight w:val="none"/>
          <w:lang w:val="en-US" w:eastAsia="zh-CN"/>
        </w:rPr>
        <w:t>↓</w:t>
      </w:r>
    </w:p>
    <w:p>
      <w:pPr>
        <w:pStyle w:val="35"/>
        <w:rPr>
          <w:rFonts w:hint="default"/>
          <w:color w:val="auto"/>
          <w:sz w:val="24"/>
          <w:szCs w:val="24"/>
          <w:highlight w:val="none"/>
          <w:lang w:val="en-US" w:eastAsia="zh-CN"/>
        </w:rPr>
      </w:pPr>
      <w:r>
        <w:rPr>
          <w:rFonts w:hint="eastAsia"/>
          <w:color w:val="auto"/>
          <w:sz w:val="24"/>
          <w:szCs w:val="24"/>
          <w:highlight w:val="none"/>
          <w:lang w:val="en-US" w:eastAsia="zh-CN"/>
        </w:rPr>
        <w:t>Ag</w:t>
      </w:r>
      <w:r>
        <w:rPr>
          <w:rFonts w:hint="eastAsia"/>
          <w:color w:val="auto"/>
          <w:sz w:val="24"/>
          <w:szCs w:val="24"/>
          <w:highlight w:val="none"/>
          <w:vertAlign w:val="superscript"/>
          <w:lang w:val="en-US" w:eastAsia="zh-CN"/>
        </w:rPr>
        <w:t>+</w:t>
      </w:r>
      <w:r>
        <w:rPr>
          <w:rFonts w:hint="default"/>
          <w:color w:val="auto"/>
          <w:sz w:val="24"/>
          <w:szCs w:val="24"/>
          <w:highlight w:val="none"/>
          <w:lang w:val="en-US" w:eastAsia="zh-CN"/>
        </w:rPr>
        <w:t>+</w:t>
      </w:r>
      <w:r>
        <w:rPr>
          <w:rFonts w:hint="eastAsia"/>
          <w:color w:val="auto"/>
          <w:sz w:val="24"/>
          <w:szCs w:val="24"/>
          <w:highlight w:val="none"/>
          <w:lang w:val="en-US" w:eastAsia="zh-CN"/>
        </w:rPr>
        <w:t>I</w:t>
      </w:r>
      <w:r>
        <w:rPr>
          <w:rFonts w:hint="eastAsia"/>
          <w:color w:val="auto"/>
          <w:sz w:val="24"/>
          <w:szCs w:val="24"/>
          <w:highlight w:val="none"/>
          <w:vertAlign w:val="superscript"/>
          <w:lang w:val="en-US" w:eastAsia="zh-CN"/>
        </w:rPr>
        <w:t>-</w:t>
      </w:r>
      <w:r>
        <w:rPr>
          <w:rFonts w:hint="default"/>
          <w:color w:val="auto"/>
          <w:sz w:val="24"/>
          <w:szCs w:val="24"/>
          <w:highlight w:val="none"/>
          <w:lang w:val="en-US" w:eastAsia="zh-CN"/>
        </w:rPr>
        <w:t>=</w:t>
      </w:r>
      <w:r>
        <w:rPr>
          <w:rFonts w:hint="eastAsia"/>
          <w:color w:val="auto"/>
          <w:sz w:val="24"/>
          <w:szCs w:val="24"/>
          <w:highlight w:val="none"/>
          <w:lang w:val="en-US" w:eastAsia="zh-CN"/>
        </w:rPr>
        <w:t>AgI</w:t>
      </w:r>
      <w:r>
        <w:rPr>
          <w:rFonts w:hint="default"/>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olor w:val="auto"/>
          <w:sz w:val="24"/>
          <w:szCs w:val="24"/>
          <w:highlight w:val="none"/>
          <w:lang w:val="en-US" w:eastAsia="zh-CN"/>
        </w:rPr>
      </w:pPr>
      <w:r>
        <w:rPr>
          <w:rFonts w:hint="eastAsia"/>
          <w:color w:val="auto"/>
          <w:sz w:val="24"/>
          <w:szCs w:val="24"/>
          <w:highlight w:val="none"/>
          <w:lang w:val="en-US" w:eastAsia="zh-CN"/>
        </w:rPr>
        <w:t>经查，再常温25℃下，Ksp(AgCl)=1.8×10-10，Ksp(AgI)=8.3×10-17。</w:t>
      </w:r>
      <w:r>
        <w:rPr>
          <w:rFonts w:hint="eastAsia"/>
          <w:color w:val="auto"/>
          <w:sz w:val="24"/>
          <w:szCs w:val="24"/>
          <w:highlight w:val="none"/>
          <w:lang w:val="en-US" w:eastAsia="zh-CN"/>
        </w:rPr>
        <w:t>因此可以保证银离子的最大回收率。</w:t>
      </w:r>
    </w:p>
    <w:p>
      <w:pPr>
        <w:widowControl/>
        <w:snapToGrid w:val="0"/>
        <w:spacing w:line="360" w:lineRule="auto"/>
        <w:ind w:firstLine="480" w:firstLineChars="200"/>
        <w:rPr>
          <w:color w:val="auto"/>
          <w:sz w:val="24"/>
          <w:highlight w:val="none"/>
        </w:rPr>
      </w:pPr>
      <w:r>
        <w:rPr>
          <w:color w:val="auto"/>
          <w:sz w:val="24"/>
          <w:highlight w:val="none"/>
        </w:rPr>
        <w:t>2、依托的废水污染防治措施可行性分析</w:t>
      </w:r>
    </w:p>
    <w:p>
      <w:pPr>
        <w:adjustRightInd w:val="0"/>
        <w:snapToGrid w:val="0"/>
        <w:spacing w:line="360" w:lineRule="auto"/>
        <w:ind w:firstLine="480" w:firstLineChars="200"/>
        <w:rPr>
          <w:rFonts w:hint="eastAsia"/>
          <w:color w:val="auto"/>
          <w:kern w:val="0"/>
          <w:sz w:val="24"/>
          <w:highlight w:val="none"/>
        </w:rPr>
      </w:pPr>
      <w:r>
        <w:rPr>
          <w:rFonts w:hint="eastAsia"/>
          <w:color w:val="auto"/>
          <w:kern w:val="0"/>
          <w:sz w:val="24"/>
          <w:highlight w:val="none"/>
        </w:rPr>
        <w:t>项目位于电镀工业园，依托电镀工业园污水处理站处理废水。电镀工业园污水站由青岛金泰表面工程有限公司投资建设，并负责营运管理。园区对企业电镀生产废水采取集中处理，工业园污水处理站分一期、二期建设，目前两期建设内容已经完成并运行。</w:t>
      </w:r>
    </w:p>
    <w:p>
      <w:pPr>
        <w:adjustRightInd w:val="0"/>
        <w:snapToGrid w:val="0"/>
        <w:spacing w:line="360" w:lineRule="auto"/>
        <w:ind w:firstLine="480" w:firstLineChars="200"/>
        <w:rPr>
          <w:rFonts w:hint="eastAsia"/>
          <w:color w:val="auto"/>
          <w:kern w:val="0"/>
          <w:sz w:val="24"/>
          <w:highlight w:val="none"/>
        </w:rPr>
      </w:pPr>
      <w:r>
        <w:rPr>
          <w:rFonts w:hint="eastAsia"/>
          <w:color w:val="auto"/>
          <w:kern w:val="0"/>
          <w:sz w:val="24"/>
          <w:highlight w:val="none"/>
        </w:rPr>
        <w:t>1</w:t>
      </w:r>
      <w:r>
        <w:rPr>
          <w:rFonts w:hint="eastAsia"/>
          <w:color w:val="auto"/>
          <w:kern w:val="0"/>
          <w:sz w:val="24"/>
          <w:highlight w:val="none"/>
          <w:lang w:val="en-US" w:eastAsia="zh-CN"/>
        </w:rPr>
        <w:t>)</w:t>
      </w:r>
      <w:r>
        <w:rPr>
          <w:rFonts w:hint="eastAsia"/>
          <w:color w:val="auto"/>
          <w:kern w:val="0"/>
          <w:sz w:val="24"/>
          <w:highlight w:val="none"/>
        </w:rPr>
        <w:t>污水处理系统建设历程</w:t>
      </w:r>
    </w:p>
    <w:p>
      <w:pPr>
        <w:adjustRightInd w:val="0"/>
        <w:snapToGrid w:val="0"/>
        <w:spacing w:line="360" w:lineRule="auto"/>
        <w:ind w:firstLine="480" w:firstLineChars="200"/>
        <w:rPr>
          <w:rFonts w:hint="eastAsia"/>
          <w:color w:val="auto"/>
          <w:kern w:val="0"/>
          <w:sz w:val="24"/>
          <w:highlight w:val="none"/>
        </w:rPr>
      </w:pPr>
      <w:r>
        <w:rPr>
          <w:rFonts w:hint="eastAsia"/>
          <w:color w:val="auto"/>
          <w:kern w:val="0"/>
          <w:sz w:val="24"/>
          <w:highlight w:val="none"/>
        </w:rPr>
        <w:t>(1)一期污水处理系统已经投入运行多年，包括含氰废水、含铬废水、酸碱综合废水三套处理系统，其设计处理规模分别为含氰废水5m</w:t>
      </w:r>
      <w:r>
        <w:rPr>
          <w:rFonts w:hint="eastAsia"/>
          <w:color w:val="auto"/>
          <w:kern w:val="0"/>
          <w:sz w:val="24"/>
          <w:highlight w:val="none"/>
          <w:vertAlign w:val="superscript"/>
        </w:rPr>
        <w:t>3</w:t>
      </w:r>
      <w:r>
        <w:rPr>
          <w:rFonts w:hint="eastAsia"/>
          <w:color w:val="auto"/>
          <w:kern w:val="0"/>
          <w:sz w:val="24"/>
          <w:highlight w:val="none"/>
        </w:rPr>
        <w:t>/h、含铬废水25m</w:t>
      </w:r>
      <w:r>
        <w:rPr>
          <w:rFonts w:hint="eastAsia"/>
          <w:color w:val="auto"/>
          <w:kern w:val="0"/>
          <w:sz w:val="24"/>
          <w:highlight w:val="none"/>
          <w:vertAlign w:val="superscript"/>
        </w:rPr>
        <w:t>3</w:t>
      </w:r>
      <w:r>
        <w:rPr>
          <w:rFonts w:hint="eastAsia"/>
          <w:color w:val="auto"/>
          <w:kern w:val="0"/>
          <w:sz w:val="24"/>
          <w:highlight w:val="none"/>
        </w:rPr>
        <w:t>/h、酸碱废水25</w:t>
      </w:r>
      <w:r>
        <w:rPr>
          <w:rFonts w:hint="eastAsia"/>
          <w:color w:val="auto"/>
          <w:kern w:val="0"/>
          <w:sz w:val="24"/>
          <w:highlight w:val="none"/>
          <w:lang w:val="en-US" w:eastAsia="zh-CN"/>
        </w:rPr>
        <w:t>/</w:t>
      </w:r>
      <w:r>
        <w:rPr>
          <w:rFonts w:hint="eastAsia"/>
          <w:color w:val="auto"/>
          <w:kern w:val="0"/>
          <w:sz w:val="24"/>
          <w:highlight w:val="none"/>
        </w:rPr>
        <w:t>m</w:t>
      </w:r>
      <w:r>
        <w:rPr>
          <w:rFonts w:hint="eastAsia"/>
          <w:color w:val="auto"/>
          <w:kern w:val="0"/>
          <w:sz w:val="24"/>
          <w:highlight w:val="none"/>
          <w:vertAlign w:val="superscript"/>
        </w:rPr>
        <w:t>3</w:t>
      </w:r>
      <w:r>
        <w:rPr>
          <w:rFonts w:hint="eastAsia"/>
          <w:color w:val="auto"/>
          <w:kern w:val="0"/>
          <w:sz w:val="24"/>
          <w:highlight w:val="none"/>
        </w:rPr>
        <w:t>/h，实际处理规模为20m</w:t>
      </w:r>
      <w:r>
        <w:rPr>
          <w:rFonts w:hint="eastAsia"/>
          <w:color w:val="auto"/>
          <w:kern w:val="0"/>
          <w:sz w:val="24"/>
          <w:highlight w:val="none"/>
          <w:vertAlign w:val="superscript"/>
        </w:rPr>
        <w:t>3</w:t>
      </w:r>
      <w:r>
        <w:rPr>
          <w:rFonts w:hint="eastAsia"/>
          <w:color w:val="auto"/>
          <w:kern w:val="0"/>
          <w:sz w:val="24"/>
          <w:highlight w:val="none"/>
        </w:rPr>
        <w:t>/周、200m</w:t>
      </w:r>
      <w:r>
        <w:rPr>
          <w:rFonts w:hint="eastAsia"/>
          <w:color w:val="auto"/>
          <w:kern w:val="0"/>
          <w:sz w:val="24"/>
          <w:highlight w:val="none"/>
          <w:vertAlign w:val="superscript"/>
        </w:rPr>
        <w:t>3</w:t>
      </w:r>
      <w:r>
        <w:rPr>
          <w:rFonts w:hint="eastAsia"/>
          <w:color w:val="auto"/>
          <w:kern w:val="0"/>
          <w:sz w:val="24"/>
          <w:highlight w:val="none"/>
        </w:rPr>
        <w:t>/d、200m</w:t>
      </w:r>
      <w:r>
        <w:rPr>
          <w:rFonts w:hint="eastAsia"/>
          <w:color w:val="auto"/>
          <w:kern w:val="0"/>
          <w:sz w:val="24"/>
          <w:highlight w:val="none"/>
          <w:vertAlign w:val="superscript"/>
        </w:rPr>
        <w:t>3</w:t>
      </w:r>
      <w:r>
        <w:rPr>
          <w:rFonts w:hint="eastAsia"/>
          <w:color w:val="auto"/>
          <w:kern w:val="0"/>
          <w:sz w:val="24"/>
          <w:highlight w:val="none"/>
        </w:rPr>
        <w:t>/d。2011年2月~9月，一期污水处理站进行了升级改造，改造内容如下：</w:t>
      </w:r>
    </w:p>
    <w:p>
      <w:pPr>
        <w:adjustRightInd w:val="0"/>
        <w:snapToGrid w:val="0"/>
        <w:spacing w:line="360" w:lineRule="auto"/>
        <w:ind w:firstLine="480" w:firstLineChars="200"/>
        <w:rPr>
          <w:rFonts w:hint="eastAsia"/>
          <w:color w:val="auto"/>
          <w:kern w:val="0"/>
          <w:sz w:val="24"/>
          <w:highlight w:val="none"/>
        </w:rPr>
      </w:pPr>
      <w:r>
        <w:rPr>
          <w:rFonts w:hint="eastAsia"/>
          <w:color w:val="auto"/>
          <w:kern w:val="0"/>
          <w:sz w:val="24"/>
          <w:highlight w:val="none"/>
        </w:rPr>
        <w:t>①含铬处理系统、综合处理系统增设还原、加酸反应池及加药装置，用于应对企业</w:t>
      </w:r>
    </w:p>
    <w:p>
      <w:pPr>
        <w:adjustRightInd w:val="0"/>
        <w:snapToGrid w:val="0"/>
        <w:spacing w:line="360" w:lineRule="auto"/>
        <w:rPr>
          <w:rFonts w:hint="eastAsia"/>
          <w:color w:val="auto"/>
          <w:kern w:val="0"/>
          <w:sz w:val="24"/>
          <w:highlight w:val="none"/>
        </w:rPr>
      </w:pPr>
      <w:r>
        <w:rPr>
          <w:rFonts w:hint="eastAsia"/>
          <w:color w:val="auto"/>
          <w:kern w:val="0"/>
          <w:sz w:val="24"/>
          <w:highlight w:val="none"/>
        </w:rPr>
        <w:t>废水混排带来的污水处理不便。</w:t>
      </w:r>
    </w:p>
    <w:p>
      <w:pPr>
        <w:adjustRightInd w:val="0"/>
        <w:snapToGrid w:val="0"/>
        <w:spacing w:line="360" w:lineRule="auto"/>
        <w:ind w:firstLine="480" w:firstLineChars="200"/>
        <w:rPr>
          <w:rFonts w:hint="eastAsia"/>
          <w:color w:val="auto"/>
          <w:kern w:val="0"/>
          <w:sz w:val="24"/>
          <w:highlight w:val="none"/>
        </w:rPr>
      </w:pPr>
      <w:r>
        <w:rPr>
          <w:rFonts w:hint="eastAsia"/>
          <w:color w:val="auto"/>
          <w:kern w:val="0"/>
          <w:sz w:val="24"/>
          <w:highlight w:val="none"/>
        </w:rPr>
        <w:t>②增加含镍废水处理系统，处理达标后的含镍废水进入综合废水处理系统。处理系统采用常规的化学沉淀法，处理过程中投加重金属捕集剂，增加镍的去除效果。改造后设计处理规模为90m</w:t>
      </w:r>
      <w:r>
        <w:rPr>
          <w:rFonts w:hint="eastAsia"/>
          <w:color w:val="auto"/>
          <w:kern w:val="0"/>
          <w:sz w:val="24"/>
          <w:highlight w:val="none"/>
          <w:vertAlign w:val="superscript"/>
        </w:rPr>
        <w:t>3</w:t>
      </w:r>
      <w:r>
        <w:rPr>
          <w:rFonts w:hint="eastAsia"/>
          <w:color w:val="auto"/>
          <w:kern w:val="0"/>
          <w:sz w:val="24"/>
          <w:highlight w:val="none"/>
        </w:rPr>
        <w:t>/h，设计进水Ni</w:t>
      </w:r>
      <w:r>
        <w:rPr>
          <w:rFonts w:hint="eastAsia"/>
          <w:color w:val="auto"/>
          <w:kern w:val="0"/>
          <w:sz w:val="24"/>
          <w:highlight w:val="none"/>
          <w:vertAlign w:val="superscript"/>
        </w:rPr>
        <w:t>2+</w:t>
      </w:r>
      <w:r>
        <w:rPr>
          <w:rFonts w:hint="eastAsia"/>
          <w:color w:val="auto"/>
          <w:kern w:val="0"/>
          <w:sz w:val="24"/>
          <w:highlight w:val="none"/>
        </w:rPr>
        <w:t>≤50mg/L、设计出水Ni</w:t>
      </w:r>
      <w:r>
        <w:rPr>
          <w:rFonts w:hint="eastAsia"/>
          <w:color w:val="auto"/>
          <w:kern w:val="0"/>
          <w:sz w:val="24"/>
          <w:highlight w:val="none"/>
          <w:vertAlign w:val="superscript"/>
        </w:rPr>
        <w:t>2+</w:t>
      </w:r>
      <w:r>
        <w:rPr>
          <w:rFonts w:hint="eastAsia"/>
          <w:color w:val="auto"/>
          <w:kern w:val="0"/>
          <w:sz w:val="24"/>
          <w:highlight w:val="none"/>
        </w:rPr>
        <w:t>≤0.5mg/L。</w:t>
      </w:r>
    </w:p>
    <w:p>
      <w:pPr>
        <w:adjustRightInd w:val="0"/>
        <w:snapToGrid w:val="0"/>
        <w:spacing w:line="360" w:lineRule="auto"/>
        <w:ind w:firstLine="480" w:firstLineChars="200"/>
        <w:rPr>
          <w:rFonts w:hint="eastAsia"/>
          <w:color w:val="auto"/>
          <w:kern w:val="0"/>
          <w:sz w:val="24"/>
          <w:highlight w:val="none"/>
        </w:rPr>
      </w:pPr>
      <w:r>
        <w:rPr>
          <w:rFonts w:hint="eastAsia"/>
          <w:color w:val="auto"/>
          <w:kern w:val="0"/>
          <w:sz w:val="24"/>
          <w:highlight w:val="none"/>
        </w:rPr>
        <w:t>③将含铬废水处理系统、综合废水处理系统和含氰废水处理系统的处理能力均增加为90m</w:t>
      </w:r>
      <w:r>
        <w:rPr>
          <w:rFonts w:hint="eastAsia"/>
          <w:color w:val="auto"/>
          <w:kern w:val="0"/>
          <w:sz w:val="24"/>
          <w:highlight w:val="none"/>
          <w:vertAlign w:val="superscript"/>
        </w:rPr>
        <w:t>3</w:t>
      </w:r>
      <w:r>
        <w:rPr>
          <w:rFonts w:hint="eastAsia"/>
          <w:color w:val="auto"/>
          <w:kern w:val="0"/>
          <w:sz w:val="24"/>
          <w:highlight w:val="none"/>
        </w:rPr>
        <w:t>/h。</w:t>
      </w:r>
    </w:p>
    <w:p>
      <w:pPr>
        <w:adjustRightInd w:val="0"/>
        <w:snapToGrid w:val="0"/>
        <w:spacing w:line="360" w:lineRule="auto"/>
        <w:ind w:firstLine="480" w:firstLineChars="200"/>
        <w:rPr>
          <w:rFonts w:hint="eastAsia"/>
          <w:color w:val="auto"/>
          <w:kern w:val="0"/>
          <w:sz w:val="24"/>
          <w:highlight w:val="none"/>
        </w:rPr>
      </w:pPr>
      <w:r>
        <w:rPr>
          <w:rFonts w:hint="eastAsia"/>
          <w:color w:val="auto"/>
          <w:kern w:val="0"/>
          <w:sz w:val="24"/>
          <w:highlight w:val="none"/>
        </w:rPr>
        <w:t>2)二期概况</w:t>
      </w:r>
    </w:p>
    <w:p>
      <w:pPr>
        <w:adjustRightInd w:val="0"/>
        <w:snapToGrid w:val="0"/>
        <w:spacing w:line="360" w:lineRule="auto"/>
        <w:ind w:firstLine="480" w:firstLineChars="200"/>
        <w:rPr>
          <w:rFonts w:hint="eastAsia"/>
          <w:color w:val="auto"/>
          <w:kern w:val="0"/>
          <w:sz w:val="24"/>
          <w:highlight w:val="none"/>
        </w:rPr>
      </w:pPr>
      <w:r>
        <w:rPr>
          <w:rFonts w:hint="eastAsia"/>
          <w:color w:val="auto"/>
          <w:kern w:val="0"/>
          <w:sz w:val="24"/>
          <w:highlight w:val="none"/>
        </w:rPr>
        <w:t>随着电镀基地(二期)企业的入驻，污水站一期综合废水处理系统、含铬废水处理系统没有接纳能力，不能满足生产发展的需要。为此，金泰进行了综合废水处理系统、含铬废水处理系统的二期扩建，并于2010年进行试运行，扩建后的各增加一套综合废水与含铬废水的处理系统，设计处理能力分别为210m</w:t>
      </w:r>
      <w:r>
        <w:rPr>
          <w:rFonts w:hint="eastAsia"/>
          <w:color w:val="auto"/>
          <w:kern w:val="0"/>
          <w:sz w:val="24"/>
          <w:highlight w:val="none"/>
          <w:vertAlign w:val="superscript"/>
        </w:rPr>
        <w:t>3</w:t>
      </w:r>
      <w:r>
        <w:rPr>
          <w:rFonts w:hint="eastAsia"/>
          <w:color w:val="auto"/>
          <w:kern w:val="0"/>
          <w:sz w:val="24"/>
          <w:highlight w:val="none"/>
        </w:rPr>
        <w:t>/h。</w:t>
      </w:r>
    </w:p>
    <w:p>
      <w:pPr>
        <w:adjustRightInd w:val="0"/>
        <w:snapToGrid w:val="0"/>
        <w:spacing w:line="360" w:lineRule="auto"/>
        <w:ind w:firstLine="480" w:firstLineChars="200"/>
        <w:rPr>
          <w:color w:val="auto"/>
          <w:kern w:val="0"/>
          <w:sz w:val="24"/>
          <w:highlight w:val="none"/>
        </w:rPr>
      </w:pPr>
      <w:r>
        <w:rPr>
          <w:rFonts w:hint="eastAsia"/>
          <w:color w:val="auto"/>
          <w:kern w:val="0"/>
          <w:sz w:val="24"/>
          <w:highlight w:val="none"/>
        </w:rPr>
        <w:t>二期工程建成投产之后，整个园区污水站的总处理能力增加至600m</w:t>
      </w:r>
      <w:r>
        <w:rPr>
          <w:rFonts w:hint="eastAsia"/>
          <w:color w:val="auto"/>
          <w:kern w:val="0"/>
          <w:sz w:val="24"/>
          <w:highlight w:val="none"/>
          <w:vertAlign w:val="superscript"/>
        </w:rPr>
        <w:t>3</w:t>
      </w:r>
      <w:r>
        <w:rPr>
          <w:rFonts w:hint="eastAsia"/>
          <w:color w:val="auto"/>
          <w:kern w:val="0"/>
          <w:sz w:val="24"/>
          <w:highlight w:val="none"/>
        </w:rPr>
        <w:t>/h，具体为：1套90t/h含氰废水处理系统(一期建设内容)、2套含铬废水处理系统(其中一套处理能力90t/h为一期建设内容，另一套120t/h为二期建设内容)、1套90t/h含镍废水处理系统、2套综合废水处理系统(其中一套处理能力90t/h为一期建设内容，另一套120t/h为二期建设内容)，位于电镀工业园区东南角。</w:t>
      </w:r>
    </w:p>
    <w:p>
      <w:pPr>
        <w:adjustRightInd w:val="0"/>
        <w:snapToGrid w:val="0"/>
        <w:spacing w:line="360" w:lineRule="auto"/>
        <w:ind w:firstLine="480" w:firstLineChars="200"/>
        <w:rPr>
          <w:rFonts w:hint="eastAsia"/>
          <w:color w:val="auto"/>
          <w:kern w:val="0"/>
          <w:sz w:val="24"/>
          <w:highlight w:val="none"/>
          <w:lang w:val="en-US" w:eastAsia="zh-CN"/>
        </w:rPr>
      </w:pPr>
      <w:r>
        <w:rPr>
          <w:rFonts w:hint="eastAsia"/>
          <w:color w:val="auto"/>
          <w:kern w:val="0"/>
          <w:sz w:val="24"/>
          <w:highlight w:val="none"/>
        </w:rPr>
        <w:t>目前园区另外一套120t/h的综合废水处理系统及一套120t/h的含铬废水处理系统停止运行，处理构筑物主要作为污水处理站应急事故水池</w:t>
      </w:r>
      <w:r>
        <w:rPr>
          <w:rFonts w:hint="eastAsia"/>
          <w:color w:val="auto"/>
          <w:kern w:val="0"/>
          <w:sz w:val="24"/>
          <w:highlight w:val="none"/>
          <w:lang w:val="en-US" w:eastAsia="zh-CN"/>
        </w:rPr>
        <w:t>。</w:t>
      </w:r>
    </w:p>
    <w:p>
      <w:pPr>
        <w:adjustRightInd w:val="0"/>
        <w:snapToGrid w:val="0"/>
        <w:spacing w:line="360" w:lineRule="auto"/>
        <w:ind w:firstLine="480" w:firstLineChars="200"/>
        <w:rPr>
          <w:color w:val="auto"/>
          <w:kern w:val="0"/>
          <w:sz w:val="24"/>
          <w:highlight w:val="none"/>
        </w:rPr>
      </w:pPr>
      <w:r>
        <w:rPr>
          <w:color w:val="auto"/>
          <w:kern w:val="0"/>
          <w:sz w:val="24"/>
          <w:highlight w:val="none"/>
        </w:rPr>
        <w:t>目前</w:t>
      </w:r>
      <w:r>
        <w:rPr>
          <w:rFonts w:hint="eastAsia"/>
          <w:color w:val="auto"/>
          <w:kern w:val="0"/>
          <w:sz w:val="24"/>
          <w:highlight w:val="none"/>
          <w:lang w:eastAsia="zh-CN"/>
        </w:rPr>
        <w:t>园区</w:t>
      </w:r>
      <w:r>
        <w:rPr>
          <w:color w:val="auto"/>
          <w:kern w:val="0"/>
          <w:sz w:val="24"/>
          <w:highlight w:val="none"/>
        </w:rPr>
        <w:t>污水站已接纳该项目全部废水。该项目已与</w:t>
      </w:r>
      <w:r>
        <w:rPr>
          <w:rFonts w:hint="eastAsia"/>
          <w:color w:val="auto"/>
          <w:kern w:val="0"/>
          <w:sz w:val="24"/>
          <w:highlight w:val="none"/>
          <w:lang w:eastAsia="zh-CN"/>
        </w:rPr>
        <w:t>园区</w:t>
      </w:r>
      <w:r>
        <w:rPr>
          <w:color w:val="auto"/>
          <w:kern w:val="0"/>
          <w:sz w:val="24"/>
          <w:highlight w:val="none"/>
        </w:rPr>
        <w:t>签订废水委托处置协议。</w:t>
      </w:r>
      <w:r>
        <w:rPr>
          <w:rFonts w:hint="eastAsia"/>
          <w:color w:val="auto"/>
          <w:kern w:val="0"/>
          <w:sz w:val="24"/>
          <w:highlight w:val="none"/>
          <w:lang w:eastAsia="zh-CN"/>
        </w:rPr>
        <w:t>园</w:t>
      </w:r>
      <w:r>
        <w:rPr>
          <w:rFonts w:hint="eastAsia"/>
          <w:color w:val="auto"/>
          <w:kern w:val="0"/>
          <w:sz w:val="24"/>
          <w:highlight w:val="none"/>
          <w:lang w:eastAsia="zh-CN"/>
        </w:rPr>
        <w:t>区</w:t>
      </w:r>
      <w:r>
        <w:rPr>
          <w:color w:val="auto"/>
          <w:kern w:val="0"/>
          <w:sz w:val="24"/>
          <w:highlight w:val="none"/>
        </w:rPr>
        <w:t>污水站设有特征污染物在线监测设施，并与环保局联网。</w:t>
      </w:r>
    </w:p>
    <w:p>
      <w:pPr>
        <w:adjustRightInd w:val="0"/>
        <w:snapToGrid w:val="0"/>
        <w:spacing w:line="360" w:lineRule="auto"/>
        <w:ind w:firstLine="480" w:firstLineChars="200"/>
        <w:rPr>
          <w:rFonts w:hint="eastAsia"/>
          <w:color w:val="auto"/>
          <w:kern w:val="0"/>
          <w:sz w:val="24"/>
          <w:highlight w:val="none"/>
        </w:rPr>
      </w:pPr>
      <w:r>
        <w:rPr>
          <w:rFonts w:hint="eastAsia"/>
          <w:color w:val="auto"/>
          <w:kern w:val="0"/>
          <w:sz w:val="24"/>
          <w:highlight w:val="none"/>
          <w:lang w:val="en-US" w:eastAsia="zh-CN"/>
        </w:rPr>
        <w:t>3)</w:t>
      </w:r>
      <w:r>
        <w:rPr>
          <w:rFonts w:hint="eastAsia"/>
          <w:color w:val="auto"/>
          <w:kern w:val="0"/>
          <w:sz w:val="24"/>
          <w:highlight w:val="none"/>
        </w:rPr>
        <w:t>电镀工业园污水站进水指标符合性分析</w:t>
      </w:r>
    </w:p>
    <w:p>
      <w:pPr>
        <w:adjustRightInd w:val="0"/>
        <w:snapToGrid w:val="0"/>
        <w:spacing w:line="360" w:lineRule="auto"/>
        <w:ind w:firstLine="480" w:firstLineChars="200"/>
        <w:rPr>
          <w:rFonts w:hint="eastAsia"/>
          <w:color w:val="auto"/>
          <w:kern w:val="0"/>
          <w:sz w:val="24"/>
          <w:highlight w:val="none"/>
        </w:rPr>
      </w:pPr>
      <w:r>
        <w:rPr>
          <w:rFonts w:hint="eastAsia"/>
          <w:color w:val="auto"/>
          <w:kern w:val="0"/>
          <w:sz w:val="24"/>
          <w:highlight w:val="none"/>
        </w:rPr>
        <w:t>二期工程后，污水站设计的进出水水质要求见表</w:t>
      </w:r>
      <w:r>
        <w:rPr>
          <w:rFonts w:hint="eastAsia"/>
          <w:color w:val="auto"/>
          <w:kern w:val="0"/>
          <w:sz w:val="24"/>
          <w:highlight w:val="none"/>
          <w:lang w:val="en-US" w:eastAsia="zh-CN"/>
        </w:rPr>
        <w:t>4</w:t>
      </w:r>
      <w:r>
        <w:rPr>
          <w:rFonts w:hint="eastAsia"/>
          <w:color w:val="auto"/>
          <w:kern w:val="0"/>
          <w:sz w:val="24"/>
          <w:highlight w:val="none"/>
        </w:rPr>
        <w:t>.2-1。</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黑体" w:hAnsi="黑体" w:eastAsia="黑体" w:cs="黑体"/>
          <w:color w:val="auto"/>
          <w:kern w:val="0"/>
          <w:sz w:val="24"/>
          <w:highlight w:val="none"/>
        </w:rPr>
      </w:pPr>
      <w:r>
        <w:rPr>
          <w:rFonts w:hint="eastAsia" w:ascii="黑体" w:hAnsi="黑体" w:eastAsia="黑体" w:cs="黑体"/>
          <w:color w:val="auto"/>
          <w:kern w:val="0"/>
          <w:sz w:val="24"/>
          <w:highlight w:val="none"/>
        </w:rPr>
        <w:t>表</w:t>
      </w:r>
      <w:r>
        <w:rPr>
          <w:rFonts w:hint="eastAsia" w:ascii="黑体" w:hAnsi="黑体" w:eastAsia="黑体" w:cs="黑体"/>
          <w:color w:val="auto"/>
          <w:kern w:val="0"/>
          <w:sz w:val="24"/>
          <w:highlight w:val="none"/>
          <w:lang w:val="en-US" w:eastAsia="zh-CN"/>
        </w:rPr>
        <w:t>4</w:t>
      </w:r>
      <w:r>
        <w:rPr>
          <w:rFonts w:hint="eastAsia" w:ascii="黑体" w:hAnsi="黑体" w:eastAsia="黑体" w:cs="黑体"/>
          <w:color w:val="auto"/>
          <w:kern w:val="0"/>
          <w:sz w:val="24"/>
          <w:highlight w:val="none"/>
        </w:rPr>
        <w:t>.2-1</w:t>
      </w:r>
      <w:r>
        <w:rPr>
          <w:rFonts w:hint="eastAsia" w:ascii="黑体" w:hAnsi="黑体" w:eastAsia="黑体" w:cs="黑体"/>
          <w:color w:val="auto"/>
          <w:kern w:val="0"/>
          <w:sz w:val="24"/>
          <w:highlight w:val="none"/>
          <w:lang w:val="en-US" w:eastAsia="zh-CN"/>
        </w:rPr>
        <w:t xml:space="preserve"> </w:t>
      </w:r>
      <w:r>
        <w:rPr>
          <w:rFonts w:hint="eastAsia" w:ascii="黑体" w:hAnsi="黑体" w:eastAsia="黑体" w:cs="黑体"/>
          <w:color w:val="auto"/>
          <w:kern w:val="0"/>
          <w:sz w:val="24"/>
          <w:highlight w:val="none"/>
        </w:rPr>
        <w:t xml:space="preserve"> 污水站设计进、出水水质</w:t>
      </w:r>
    </w:p>
    <w:tbl>
      <w:tblPr>
        <w:tblStyle w:val="37"/>
        <w:tblW w:w="9231" w:type="dxa"/>
        <w:tblInd w:w="0" w:type="dxa"/>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2307"/>
        <w:gridCol w:w="2308"/>
        <w:gridCol w:w="2308"/>
        <w:gridCol w:w="2308"/>
      </w:tblGrid>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63" w:hRule="atLeast"/>
        </w:trPr>
        <w:tc>
          <w:tcPr>
            <w:tcW w:w="2307" w:type="dxa"/>
            <w:tcBorders>
              <w:tl2br w:val="nil"/>
              <w:tr2bl w:val="nil"/>
            </w:tcBorders>
            <w:vAlign w:val="center"/>
          </w:tcPr>
          <w:p>
            <w:pPr>
              <w:adjustRightInd w:val="0"/>
              <w:snapToGrid w:val="0"/>
              <w:jc w:val="center"/>
              <w:rPr>
                <w:rFonts w:hint="eastAsia"/>
                <w:b/>
                <w:bCs/>
                <w:color w:val="auto"/>
                <w:szCs w:val="21"/>
                <w:highlight w:val="none"/>
                <w:lang w:eastAsia="zh-CN"/>
              </w:rPr>
            </w:pPr>
            <w:r>
              <w:rPr>
                <w:rFonts w:hint="eastAsia"/>
                <w:b/>
                <w:bCs/>
                <w:color w:val="auto"/>
                <w:szCs w:val="21"/>
                <w:highlight w:val="none"/>
                <w:lang w:eastAsia="zh-CN"/>
              </w:rPr>
              <w:t>废水系统</w:t>
            </w:r>
          </w:p>
        </w:tc>
        <w:tc>
          <w:tcPr>
            <w:tcW w:w="2308" w:type="dxa"/>
            <w:tcBorders>
              <w:tl2br w:val="nil"/>
              <w:tr2bl w:val="nil"/>
            </w:tcBorders>
            <w:vAlign w:val="center"/>
          </w:tcPr>
          <w:p>
            <w:pPr>
              <w:adjustRightInd w:val="0"/>
              <w:snapToGrid w:val="0"/>
              <w:jc w:val="center"/>
              <w:rPr>
                <w:rFonts w:hint="eastAsia"/>
                <w:b/>
                <w:bCs/>
                <w:color w:val="auto"/>
                <w:szCs w:val="21"/>
                <w:highlight w:val="none"/>
                <w:lang w:eastAsia="zh-CN"/>
              </w:rPr>
            </w:pPr>
            <w:r>
              <w:rPr>
                <w:rFonts w:hint="eastAsia"/>
                <w:b/>
                <w:bCs/>
                <w:color w:val="auto"/>
                <w:szCs w:val="21"/>
                <w:highlight w:val="none"/>
                <w:lang w:eastAsia="zh-CN"/>
              </w:rPr>
              <w:t>指标</w:t>
            </w:r>
          </w:p>
        </w:tc>
        <w:tc>
          <w:tcPr>
            <w:tcW w:w="2308" w:type="dxa"/>
            <w:tcBorders>
              <w:tl2br w:val="nil"/>
              <w:tr2bl w:val="nil"/>
            </w:tcBorders>
            <w:vAlign w:val="center"/>
          </w:tcPr>
          <w:p>
            <w:pPr>
              <w:adjustRightInd w:val="0"/>
              <w:snapToGrid w:val="0"/>
              <w:jc w:val="center"/>
              <w:rPr>
                <w:rFonts w:hint="eastAsia"/>
                <w:b/>
                <w:bCs/>
                <w:color w:val="auto"/>
                <w:szCs w:val="21"/>
                <w:highlight w:val="none"/>
                <w:lang w:eastAsia="zh-CN"/>
              </w:rPr>
            </w:pPr>
            <w:r>
              <w:rPr>
                <w:rFonts w:hint="eastAsia"/>
                <w:b/>
                <w:bCs/>
                <w:color w:val="auto"/>
                <w:szCs w:val="21"/>
                <w:highlight w:val="none"/>
                <w:lang w:eastAsia="zh-CN"/>
              </w:rPr>
              <w:t>进水浓度</w:t>
            </w:r>
          </w:p>
        </w:tc>
        <w:tc>
          <w:tcPr>
            <w:tcW w:w="2308" w:type="dxa"/>
            <w:tcBorders>
              <w:tl2br w:val="nil"/>
              <w:tr2bl w:val="nil"/>
            </w:tcBorders>
            <w:vAlign w:val="center"/>
          </w:tcPr>
          <w:p>
            <w:pPr>
              <w:adjustRightInd w:val="0"/>
              <w:snapToGrid w:val="0"/>
              <w:jc w:val="center"/>
              <w:rPr>
                <w:rFonts w:hint="eastAsia"/>
                <w:b/>
                <w:bCs/>
                <w:color w:val="auto"/>
                <w:szCs w:val="21"/>
                <w:highlight w:val="none"/>
                <w:lang w:eastAsia="zh-CN"/>
              </w:rPr>
            </w:pPr>
            <w:r>
              <w:rPr>
                <w:rFonts w:hint="eastAsia"/>
                <w:b/>
                <w:bCs/>
                <w:color w:val="auto"/>
                <w:szCs w:val="21"/>
                <w:highlight w:val="none"/>
                <w:lang w:eastAsia="zh-CN"/>
              </w:rPr>
              <w:t>出水浓度</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63" w:hRule="atLeast"/>
        </w:trPr>
        <w:tc>
          <w:tcPr>
            <w:tcW w:w="2307" w:type="dxa"/>
            <w:vMerge w:val="restart"/>
            <w:tcBorders>
              <w:tl2br w:val="nil"/>
              <w:tr2bl w:val="nil"/>
            </w:tcBorders>
            <w:vAlign w:val="center"/>
          </w:tcPr>
          <w:p>
            <w:pPr>
              <w:adjustRightInd w:val="0"/>
              <w:snapToGrid w:val="0"/>
              <w:jc w:val="center"/>
              <w:rPr>
                <w:rFonts w:hint="eastAsia"/>
                <w:color w:val="auto"/>
                <w:szCs w:val="21"/>
                <w:highlight w:val="none"/>
                <w:lang w:eastAsia="zh-CN"/>
              </w:rPr>
            </w:pPr>
            <w:r>
              <w:rPr>
                <w:rFonts w:hint="eastAsia"/>
                <w:color w:val="auto"/>
                <w:szCs w:val="21"/>
                <w:highlight w:val="none"/>
                <w:lang w:eastAsia="zh-CN"/>
              </w:rPr>
              <w:t>综合废水系统</w:t>
            </w:r>
          </w:p>
        </w:tc>
        <w:tc>
          <w:tcPr>
            <w:tcW w:w="2308" w:type="dxa"/>
            <w:tcBorders>
              <w:tl2br w:val="nil"/>
              <w:tr2bl w:val="nil"/>
            </w:tcBorders>
            <w:vAlign w:val="center"/>
          </w:tcPr>
          <w:p>
            <w:pPr>
              <w:adjustRightInd w:val="0"/>
              <w:snapToGrid w:val="0"/>
              <w:jc w:val="center"/>
              <w:rPr>
                <w:rFonts w:hint="eastAsia"/>
                <w:color w:val="auto"/>
                <w:szCs w:val="21"/>
                <w:highlight w:val="none"/>
                <w:lang w:eastAsia="zh-CN"/>
              </w:rPr>
            </w:pPr>
            <w:r>
              <w:rPr>
                <w:rFonts w:hint="eastAsia"/>
                <w:color w:val="auto"/>
                <w:szCs w:val="21"/>
                <w:highlight w:val="none"/>
                <w:lang w:eastAsia="zh-CN"/>
              </w:rPr>
              <w:t>总铜</w:t>
            </w:r>
          </w:p>
        </w:tc>
        <w:tc>
          <w:tcPr>
            <w:tcW w:w="2308" w:type="dxa"/>
            <w:tcBorders>
              <w:tl2br w:val="nil"/>
              <w:tr2bl w:val="nil"/>
            </w:tcBorders>
            <w:vAlign w:val="center"/>
          </w:tcPr>
          <w:p>
            <w:pPr>
              <w:adjustRightInd w:val="0"/>
              <w:snapToGrid w:val="0"/>
              <w:jc w:val="center"/>
              <w:rPr>
                <w:rFonts w:hint="eastAsia"/>
                <w:color w:val="auto"/>
                <w:szCs w:val="21"/>
                <w:highlight w:val="none"/>
                <w:lang w:eastAsia="zh-CN"/>
              </w:rPr>
            </w:pPr>
            <w:r>
              <w:rPr>
                <w:rFonts w:hint="eastAsia"/>
                <w:color w:val="auto"/>
                <w:szCs w:val="21"/>
                <w:highlight w:val="none"/>
                <w:lang w:eastAsia="zh-CN"/>
              </w:rPr>
              <w:t>≤</w:t>
            </w:r>
            <w:r>
              <w:rPr>
                <w:rFonts w:hint="eastAsia"/>
                <w:color w:val="auto"/>
                <w:szCs w:val="21"/>
                <w:highlight w:val="none"/>
                <w:lang w:val="en-US" w:eastAsia="zh-CN"/>
              </w:rPr>
              <w:t>80</w:t>
            </w:r>
          </w:p>
        </w:tc>
        <w:tc>
          <w:tcPr>
            <w:tcW w:w="2308" w:type="dxa"/>
            <w:tcBorders>
              <w:tl2br w:val="nil"/>
              <w:tr2bl w:val="nil"/>
            </w:tcBorders>
            <w:vAlign w:val="center"/>
          </w:tcPr>
          <w:p>
            <w:pPr>
              <w:adjustRightInd w:val="0"/>
              <w:snapToGrid w:val="0"/>
              <w:jc w:val="center"/>
              <w:rPr>
                <w:rFonts w:hint="eastAsia"/>
                <w:color w:val="auto"/>
                <w:szCs w:val="21"/>
                <w:highlight w:val="none"/>
                <w:lang w:eastAsia="zh-CN"/>
              </w:rPr>
            </w:pPr>
            <w:r>
              <w:rPr>
                <w:rFonts w:hint="eastAsia"/>
                <w:color w:val="auto"/>
                <w:szCs w:val="21"/>
                <w:highlight w:val="none"/>
                <w:lang w:eastAsia="zh-CN"/>
              </w:rPr>
              <w:t>≤</w:t>
            </w:r>
            <w:r>
              <w:rPr>
                <w:rFonts w:hint="eastAsia"/>
                <w:color w:val="auto"/>
                <w:szCs w:val="21"/>
                <w:highlight w:val="none"/>
                <w:lang w:val="en-US" w:eastAsia="zh-CN"/>
              </w:rPr>
              <w:t>0.5</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63" w:hRule="atLeast"/>
        </w:trPr>
        <w:tc>
          <w:tcPr>
            <w:tcW w:w="2307" w:type="dxa"/>
            <w:vMerge w:val="continue"/>
            <w:tcBorders>
              <w:tl2br w:val="nil"/>
              <w:tr2bl w:val="nil"/>
            </w:tcBorders>
            <w:vAlign w:val="center"/>
          </w:tcPr>
          <w:p>
            <w:pPr>
              <w:adjustRightInd w:val="0"/>
              <w:snapToGrid w:val="0"/>
              <w:jc w:val="center"/>
              <w:rPr>
                <w:rFonts w:hint="eastAsia"/>
                <w:color w:val="auto"/>
                <w:szCs w:val="21"/>
                <w:highlight w:val="none"/>
                <w:lang w:eastAsia="zh-CN"/>
              </w:rPr>
            </w:pPr>
          </w:p>
        </w:tc>
        <w:tc>
          <w:tcPr>
            <w:tcW w:w="2308" w:type="dxa"/>
            <w:tcBorders>
              <w:tl2br w:val="nil"/>
              <w:tr2bl w:val="nil"/>
            </w:tcBorders>
            <w:vAlign w:val="center"/>
          </w:tcPr>
          <w:p>
            <w:pPr>
              <w:adjustRightInd w:val="0"/>
              <w:snapToGrid w:val="0"/>
              <w:jc w:val="center"/>
              <w:rPr>
                <w:rFonts w:hint="eastAsia"/>
                <w:color w:val="auto"/>
                <w:szCs w:val="21"/>
                <w:highlight w:val="none"/>
                <w:lang w:eastAsia="zh-CN"/>
              </w:rPr>
            </w:pPr>
            <w:r>
              <w:rPr>
                <w:rFonts w:hint="eastAsia"/>
                <w:color w:val="auto"/>
                <w:szCs w:val="21"/>
                <w:highlight w:val="none"/>
                <w:lang w:eastAsia="zh-CN"/>
              </w:rPr>
              <w:t>总锌</w:t>
            </w:r>
          </w:p>
        </w:tc>
        <w:tc>
          <w:tcPr>
            <w:tcW w:w="2308" w:type="dxa"/>
            <w:tcBorders>
              <w:tl2br w:val="nil"/>
              <w:tr2bl w:val="nil"/>
            </w:tcBorders>
            <w:vAlign w:val="center"/>
          </w:tcPr>
          <w:p>
            <w:pPr>
              <w:adjustRightInd w:val="0"/>
              <w:snapToGrid w:val="0"/>
              <w:jc w:val="center"/>
              <w:rPr>
                <w:rFonts w:hint="eastAsia"/>
                <w:color w:val="auto"/>
                <w:szCs w:val="21"/>
                <w:highlight w:val="none"/>
                <w:lang w:eastAsia="zh-CN"/>
              </w:rPr>
            </w:pPr>
            <w:r>
              <w:rPr>
                <w:rFonts w:hint="eastAsia"/>
                <w:color w:val="auto"/>
                <w:szCs w:val="21"/>
                <w:highlight w:val="none"/>
                <w:lang w:eastAsia="zh-CN"/>
              </w:rPr>
              <w:t>≤</w:t>
            </w:r>
            <w:r>
              <w:rPr>
                <w:rFonts w:hint="eastAsia"/>
                <w:color w:val="auto"/>
                <w:szCs w:val="21"/>
                <w:highlight w:val="none"/>
                <w:lang w:val="en-US" w:eastAsia="zh-CN"/>
              </w:rPr>
              <w:t>80</w:t>
            </w:r>
          </w:p>
        </w:tc>
        <w:tc>
          <w:tcPr>
            <w:tcW w:w="2308" w:type="dxa"/>
            <w:tcBorders>
              <w:tl2br w:val="nil"/>
              <w:tr2bl w:val="nil"/>
            </w:tcBorders>
            <w:vAlign w:val="center"/>
          </w:tcPr>
          <w:p>
            <w:pPr>
              <w:adjustRightInd w:val="0"/>
              <w:snapToGrid w:val="0"/>
              <w:jc w:val="center"/>
              <w:rPr>
                <w:rFonts w:hint="eastAsia"/>
                <w:color w:val="auto"/>
                <w:szCs w:val="21"/>
                <w:highlight w:val="none"/>
                <w:lang w:eastAsia="zh-CN"/>
              </w:rPr>
            </w:pPr>
            <w:r>
              <w:rPr>
                <w:rFonts w:hint="eastAsia"/>
                <w:color w:val="auto"/>
                <w:szCs w:val="21"/>
                <w:highlight w:val="none"/>
                <w:lang w:eastAsia="zh-CN"/>
              </w:rPr>
              <w:t>≤</w:t>
            </w:r>
            <w:r>
              <w:rPr>
                <w:rFonts w:hint="eastAsia"/>
                <w:color w:val="auto"/>
                <w:szCs w:val="21"/>
                <w:highlight w:val="none"/>
                <w:lang w:val="en-US" w:eastAsia="zh-CN"/>
              </w:rPr>
              <w:t>1.5</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63" w:hRule="atLeast"/>
        </w:trPr>
        <w:tc>
          <w:tcPr>
            <w:tcW w:w="2307" w:type="dxa"/>
            <w:vMerge w:val="continue"/>
            <w:tcBorders>
              <w:tl2br w:val="nil"/>
              <w:tr2bl w:val="nil"/>
            </w:tcBorders>
            <w:vAlign w:val="center"/>
          </w:tcPr>
          <w:p>
            <w:pPr>
              <w:adjustRightInd w:val="0"/>
              <w:snapToGrid w:val="0"/>
              <w:jc w:val="center"/>
              <w:rPr>
                <w:rFonts w:hint="eastAsia"/>
                <w:color w:val="auto"/>
                <w:szCs w:val="21"/>
                <w:highlight w:val="none"/>
                <w:lang w:eastAsia="zh-CN"/>
              </w:rPr>
            </w:pPr>
          </w:p>
        </w:tc>
        <w:tc>
          <w:tcPr>
            <w:tcW w:w="2308" w:type="dxa"/>
            <w:tcBorders>
              <w:tl2br w:val="nil"/>
              <w:tr2bl w:val="nil"/>
            </w:tcBorders>
            <w:vAlign w:val="center"/>
          </w:tcPr>
          <w:p>
            <w:pPr>
              <w:adjustRightInd w:val="0"/>
              <w:snapToGrid w:val="0"/>
              <w:jc w:val="center"/>
              <w:rPr>
                <w:rFonts w:hint="eastAsia"/>
                <w:color w:val="auto"/>
                <w:szCs w:val="21"/>
                <w:highlight w:val="none"/>
                <w:lang w:eastAsia="zh-CN"/>
              </w:rPr>
            </w:pPr>
            <w:r>
              <w:rPr>
                <w:rFonts w:hint="eastAsia"/>
                <w:color w:val="auto"/>
                <w:szCs w:val="21"/>
                <w:highlight w:val="none"/>
                <w:lang w:val="en-US" w:eastAsia="zh-CN"/>
              </w:rPr>
              <w:t>COD</w:t>
            </w:r>
          </w:p>
        </w:tc>
        <w:tc>
          <w:tcPr>
            <w:tcW w:w="2308" w:type="dxa"/>
            <w:tcBorders>
              <w:tl2br w:val="nil"/>
              <w:tr2bl w:val="nil"/>
            </w:tcBorders>
            <w:vAlign w:val="center"/>
          </w:tcPr>
          <w:p>
            <w:pPr>
              <w:adjustRightInd w:val="0"/>
              <w:snapToGrid w:val="0"/>
              <w:jc w:val="center"/>
              <w:rPr>
                <w:rFonts w:hint="eastAsia"/>
                <w:color w:val="auto"/>
                <w:szCs w:val="21"/>
                <w:highlight w:val="none"/>
                <w:lang w:eastAsia="zh-CN"/>
              </w:rPr>
            </w:pPr>
            <w:r>
              <w:rPr>
                <w:rFonts w:hint="eastAsia"/>
                <w:color w:val="auto"/>
                <w:szCs w:val="21"/>
                <w:highlight w:val="none"/>
                <w:lang w:eastAsia="zh-CN"/>
              </w:rPr>
              <w:t>≤</w:t>
            </w:r>
            <w:r>
              <w:rPr>
                <w:rFonts w:hint="eastAsia"/>
                <w:color w:val="auto"/>
                <w:szCs w:val="21"/>
                <w:highlight w:val="none"/>
                <w:lang w:val="en-US" w:eastAsia="zh-CN"/>
              </w:rPr>
              <w:t>500</w:t>
            </w:r>
          </w:p>
        </w:tc>
        <w:tc>
          <w:tcPr>
            <w:tcW w:w="2308" w:type="dxa"/>
            <w:tcBorders>
              <w:tl2br w:val="nil"/>
              <w:tr2bl w:val="nil"/>
            </w:tcBorders>
            <w:vAlign w:val="center"/>
          </w:tcPr>
          <w:p>
            <w:pPr>
              <w:adjustRightInd w:val="0"/>
              <w:snapToGrid w:val="0"/>
              <w:jc w:val="center"/>
              <w:rPr>
                <w:rFonts w:hint="eastAsia"/>
                <w:color w:val="auto"/>
                <w:szCs w:val="21"/>
                <w:highlight w:val="none"/>
                <w:lang w:eastAsia="zh-CN"/>
              </w:rPr>
            </w:pPr>
            <w:r>
              <w:rPr>
                <w:rFonts w:hint="eastAsia"/>
                <w:color w:val="auto"/>
                <w:szCs w:val="21"/>
                <w:highlight w:val="none"/>
                <w:lang w:eastAsia="zh-CN"/>
              </w:rPr>
              <w:t>≤</w:t>
            </w:r>
            <w:r>
              <w:rPr>
                <w:rFonts w:hint="eastAsia"/>
                <w:color w:val="auto"/>
                <w:szCs w:val="21"/>
                <w:highlight w:val="none"/>
                <w:lang w:val="en-US" w:eastAsia="zh-CN"/>
              </w:rPr>
              <w:t>80</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63" w:hRule="atLeast"/>
        </w:trPr>
        <w:tc>
          <w:tcPr>
            <w:tcW w:w="2307" w:type="dxa"/>
            <w:vMerge w:val="restart"/>
            <w:tcBorders>
              <w:tl2br w:val="nil"/>
              <w:tr2bl w:val="nil"/>
            </w:tcBorders>
            <w:vAlign w:val="center"/>
          </w:tcPr>
          <w:p>
            <w:pPr>
              <w:adjustRightInd w:val="0"/>
              <w:snapToGrid w:val="0"/>
              <w:jc w:val="center"/>
              <w:rPr>
                <w:rFonts w:hint="eastAsia"/>
                <w:color w:val="auto"/>
                <w:szCs w:val="21"/>
                <w:highlight w:val="none"/>
                <w:lang w:eastAsia="zh-CN"/>
              </w:rPr>
            </w:pPr>
            <w:r>
              <w:rPr>
                <w:rFonts w:hint="eastAsia"/>
                <w:color w:val="auto"/>
                <w:szCs w:val="21"/>
                <w:highlight w:val="none"/>
                <w:lang w:eastAsia="zh-CN"/>
              </w:rPr>
              <w:t>含铬废水系统</w:t>
            </w:r>
          </w:p>
        </w:tc>
        <w:tc>
          <w:tcPr>
            <w:tcW w:w="2308" w:type="dxa"/>
            <w:tcBorders>
              <w:tl2br w:val="nil"/>
              <w:tr2bl w:val="nil"/>
            </w:tcBorders>
            <w:vAlign w:val="center"/>
          </w:tcPr>
          <w:p>
            <w:pPr>
              <w:adjustRightInd w:val="0"/>
              <w:snapToGrid w:val="0"/>
              <w:jc w:val="center"/>
              <w:rPr>
                <w:rFonts w:hint="eastAsia"/>
                <w:color w:val="auto"/>
                <w:szCs w:val="21"/>
                <w:highlight w:val="none"/>
                <w:lang w:eastAsia="zh-CN"/>
              </w:rPr>
            </w:pPr>
            <w:r>
              <w:rPr>
                <w:rFonts w:hint="eastAsia"/>
                <w:color w:val="auto"/>
                <w:szCs w:val="21"/>
                <w:highlight w:val="none"/>
                <w:lang w:eastAsia="zh-CN"/>
              </w:rPr>
              <w:t>六价铬</w:t>
            </w:r>
          </w:p>
        </w:tc>
        <w:tc>
          <w:tcPr>
            <w:tcW w:w="2308" w:type="dxa"/>
            <w:tcBorders>
              <w:tl2br w:val="nil"/>
              <w:tr2bl w:val="nil"/>
            </w:tcBorders>
            <w:vAlign w:val="center"/>
          </w:tcPr>
          <w:p>
            <w:pPr>
              <w:adjustRightInd w:val="0"/>
              <w:snapToGrid w:val="0"/>
              <w:jc w:val="center"/>
              <w:rPr>
                <w:rFonts w:hint="eastAsia"/>
                <w:color w:val="auto"/>
                <w:szCs w:val="21"/>
                <w:highlight w:val="none"/>
                <w:lang w:eastAsia="zh-CN"/>
              </w:rPr>
            </w:pPr>
            <w:r>
              <w:rPr>
                <w:rFonts w:hint="eastAsia"/>
                <w:color w:val="auto"/>
                <w:szCs w:val="21"/>
                <w:highlight w:val="none"/>
                <w:lang w:eastAsia="zh-CN"/>
              </w:rPr>
              <w:t>≤</w:t>
            </w:r>
            <w:r>
              <w:rPr>
                <w:rFonts w:hint="eastAsia"/>
                <w:color w:val="auto"/>
                <w:szCs w:val="21"/>
                <w:highlight w:val="none"/>
                <w:lang w:val="en-US" w:eastAsia="zh-CN"/>
              </w:rPr>
              <w:t>60</w:t>
            </w:r>
          </w:p>
        </w:tc>
        <w:tc>
          <w:tcPr>
            <w:tcW w:w="2308" w:type="dxa"/>
            <w:tcBorders>
              <w:tl2br w:val="nil"/>
              <w:tr2bl w:val="nil"/>
            </w:tcBorders>
            <w:vAlign w:val="center"/>
          </w:tcPr>
          <w:p>
            <w:pPr>
              <w:adjustRightInd w:val="0"/>
              <w:snapToGrid w:val="0"/>
              <w:jc w:val="center"/>
              <w:rPr>
                <w:rFonts w:hint="eastAsia"/>
                <w:color w:val="auto"/>
                <w:szCs w:val="21"/>
                <w:highlight w:val="none"/>
                <w:lang w:eastAsia="zh-CN"/>
              </w:rPr>
            </w:pPr>
            <w:r>
              <w:rPr>
                <w:rFonts w:hint="eastAsia"/>
                <w:color w:val="auto"/>
                <w:szCs w:val="21"/>
                <w:highlight w:val="none"/>
                <w:lang w:eastAsia="zh-CN"/>
              </w:rPr>
              <w:t>≤</w:t>
            </w:r>
            <w:r>
              <w:rPr>
                <w:rFonts w:hint="eastAsia"/>
                <w:color w:val="auto"/>
                <w:szCs w:val="21"/>
                <w:highlight w:val="none"/>
                <w:lang w:val="en-US" w:eastAsia="zh-CN"/>
              </w:rPr>
              <w:t>0.2</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63" w:hRule="atLeast"/>
        </w:trPr>
        <w:tc>
          <w:tcPr>
            <w:tcW w:w="2307" w:type="dxa"/>
            <w:vMerge w:val="continue"/>
            <w:tcBorders>
              <w:tl2br w:val="nil"/>
              <w:tr2bl w:val="nil"/>
            </w:tcBorders>
            <w:vAlign w:val="center"/>
          </w:tcPr>
          <w:p>
            <w:pPr>
              <w:adjustRightInd w:val="0"/>
              <w:snapToGrid w:val="0"/>
              <w:jc w:val="center"/>
              <w:rPr>
                <w:rFonts w:hint="eastAsia"/>
                <w:color w:val="auto"/>
                <w:szCs w:val="21"/>
                <w:highlight w:val="none"/>
                <w:lang w:eastAsia="zh-CN"/>
              </w:rPr>
            </w:pPr>
          </w:p>
        </w:tc>
        <w:tc>
          <w:tcPr>
            <w:tcW w:w="2308" w:type="dxa"/>
            <w:tcBorders>
              <w:tl2br w:val="nil"/>
              <w:tr2bl w:val="nil"/>
            </w:tcBorders>
            <w:vAlign w:val="center"/>
          </w:tcPr>
          <w:p>
            <w:pPr>
              <w:adjustRightInd w:val="0"/>
              <w:snapToGrid w:val="0"/>
              <w:jc w:val="center"/>
              <w:rPr>
                <w:rFonts w:hint="eastAsia"/>
                <w:color w:val="auto"/>
                <w:szCs w:val="21"/>
                <w:highlight w:val="none"/>
                <w:lang w:eastAsia="zh-CN"/>
              </w:rPr>
            </w:pPr>
            <w:r>
              <w:rPr>
                <w:rFonts w:hint="eastAsia"/>
                <w:color w:val="auto"/>
                <w:szCs w:val="21"/>
                <w:highlight w:val="none"/>
                <w:lang w:eastAsia="zh-CN"/>
              </w:rPr>
              <w:t>总铬</w:t>
            </w:r>
          </w:p>
        </w:tc>
        <w:tc>
          <w:tcPr>
            <w:tcW w:w="2308" w:type="dxa"/>
            <w:tcBorders>
              <w:tl2br w:val="nil"/>
              <w:tr2bl w:val="nil"/>
            </w:tcBorders>
            <w:vAlign w:val="center"/>
          </w:tcPr>
          <w:p>
            <w:pPr>
              <w:adjustRightInd w:val="0"/>
              <w:snapToGrid w:val="0"/>
              <w:jc w:val="center"/>
              <w:rPr>
                <w:rFonts w:hint="eastAsia"/>
                <w:color w:val="auto"/>
                <w:szCs w:val="21"/>
                <w:highlight w:val="none"/>
                <w:lang w:eastAsia="zh-CN"/>
              </w:rPr>
            </w:pPr>
            <w:r>
              <w:rPr>
                <w:rFonts w:hint="eastAsia"/>
                <w:color w:val="auto"/>
                <w:szCs w:val="21"/>
                <w:highlight w:val="none"/>
                <w:lang w:eastAsia="zh-CN"/>
              </w:rPr>
              <w:t>≤</w:t>
            </w:r>
            <w:r>
              <w:rPr>
                <w:rFonts w:hint="eastAsia"/>
                <w:color w:val="auto"/>
                <w:szCs w:val="21"/>
                <w:highlight w:val="none"/>
                <w:lang w:val="en-US" w:eastAsia="zh-CN"/>
              </w:rPr>
              <w:t>80</w:t>
            </w:r>
          </w:p>
        </w:tc>
        <w:tc>
          <w:tcPr>
            <w:tcW w:w="2308" w:type="dxa"/>
            <w:tcBorders>
              <w:tl2br w:val="nil"/>
              <w:tr2bl w:val="nil"/>
            </w:tcBorders>
            <w:vAlign w:val="center"/>
          </w:tcPr>
          <w:p>
            <w:pPr>
              <w:adjustRightInd w:val="0"/>
              <w:snapToGrid w:val="0"/>
              <w:jc w:val="center"/>
              <w:rPr>
                <w:rFonts w:hint="eastAsia"/>
                <w:color w:val="auto"/>
                <w:szCs w:val="21"/>
                <w:highlight w:val="none"/>
                <w:lang w:eastAsia="zh-CN"/>
              </w:rPr>
            </w:pPr>
            <w:r>
              <w:rPr>
                <w:rFonts w:hint="eastAsia"/>
                <w:color w:val="auto"/>
                <w:szCs w:val="21"/>
                <w:highlight w:val="none"/>
                <w:lang w:eastAsia="zh-CN"/>
              </w:rPr>
              <w:t>≤</w:t>
            </w:r>
            <w:r>
              <w:rPr>
                <w:rFonts w:hint="eastAsia"/>
                <w:color w:val="auto"/>
                <w:szCs w:val="21"/>
                <w:highlight w:val="none"/>
                <w:lang w:val="en-US" w:eastAsia="zh-CN"/>
              </w:rPr>
              <w:t>1.0</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63" w:hRule="atLeast"/>
        </w:trPr>
        <w:tc>
          <w:tcPr>
            <w:tcW w:w="2307" w:type="dxa"/>
            <w:tcBorders>
              <w:tl2br w:val="nil"/>
              <w:tr2bl w:val="nil"/>
            </w:tcBorders>
            <w:vAlign w:val="center"/>
          </w:tcPr>
          <w:p>
            <w:pPr>
              <w:adjustRightInd w:val="0"/>
              <w:snapToGrid w:val="0"/>
              <w:jc w:val="center"/>
              <w:rPr>
                <w:rFonts w:hint="eastAsia"/>
                <w:color w:val="auto"/>
                <w:szCs w:val="21"/>
                <w:highlight w:val="none"/>
                <w:lang w:eastAsia="zh-CN"/>
              </w:rPr>
            </w:pPr>
            <w:r>
              <w:rPr>
                <w:rFonts w:hint="eastAsia"/>
                <w:color w:val="auto"/>
                <w:szCs w:val="21"/>
                <w:highlight w:val="none"/>
                <w:lang w:eastAsia="zh-CN"/>
              </w:rPr>
              <w:t>含镍废水系统</w:t>
            </w:r>
          </w:p>
        </w:tc>
        <w:tc>
          <w:tcPr>
            <w:tcW w:w="2308" w:type="dxa"/>
            <w:tcBorders>
              <w:tl2br w:val="nil"/>
              <w:tr2bl w:val="nil"/>
            </w:tcBorders>
            <w:vAlign w:val="center"/>
          </w:tcPr>
          <w:p>
            <w:pPr>
              <w:adjustRightInd w:val="0"/>
              <w:snapToGrid w:val="0"/>
              <w:jc w:val="center"/>
              <w:rPr>
                <w:rFonts w:hint="eastAsia"/>
                <w:color w:val="auto"/>
                <w:szCs w:val="21"/>
                <w:highlight w:val="none"/>
                <w:lang w:eastAsia="zh-CN"/>
              </w:rPr>
            </w:pPr>
            <w:r>
              <w:rPr>
                <w:rFonts w:hint="eastAsia"/>
                <w:color w:val="auto"/>
                <w:szCs w:val="21"/>
                <w:highlight w:val="none"/>
                <w:lang w:eastAsia="zh-CN"/>
              </w:rPr>
              <w:t>总镍</w:t>
            </w:r>
          </w:p>
        </w:tc>
        <w:tc>
          <w:tcPr>
            <w:tcW w:w="2308" w:type="dxa"/>
            <w:tcBorders>
              <w:tl2br w:val="nil"/>
              <w:tr2bl w:val="nil"/>
            </w:tcBorders>
            <w:vAlign w:val="center"/>
          </w:tcPr>
          <w:p>
            <w:pPr>
              <w:adjustRightInd w:val="0"/>
              <w:snapToGrid w:val="0"/>
              <w:jc w:val="center"/>
              <w:rPr>
                <w:rFonts w:hint="eastAsia"/>
                <w:color w:val="auto"/>
                <w:szCs w:val="21"/>
                <w:highlight w:val="none"/>
                <w:lang w:val="en-US" w:eastAsia="zh-CN"/>
              </w:rPr>
            </w:pPr>
            <w:r>
              <w:rPr>
                <w:rFonts w:hint="eastAsia"/>
                <w:color w:val="auto"/>
                <w:szCs w:val="21"/>
                <w:highlight w:val="none"/>
                <w:lang w:eastAsia="zh-CN"/>
              </w:rPr>
              <w:t>≤</w:t>
            </w:r>
            <w:r>
              <w:rPr>
                <w:rFonts w:hint="eastAsia"/>
                <w:color w:val="auto"/>
                <w:szCs w:val="21"/>
                <w:highlight w:val="none"/>
                <w:lang w:val="en-US" w:eastAsia="zh-CN"/>
              </w:rPr>
              <w:t>80</w:t>
            </w:r>
          </w:p>
        </w:tc>
        <w:tc>
          <w:tcPr>
            <w:tcW w:w="2308" w:type="dxa"/>
            <w:tcBorders>
              <w:tl2br w:val="nil"/>
              <w:tr2bl w:val="nil"/>
            </w:tcBorders>
            <w:vAlign w:val="center"/>
          </w:tcPr>
          <w:p>
            <w:pPr>
              <w:adjustRightInd w:val="0"/>
              <w:snapToGrid w:val="0"/>
              <w:jc w:val="center"/>
              <w:rPr>
                <w:rFonts w:hint="eastAsia"/>
                <w:color w:val="auto"/>
                <w:szCs w:val="21"/>
                <w:highlight w:val="none"/>
                <w:lang w:val="en-US"/>
              </w:rPr>
            </w:pPr>
            <w:r>
              <w:rPr>
                <w:rFonts w:hint="eastAsia"/>
                <w:color w:val="auto"/>
                <w:szCs w:val="21"/>
                <w:highlight w:val="none"/>
                <w:lang w:eastAsia="zh-CN"/>
              </w:rPr>
              <w:t>≤</w:t>
            </w:r>
            <w:r>
              <w:rPr>
                <w:rFonts w:hint="eastAsia"/>
                <w:color w:val="auto"/>
                <w:szCs w:val="21"/>
                <w:highlight w:val="none"/>
                <w:lang w:val="en-US" w:eastAsia="zh-CN"/>
              </w:rPr>
              <w:t>0.5</w:t>
            </w:r>
          </w:p>
        </w:tc>
      </w:tr>
    </w:tbl>
    <w:p>
      <w:pPr>
        <w:adjustRightInd w:val="0"/>
        <w:snapToGrid w:val="0"/>
        <w:spacing w:line="360" w:lineRule="auto"/>
        <w:ind w:firstLine="480" w:firstLineChars="200"/>
        <w:rPr>
          <w:rFonts w:hint="eastAsia"/>
          <w:color w:val="auto"/>
          <w:kern w:val="0"/>
          <w:sz w:val="24"/>
          <w:highlight w:val="none"/>
        </w:rPr>
      </w:pPr>
      <w:r>
        <w:rPr>
          <w:rFonts w:hint="eastAsia"/>
          <w:color w:val="auto"/>
          <w:kern w:val="0"/>
          <w:sz w:val="24"/>
          <w:highlight w:val="none"/>
        </w:rPr>
        <w:t>工业园污水站进水水质要求与项目生产废水源强对比分析见下表。</w:t>
      </w:r>
    </w:p>
    <w:p>
      <w:pPr>
        <w:adjustRightInd w:val="0"/>
        <w:snapToGrid w:val="0"/>
        <w:spacing w:line="360" w:lineRule="auto"/>
        <w:jc w:val="center"/>
        <w:rPr>
          <w:rFonts w:hint="eastAsia" w:ascii="黑体" w:hAnsi="黑体" w:eastAsia="黑体" w:cs="黑体"/>
          <w:color w:val="auto"/>
          <w:kern w:val="0"/>
          <w:sz w:val="24"/>
          <w:highlight w:val="none"/>
        </w:rPr>
      </w:pPr>
      <w:r>
        <w:rPr>
          <w:rFonts w:hint="eastAsia" w:ascii="黑体" w:hAnsi="黑体" w:eastAsia="黑体" w:cs="黑体"/>
          <w:color w:val="auto"/>
          <w:kern w:val="0"/>
          <w:sz w:val="24"/>
          <w:highlight w:val="none"/>
        </w:rPr>
        <w:t>表</w:t>
      </w:r>
      <w:r>
        <w:rPr>
          <w:rFonts w:hint="eastAsia" w:ascii="黑体" w:hAnsi="黑体" w:eastAsia="黑体" w:cs="黑体"/>
          <w:color w:val="auto"/>
          <w:kern w:val="0"/>
          <w:sz w:val="24"/>
          <w:highlight w:val="none"/>
          <w:lang w:val="en-US" w:eastAsia="zh-CN"/>
        </w:rPr>
        <w:t>4</w:t>
      </w:r>
      <w:r>
        <w:rPr>
          <w:rFonts w:hint="eastAsia" w:ascii="黑体" w:hAnsi="黑体" w:eastAsia="黑体" w:cs="黑体"/>
          <w:color w:val="auto"/>
          <w:kern w:val="0"/>
          <w:sz w:val="24"/>
          <w:highlight w:val="none"/>
        </w:rPr>
        <w:t xml:space="preserve">.2-2 </w:t>
      </w:r>
      <w:r>
        <w:rPr>
          <w:rFonts w:hint="eastAsia" w:ascii="黑体" w:hAnsi="黑体" w:eastAsia="黑体" w:cs="黑体"/>
          <w:color w:val="auto"/>
          <w:kern w:val="0"/>
          <w:sz w:val="24"/>
          <w:highlight w:val="none"/>
          <w:lang w:val="en-US" w:eastAsia="zh-CN"/>
        </w:rPr>
        <w:t xml:space="preserve"> </w:t>
      </w:r>
      <w:r>
        <w:rPr>
          <w:rFonts w:hint="eastAsia" w:ascii="黑体" w:hAnsi="黑体" w:eastAsia="黑体" w:cs="黑体"/>
          <w:color w:val="auto"/>
          <w:kern w:val="0"/>
          <w:sz w:val="24"/>
          <w:highlight w:val="none"/>
        </w:rPr>
        <w:t>生产废水排园区污水站进水水质可行性分析 单位：mg/L (pH 除外)</w:t>
      </w:r>
    </w:p>
    <w:tbl>
      <w:tblPr>
        <w:tblStyle w:val="37"/>
        <w:tblW w:w="9231" w:type="dxa"/>
        <w:tblInd w:w="0" w:type="dxa"/>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846"/>
        <w:gridCol w:w="1846"/>
        <w:gridCol w:w="1846"/>
        <w:gridCol w:w="1846"/>
        <w:gridCol w:w="1847"/>
      </w:tblGrid>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63" w:hRule="atLeast"/>
        </w:trPr>
        <w:tc>
          <w:tcPr>
            <w:tcW w:w="1846" w:type="dxa"/>
            <w:tcBorders>
              <w:tl2br w:val="nil"/>
              <w:tr2bl w:val="nil"/>
            </w:tcBorders>
            <w:vAlign w:val="center"/>
          </w:tcPr>
          <w:p>
            <w:pPr>
              <w:adjustRightInd w:val="0"/>
              <w:snapToGrid w:val="0"/>
              <w:jc w:val="center"/>
              <w:rPr>
                <w:rFonts w:hint="eastAsia"/>
                <w:b/>
                <w:bCs/>
                <w:color w:val="auto"/>
                <w:szCs w:val="21"/>
                <w:highlight w:val="none"/>
                <w:lang w:eastAsia="zh-CN"/>
              </w:rPr>
            </w:pPr>
            <w:r>
              <w:rPr>
                <w:rFonts w:hint="eastAsia"/>
                <w:b/>
                <w:bCs/>
                <w:color w:val="auto"/>
                <w:szCs w:val="21"/>
                <w:highlight w:val="none"/>
                <w:lang w:eastAsia="zh-CN"/>
              </w:rPr>
              <w:t>废水类型</w:t>
            </w:r>
          </w:p>
        </w:tc>
        <w:tc>
          <w:tcPr>
            <w:tcW w:w="1846" w:type="dxa"/>
            <w:tcBorders>
              <w:tl2br w:val="nil"/>
              <w:tr2bl w:val="nil"/>
            </w:tcBorders>
            <w:vAlign w:val="center"/>
          </w:tcPr>
          <w:p>
            <w:pPr>
              <w:adjustRightInd w:val="0"/>
              <w:snapToGrid w:val="0"/>
              <w:jc w:val="center"/>
              <w:rPr>
                <w:rFonts w:hint="eastAsia"/>
                <w:b/>
                <w:bCs/>
                <w:color w:val="auto"/>
                <w:szCs w:val="21"/>
                <w:highlight w:val="none"/>
                <w:lang w:val="en-US" w:eastAsia="zh-CN"/>
              </w:rPr>
            </w:pPr>
            <w:r>
              <w:rPr>
                <w:rFonts w:hint="eastAsia"/>
                <w:b/>
                <w:bCs/>
                <w:color w:val="auto"/>
                <w:szCs w:val="21"/>
                <w:highlight w:val="none"/>
                <w:lang w:eastAsia="zh-CN"/>
              </w:rPr>
              <w:t>水量</w:t>
            </w:r>
            <w:r>
              <w:rPr>
                <w:rFonts w:hint="eastAsia"/>
                <w:b/>
                <w:bCs/>
                <w:color w:val="auto"/>
                <w:szCs w:val="21"/>
                <w:highlight w:val="none"/>
                <w:lang w:val="en-US" w:eastAsia="zh-CN"/>
              </w:rPr>
              <w:t>(m</w:t>
            </w:r>
            <w:r>
              <w:rPr>
                <w:rFonts w:hint="eastAsia"/>
                <w:b/>
                <w:bCs/>
                <w:color w:val="auto"/>
                <w:szCs w:val="21"/>
                <w:highlight w:val="none"/>
                <w:vertAlign w:val="superscript"/>
                <w:lang w:val="en-US" w:eastAsia="zh-CN"/>
              </w:rPr>
              <w:t>3</w:t>
            </w:r>
            <w:r>
              <w:rPr>
                <w:rFonts w:hint="eastAsia"/>
                <w:b/>
                <w:bCs/>
                <w:color w:val="auto"/>
                <w:szCs w:val="21"/>
                <w:highlight w:val="none"/>
                <w:lang w:val="en-US" w:eastAsia="zh-CN"/>
              </w:rPr>
              <w:t>/a)</w:t>
            </w:r>
          </w:p>
        </w:tc>
        <w:tc>
          <w:tcPr>
            <w:tcW w:w="1846" w:type="dxa"/>
            <w:tcBorders>
              <w:tl2br w:val="nil"/>
              <w:tr2bl w:val="nil"/>
            </w:tcBorders>
            <w:vAlign w:val="center"/>
          </w:tcPr>
          <w:p>
            <w:pPr>
              <w:adjustRightInd w:val="0"/>
              <w:snapToGrid w:val="0"/>
              <w:jc w:val="center"/>
              <w:rPr>
                <w:rFonts w:hint="eastAsia"/>
                <w:b/>
                <w:bCs/>
                <w:color w:val="auto"/>
                <w:szCs w:val="21"/>
                <w:highlight w:val="none"/>
                <w:lang w:eastAsia="zh-CN"/>
              </w:rPr>
            </w:pPr>
            <w:r>
              <w:rPr>
                <w:rFonts w:hint="eastAsia"/>
                <w:b/>
                <w:bCs/>
                <w:color w:val="auto"/>
                <w:szCs w:val="21"/>
                <w:highlight w:val="none"/>
                <w:lang w:eastAsia="zh-CN"/>
              </w:rPr>
              <w:t>主要组分</w:t>
            </w:r>
          </w:p>
        </w:tc>
        <w:tc>
          <w:tcPr>
            <w:tcW w:w="1846" w:type="dxa"/>
            <w:tcBorders>
              <w:tl2br w:val="nil"/>
              <w:tr2bl w:val="nil"/>
            </w:tcBorders>
            <w:vAlign w:val="center"/>
          </w:tcPr>
          <w:p>
            <w:pPr>
              <w:adjustRightInd w:val="0"/>
              <w:snapToGrid w:val="0"/>
              <w:jc w:val="center"/>
              <w:rPr>
                <w:rFonts w:hint="eastAsia"/>
                <w:b/>
                <w:bCs/>
                <w:color w:val="auto"/>
                <w:szCs w:val="21"/>
                <w:highlight w:val="none"/>
                <w:lang w:eastAsia="zh-CN"/>
              </w:rPr>
            </w:pPr>
            <w:r>
              <w:rPr>
                <w:rFonts w:hint="eastAsia"/>
                <w:b/>
                <w:bCs/>
                <w:color w:val="auto"/>
                <w:szCs w:val="21"/>
                <w:highlight w:val="none"/>
                <w:lang w:eastAsia="zh-CN"/>
              </w:rPr>
              <w:t>项目产生浓度</w:t>
            </w:r>
          </w:p>
        </w:tc>
        <w:tc>
          <w:tcPr>
            <w:tcW w:w="1847" w:type="dxa"/>
            <w:tcBorders>
              <w:tl2br w:val="nil"/>
              <w:tr2bl w:val="nil"/>
            </w:tcBorders>
            <w:vAlign w:val="center"/>
          </w:tcPr>
          <w:p>
            <w:pPr>
              <w:adjustRightInd w:val="0"/>
              <w:snapToGrid w:val="0"/>
              <w:jc w:val="center"/>
              <w:rPr>
                <w:rFonts w:hint="eastAsia"/>
                <w:b/>
                <w:bCs/>
                <w:color w:val="auto"/>
                <w:szCs w:val="21"/>
                <w:highlight w:val="none"/>
                <w:lang w:eastAsia="zh-CN"/>
              </w:rPr>
            </w:pPr>
            <w:r>
              <w:rPr>
                <w:rFonts w:hint="eastAsia"/>
                <w:b/>
                <w:bCs/>
                <w:color w:val="auto"/>
                <w:szCs w:val="21"/>
                <w:highlight w:val="none"/>
                <w:lang w:eastAsia="zh-CN"/>
              </w:rPr>
              <w:t>工业园污水站进水水质要求</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63" w:hRule="atLeast"/>
        </w:trPr>
        <w:tc>
          <w:tcPr>
            <w:tcW w:w="1846" w:type="dxa"/>
            <w:vMerge w:val="restart"/>
            <w:tcBorders>
              <w:tl2br w:val="nil"/>
              <w:tr2bl w:val="nil"/>
            </w:tcBorders>
            <w:vAlign w:val="center"/>
          </w:tcPr>
          <w:p>
            <w:pPr>
              <w:adjustRightInd w:val="0"/>
              <w:snapToGrid w:val="0"/>
              <w:jc w:val="center"/>
              <w:rPr>
                <w:rFonts w:hint="eastAsia"/>
                <w:color w:val="auto"/>
                <w:szCs w:val="21"/>
                <w:highlight w:val="none"/>
                <w:lang w:eastAsia="zh-CN"/>
              </w:rPr>
            </w:pPr>
            <w:r>
              <w:rPr>
                <w:rFonts w:hint="eastAsia"/>
                <w:color w:val="auto"/>
                <w:szCs w:val="21"/>
                <w:highlight w:val="none"/>
                <w:lang w:eastAsia="zh-CN"/>
              </w:rPr>
              <w:t>综合废水</w:t>
            </w:r>
          </w:p>
        </w:tc>
        <w:tc>
          <w:tcPr>
            <w:tcW w:w="1846" w:type="dxa"/>
            <w:vMerge w:val="restart"/>
            <w:tcBorders>
              <w:tl2br w:val="nil"/>
              <w:tr2bl w:val="nil"/>
            </w:tcBorders>
            <w:vAlign w:val="center"/>
          </w:tcPr>
          <w:p>
            <w:pPr>
              <w:adjustRightInd w:val="0"/>
              <w:snapToGrid w:val="0"/>
              <w:jc w:val="center"/>
              <w:rPr>
                <w:rFonts w:hint="eastAsia"/>
                <w:color w:val="auto"/>
                <w:szCs w:val="21"/>
                <w:highlight w:val="none"/>
                <w:lang w:val="en-US" w:eastAsia="zh-CN"/>
              </w:rPr>
            </w:pPr>
            <w:r>
              <w:rPr>
                <w:rFonts w:hint="eastAsia"/>
                <w:color w:val="auto"/>
                <w:szCs w:val="21"/>
                <w:highlight w:val="none"/>
                <w:lang w:val="en-US" w:eastAsia="zh-CN"/>
              </w:rPr>
              <w:t>9610</w:t>
            </w:r>
          </w:p>
        </w:tc>
        <w:tc>
          <w:tcPr>
            <w:tcW w:w="1846" w:type="dxa"/>
            <w:tcBorders>
              <w:tl2br w:val="nil"/>
              <w:tr2bl w:val="nil"/>
            </w:tcBorders>
            <w:vAlign w:val="center"/>
          </w:tcPr>
          <w:p>
            <w:pPr>
              <w:adjustRightInd w:val="0"/>
              <w:snapToGrid w:val="0"/>
              <w:jc w:val="center"/>
              <w:rPr>
                <w:rFonts w:hint="eastAsia"/>
                <w:color w:val="auto"/>
                <w:szCs w:val="21"/>
                <w:highlight w:val="none"/>
                <w:lang w:val="en-US" w:eastAsia="zh-CN"/>
              </w:rPr>
            </w:pPr>
            <w:r>
              <w:rPr>
                <w:rFonts w:hint="eastAsia"/>
                <w:color w:val="auto"/>
                <w:szCs w:val="21"/>
                <w:highlight w:val="none"/>
                <w:lang w:val="en-US" w:eastAsia="zh-CN"/>
              </w:rPr>
              <w:t>pH</w:t>
            </w:r>
          </w:p>
        </w:tc>
        <w:tc>
          <w:tcPr>
            <w:tcW w:w="1846" w:type="dxa"/>
            <w:tcBorders>
              <w:tl2br w:val="nil"/>
              <w:tr2bl w:val="nil"/>
            </w:tcBorders>
            <w:vAlign w:val="center"/>
          </w:tcPr>
          <w:p>
            <w:pPr>
              <w:adjustRightInd w:val="0"/>
              <w:snapToGrid w:val="0"/>
              <w:jc w:val="center"/>
              <w:rPr>
                <w:rFonts w:hint="eastAsia"/>
                <w:color w:val="auto"/>
                <w:szCs w:val="21"/>
                <w:highlight w:val="none"/>
                <w:lang w:val="en-US" w:eastAsia="zh-CN"/>
              </w:rPr>
            </w:pPr>
            <w:r>
              <w:rPr>
                <w:rFonts w:hint="eastAsia"/>
                <w:color w:val="auto"/>
                <w:szCs w:val="21"/>
                <w:highlight w:val="none"/>
                <w:lang w:val="en-US" w:eastAsia="zh-CN"/>
              </w:rPr>
              <w:t>6.37</w:t>
            </w:r>
          </w:p>
        </w:tc>
        <w:tc>
          <w:tcPr>
            <w:tcW w:w="1847" w:type="dxa"/>
            <w:tcBorders>
              <w:tl2br w:val="nil"/>
              <w:tr2bl w:val="nil"/>
            </w:tcBorders>
            <w:vAlign w:val="center"/>
          </w:tcPr>
          <w:p>
            <w:pPr>
              <w:adjustRightInd w:val="0"/>
              <w:snapToGrid w:val="0"/>
              <w:jc w:val="center"/>
              <w:rPr>
                <w:rFonts w:hint="eastAsia"/>
                <w:color w:val="auto"/>
                <w:szCs w:val="21"/>
                <w:highlight w:val="none"/>
                <w:lang w:eastAsia="zh-CN"/>
              </w:rPr>
            </w:pPr>
            <w:r>
              <w:rPr>
                <w:rFonts w:hint="eastAsia"/>
                <w:color w:val="auto"/>
                <w:szCs w:val="21"/>
                <w:highlight w:val="none"/>
                <w:lang w:eastAsia="zh-CN"/>
              </w:rPr>
              <w:t>——</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63" w:hRule="atLeast"/>
        </w:trPr>
        <w:tc>
          <w:tcPr>
            <w:tcW w:w="1846" w:type="dxa"/>
            <w:vMerge w:val="continue"/>
            <w:tcBorders>
              <w:tl2br w:val="nil"/>
              <w:tr2bl w:val="nil"/>
            </w:tcBorders>
            <w:vAlign w:val="center"/>
          </w:tcPr>
          <w:p>
            <w:pPr>
              <w:adjustRightInd w:val="0"/>
              <w:snapToGrid w:val="0"/>
              <w:jc w:val="center"/>
              <w:rPr>
                <w:rFonts w:hint="eastAsia"/>
                <w:color w:val="auto"/>
                <w:szCs w:val="21"/>
                <w:highlight w:val="none"/>
                <w:lang w:eastAsia="zh-CN"/>
              </w:rPr>
            </w:pPr>
          </w:p>
        </w:tc>
        <w:tc>
          <w:tcPr>
            <w:tcW w:w="1846" w:type="dxa"/>
            <w:vMerge w:val="continue"/>
            <w:tcBorders>
              <w:tl2br w:val="nil"/>
              <w:tr2bl w:val="nil"/>
            </w:tcBorders>
            <w:vAlign w:val="center"/>
          </w:tcPr>
          <w:p>
            <w:pPr>
              <w:adjustRightInd w:val="0"/>
              <w:snapToGrid w:val="0"/>
              <w:jc w:val="center"/>
              <w:rPr>
                <w:rFonts w:hint="eastAsia"/>
                <w:color w:val="auto"/>
                <w:szCs w:val="21"/>
                <w:highlight w:val="none"/>
                <w:lang w:val="en-US" w:eastAsia="zh-CN"/>
              </w:rPr>
            </w:pPr>
          </w:p>
        </w:tc>
        <w:tc>
          <w:tcPr>
            <w:tcW w:w="1846" w:type="dxa"/>
            <w:tcBorders>
              <w:tl2br w:val="nil"/>
              <w:tr2bl w:val="nil"/>
            </w:tcBorders>
            <w:vAlign w:val="center"/>
          </w:tcPr>
          <w:p>
            <w:pPr>
              <w:adjustRightInd w:val="0"/>
              <w:snapToGrid w:val="0"/>
              <w:jc w:val="center"/>
              <w:rPr>
                <w:rFonts w:hint="eastAsia"/>
                <w:color w:val="auto"/>
                <w:szCs w:val="21"/>
                <w:highlight w:val="none"/>
                <w:lang w:val="en-US" w:eastAsia="zh-CN"/>
              </w:rPr>
            </w:pPr>
            <w:r>
              <w:rPr>
                <w:rFonts w:hint="eastAsia"/>
                <w:color w:val="auto"/>
                <w:szCs w:val="21"/>
                <w:highlight w:val="none"/>
                <w:lang w:val="en-US" w:eastAsia="zh-CN"/>
              </w:rPr>
              <w:t>COD</w:t>
            </w:r>
          </w:p>
        </w:tc>
        <w:tc>
          <w:tcPr>
            <w:tcW w:w="1846" w:type="dxa"/>
            <w:tcBorders>
              <w:tl2br w:val="nil"/>
              <w:tr2bl w:val="nil"/>
            </w:tcBorders>
            <w:vAlign w:val="center"/>
          </w:tcPr>
          <w:p>
            <w:pPr>
              <w:adjustRightInd w:val="0"/>
              <w:snapToGrid w:val="0"/>
              <w:jc w:val="center"/>
              <w:rPr>
                <w:rFonts w:hint="eastAsia"/>
                <w:color w:val="auto"/>
                <w:szCs w:val="21"/>
                <w:highlight w:val="none"/>
                <w:lang w:val="en-US" w:eastAsia="zh-CN"/>
              </w:rPr>
            </w:pPr>
            <w:r>
              <w:rPr>
                <w:rFonts w:hint="eastAsia"/>
                <w:color w:val="auto"/>
                <w:szCs w:val="21"/>
                <w:highlight w:val="none"/>
                <w:lang w:val="en-US" w:eastAsia="zh-CN"/>
              </w:rPr>
              <w:t>491</w:t>
            </w:r>
          </w:p>
        </w:tc>
        <w:tc>
          <w:tcPr>
            <w:tcW w:w="1847" w:type="dxa"/>
            <w:tcBorders>
              <w:tl2br w:val="nil"/>
              <w:tr2bl w:val="nil"/>
            </w:tcBorders>
            <w:vAlign w:val="center"/>
          </w:tcPr>
          <w:p>
            <w:pPr>
              <w:adjustRightInd w:val="0"/>
              <w:snapToGrid w:val="0"/>
              <w:jc w:val="center"/>
              <w:rPr>
                <w:rFonts w:hint="eastAsia"/>
                <w:color w:val="auto"/>
                <w:szCs w:val="21"/>
                <w:highlight w:val="none"/>
                <w:lang w:eastAsia="zh-CN"/>
              </w:rPr>
            </w:pPr>
            <w:r>
              <w:rPr>
                <w:rFonts w:hint="eastAsia"/>
                <w:color w:val="auto"/>
                <w:szCs w:val="21"/>
                <w:highlight w:val="none"/>
                <w:lang w:eastAsia="zh-CN"/>
              </w:rPr>
              <w:t>≤</w:t>
            </w:r>
            <w:r>
              <w:rPr>
                <w:rFonts w:hint="eastAsia"/>
                <w:color w:val="auto"/>
                <w:szCs w:val="21"/>
                <w:highlight w:val="none"/>
                <w:lang w:val="en-US" w:eastAsia="zh-CN"/>
              </w:rPr>
              <w:t>500</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63" w:hRule="atLeast"/>
        </w:trPr>
        <w:tc>
          <w:tcPr>
            <w:tcW w:w="1846" w:type="dxa"/>
            <w:vMerge w:val="continue"/>
            <w:tcBorders>
              <w:tl2br w:val="nil"/>
              <w:tr2bl w:val="nil"/>
            </w:tcBorders>
            <w:vAlign w:val="center"/>
          </w:tcPr>
          <w:p>
            <w:pPr>
              <w:adjustRightInd w:val="0"/>
              <w:snapToGrid w:val="0"/>
              <w:jc w:val="center"/>
              <w:rPr>
                <w:rFonts w:hint="eastAsia"/>
                <w:color w:val="auto"/>
                <w:szCs w:val="21"/>
                <w:highlight w:val="none"/>
                <w:lang w:eastAsia="zh-CN"/>
              </w:rPr>
            </w:pPr>
          </w:p>
        </w:tc>
        <w:tc>
          <w:tcPr>
            <w:tcW w:w="1846" w:type="dxa"/>
            <w:vMerge w:val="continue"/>
            <w:tcBorders>
              <w:tl2br w:val="nil"/>
              <w:tr2bl w:val="nil"/>
            </w:tcBorders>
            <w:vAlign w:val="center"/>
          </w:tcPr>
          <w:p>
            <w:pPr>
              <w:adjustRightInd w:val="0"/>
              <w:snapToGrid w:val="0"/>
              <w:jc w:val="center"/>
              <w:rPr>
                <w:rFonts w:hint="eastAsia"/>
                <w:color w:val="auto"/>
                <w:szCs w:val="21"/>
                <w:highlight w:val="none"/>
                <w:lang w:val="en-US" w:eastAsia="zh-CN"/>
              </w:rPr>
            </w:pPr>
          </w:p>
        </w:tc>
        <w:tc>
          <w:tcPr>
            <w:tcW w:w="1846" w:type="dxa"/>
            <w:tcBorders>
              <w:tl2br w:val="nil"/>
              <w:tr2bl w:val="nil"/>
            </w:tcBorders>
            <w:vAlign w:val="center"/>
          </w:tcPr>
          <w:p>
            <w:pPr>
              <w:adjustRightInd w:val="0"/>
              <w:snapToGrid w:val="0"/>
              <w:jc w:val="center"/>
              <w:rPr>
                <w:rFonts w:hint="eastAsia"/>
                <w:color w:val="auto"/>
                <w:szCs w:val="21"/>
                <w:highlight w:val="none"/>
                <w:lang w:val="en-US" w:eastAsia="zh-CN"/>
              </w:rPr>
            </w:pPr>
            <w:r>
              <w:rPr>
                <w:rFonts w:hint="eastAsia"/>
                <w:color w:val="auto"/>
                <w:szCs w:val="21"/>
                <w:highlight w:val="none"/>
                <w:lang w:eastAsia="zh-CN"/>
              </w:rPr>
              <w:t>总铜</w:t>
            </w:r>
          </w:p>
        </w:tc>
        <w:tc>
          <w:tcPr>
            <w:tcW w:w="1846" w:type="dxa"/>
            <w:tcBorders>
              <w:tl2br w:val="nil"/>
              <w:tr2bl w:val="nil"/>
            </w:tcBorders>
            <w:vAlign w:val="center"/>
          </w:tcPr>
          <w:p>
            <w:pPr>
              <w:adjustRightInd w:val="0"/>
              <w:snapToGrid w:val="0"/>
              <w:jc w:val="center"/>
              <w:rPr>
                <w:rFonts w:hint="eastAsia"/>
                <w:color w:val="auto"/>
                <w:szCs w:val="21"/>
                <w:highlight w:val="none"/>
                <w:lang w:val="en-US" w:eastAsia="zh-CN"/>
              </w:rPr>
            </w:pPr>
            <w:r>
              <w:rPr>
                <w:rFonts w:hint="eastAsia"/>
                <w:color w:val="auto"/>
                <w:szCs w:val="21"/>
                <w:highlight w:val="none"/>
                <w:lang w:val="en-US" w:eastAsia="zh-CN"/>
              </w:rPr>
              <w:t>2.65</w:t>
            </w:r>
          </w:p>
        </w:tc>
        <w:tc>
          <w:tcPr>
            <w:tcW w:w="1847" w:type="dxa"/>
            <w:tcBorders>
              <w:tl2br w:val="nil"/>
              <w:tr2bl w:val="nil"/>
            </w:tcBorders>
            <w:vAlign w:val="center"/>
          </w:tcPr>
          <w:p>
            <w:pPr>
              <w:adjustRightInd w:val="0"/>
              <w:snapToGrid w:val="0"/>
              <w:jc w:val="center"/>
              <w:rPr>
                <w:rFonts w:hint="eastAsia"/>
                <w:color w:val="auto"/>
                <w:szCs w:val="21"/>
                <w:highlight w:val="none"/>
                <w:lang w:eastAsia="zh-CN"/>
              </w:rPr>
            </w:pPr>
            <w:r>
              <w:rPr>
                <w:rFonts w:hint="eastAsia"/>
                <w:color w:val="auto"/>
                <w:szCs w:val="21"/>
                <w:highlight w:val="none"/>
                <w:lang w:eastAsia="zh-CN"/>
              </w:rPr>
              <w:t>≤</w:t>
            </w:r>
            <w:r>
              <w:rPr>
                <w:rFonts w:hint="eastAsia"/>
                <w:color w:val="auto"/>
                <w:szCs w:val="21"/>
                <w:highlight w:val="none"/>
                <w:lang w:val="en-US" w:eastAsia="zh-CN"/>
              </w:rPr>
              <w:t>80</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63" w:hRule="atLeast"/>
        </w:trPr>
        <w:tc>
          <w:tcPr>
            <w:tcW w:w="1846" w:type="dxa"/>
            <w:vMerge w:val="continue"/>
            <w:tcBorders>
              <w:tl2br w:val="nil"/>
              <w:tr2bl w:val="nil"/>
            </w:tcBorders>
            <w:vAlign w:val="center"/>
          </w:tcPr>
          <w:p>
            <w:pPr>
              <w:adjustRightInd w:val="0"/>
              <w:snapToGrid w:val="0"/>
              <w:jc w:val="center"/>
              <w:rPr>
                <w:rFonts w:hint="eastAsia"/>
                <w:color w:val="auto"/>
                <w:szCs w:val="21"/>
                <w:highlight w:val="none"/>
                <w:lang w:eastAsia="zh-CN"/>
              </w:rPr>
            </w:pPr>
          </w:p>
        </w:tc>
        <w:tc>
          <w:tcPr>
            <w:tcW w:w="1846" w:type="dxa"/>
            <w:vMerge w:val="continue"/>
            <w:tcBorders>
              <w:tl2br w:val="nil"/>
              <w:tr2bl w:val="nil"/>
            </w:tcBorders>
            <w:vAlign w:val="center"/>
          </w:tcPr>
          <w:p>
            <w:pPr>
              <w:adjustRightInd w:val="0"/>
              <w:snapToGrid w:val="0"/>
              <w:jc w:val="center"/>
              <w:rPr>
                <w:rFonts w:hint="eastAsia"/>
                <w:color w:val="auto"/>
                <w:szCs w:val="21"/>
                <w:highlight w:val="none"/>
                <w:lang w:val="en-US" w:eastAsia="zh-CN"/>
              </w:rPr>
            </w:pPr>
          </w:p>
        </w:tc>
        <w:tc>
          <w:tcPr>
            <w:tcW w:w="1846" w:type="dxa"/>
            <w:tcBorders>
              <w:tl2br w:val="nil"/>
              <w:tr2bl w:val="nil"/>
            </w:tcBorders>
            <w:vAlign w:val="center"/>
          </w:tcPr>
          <w:p>
            <w:pPr>
              <w:adjustRightInd w:val="0"/>
              <w:snapToGrid w:val="0"/>
              <w:jc w:val="center"/>
              <w:rPr>
                <w:rFonts w:hint="eastAsia"/>
                <w:color w:val="auto"/>
                <w:szCs w:val="21"/>
                <w:highlight w:val="none"/>
                <w:lang w:val="en-US" w:eastAsia="zh-CN"/>
              </w:rPr>
            </w:pPr>
            <w:r>
              <w:rPr>
                <w:rFonts w:hint="eastAsia"/>
                <w:color w:val="auto"/>
                <w:szCs w:val="21"/>
                <w:highlight w:val="none"/>
                <w:lang w:eastAsia="zh-CN"/>
              </w:rPr>
              <w:t>总锌</w:t>
            </w:r>
          </w:p>
        </w:tc>
        <w:tc>
          <w:tcPr>
            <w:tcW w:w="1846" w:type="dxa"/>
            <w:tcBorders>
              <w:tl2br w:val="nil"/>
              <w:tr2bl w:val="nil"/>
            </w:tcBorders>
            <w:vAlign w:val="center"/>
          </w:tcPr>
          <w:p>
            <w:pPr>
              <w:adjustRightInd w:val="0"/>
              <w:snapToGrid w:val="0"/>
              <w:jc w:val="center"/>
              <w:rPr>
                <w:rFonts w:hint="eastAsia"/>
                <w:color w:val="auto"/>
                <w:szCs w:val="21"/>
                <w:highlight w:val="none"/>
                <w:lang w:val="en-US" w:eastAsia="zh-CN"/>
              </w:rPr>
            </w:pPr>
            <w:r>
              <w:rPr>
                <w:rFonts w:hint="eastAsia"/>
                <w:color w:val="auto"/>
                <w:szCs w:val="21"/>
                <w:highlight w:val="none"/>
                <w:lang w:val="en-US" w:eastAsia="zh-CN"/>
              </w:rPr>
              <w:t>22.8</w:t>
            </w:r>
          </w:p>
        </w:tc>
        <w:tc>
          <w:tcPr>
            <w:tcW w:w="1847" w:type="dxa"/>
            <w:tcBorders>
              <w:tl2br w:val="nil"/>
              <w:tr2bl w:val="nil"/>
            </w:tcBorders>
            <w:vAlign w:val="center"/>
          </w:tcPr>
          <w:p>
            <w:pPr>
              <w:adjustRightInd w:val="0"/>
              <w:snapToGrid w:val="0"/>
              <w:jc w:val="center"/>
              <w:rPr>
                <w:rFonts w:hint="eastAsia"/>
                <w:color w:val="auto"/>
                <w:szCs w:val="21"/>
                <w:highlight w:val="none"/>
                <w:lang w:eastAsia="zh-CN"/>
              </w:rPr>
            </w:pPr>
            <w:r>
              <w:rPr>
                <w:rFonts w:hint="eastAsia"/>
                <w:color w:val="auto"/>
                <w:szCs w:val="21"/>
                <w:highlight w:val="none"/>
                <w:lang w:eastAsia="zh-CN"/>
              </w:rPr>
              <w:t>≤</w:t>
            </w:r>
            <w:r>
              <w:rPr>
                <w:rFonts w:hint="eastAsia"/>
                <w:color w:val="auto"/>
                <w:szCs w:val="21"/>
                <w:highlight w:val="none"/>
                <w:lang w:val="en-US" w:eastAsia="zh-CN"/>
              </w:rPr>
              <w:t>80</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63" w:hRule="atLeast"/>
        </w:trPr>
        <w:tc>
          <w:tcPr>
            <w:tcW w:w="1846" w:type="dxa"/>
            <w:vMerge w:val="restart"/>
            <w:tcBorders>
              <w:tl2br w:val="nil"/>
              <w:tr2bl w:val="nil"/>
            </w:tcBorders>
            <w:vAlign w:val="center"/>
          </w:tcPr>
          <w:p>
            <w:pPr>
              <w:adjustRightInd w:val="0"/>
              <w:snapToGrid w:val="0"/>
              <w:jc w:val="center"/>
              <w:rPr>
                <w:rFonts w:hint="eastAsia"/>
                <w:color w:val="auto"/>
                <w:szCs w:val="21"/>
                <w:highlight w:val="none"/>
                <w:lang w:eastAsia="zh-CN"/>
              </w:rPr>
            </w:pPr>
            <w:r>
              <w:rPr>
                <w:rFonts w:hint="eastAsia"/>
                <w:color w:val="auto"/>
                <w:szCs w:val="21"/>
                <w:highlight w:val="none"/>
                <w:lang w:eastAsia="zh-CN"/>
              </w:rPr>
              <w:t>含铬废水</w:t>
            </w:r>
          </w:p>
        </w:tc>
        <w:tc>
          <w:tcPr>
            <w:tcW w:w="1846" w:type="dxa"/>
            <w:vMerge w:val="restart"/>
            <w:tcBorders>
              <w:tl2br w:val="nil"/>
              <w:tr2bl w:val="nil"/>
            </w:tcBorders>
            <w:vAlign w:val="center"/>
          </w:tcPr>
          <w:p>
            <w:pPr>
              <w:adjustRightInd w:val="0"/>
              <w:snapToGrid w:val="0"/>
              <w:jc w:val="center"/>
              <w:rPr>
                <w:rFonts w:hint="eastAsia"/>
                <w:color w:val="auto"/>
                <w:szCs w:val="21"/>
                <w:highlight w:val="none"/>
                <w:lang w:val="en-US" w:eastAsia="zh-CN"/>
              </w:rPr>
            </w:pPr>
            <w:r>
              <w:rPr>
                <w:rFonts w:hint="eastAsia"/>
                <w:color w:val="auto"/>
                <w:szCs w:val="21"/>
                <w:highlight w:val="none"/>
                <w:lang w:val="en-US" w:eastAsia="zh-CN"/>
              </w:rPr>
              <w:t>1564</w:t>
            </w:r>
          </w:p>
        </w:tc>
        <w:tc>
          <w:tcPr>
            <w:tcW w:w="1846" w:type="dxa"/>
            <w:tcBorders>
              <w:tl2br w:val="nil"/>
              <w:tr2bl w:val="nil"/>
            </w:tcBorders>
            <w:vAlign w:val="center"/>
          </w:tcPr>
          <w:p>
            <w:pPr>
              <w:adjustRightInd w:val="0"/>
              <w:snapToGrid w:val="0"/>
              <w:jc w:val="center"/>
              <w:rPr>
                <w:rFonts w:hint="eastAsia"/>
                <w:color w:val="auto"/>
                <w:szCs w:val="21"/>
                <w:highlight w:val="none"/>
                <w:lang w:val="en-US" w:eastAsia="zh-CN"/>
              </w:rPr>
            </w:pPr>
            <w:r>
              <w:rPr>
                <w:rFonts w:hint="eastAsia"/>
                <w:color w:val="auto"/>
                <w:szCs w:val="21"/>
                <w:highlight w:val="none"/>
                <w:lang w:val="en-US" w:eastAsia="zh-CN"/>
              </w:rPr>
              <w:t>六价铬</w:t>
            </w:r>
          </w:p>
        </w:tc>
        <w:tc>
          <w:tcPr>
            <w:tcW w:w="1846" w:type="dxa"/>
            <w:tcBorders>
              <w:tl2br w:val="nil"/>
              <w:tr2bl w:val="nil"/>
            </w:tcBorders>
            <w:vAlign w:val="center"/>
          </w:tcPr>
          <w:p>
            <w:pPr>
              <w:adjustRightInd w:val="0"/>
              <w:snapToGrid w:val="0"/>
              <w:jc w:val="center"/>
              <w:rPr>
                <w:rFonts w:hint="eastAsia"/>
                <w:color w:val="auto"/>
                <w:szCs w:val="21"/>
                <w:highlight w:val="none"/>
                <w:lang w:val="en-US" w:eastAsia="zh-CN"/>
              </w:rPr>
            </w:pPr>
            <w:r>
              <w:rPr>
                <w:rFonts w:hint="eastAsia"/>
                <w:color w:val="auto"/>
                <w:szCs w:val="21"/>
                <w:highlight w:val="none"/>
                <w:lang w:val="en-US" w:eastAsia="zh-CN"/>
              </w:rPr>
              <w:t>20.5</w:t>
            </w:r>
          </w:p>
        </w:tc>
        <w:tc>
          <w:tcPr>
            <w:tcW w:w="1847" w:type="dxa"/>
            <w:tcBorders>
              <w:tl2br w:val="nil"/>
              <w:tr2bl w:val="nil"/>
            </w:tcBorders>
            <w:vAlign w:val="center"/>
          </w:tcPr>
          <w:p>
            <w:pPr>
              <w:adjustRightInd w:val="0"/>
              <w:snapToGrid w:val="0"/>
              <w:jc w:val="center"/>
              <w:rPr>
                <w:rFonts w:hint="eastAsia"/>
                <w:color w:val="auto"/>
                <w:szCs w:val="21"/>
                <w:highlight w:val="none"/>
                <w:lang w:eastAsia="zh-CN"/>
              </w:rPr>
            </w:pPr>
            <w:r>
              <w:rPr>
                <w:rFonts w:hint="eastAsia"/>
                <w:color w:val="auto"/>
                <w:szCs w:val="21"/>
                <w:highlight w:val="none"/>
                <w:lang w:eastAsia="zh-CN"/>
              </w:rPr>
              <w:t>≤</w:t>
            </w:r>
            <w:r>
              <w:rPr>
                <w:rFonts w:hint="eastAsia"/>
                <w:color w:val="auto"/>
                <w:szCs w:val="21"/>
                <w:highlight w:val="none"/>
                <w:lang w:val="en-US" w:eastAsia="zh-CN"/>
              </w:rPr>
              <w:t>60</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63" w:hRule="atLeast"/>
        </w:trPr>
        <w:tc>
          <w:tcPr>
            <w:tcW w:w="1846" w:type="dxa"/>
            <w:vMerge w:val="continue"/>
            <w:tcBorders>
              <w:tl2br w:val="nil"/>
              <w:tr2bl w:val="nil"/>
            </w:tcBorders>
            <w:vAlign w:val="center"/>
          </w:tcPr>
          <w:p>
            <w:pPr>
              <w:adjustRightInd w:val="0"/>
              <w:snapToGrid w:val="0"/>
              <w:jc w:val="center"/>
              <w:rPr>
                <w:rFonts w:hint="eastAsia"/>
                <w:color w:val="auto"/>
                <w:szCs w:val="21"/>
                <w:highlight w:val="none"/>
                <w:lang w:eastAsia="zh-CN"/>
              </w:rPr>
            </w:pPr>
          </w:p>
        </w:tc>
        <w:tc>
          <w:tcPr>
            <w:tcW w:w="1846" w:type="dxa"/>
            <w:vMerge w:val="continue"/>
            <w:tcBorders>
              <w:tl2br w:val="nil"/>
              <w:tr2bl w:val="nil"/>
            </w:tcBorders>
            <w:vAlign w:val="center"/>
          </w:tcPr>
          <w:p>
            <w:pPr>
              <w:adjustRightInd w:val="0"/>
              <w:snapToGrid w:val="0"/>
              <w:jc w:val="center"/>
              <w:rPr>
                <w:rFonts w:hint="eastAsia"/>
                <w:color w:val="auto"/>
                <w:szCs w:val="21"/>
                <w:highlight w:val="none"/>
                <w:lang w:eastAsia="zh-CN"/>
              </w:rPr>
            </w:pPr>
          </w:p>
        </w:tc>
        <w:tc>
          <w:tcPr>
            <w:tcW w:w="1846" w:type="dxa"/>
            <w:tcBorders>
              <w:tl2br w:val="nil"/>
              <w:tr2bl w:val="nil"/>
            </w:tcBorders>
            <w:vAlign w:val="center"/>
          </w:tcPr>
          <w:p>
            <w:pPr>
              <w:adjustRightInd w:val="0"/>
              <w:snapToGrid w:val="0"/>
              <w:jc w:val="center"/>
              <w:rPr>
                <w:rFonts w:hint="eastAsia"/>
                <w:color w:val="auto"/>
                <w:szCs w:val="21"/>
                <w:highlight w:val="none"/>
                <w:lang w:val="en-US" w:eastAsia="zh-CN"/>
              </w:rPr>
            </w:pPr>
            <w:r>
              <w:rPr>
                <w:rFonts w:hint="eastAsia"/>
                <w:color w:val="auto"/>
                <w:szCs w:val="21"/>
                <w:highlight w:val="none"/>
                <w:lang w:val="en-US" w:eastAsia="zh-CN"/>
              </w:rPr>
              <w:t>总铬</w:t>
            </w:r>
          </w:p>
        </w:tc>
        <w:tc>
          <w:tcPr>
            <w:tcW w:w="1846" w:type="dxa"/>
            <w:tcBorders>
              <w:tl2br w:val="nil"/>
              <w:tr2bl w:val="nil"/>
            </w:tcBorders>
            <w:vAlign w:val="center"/>
          </w:tcPr>
          <w:p>
            <w:pPr>
              <w:adjustRightInd w:val="0"/>
              <w:snapToGrid w:val="0"/>
              <w:jc w:val="center"/>
              <w:rPr>
                <w:rFonts w:hint="eastAsia"/>
                <w:color w:val="auto"/>
                <w:szCs w:val="21"/>
                <w:highlight w:val="none"/>
                <w:lang w:val="en-US" w:eastAsia="zh-CN"/>
              </w:rPr>
            </w:pPr>
            <w:r>
              <w:rPr>
                <w:rFonts w:hint="eastAsia"/>
                <w:color w:val="auto"/>
                <w:szCs w:val="21"/>
                <w:highlight w:val="none"/>
                <w:lang w:val="en-US" w:eastAsia="zh-CN"/>
              </w:rPr>
              <w:t>69.2</w:t>
            </w:r>
          </w:p>
        </w:tc>
        <w:tc>
          <w:tcPr>
            <w:tcW w:w="1847" w:type="dxa"/>
            <w:tcBorders>
              <w:tl2br w:val="nil"/>
              <w:tr2bl w:val="nil"/>
            </w:tcBorders>
            <w:vAlign w:val="center"/>
          </w:tcPr>
          <w:p>
            <w:pPr>
              <w:adjustRightInd w:val="0"/>
              <w:snapToGrid w:val="0"/>
              <w:jc w:val="center"/>
              <w:rPr>
                <w:rFonts w:hint="eastAsia"/>
                <w:color w:val="auto"/>
                <w:szCs w:val="21"/>
                <w:highlight w:val="none"/>
                <w:lang w:val="en-US" w:eastAsia="zh-CN"/>
              </w:rPr>
            </w:pPr>
            <w:r>
              <w:rPr>
                <w:rFonts w:hint="eastAsia"/>
                <w:color w:val="auto"/>
                <w:szCs w:val="21"/>
                <w:highlight w:val="none"/>
                <w:lang w:eastAsia="zh-CN"/>
              </w:rPr>
              <w:t>≤</w:t>
            </w:r>
            <w:r>
              <w:rPr>
                <w:rFonts w:hint="eastAsia"/>
                <w:color w:val="auto"/>
                <w:szCs w:val="21"/>
                <w:highlight w:val="none"/>
                <w:lang w:val="en-US" w:eastAsia="zh-CN"/>
              </w:rPr>
              <w:t>80</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63" w:hRule="atLeast"/>
        </w:trPr>
        <w:tc>
          <w:tcPr>
            <w:tcW w:w="1846" w:type="dxa"/>
            <w:tcBorders>
              <w:tl2br w:val="nil"/>
              <w:tr2bl w:val="nil"/>
            </w:tcBorders>
            <w:vAlign w:val="center"/>
          </w:tcPr>
          <w:p>
            <w:pPr>
              <w:adjustRightInd w:val="0"/>
              <w:snapToGrid w:val="0"/>
              <w:jc w:val="center"/>
              <w:rPr>
                <w:rFonts w:hint="eastAsia"/>
                <w:color w:val="auto"/>
                <w:szCs w:val="21"/>
                <w:highlight w:val="none"/>
                <w:lang w:eastAsia="zh-CN"/>
              </w:rPr>
            </w:pPr>
            <w:r>
              <w:rPr>
                <w:rFonts w:hint="eastAsia"/>
                <w:color w:val="auto"/>
                <w:szCs w:val="21"/>
                <w:highlight w:val="none"/>
                <w:lang w:eastAsia="zh-CN"/>
              </w:rPr>
              <w:t>含镍废水</w:t>
            </w:r>
          </w:p>
        </w:tc>
        <w:tc>
          <w:tcPr>
            <w:tcW w:w="1846" w:type="dxa"/>
            <w:tcBorders>
              <w:tl2br w:val="nil"/>
              <w:tr2bl w:val="nil"/>
            </w:tcBorders>
            <w:vAlign w:val="center"/>
          </w:tcPr>
          <w:p>
            <w:pPr>
              <w:adjustRightInd w:val="0"/>
              <w:snapToGrid w:val="0"/>
              <w:jc w:val="center"/>
              <w:rPr>
                <w:rFonts w:hint="eastAsia"/>
                <w:color w:val="auto"/>
                <w:szCs w:val="21"/>
                <w:highlight w:val="none"/>
                <w:lang w:val="en-US" w:eastAsia="zh-CN"/>
              </w:rPr>
            </w:pPr>
            <w:r>
              <w:rPr>
                <w:rFonts w:hint="eastAsia"/>
                <w:color w:val="auto"/>
                <w:szCs w:val="21"/>
                <w:highlight w:val="none"/>
                <w:lang w:val="en-US" w:eastAsia="zh-CN"/>
              </w:rPr>
              <w:t>190</w:t>
            </w:r>
          </w:p>
        </w:tc>
        <w:tc>
          <w:tcPr>
            <w:tcW w:w="1846" w:type="dxa"/>
            <w:tcBorders>
              <w:tl2br w:val="nil"/>
              <w:tr2bl w:val="nil"/>
            </w:tcBorders>
            <w:vAlign w:val="center"/>
          </w:tcPr>
          <w:p>
            <w:pPr>
              <w:adjustRightInd w:val="0"/>
              <w:snapToGrid w:val="0"/>
              <w:jc w:val="center"/>
              <w:rPr>
                <w:rFonts w:hint="eastAsia"/>
                <w:color w:val="auto"/>
                <w:szCs w:val="21"/>
                <w:highlight w:val="none"/>
                <w:lang w:eastAsia="zh-CN"/>
              </w:rPr>
            </w:pPr>
            <w:r>
              <w:rPr>
                <w:rFonts w:hint="eastAsia"/>
                <w:color w:val="auto"/>
                <w:szCs w:val="21"/>
                <w:highlight w:val="none"/>
                <w:lang w:val="en-US" w:eastAsia="zh-CN"/>
              </w:rPr>
              <w:t>总镍</w:t>
            </w:r>
          </w:p>
        </w:tc>
        <w:tc>
          <w:tcPr>
            <w:tcW w:w="1846" w:type="dxa"/>
            <w:tcBorders>
              <w:tl2br w:val="nil"/>
              <w:tr2bl w:val="nil"/>
            </w:tcBorders>
            <w:vAlign w:val="center"/>
          </w:tcPr>
          <w:p>
            <w:pPr>
              <w:adjustRightInd w:val="0"/>
              <w:snapToGrid w:val="0"/>
              <w:jc w:val="center"/>
              <w:rPr>
                <w:rFonts w:hint="eastAsia"/>
                <w:color w:val="auto"/>
                <w:szCs w:val="21"/>
                <w:highlight w:val="none"/>
                <w:lang w:val="en-US" w:eastAsia="zh-CN"/>
              </w:rPr>
            </w:pPr>
            <w:r>
              <w:rPr>
                <w:rFonts w:hint="eastAsia"/>
                <w:color w:val="auto"/>
                <w:szCs w:val="21"/>
                <w:highlight w:val="none"/>
                <w:lang w:val="en-US" w:eastAsia="zh-CN"/>
              </w:rPr>
              <w:t>55</w:t>
            </w:r>
          </w:p>
        </w:tc>
        <w:tc>
          <w:tcPr>
            <w:tcW w:w="1847" w:type="dxa"/>
            <w:tcBorders>
              <w:tl2br w:val="nil"/>
              <w:tr2bl w:val="nil"/>
            </w:tcBorders>
            <w:vAlign w:val="center"/>
          </w:tcPr>
          <w:p>
            <w:pPr>
              <w:adjustRightInd w:val="0"/>
              <w:snapToGrid w:val="0"/>
              <w:jc w:val="center"/>
              <w:rPr>
                <w:rFonts w:hint="eastAsia"/>
                <w:color w:val="auto"/>
                <w:szCs w:val="21"/>
                <w:highlight w:val="none"/>
                <w:lang w:eastAsia="zh-CN"/>
              </w:rPr>
            </w:pPr>
            <w:r>
              <w:rPr>
                <w:rFonts w:hint="eastAsia"/>
                <w:color w:val="auto"/>
                <w:szCs w:val="21"/>
                <w:highlight w:val="none"/>
                <w:lang w:eastAsia="zh-CN"/>
              </w:rPr>
              <w:t>≤</w:t>
            </w:r>
            <w:r>
              <w:rPr>
                <w:rFonts w:hint="eastAsia"/>
                <w:color w:val="auto"/>
                <w:szCs w:val="21"/>
                <w:highlight w:val="none"/>
                <w:lang w:val="en-US" w:eastAsia="zh-CN"/>
              </w:rPr>
              <w:t>80</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outlineLvl w:val="9"/>
        <w:rPr>
          <w:rFonts w:hint="eastAsia"/>
          <w:color w:val="auto"/>
          <w:kern w:val="0"/>
          <w:sz w:val="21"/>
          <w:szCs w:val="21"/>
          <w:highlight w:val="none"/>
        </w:rPr>
      </w:pPr>
      <w:r>
        <w:rPr>
          <w:rFonts w:hint="eastAsia"/>
          <w:color w:val="auto"/>
          <w:kern w:val="0"/>
          <w:sz w:val="21"/>
          <w:szCs w:val="21"/>
          <w:highlight w:val="none"/>
        </w:rPr>
        <w:t>注：该项目源强均取最大值</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color w:val="auto"/>
          <w:kern w:val="0"/>
          <w:sz w:val="24"/>
          <w:highlight w:val="none"/>
        </w:rPr>
      </w:pPr>
      <w:r>
        <w:rPr>
          <w:rFonts w:hint="eastAsia"/>
          <w:color w:val="auto"/>
          <w:kern w:val="0"/>
          <w:sz w:val="24"/>
          <w:highlight w:val="none"/>
        </w:rPr>
        <w:t>通过以上分析可知，项目车间含镍废水、含铬废水和综合废水能够满足上述工业园进水水质要求。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color w:val="auto"/>
          <w:kern w:val="0"/>
          <w:sz w:val="24"/>
          <w:highlight w:val="none"/>
        </w:rPr>
      </w:pPr>
      <w:r>
        <w:rPr>
          <w:rFonts w:hint="eastAsia"/>
          <w:color w:val="auto"/>
          <w:kern w:val="0"/>
          <w:sz w:val="24"/>
          <w:highlight w:val="none"/>
          <w:lang w:val="en-US" w:eastAsia="zh-CN"/>
        </w:rPr>
        <w:t>4)</w:t>
      </w:r>
      <w:r>
        <w:rPr>
          <w:rFonts w:hint="eastAsia"/>
          <w:color w:val="auto"/>
          <w:kern w:val="0"/>
          <w:sz w:val="24"/>
          <w:highlight w:val="none"/>
        </w:rPr>
        <w:t>电镀工业园污水站处理容量分析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color w:val="auto"/>
          <w:kern w:val="0"/>
          <w:sz w:val="24"/>
          <w:highlight w:val="none"/>
        </w:rPr>
      </w:pPr>
      <w:r>
        <w:rPr>
          <w:rFonts w:hint="eastAsia"/>
          <w:color w:val="auto"/>
          <w:kern w:val="0"/>
          <w:sz w:val="24"/>
          <w:highlight w:val="none"/>
        </w:rPr>
        <w:t>工业园污水处理站目前设计处理规模为</w:t>
      </w:r>
      <w:r>
        <w:rPr>
          <w:rFonts w:hint="eastAsia"/>
          <w:color w:val="auto"/>
          <w:kern w:val="0"/>
          <w:sz w:val="24"/>
          <w:highlight w:val="none"/>
          <w:lang w:val="en-US" w:eastAsia="zh-CN"/>
        </w:rPr>
        <w:t>36</w:t>
      </w:r>
      <w:r>
        <w:rPr>
          <w:rFonts w:hint="eastAsia"/>
          <w:color w:val="auto"/>
          <w:kern w:val="0"/>
          <w:sz w:val="24"/>
          <w:highlight w:val="none"/>
        </w:rPr>
        <w:t>0m</w:t>
      </w:r>
      <w:r>
        <w:rPr>
          <w:rFonts w:hint="eastAsia"/>
          <w:color w:val="auto"/>
          <w:kern w:val="0"/>
          <w:sz w:val="24"/>
          <w:highlight w:val="none"/>
          <w:vertAlign w:val="superscript"/>
        </w:rPr>
        <w:t>3</w:t>
      </w:r>
      <w:r>
        <w:rPr>
          <w:rFonts w:hint="eastAsia"/>
          <w:color w:val="auto"/>
          <w:kern w:val="0"/>
          <w:sz w:val="24"/>
          <w:highlight w:val="none"/>
        </w:rPr>
        <w:t>/h，其中</w:t>
      </w:r>
      <w:r>
        <w:rPr>
          <w:rFonts w:hint="eastAsia"/>
          <w:color w:val="auto"/>
          <w:sz w:val="24"/>
          <w:highlight w:val="none"/>
        </w:rPr>
        <w:t>含氰废水90t/h、含铬废水</w:t>
      </w:r>
      <w:r>
        <w:rPr>
          <w:rFonts w:hint="eastAsia"/>
          <w:color w:val="auto"/>
          <w:sz w:val="24"/>
          <w:highlight w:val="none"/>
          <w:lang w:val="en-US" w:eastAsia="zh-CN"/>
        </w:rPr>
        <w:t>9</w:t>
      </w:r>
      <w:r>
        <w:rPr>
          <w:rFonts w:hint="eastAsia"/>
          <w:color w:val="auto"/>
          <w:sz w:val="24"/>
          <w:highlight w:val="none"/>
        </w:rPr>
        <w:t>0t/h、酸碱综合废水</w:t>
      </w:r>
      <w:r>
        <w:rPr>
          <w:rFonts w:hint="eastAsia"/>
          <w:color w:val="auto"/>
          <w:sz w:val="24"/>
          <w:highlight w:val="none"/>
          <w:lang w:val="en-US" w:eastAsia="zh-CN"/>
        </w:rPr>
        <w:t>9</w:t>
      </w:r>
      <w:r>
        <w:rPr>
          <w:rFonts w:hint="eastAsia"/>
          <w:color w:val="auto"/>
          <w:sz w:val="24"/>
          <w:highlight w:val="none"/>
        </w:rPr>
        <w:t>0t/h、含镍废水集中处理系统90t/h</w:t>
      </w:r>
      <w:r>
        <w:rPr>
          <w:rFonts w:hint="eastAsia"/>
          <w:color w:val="auto"/>
          <w:kern w:val="0"/>
          <w:sz w:val="24"/>
          <w:highlight w:val="none"/>
        </w:rPr>
        <w:t>。目前污水处理厂实际处理量为综合废水50-60t/h，含铬废水50-70t/h、含镍废水80t/h，均未达到设计处理能力。工业园污水站处理规模与项目生产废水产生量对比分析见下表。</w:t>
      </w:r>
    </w:p>
    <w:p>
      <w:pPr>
        <w:adjustRightInd w:val="0"/>
        <w:snapToGrid w:val="0"/>
        <w:spacing w:line="360" w:lineRule="auto"/>
        <w:jc w:val="center"/>
        <w:rPr>
          <w:rFonts w:hint="eastAsia" w:ascii="黑体" w:hAnsi="黑体" w:eastAsia="黑体" w:cs="黑体"/>
          <w:color w:val="auto"/>
          <w:kern w:val="0"/>
          <w:sz w:val="24"/>
          <w:highlight w:val="none"/>
        </w:rPr>
      </w:pPr>
      <w:r>
        <w:rPr>
          <w:rFonts w:hint="eastAsia" w:ascii="黑体" w:hAnsi="黑体" w:eastAsia="黑体" w:cs="黑体"/>
          <w:color w:val="auto"/>
          <w:kern w:val="0"/>
          <w:sz w:val="24"/>
          <w:highlight w:val="none"/>
        </w:rPr>
        <w:t>表</w:t>
      </w:r>
      <w:r>
        <w:rPr>
          <w:rFonts w:hint="eastAsia" w:ascii="黑体" w:hAnsi="黑体" w:eastAsia="黑体" w:cs="黑体"/>
          <w:color w:val="auto"/>
          <w:kern w:val="0"/>
          <w:sz w:val="24"/>
          <w:highlight w:val="none"/>
          <w:lang w:val="en-US" w:eastAsia="zh-CN"/>
        </w:rPr>
        <w:t>4</w:t>
      </w:r>
      <w:r>
        <w:rPr>
          <w:rFonts w:hint="eastAsia" w:ascii="黑体" w:hAnsi="黑体" w:eastAsia="黑体" w:cs="黑体"/>
          <w:color w:val="auto"/>
          <w:kern w:val="0"/>
          <w:sz w:val="24"/>
          <w:highlight w:val="none"/>
        </w:rPr>
        <w:t xml:space="preserve">.2-3 </w:t>
      </w:r>
      <w:r>
        <w:rPr>
          <w:rFonts w:hint="eastAsia" w:ascii="黑体" w:hAnsi="黑体" w:eastAsia="黑体" w:cs="黑体"/>
          <w:color w:val="auto"/>
          <w:kern w:val="0"/>
          <w:sz w:val="24"/>
          <w:highlight w:val="none"/>
          <w:lang w:val="en-US" w:eastAsia="zh-CN"/>
        </w:rPr>
        <w:t xml:space="preserve"> </w:t>
      </w:r>
      <w:r>
        <w:rPr>
          <w:rFonts w:hint="eastAsia" w:ascii="黑体" w:hAnsi="黑体" w:eastAsia="黑体" w:cs="黑体"/>
          <w:color w:val="auto"/>
          <w:kern w:val="0"/>
          <w:sz w:val="24"/>
          <w:highlight w:val="none"/>
        </w:rPr>
        <w:t>生产废水排园区污水站进水水量可行性分析</w:t>
      </w:r>
    </w:p>
    <w:tbl>
      <w:tblPr>
        <w:tblStyle w:val="37"/>
        <w:tblW w:w="9231" w:type="dxa"/>
        <w:tblInd w:w="0" w:type="dxa"/>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2307"/>
        <w:gridCol w:w="2308"/>
        <w:gridCol w:w="2308"/>
        <w:gridCol w:w="2308"/>
      </w:tblGrid>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63" w:hRule="atLeast"/>
        </w:trPr>
        <w:tc>
          <w:tcPr>
            <w:tcW w:w="6923" w:type="dxa"/>
            <w:gridSpan w:val="3"/>
            <w:tcBorders>
              <w:tl2br w:val="nil"/>
              <w:tr2bl w:val="nil"/>
            </w:tcBorders>
            <w:vAlign w:val="center"/>
          </w:tcPr>
          <w:p>
            <w:pPr>
              <w:adjustRightInd w:val="0"/>
              <w:snapToGrid w:val="0"/>
              <w:jc w:val="center"/>
              <w:rPr>
                <w:rFonts w:hint="eastAsia"/>
                <w:b/>
                <w:bCs/>
                <w:color w:val="auto"/>
                <w:szCs w:val="21"/>
                <w:highlight w:val="none"/>
                <w:lang w:eastAsia="zh-CN"/>
              </w:rPr>
            </w:pPr>
            <w:r>
              <w:rPr>
                <w:rFonts w:hint="eastAsia"/>
                <w:b/>
                <w:bCs/>
                <w:color w:val="auto"/>
                <w:szCs w:val="21"/>
                <w:highlight w:val="none"/>
                <w:lang w:eastAsia="zh-CN"/>
              </w:rPr>
              <w:t>废水产生量</w:t>
            </w:r>
          </w:p>
        </w:tc>
        <w:tc>
          <w:tcPr>
            <w:tcW w:w="2308" w:type="dxa"/>
            <w:tcBorders>
              <w:tl2br w:val="nil"/>
              <w:tr2bl w:val="nil"/>
            </w:tcBorders>
            <w:vAlign w:val="center"/>
          </w:tcPr>
          <w:p>
            <w:pPr>
              <w:adjustRightInd w:val="0"/>
              <w:snapToGrid w:val="0"/>
              <w:jc w:val="center"/>
              <w:rPr>
                <w:rFonts w:hint="eastAsia"/>
                <w:b/>
                <w:bCs/>
                <w:color w:val="auto"/>
                <w:szCs w:val="21"/>
                <w:highlight w:val="none"/>
                <w:lang w:eastAsia="zh-CN"/>
              </w:rPr>
            </w:pPr>
            <w:r>
              <w:rPr>
                <w:rFonts w:hint="eastAsia"/>
                <w:b/>
                <w:bCs/>
                <w:color w:val="auto"/>
                <w:szCs w:val="21"/>
                <w:highlight w:val="none"/>
                <w:lang w:eastAsia="zh-CN"/>
              </w:rPr>
              <w:t>园区污水处理站规模</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63" w:hRule="atLeast"/>
        </w:trPr>
        <w:tc>
          <w:tcPr>
            <w:tcW w:w="2307" w:type="dxa"/>
            <w:tcBorders>
              <w:tl2br w:val="nil"/>
              <w:tr2bl w:val="nil"/>
            </w:tcBorders>
            <w:vAlign w:val="center"/>
          </w:tcPr>
          <w:p>
            <w:pPr>
              <w:adjustRightInd w:val="0"/>
              <w:snapToGrid w:val="0"/>
              <w:jc w:val="center"/>
              <w:rPr>
                <w:rFonts w:hint="eastAsia"/>
                <w:b/>
                <w:bCs/>
                <w:color w:val="auto"/>
                <w:szCs w:val="21"/>
                <w:highlight w:val="none"/>
                <w:lang w:eastAsia="zh-CN"/>
              </w:rPr>
            </w:pPr>
            <w:r>
              <w:rPr>
                <w:rFonts w:hint="eastAsia"/>
                <w:b/>
                <w:bCs/>
                <w:color w:val="auto"/>
                <w:szCs w:val="21"/>
                <w:highlight w:val="none"/>
                <w:lang w:eastAsia="zh-CN"/>
              </w:rPr>
              <w:t>项目</w:t>
            </w:r>
          </w:p>
        </w:tc>
        <w:tc>
          <w:tcPr>
            <w:tcW w:w="2308" w:type="dxa"/>
            <w:tcBorders>
              <w:tl2br w:val="nil"/>
              <w:tr2bl w:val="nil"/>
            </w:tcBorders>
            <w:vAlign w:val="center"/>
          </w:tcPr>
          <w:p>
            <w:pPr>
              <w:adjustRightInd w:val="0"/>
              <w:snapToGrid w:val="0"/>
              <w:jc w:val="center"/>
              <w:rPr>
                <w:rFonts w:hint="eastAsia"/>
                <w:b/>
                <w:bCs/>
                <w:color w:val="auto"/>
                <w:szCs w:val="21"/>
                <w:highlight w:val="none"/>
                <w:lang w:eastAsia="zh-CN"/>
              </w:rPr>
            </w:pPr>
            <w:r>
              <w:rPr>
                <w:rFonts w:hint="eastAsia"/>
                <w:b/>
                <w:bCs/>
                <w:color w:val="auto"/>
                <w:szCs w:val="21"/>
                <w:highlight w:val="none"/>
                <w:lang w:eastAsia="zh-CN"/>
              </w:rPr>
              <w:t>年排放量m</w:t>
            </w:r>
            <w:r>
              <w:rPr>
                <w:rFonts w:hint="eastAsia"/>
                <w:b/>
                <w:bCs/>
                <w:color w:val="auto"/>
                <w:szCs w:val="21"/>
                <w:highlight w:val="none"/>
                <w:vertAlign w:val="superscript"/>
                <w:lang w:eastAsia="zh-CN"/>
              </w:rPr>
              <w:t>3</w:t>
            </w:r>
            <w:r>
              <w:rPr>
                <w:rFonts w:hint="eastAsia"/>
                <w:b/>
                <w:bCs/>
                <w:color w:val="auto"/>
                <w:szCs w:val="21"/>
                <w:highlight w:val="none"/>
                <w:lang w:eastAsia="zh-CN"/>
              </w:rPr>
              <w:t>/a</w:t>
            </w:r>
          </w:p>
        </w:tc>
        <w:tc>
          <w:tcPr>
            <w:tcW w:w="2308" w:type="dxa"/>
            <w:tcBorders>
              <w:tl2br w:val="nil"/>
              <w:tr2bl w:val="nil"/>
            </w:tcBorders>
            <w:vAlign w:val="center"/>
          </w:tcPr>
          <w:p>
            <w:pPr>
              <w:adjustRightInd w:val="0"/>
              <w:snapToGrid w:val="0"/>
              <w:jc w:val="center"/>
              <w:rPr>
                <w:rFonts w:hint="eastAsia"/>
                <w:b/>
                <w:bCs/>
                <w:color w:val="auto"/>
                <w:szCs w:val="21"/>
                <w:highlight w:val="none"/>
                <w:lang w:eastAsia="zh-CN"/>
              </w:rPr>
            </w:pPr>
            <w:r>
              <w:rPr>
                <w:rFonts w:hint="eastAsia"/>
                <w:b/>
                <w:bCs/>
                <w:color w:val="auto"/>
                <w:szCs w:val="21"/>
                <w:highlight w:val="none"/>
                <w:lang w:eastAsia="zh-CN"/>
              </w:rPr>
              <w:t>小时排放量m</w:t>
            </w:r>
            <w:r>
              <w:rPr>
                <w:rFonts w:hint="eastAsia"/>
                <w:b/>
                <w:bCs/>
                <w:color w:val="auto"/>
                <w:szCs w:val="21"/>
                <w:highlight w:val="none"/>
                <w:vertAlign w:val="superscript"/>
                <w:lang w:eastAsia="zh-CN"/>
              </w:rPr>
              <w:t>3</w:t>
            </w:r>
            <w:r>
              <w:rPr>
                <w:rFonts w:hint="eastAsia"/>
                <w:b/>
                <w:bCs/>
                <w:color w:val="auto"/>
                <w:szCs w:val="21"/>
                <w:highlight w:val="none"/>
                <w:lang w:eastAsia="zh-CN"/>
              </w:rPr>
              <w:t>/h</w:t>
            </w:r>
          </w:p>
        </w:tc>
        <w:tc>
          <w:tcPr>
            <w:tcW w:w="2308" w:type="dxa"/>
            <w:tcBorders>
              <w:tl2br w:val="nil"/>
              <w:tr2bl w:val="nil"/>
            </w:tcBorders>
            <w:vAlign w:val="center"/>
          </w:tcPr>
          <w:p>
            <w:pPr>
              <w:adjustRightInd w:val="0"/>
              <w:snapToGrid w:val="0"/>
              <w:jc w:val="center"/>
              <w:rPr>
                <w:rFonts w:hint="eastAsia"/>
                <w:b/>
                <w:bCs/>
                <w:color w:val="auto"/>
                <w:szCs w:val="21"/>
                <w:highlight w:val="none"/>
                <w:lang w:eastAsia="zh-CN"/>
              </w:rPr>
            </w:pPr>
            <w:r>
              <w:rPr>
                <w:rFonts w:hint="eastAsia"/>
                <w:b/>
                <w:bCs/>
                <w:color w:val="auto"/>
                <w:szCs w:val="21"/>
                <w:highlight w:val="none"/>
                <w:lang w:eastAsia="zh-CN"/>
              </w:rPr>
              <w:t>生产废水m</w:t>
            </w:r>
            <w:r>
              <w:rPr>
                <w:rFonts w:hint="eastAsia"/>
                <w:b/>
                <w:bCs/>
                <w:color w:val="auto"/>
                <w:szCs w:val="21"/>
                <w:highlight w:val="none"/>
                <w:vertAlign w:val="superscript"/>
                <w:lang w:eastAsia="zh-CN"/>
              </w:rPr>
              <w:t>3</w:t>
            </w:r>
            <w:r>
              <w:rPr>
                <w:rFonts w:hint="eastAsia"/>
                <w:b/>
                <w:bCs/>
                <w:color w:val="auto"/>
                <w:szCs w:val="21"/>
                <w:highlight w:val="none"/>
                <w:lang w:eastAsia="zh-CN"/>
              </w:rPr>
              <w:t>/h</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63" w:hRule="atLeast"/>
        </w:trPr>
        <w:tc>
          <w:tcPr>
            <w:tcW w:w="2307" w:type="dxa"/>
            <w:tcBorders>
              <w:tl2br w:val="nil"/>
              <w:tr2bl w:val="nil"/>
            </w:tcBorders>
            <w:vAlign w:val="center"/>
          </w:tcPr>
          <w:p>
            <w:pPr>
              <w:adjustRightInd w:val="0"/>
              <w:snapToGrid w:val="0"/>
              <w:jc w:val="center"/>
              <w:rPr>
                <w:rFonts w:hint="eastAsia"/>
                <w:color w:val="auto"/>
                <w:szCs w:val="21"/>
                <w:highlight w:val="none"/>
                <w:lang w:eastAsia="zh-CN"/>
              </w:rPr>
            </w:pPr>
            <w:r>
              <w:rPr>
                <w:rFonts w:hint="eastAsia"/>
                <w:color w:val="auto"/>
                <w:szCs w:val="21"/>
                <w:highlight w:val="none"/>
                <w:lang w:eastAsia="zh-CN"/>
              </w:rPr>
              <w:t>综合废水</w:t>
            </w:r>
          </w:p>
        </w:tc>
        <w:tc>
          <w:tcPr>
            <w:tcW w:w="2308" w:type="dxa"/>
            <w:tcBorders>
              <w:tl2br w:val="nil"/>
              <w:tr2bl w:val="nil"/>
            </w:tcBorders>
            <w:vAlign w:val="center"/>
          </w:tcPr>
          <w:p>
            <w:pPr>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9573</w:t>
            </w:r>
          </w:p>
        </w:tc>
        <w:tc>
          <w:tcPr>
            <w:tcW w:w="2308" w:type="dxa"/>
            <w:tcBorders>
              <w:tl2br w:val="nil"/>
              <w:tr2bl w:val="nil"/>
            </w:tcBorders>
            <w:vAlign w:val="center"/>
          </w:tcPr>
          <w:p>
            <w:pPr>
              <w:adjustRightInd w:val="0"/>
              <w:snapToGrid w:val="0"/>
              <w:jc w:val="center"/>
              <w:rPr>
                <w:rFonts w:hint="eastAsia"/>
                <w:color w:val="auto"/>
                <w:szCs w:val="21"/>
                <w:highlight w:val="none"/>
                <w:lang w:val="en-US" w:eastAsia="zh-CN"/>
              </w:rPr>
            </w:pPr>
            <w:r>
              <w:rPr>
                <w:rFonts w:hint="eastAsia"/>
                <w:color w:val="auto"/>
                <w:szCs w:val="21"/>
                <w:highlight w:val="none"/>
                <w:lang w:val="en-US" w:eastAsia="zh-CN"/>
              </w:rPr>
              <w:t>4</w:t>
            </w:r>
          </w:p>
        </w:tc>
        <w:tc>
          <w:tcPr>
            <w:tcW w:w="2308" w:type="dxa"/>
            <w:tcBorders>
              <w:tl2br w:val="nil"/>
              <w:tr2bl w:val="nil"/>
            </w:tcBorders>
            <w:vAlign w:val="center"/>
          </w:tcPr>
          <w:p>
            <w:pPr>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90</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63" w:hRule="atLeast"/>
        </w:trPr>
        <w:tc>
          <w:tcPr>
            <w:tcW w:w="2307" w:type="dxa"/>
            <w:tcBorders>
              <w:tl2br w:val="nil"/>
              <w:tr2bl w:val="nil"/>
            </w:tcBorders>
            <w:vAlign w:val="center"/>
          </w:tcPr>
          <w:p>
            <w:pPr>
              <w:adjustRightInd w:val="0"/>
              <w:snapToGrid w:val="0"/>
              <w:jc w:val="center"/>
              <w:rPr>
                <w:rFonts w:hint="eastAsia"/>
                <w:color w:val="auto"/>
                <w:szCs w:val="21"/>
                <w:highlight w:val="none"/>
                <w:lang w:eastAsia="zh-CN"/>
              </w:rPr>
            </w:pPr>
            <w:r>
              <w:rPr>
                <w:rFonts w:hint="eastAsia"/>
                <w:color w:val="auto"/>
                <w:szCs w:val="21"/>
                <w:highlight w:val="none"/>
                <w:lang w:eastAsia="zh-CN"/>
              </w:rPr>
              <w:t>含铬废水</w:t>
            </w:r>
          </w:p>
        </w:tc>
        <w:tc>
          <w:tcPr>
            <w:tcW w:w="2308" w:type="dxa"/>
            <w:tcBorders>
              <w:tl2br w:val="nil"/>
              <w:tr2bl w:val="nil"/>
            </w:tcBorders>
            <w:vAlign w:val="center"/>
          </w:tcPr>
          <w:p>
            <w:pPr>
              <w:adjustRightInd w:val="0"/>
              <w:snapToGrid w:val="0"/>
              <w:jc w:val="center"/>
              <w:rPr>
                <w:rFonts w:hint="eastAsia"/>
                <w:color w:val="auto"/>
                <w:szCs w:val="21"/>
                <w:highlight w:val="none"/>
                <w:lang w:val="en-US" w:eastAsia="zh-CN"/>
              </w:rPr>
            </w:pPr>
            <w:r>
              <w:rPr>
                <w:rFonts w:hint="eastAsia"/>
                <w:color w:val="auto"/>
                <w:szCs w:val="21"/>
                <w:highlight w:val="none"/>
                <w:lang w:val="en-US" w:eastAsia="zh-CN"/>
              </w:rPr>
              <w:t>1564</w:t>
            </w:r>
          </w:p>
        </w:tc>
        <w:tc>
          <w:tcPr>
            <w:tcW w:w="2308" w:type="dxa"/>
            <w:tcBorders>
              <w:tl2br w:val="nil"/>
              <w:tr2bl w:val="nil"/>
            </w:tcBorders>
            <w:vAlign w:val="center"/>
          </w:tcPr>
          <w:p>
            <w:pPr>
              <w:adjustRightInd w:val="0"/>
              <w:snapToGrid w:val="0"/>
              <w:jc w:val="center"/>
              <w:rPr>
                <w:rFonts w:hint="eastAsia"/>
                <w:color w:val="auto"/>
                <w:szCs w:val="21"/>
                <w:highlight w:val="none"/>
                <w:lang w:val="en-US" w:eastAsia="zh-CN"/>
              </w:rPr>
            </w:pPr>
            <w:r>
              <w:rPr>
                <w:rFonts w:hint="eastAsia"/>
                <w:color w:val="auto"/>
                <w:szCs w:val="21"/>
                <w:highlight w:val="none"/>
                <w:lang w:val="en-US" w:eastAsia="zh-CN"/>
              </w:rPr>
              <w:t>0.65</w:t>
            </w:r>
          </w:p>
        </w:tc>
        <w:tc>
          <w:tcPr>
            <w:tcW w:w="2308" w:type="dxa"/>
            <w:tcBorders>
              <w:tl2br w:val="nil"/>
              <w:tr2bl w:val="nil"/>
            </w:tcBorders>
            <w:vAlign w:val="center"/>
          </w:tcPr>
          <w:p>
            <w:pPr>
              <w:adjustRightInd w:val="0"/>
              <w:snapToGrid w:val="0"/>
              <w:jc w:val="center"/>
              <w:rPr>
                <w:rFonts w:hint="eastAsia"/>
                <w:color w:val="auto"/>
                <w:szCs w:val="21"/>
                <w:highlight w:val="none"/>
                <w:lang w:val="en-US" w:eastAsia="zh-CN"/>
              </w:rPr>
            </w:pPr>
            <w:r>
              <w:rPr>
                <w:rFonts w:hint="eastAsia"/>
                <w:color w:val="auto"/>
                <w:szCs w:val="21"/>
                <w:highlight w:val="none"/>
                <w:lang w:val="en-US" w:eastAsia="zh-CN"/>
              </w:rPr>
              <w:t>90</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63" w:hRule="atLeast"/>
        </w:trPr>
        <w:tc>
          <w:tcPr>
            <w:tcW w:w="2307" w:type="dxa"/>
            <w:tcBorders>
              <w:tl2br w:val="nil"/>
              <w:tr2bl w:val="nil"/>
            </w:tcBorders>
            <w:vAlign w:val="center"/>
          </w:tcPr>
          <w:p>
            <w:pPr>
              <w:adjustRightInd w:val="0"/>
              <w:snapToGrid w:val="0"/>
              <w:jc w:val="center"/>
              <w:rPr>
                <w:rFonts w:hint="eastAsia"/>
                <w:color w:val="auto"/>
                <w:szCs w:val="21"/>
                <w:highlight w:val="none"/>
                <w:lang w:eastAsia="zh-CN"/>
              </w:rPr>
            </w:pPr>
            <w:r>
              <w:rPr>
                <w:rFonts w:hint="eastAsia"/>
                <w:color w:val="auto"/>
                <w:szCs w:val="21"/>
                <w:highlight w:val="none"/>
                <w:lang w:eastAsia="zh-CN"/>
              </w:rPr>
              <w:t>含镍废水</w:t>
            </w:r>
          </w:p>
        </w:tc>
        <w:tc>
          <w:tcPr>
            <w:tcW w:w="2308" w:type="dxa"/>
            <w:tcBorders>
              <w:tl2br w:val="nil"/>
              <w:tr2bl w:val="nil"/>
            </w:tcBorders>
            <w:vAlign w:val="center"/>
          </w:tcPr>
          <w:p>
            <w:pPr>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257</w:t>
            </w:r>
          </w:p>
        </w:tc>
        <w:tc>
          <w:tcPr>
            <w:tcW w:w="2308" w:type="dxa"/>
            <w:tcBorders>
              <w:tl2br w:val="nil"/>
              <w:tr2bl w:val="nil"/>
            </w:tcBorders>
            <w:vAlign w:val="center"/>
          </w:tcPr>
          <w:p>
            <w:pPr>
              <w:adjustRightInd w:val="0"/>
              <w:snapToGrid w:val="0"/>
              <w:jc w:val="center"/>
              <w:rPr>
                <w:rFonts w:hint="default"/>
                <w:color w:val="auto"/>
                <w:szCs w:val="21"/>
                <w:highlight w:val="none"/>
                <w:lang w:val="en-US" w:eastAsia="zh-CN"/>
              </w:rPr>
            </w:pPr>
            <w:r>
              <w:rPr>
                <w:rFonts w:hint="eastAsia"/>
                <w:color w:val="auto"/>
                <w:szCs w:val="21"/>
                <w:highlight w:val="none"/>
                <w:lang w:val="en-US" w:eastAsia="zh-CN"/>
              </w:rPr>
              <w:t>0.11</w:t>
            </w:r>
          </w:p>
        </w:tc>
        <w:tc>
          <w:tcPr>
            <w:tcW w:w="2308" w:type="dxa"/>
            <w:tcBorders>
              <w:tl2br w:val="nil"/>
              <w:tr2bl w:val="nil"/>
            </w:tcBorders>
            <w:vAlign w:val="center"/>
          </w:tcPr>
          <w:p>
            <w:pPr>
              <w:adjustRightInd w:val="0"/>
              <w:snapToGrid w:val="0"/>
              <w:jc w:val="center"/>
              <w:rPr>
                <w:rFonts w:hint="eastAsia"/>
                <w:color w:val="auto"/>
                <w:szCs w:val="21"/>
                <w:highlight w:val="none"/>
                <w:lang w:val="en-US" w:eastAsia="zh-CN"/>
              </w:rPr>
            </w:pPr>
            <w:r>
              <w:rPr>
                <w:rFonts w:hint="eastAsia"/>
                <w:color w:val="auto"/>
                <w:szCs w:val="21"/>
                <w:highlight w:val="none"/>
                <w:lang w:val="en-US" w:eastAsia="zh-CN"/>
              </w:rPr>
              <w:t>90</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63" w:hRule="atLeast"/>
        </w:trPr>
        <w:tc>
          <w:tcPr>
            <w:tcW w:w="2307" w:type="dxa"/>
            <w:tcBorders>
              <w:tl2br w:val="nil"/>
              <w:tr2bl w:val="nil"/>
            </w:tcBorders>
            <w:vAlign w:val="center"/>
          </w:tcPr>
          <w:p>
            <w:pPr>
              <w:adjustRightInd w:val="0"/>
              <w:snapToGrid w:val="0"/>
              <w:jc w:val="center"/>
              <w:rPr>
                <w:rFonts w:hint="eastAsia"/>
                <w:color w:val="auto"/>
                <w:szCs w:val="21"/>
                <w:highlight w:val="none"/>
                <w:lang w:eastAsia="zh-CN"/>
              </w:rPr>
            </w:pPr>
            <w:r>
              <w:rPr>
                <w:rFonts w:hint="eastAsia"/>
                <w:color w:val="auto"/>
                <w:szCs w:val="21"/>
                <w:highlight w:val="none"/>
                <w:lang w:eastAsia="zh-CN"/>
              </w:rPr>
              <w:t>合计</w:t>
            </w:r>
          </w:p>
        </w:tc>
        <w:tc>
          <w:tcPr>
            <w:tcW w:w="2308" w:type="dxa"/>
            <w:tcBorders>
              <w:tl2br w:val="nil"/>
              <w:tr2bl w:val="nil"/>
            </w:tcBorders>
            <w:vAlign w:val="center"/>
          </w:tcPr>
          <w:p>
            <w:pPr>
              <w:adjustRightInd w:val="0"/>
              <w:snapToGrid w:val="0"/>
              <w:jc w:val="center"/>
              <w:rPr>
                <w:rFonts w:hint="eastAsia"/>
                <w:color w:val="auto"/>
                <w:szCs w:val="21"/>
                <w:highlight w:val="none"/>
                <w:lang w:val="en-US" w:eastAsia="zh-CN"/>
              </w:rPr>
            </w:pPr>
            <w:r>
              <w:rPr>
                <w:rFonts w:hint="eastAsia"/>
                <w:color w:val="auto"/>
                <w:szCs w:val="21"/>
                <w:highlight w:val="none"/>
                <w:lang w:val="en-US" w:eastAsia="zh-CN"/>
              </w:rPr>
              <w:t>11364</w:t>
            </w:r>
          </w:p>
        </w:tc>
        <w:tc>
          <w:tcPr>
            <w:tcW w:w="2308" w:type="dxa"/>
            <w:tcBorders>
              <w:tl2br w:val="nil"/>
              <w:tr2bl w:val="nil"/>
            </w:tcBorders>
            <w:vAlign w:val="center"/>
          </w:tcPr>
          <w:p>
            <w:pPr>
              <w:adjustRightInd w:val="0"/>
              <w:snapToGrid w:val="0"/>
              <w:jc w:val="center"/>
              <w:rPr>
                <w:rFonts w:hint="eastAsia"/>
                <w:color w:val="auto"/>
                <w:szCs w:val="21"/>
                <w:highlight w:val="none"/>
                <w:lang w:val="en-US" w:eastAsia="zh-CN"/>
              </w:rPr>
            </w:pPr>
            <w:r>
              <w:rPr>
                <w:rFonts w:hint="eastAsia"/>
                <w:color w:val="auto"/>
                <w:szCs w:val="21"/>
                <w:highlight w:val="none"/>
                <w:lang w:val="en-US" w:eastAsia="zh-CN"/>
              </w:rPr>
              <w:t>4.76</w:t>
            </w:r>
          </w:p>
        </w:tc>
        <w:tc>
          <w:tcPr>
            <w:tcW w:w="2308" w:type="dxa"/>
            <w:tcBorders>
              <w:tl2br w:val="nil"/>
              <w:tr2bl w:val="nil"/>
            </w:tcBorders>
            <w:vAlign w:val="center"/>
          </w:tcPr>
          <w:p>
            <w:pPr>
              <w:adjustRightInd w:val="0"/>
              <w:snapToGrid w:val="0"/>
              <w:jc w:val="center"/>
              <w:rPr>
                <w:rFonts w:hint="eastAsia"/>
                <w:color w:val="auto"/>
                <w:szCs w:val="21"/>
                <w:highlight w:val="none"/>
                <w:lang w:val="en-US" w:eastAsia="zh-CN"/>
              </w:rPr>
            </w:pPr>
            <w:r>
              <w:rPr>
                <w:rFonts w:hint="eastAsia"/>
                <w:color w:val="auto"/>
                <w:szCs w:val="21"/>
                <w:highlight w:val="none"/>
                <w:lang w:val="en-US" w:eastAsia="zh-CN"/>
              </w:rPr>
              <w:t>36</w:t>
            </w:r>
            <w:r>
              <w:rPr>
                <w:rFonts w:hint="eastAsia"/>
                <w:color w:val="auto"/>
                <w:szCs w:val="21"/>
                <w:highlight w:val="none"/>
                <w:lang w:eastAsia="zh-CN"/>
              </w:rPr>
              <w:t>0(含氰废水90 m</w:t>
            </w:r>
            <w:r>
              <w:rPr>
                <w:rFonts w:hint="eastAsia"/>
                <w:color w:val="auto"/>
                <w:szCs w:val="21"/>
                <w:highlight w:val="none"/>
                <w:vertAlign w:val="superscript"/>
                <w:lang w:eastAsia="zh-CN"/>
              </w:rPr>
              <w:t>3</w:t>
            </w:r>
            <w:r>
              <w:rPr>
                <w:rFonts w:hint="eastAsia"/>
                <w:color w:val="auto"/>
                <w:szCs w:val="21"/>
                <w:highlight w:val="none"/>
                <w:lang w:eastAsia="zh-CN"/>
              </w:rPr>
              <w:t>/</w:t>
            </w:r>
            <w:r>
              <w:rPr>
                <w:rFonts w:hint="eastAsia"/>
                <w:color w:val="auto"/>
                <w:szCs w:val="21"/>
                <w:highlight w:val="none"/>
                <w:lang w:val="en-US" w:eastAsia="zh-CN"/>
              </w:rPr>
              <w:t>h)</w:t>
            </w:r>
          </w:p>
        </w:tc>
      </w:tr>
    </w:tbl>
    <w:p>
      <w:pPr>
        <w:adjustRightInd w:val="0"/>
        <w:snapToGrid w:val="0"/>
        <w:spacing w:line="360" w:lineRule="auto"/>
        <w:ind w:firstLine="480" w:firstLineChars="200"/>
        <w:rPr>
          <w:rFonts w:hint="eastAsia"/>
          <w:color w:val="auto"/>
          <w:kern w:val="0"/>
          <w:sz w:val="24"/>
          <w:highlight w:val="none"/>
        </w:rPr>
      </w:pPr>
      <w:r>
        <w:rPr>
          <w:rFonts w:hint="eastAsia"/>
          <w:color w:val="auto"/>
          <w:kern w:val="0"/>
          <w:sz w:val="24"/>
          <w:highlight w:val="none"/>
          <w:lang w:val="en-US" w:eastAsia="zh-CN"/>
        </w:rPr>
        <w:t>5)</w:t>
      </w:r>
      <w:r>
        <w:rPr>
          <w:rFonts w:hint="eastAsia"/>
          <w:color w:val="auto"/>
          <w:kern w:val="0"/>
          <w:sz w:val="24"/>
          <w:highlight w:val="none"/>
        </w:rPr>
        <w:t>电镀工业园污水站处理工艺及出水水质分析</w:t>
      </w:r>
    </w:p>
    <w:p>
      <w:pPr>
        <w:adjustRightInd w:val="0"/>
        <w:snapToGrid w:val="0"/>
        <w:spacing w:line="360" w:lineRule="auto"/>
        <w:ind w:firstLine="480" w:firstLineChars="200"/>
        <w:rPr>
          <w:rFonts w:hint="eastAsia"/>
          <w:color w:val="auto"/>
          <w:kern w:val="0"/>
          <w:sz w:val="24"/>
          <w:highlight w:val="none"/>
        </w:rPr>
      </w:pPr>
      <w:r>
        <w:rPr>
          <w:rFonts w:hint="eastAsia"/>
          <w:color w:val="auto"/>
          <w:kern w:val="0"/>
          <w:sz w:val="24"/>
          <w:highlight w:val="none"/>
        </w:rPr>
        <w:t>(1)一期污水处理工艺流程说明如下：</w:t>
      </w:r>
    </w:p>
    <w:p>
      <w:pPr>
        <w:adjustRightInd w:val="0"/>
        <w:snapToGrid w:val="0"/>
        <w:spacing w:line="360" w:lineRule="auto"/>
        <w:ind w:firstLine="480" w:firstLineChars="200"/>
        <w:rPr>
          <w:rFonts w:hint="eastAsia"/>
          <w:color w:val="auto"/>
          <w:kern w:val="0"/>
          <w:sz w:val="24"/>
          <w:highlight w:val="none"/>
        </w:rPr>
      </w:pPr>
      <w:r>
        <w:rPr>
          <w:rFonts w:hint="eastAsia"/>
          <w:color w:val="auto"/>
          <w:kern w:val="0"/>
          <w:sz w:val="24"/>
          <w:highlight w:val="none"/>
        </w:rPr>
        <w:t>①含铬废水处理</w:t>
      </w:r>
    </w:p>
    <w:p>
      <w:pPr>
        <w:adjustRightInd w:val="0"/>
        <w:snapToGrid w:val="0"/>
        <w:spacing w:line="360" w:lineRule="auto"/>
        <w:ind w:firstLine="480" w:firstLineChars="200"/>
        <w:rPr>
          <w:rFonts w:hint="eastAsia"/>
          <w:color w:val="auto"/>
          <w:kern w:val="0"/>
          <w:sz w:val="24"/>
          <w:highlight w:val="none"/>
        </w:rPr>
      </w:pPr>
      <w:r>
        <w:rPr>
          <w:rFonts w:hint="eastAsia"/>
          <w:color w:val="auto"/>
          <w:kern w:val="0"/>
          <w:sz w:val="24"/>
          <w:highlight w:val="none"/>
        </w:rPr>
        <w:t>含铬废水处理采用pH仪表自动调节pH=2.3，以焦亚硫酸钠为还原剂，用OPR仪表自动调节加药量使得OPR=300mV以下，将Cr</w:t>
      </w:r>
      <w:r>
        <w:rPr>
          <w:rFonts w:hint="eastAsia"/>
          <w:color w:val="auto"/>
          <w:kern w:val="0"/>
          <w:sz w:val="24"/>
          <w:highlight w:val="none"/>
          <w:vertAlign w:val="superscript"/>
        </w:rPr>
        <w:t>6+</w:t>
      </w:r>
      <w:r>
        <w:rPr>
          <w:rFonts w:hint="eastAsia"/>
          <w:color w:val="auto"/>
          <w:kern w:val="0"/>
          <w:sz w:val="24"/>
          <w:highlight w:val="none"/>
        </w:rPr>
        <w:t>还原成Cr</w:t>
      </w:r>
      <w:r>
        <w:rPr>
          <w:rFonts w:hint="eastAsia"/>
          <w:color w:val="auto"/>
          <w:kern w:val="0"/>
          <w:sz w:val="24"/>
          <w:highlight w:val="none"/>
          <w:vertAlign w:val="superscript"/>
        </w:rPr>
        <w:t>3+</w:t>
      </w:r>
      <w:r>
        <w:rPr>
          <w:rFonts w:hint="eastAsia"/>
          <w:color w:val="auto"/>
          <w:kern w:val="0"/>
          <w:sz w:val="24"/>
          <w:highlight w:val="none"/>
        </w:rPr>
        <w:t>，再用 pH 仪表自动条件pH=9，使之生成氢氧化铬沉淀，从而进行固液分离。</w:t>
      </w:r>
    </w:p>
    <w:p>
      <w:pPr>
        <w:adjustRightInd w:val="0"/>
        <w:snapToGrid w:val="0"/>
        <w:spacing w:line="360" w:lineRule="auto"/>
        <w:ind w:firstLine="480" w:firstLineChars="200"/>
        <w:rPr>
          <w:rFonts w:hint="eastAsia"/>
          <w:color w:val="auto"/>
          <w:kern w:val="0"/>
          <w:sz w:val="24"/>
          <w:highlight w:val="none"/>
        </w:rPr>
      </w:pPr>
      <w:r>
        <w:rPr>
          <w:rFonts w:hint="eastAsia"/>
          <w:color w:val="auto"/>
          <w:kern w:val="0"/>
          <w:sz w:val="24"/>
          <w:highlight w:val="none"/>
        </w:rPr>
        <w:t>反应机理：</w:t>
      </w:r>
    </w:p>
    <w:p>
      <w:pPr>
        <w:adjustRightInd w:val="0"/>
        <w:snapToGrid w:val="0"/>
        <w:spacing w:line="360" w:lineRule="auto"/>
        <w:ind w:firstLine="480" w:firstLineChars="200"/>
        <w:rPr>
          <w:rFonts w:hint="eastAsia"/>
          <w:color w:val="auto"/>
          <w:kern w:val="0"/>
          <w:sz w:val="24"/>
          <w:highlight w:val="none"/>
        </w:rPr>
      </w:pPr>
      <w:r>
        <w:rPr>
          <w:rFonts w:hint="eastAsia"/>
          <w:color w:val="auto"/>
          <w:kern w:val="0"/>
          <w:sz w:val="24"/>
          <w:highlight w:val="none"/>
        </w:rPr>
        <w:t>a、以焦亚硫酸钠为还原剂</w:t>
      </w:r>
    </w:p>
    <w:p>
      <w:pPr>
        <w:adjustRightInd w:val="0"/>
        <w:snapToGrid w:val="0"/>
        <w:spacing w:line="360" w:lineRule="auto"/>
        <w:ind w:firstLine="480" w:firstLineChars="200"/>
        <w:rPr>
          <w:rFonts w:hint="eastAsia"/>
          <w:color w:val="auto"/>
          <w:kern w:val="0"/>
          <w:sz w:val="24"/>
          <w:highlight w:val="none"/>
        </w:rPr>
      </w:pPr>
      <w:r>
        <w:rPr>
          <w:rFonts w:hint="eastAsia"/>
          <w:color w:val="auto"/>
          <w:kern w:val="0"/>
          <w:sz w:val="24"/>
          <w:highlight w:val="none"/>
        </w:rPr>
        <w:t>2H</w:t>
      </w:r>
      <w:r>
        <w:rPr>
          <w:rFonts w:hint="eastAsia"/>
          <w:color w:val="auto"/>
          <w:kern w:val="0"/>
          <w:sz w:val="24"/>
          <w:highlight w:val="none"/>
          <w:vertAlign w:val="subscript"/>
        </w:rPr>
        <w:t>2</w:t>
      </w:r>
      <w:r>
        <w:rPr>
          <w:rFonts w:hint="eastAsia"/>
          <w:color w:val="auto"/>
          <w:kern w:val="0"/>
          <w:sz w:val="24"/>
          <w:highlight w:val="none"/>
        </w:rPr>
        <w:t>Cr</w:t>
      </w:r>
      <w:r>
        <w:rPr>
          <w:rFonts w:hint="eastAsia"/>
          <w:color w:val="auto"/>
          <w:kern w:val="0"/>
          <w:sz w:val="24"/>
          <w:highlight w:val="none"/>
          <w:vertAlign w:val="subscript"/>
        </w:rPr>
        <w:t>2</w:t>
      </w:r>
      <w:r>
        <w:rPr>
          <w:rFonts w:hint="eastAsia"/>
          <w:color w:val="auto"/>
          <w:kern w:val="0"/>
          <w:sz w:val="24"/>
          <w:highlight w:val="none"/>
        </w:rPr>
        <w:t>O</w:t>
      </w:r>
      <w:r>
        <w:rPr>
          <w:rFonts w:hint="eastAsia"/>
          <w:color w:val="auto"/>
          <w:kern w:val="0"/>
          <w:sz w:val="24"/>
          <w:highlight w:val="none"/>
          <w:vertAlign w:val="subscript"/>
        </w:rPr>
        <w:t>7</w:t>
      </w:r>
      <w:r>
        <w:rPr>
          <w:rFonts w:hint="eastAsia"/>
          <w:color w:val="auto"/>
          <w:kern w:val="0"/>
          <w:sz w:val="24"/>
          <w:highlight w:val="none"/>
          <w:lang w:val="en-US" w:eastAsia="zh-CN"/>
        </w:rPr>
        <w:t>+</w:t>
      </w:r>
      <w:r>
        <w:rPr>
          <w:rFonts w:hint="eastAsia"/>
          <w:color w:val="auto"/>
          <w:kern w:val="0"/>
          <w:sz w:val="24"/>
          <w:highlight w:val="none"/>
        </w:rPr>
        <w:t>3Na</w:t>
      </w:r>
      <w:r>
        <w:rPr>
          <w:rFonts w:hint="eastAsia"/>
          <w:color w:val="auto"/>
          <w:kern w:val="0"/>
          <w:sz w:val="24"/>
          <w:highlight w:val="none"/>
          <w:vertAlign w:val="subscript"/>
        </w:rPr>
        <w:t>2</w:t>
      </w:r>
      <w:r>
        <w:rPr>
          <w:rFonts w:hint="eastAsia"/>
          <w:color w:val="auto"/>
          <w:kern w:val="0"/>
          <w:sz w:val="24"/>
          <w:highlight w:val="none"/>
        </w:rPr>
        <w:t>S</w:t>
      </w:r>
      <w:r>
        <w:rPr>
          <w:rFonts w:hint="eastAsia"/>
          <w:color w:val="auto"/>
          <w:kern w:val="0"/>
          <w:sz w:val="24"/>
          <w:highlight w:val="none"/>
          <w:vertAlign w:val="subscript"/>
        </w:rPr>
        <w:t>2</w:t>
      </w:r>
      <w:r>
        <w:rPr>
          <w:rFonts w:hint="eastAsia"/>
          <w:color w:val="auto"/>
          <w:kern w:val="0"/>
          <w:sz w:val="24"/>
          <w:highlight w:val="none"/>
        </w:rPr>
        <w:t>O</w:t>
      </w:r>
      <w:r>
        <w:rPr>
          <w:rFonts w:hint="eastAsia"/>
          <w:color w:val="auto"/>
          <w:kern w:val="0"/>
          <w:sz w:val="24"/>
          <w:highlight w:val="none"/>
          <w:vertAlign w:val="subscript"/>
        </w:rPr>
        <w:t>5</w:t>
      </w:r>
      <w:r>
        <w:rPr>
          <w:rFonts w:hint="eastAsia"/>
          <w:color w:val="auto"/>
          <w:kern w:val="0"/>
          <w:sz w:val="24"/>
          <w:highlight w:val="none"/>
          <w:lang w:val="en-US" w:eastAsia="zh-CN"/>
        </w:rPr>
        <w:t>+</w:t>
      </w:r>
      <w:r>
        <w:rPr>
          <w:rFonts w:hint="eastAsia"/>
          <w:color w:val="auto"/>
          <w:kern w:val="0"/>
          <w:sz w:val="24"/>
          <w:highlight w:val="none"/>
        </w:rPr>
        <w:t>3H</w:t>
      </w:r>
      <w:r>
        <w:rPr>
          <w:rFonts w:hint="eastAsia"/>
          <w:color w:val="auto"/>
          <w:kern w:val="0"/>
          <w:sz w:val="24"/>
          <w:highlight w:val="none"/>
          <w:vertAlign w:val="subscript"/>
        </w:rPr>
        <w:t>2</w:t>
      </w:r>
      <w:r>
        <w:rPr>
          <w:rFonts w:hint="eastAsia"/>
          <w:color w:val="auto"/>
          <w:kern w:val="0"/>
          <w:sz w:val="24"/>
          <w:highlight w:val="none"/>
        </w:rPr>
        <w:t>SO</w:t>
      </w:r>
      <w:r>
        <w:rPr>
          <w:rFonts w:hint="eastAsia"/>
          <w:color w:val="auto"/>
          <w:kern w:val="0"/>
          <w:sz w:val="24"/>
          <w:highlight w:val="none"/>
          <w:vertAlign w:val="subscript"/>
        </w:rPr>
        <w:t>4</w:t>
      </w:r>
      <w:r>
        <w:rPr>
          <w:rFonts w:hint="eastAsia"/>
          <w:color w:val="auto"/>
          <w:kern w:val="0"/>
          <w:sz w:val="24"/>
          <w:highlight w:val="none"/>
          <w:lang w:val="en-US" w:eastAsia="zh-CN"/>
        </w:rPr>
        <w:t>=</w:t>
      </w:r>
      <w:r>
        <w:rPr>
          <w:rFonts w:hint="eastAsia"/>
          <w:color w:val="auto"/>
          <w:kern w:val="0"/>
          <w:sz w:val="24"/>
          <w:highlight w:val="none"/>
        </w:rPr>
        <w:t>Cr</w:t>
      </w:r>
      <w:r>
        <w:rPr>
          <w:rFonts w:hint="eastAsia"/>
          <w:color w:val="auto"/>
          <w:kern w:val="0"/>
          <w:sz w:val="24"/>
          <w:highlight w:val="none"/>
          <w:vertAlign w:val="subscript"/>
        </w:rPr>
        <w:t>2</w:t>
      </w:r>
      <w:r>
        <w:rPr>
          <w:rFonts w:hint="eastAsia"/>
          <w:color w:val="auto"/>
          <w:kern w:val="0"/>
          <w:sz w:val="24"/>
          <w:highlight w:val="none"/>
        </w:rPr>
        <w:t xml:space="preserve"> (SO</w:t>
      </w:r>
      <w:r>
        <w:rPr>
          <w:rFonts w:hint="eastAsia"/>
          <w:color w:val="auto"/>
          <w:kern w:val="0"/>
          <w:sz w:val="24"/>
          <w:highlight w:val="none"/>
          <w:vertAlign w:val="subscript"/>
        </w:rPr>
        <w:t>4</w:t>
      </w:r>
      <w:r>
        <w:rPr>
          <w:rFonts w:hint="eastAsia"/>
          <w:color w:val="auto"/>
          <w:kern w:val="0"/>
          <w:sz w:val="24"/>
          <w:highlight w:val="none"/>
        </w:rPr>
        <w:t>)</w:t>
      </w:r>
      <w:r>
        <w:rPr>
          <w:rFonts w:hint="eastAsia"/>
          <w:color w:val="auto"/>
          <w:kern w:val="0"/>
          <w:sz w:val="24"/>
          <w:highlight w:val="none"/>
          <w:lang w:val="en-US" w:eastAsia="zh-CN"/>
        </w:rPr>
        <w:t>+</w:t>
      </w:r>
      <w:r>
        <w:rPr>
          <w:rFonts w:hint="eastAsia"/>
          <w:color w:val="auto"/>
          <w:kern w:val="0"/>
          <w:sz w:val="24"/>
          <w:highlight w:val="none"/>
        </w:rPr>
        <w:t>3NaSO</w:t>
      </w:r>
      <w:r>
        <w:rPr>
          <w:rFonts w:hint="eastAsia"/>
          <w:color w:val="auto"/>
          <w:kern w:val="0"/>
          <w:sz w:val="24"/>
          <w:highlight w:val="none"/>
          <w:vertAlign w:val="subscript"/>
        </w:rPr>
        <w:t>4</w:t>
      </w:r>
      <w:r>
        <w:rPr>
          <w:rFonts w:hint="eastAsia"/>
          <w:color w:val="auto"/>
          <w:kern w:val="0"/>
          <w:sz w:val="24"/>
          <w:highlight w:val="none"/>
          <w:lang w:val="en-US" w:eastAsia="zh-CN"/>
        </w:rPr>
        <w:t>+</w:t>
      </w:r>
      <w:r>
        <w:rPr>
          <w:rFonts w:hint="eastAsia"/>
          <w:color w:val="auto"/>
          <w:kern w:val="0"/>
          <w:sz w:val="24"/>
          <w:highlight w:val="none"/>
        </w:rPr>
        <w:t>5H</w:t>
      </w:r>
      <w:r>
        <w:rPr>
          <w:rFonts w:hint="eastAsia"/>
          <w:color w:val="auto"/>
          <w:kern w:val="0"/>
          <w:sz w:val="24"/>
          <w:highlight w:val="none"/>
          <w:vertAlign w:val="subscript"/>
        </w:rPr>
        <w:t>2</w:t>
      </w:r>
      <w:r>
        <w:rPr>
          <w:rFonts w:hint="eastAsia"/>
          <w:color w:val="auto"/>
          <w:kern w:val="0"/>
          <w:sz w:val="24"/>
          <w:highlight w:val="none"/>
        </w:rPr>
        <w:t>O</w:t>
      </w:r>
    </w:p>
    <w:p>
      <w:pPr>
        <w:adjustRightInd w:val="0"/>
        <w:snapToGrid w:val="0"/>
        <w:spacing w:line="360" w:lineRule="auto"/>
        <w:ind w:firstLine="480" w:firstLineChars="200"/>
        <w:rPr>
          <w:rFonts w:hint="eastAsia"/>
          <w:color w:val="auto"/>
          <w:kern w:val="0"/>
          <w:sz w:val="24"/>
          <w:highlight w:val="none"/>
        </w:rPr>
      </w:pPr>
      <w:r>
        <w:rPr>
          <w:rFonts w:hint="eastAsia"/>
          <w:color w:val="auto"/>
          <w:kern w:val="0"/>
          <w:sz w:val="24"/>
          <w:highlight w:val="none"/>
        </w:rPr>
        <w:t>b、中和反应</w:t>
      </w:r>
    </w:p>
    <w:p>
      <w:pPr>
        <w:adjustRightInd w:val="0"/>
        <w:snapToGrid w:val="0"/>
        <w:spacing w:line="360" w:lineRule="auto"/>
        <w:ind w:firstLine="480" w:firstLineChars="200"/>
        <w:rPr>
          <w:rFonts w:hint="eastAsia" w:eastAsia="宋体"/>
          <w:color w:val="auto"/>
          <w:kern w:val="0"/>
          <w:sz w:val="24"/>
          <w:highlight w:val="none"/>
          <w:lang w:val="en-US" w:eastAsia="zh-CN"/>
        </w:rPr>
      </w:pPr>
      <w:r>
        <w:rPr>
          <w:rFonts w:hint="eastAsia"/>
          <w:color w:val="auto"/>
          <w:kern w:val="0"/>
          <w:sz w:val="24"/>
          <w:highlight w:val="none"/>
        </w:rPr>
        <w:t>Cr</w:t>
      </w:r>
      <w:r>
        <w:rPr>
          <w:rFonts w:hint="eastAsia"/>
          <w:color w:val="auto"/>
          <w:kern w:val="0"/>
          <w:sz w:val="24"/>
          <w:highlight w:val="none"/>
          <w:vertAlign w:val="subscript"/>
          <w:lang w:val="en-US" w:eastAsia="zh-CN"/>
        </w:rPr>
        <w:t>2</w:t>
      </w:r>
      <w:r>
        <w:rPr>
          <w:rFonts w:hint="eastAsia"/>
          <w:color w:val="auto"/>
          <w:kern w:val="0"/>
          <w:sz w:val="24"/>
          <w:highlight w:val="none"/>
        </w:rPr>
        <w:t>(SO</w:t>
      </w:r>
      <w:r>
        <w:rPr>
          <w:rFonts w:hint="eastAsia"/>
          <w:color w:val="auto"/>
          <w:kern w:val="0"/>
          <w:sz w:val="24"/>
          <w:highlight w:val="none"/>
          <w:vertAlign w:val="subscript"/>
          <w:lang w:val="en-US" w:eastAsia="zh-CN"/>
        </w:rPr>
        <w:t>4</w:t>
      </w:r>
      <w:r>
        <w:rPr>
          <w:rFonts w:hint="eastAsia"/>
          <w:color w:val="auto"/>
          <w:kern w:val="0"/>
          <w:sz w:val="24"/>
          <w:highlight w:val="none"/>
        </w:rPr>
        <w:t xml:space="preserve"> ) </w:t>
      </w:r>
      <w:r>
        <w:rPr>
          <w:rFonts w:hint="eastAsia"/>
          <w:color w:val="auto"/>
          <w:kern w:val="0"/>
          <w:sz w:val="24"/>
          <w:highlight w:val="none"/>
          <w:lang w:val="en-US" w:eastAsia="zh-CN"/>
        </w:rPr>
        <w:t>+</w:t>
      </w:r>
      <w:r>
        <w:rPr>
          <w:rFonts w:hint="eastAsia"/>
          <w:color w:val="auto"/>
          <w:kern w:val="0"/>
          <w:sz w:val="24"/>
          <w:highlight w:val="none"/>
        </w:rPr>
        <w:t>6NaOH</w:t>
      </w:r>
      <w:r>
        <w:rPr>
          <w:rFonts w:hint="eastAsia"/>
          <w:color w:val="auto"/>
          <w:kern w:val="0"/>
          <w:sz w:val="24"/>
          <w:highlight w:val="none"/>
          <w:lang w:val="en-US" w:eastAsia="zh-CN"/>
        </w:rPr>
        <w:t>=</w:t>
      </w:r>
      <w:r>
        <w:rPr>
          <w:rFonts w:hint="eastAsia"/>
          <w:color w:val="auto"/>
          <w:kern w:val="0"/>
          <w:sz w:val="24"/>
          <w:highlight w:val="none"/>
        </w:rPr>
        <w:t>2Cr(OH)</w:t>
      </w:r>
      <w:r>
        <w:rPr>
          <w:rFonts w:hint="eastAsia"/>
          <w:color w:val="auto"/>
          <w:kern w:val="0"/>
          <w:sz w:val="24"/>
          <w:highlight w:val="none"/>
          <w:vertAlign w:val="subscript"/>
          <w:lang w:val="en-US" w:eastAsia="zh-CN"/>
        </w:rPr>
        <w:t>3</w:t>
      </w:r>
      <w:r>
        <w:rPr>
          <w:rFonts w:hint="eastAsia"/>
          <w:color w:val="auto"/>
          <w:kern w:val="0"/>
          <w:sz w:val="24"/>
          <w:highlight w:val="none"/>
          <w:lang w:val="en-US" w:eastAsia="zh-CN"/>
        </w:rPr>
        <w:t>+</w:t>
      </w:r>
      <w:r>
        <w:rPr>
          <w:rFonts w:hint="eastAsia"/>
          <w:color w:val="auto"/>
          <w:kern w:val="0"/>
          <w:sz w:val="24"/>
          <w:highlight w:val="none"/>
        </w:rPr>
        <w:t>3Na</w:t>
      </w:r>
      <w:r>
        <w:rPr>
          <w:rFonts w:hint="eastAsia"/>
          <w:color w:val="auto"/>
          <w:kern w:val="0"/>
          <w:sz w:val="24"/>
          <w:highlight w:val="none"/>
          <w:vertAlign w:val="subscript"/>
          <w:lang w:val="en-US" w:eastAsia="zh-CN"/>
        </w:rPr>
        <w:t>2</w:t>
      </w:r>
      <w:r>
        <w:rPr>
          <w:rFonts w:hint="eastAsia"/>
          <w:color w:val="auto"/>
          <w:kern w:val="0"/>
          <w:sz w:val="24"/>
          <w:highlight w:val="none"/>
        </w:rPr>
        <w:t>SO</w:t>
      </w:r>
      <w:r>
        <w:rPr>
          <w:rFonts w:hint="eastAsia"/>
          <w:color w:val="auto"/>
          <w:kern w:val="0"/>
          <w:sz w:val="24"/>
          <w:highlight w:val="none"/>
          <w:vertAlign w:val="subscript"/>
          <w:lang w:val="en-US" w:eastAsia="zh-CN"/>
        </w:rPr>
        <w:t>4</w:t>
      </w:r>
    </w:p>
    <w:p>
      <w:pPr>
        <w:adjustRightInd w:val="0"/>
        <w:snapToGrid w:val="0"/>
        <w:spacing w:line="360" w:lineRule="auto"/>
        <w:ind w:firstLine="480" w:firstLineChars="200"/>
        <w:rPr>
          <w:rFonts w:hint="eastAsia"/>
          <w:color w:val="auto"/>
          <w:kern w:val="0"/>
          <w:sz w:val="24"/>
          <w:highlight w:val="none"/>
        </w:rPr>
      </w:pPr>
      <w:r>
        <w:rPr>
          <w:rFonts w:hint="eastAsia"/>
          <w:color w:val="auto"/>
          <w:kern w:val="0"/>
          <w:sz w:val="24"/>
          <w:highlight w:val="none"/>
        </w:rPr>
        <w:t>②综合废水处理</w:t>
      </w:r>
    </w:p>
    <w:p>
      <w:pPr>
        <w:adjustRightInd w:val="0"/>
        <w:snapToGrid w:val="0"/>
        <w:spacing w:line="360" w:lineRule="auto"/>
        <w:ind w:firstLine="480" w:firstLineChars="200"/>
        <w:rPr>
          <w:color w:val="auto"/>
          <w:kern w:val="0"/>
          <w:sz w:val="24"/>
          <w:highlight w:val="none"/>
        </w:rPr>
      </w:pPr>
      <w:r>
        <w:rPr>
          <w:rFonts w:hint="eastAsia"/>
          <w:color w:val="auto"/>
          <w:kern w:val="0"/>
          <w:sz w:val="24"/>
          <w:highlight w:val="none"/>
        </w:rPr>
        <w:t>酸碱混合废水含有大量的铜、锌等重金属离子，其pH在1-2之间，呈强酸性，由于塑料电镀的化学电镀工艺生产废水含有重金属螯合物，为此采用国际上较先进的金属捕集剂沉淀法：在合适的pH条件下加入“重金属捕集剂”，使重金属变成难溶的沉淀物，再经过沉淀、过滤，使废水中铜、锌等重金属达到规定的排放标准，最后经过终端pH调整后排放。</w:t>
      </w:r>
    </w:p>
    <w:p>
      <w:pPr>
        <w:pStyle w:val="19"/>
        <w:snapToGrid w:val="0"/>
        <w:spacing w:line="360" w:lineRule="auto"/>
        <w:ind w:firstLine="480" w:firstLineChars="200"/>
        <w:jc w:val="both"/>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③含氰废水处理</w:t>
      </w:r>
    </w:p>
    <w:p>
      <w:pPr>
        <w:pStyle w:val="19"/>
        <w:snapToGrid w:val="0"/>
        <w:spacing w:line="360" w:lineRule="auto"/>
        <w:ind w:firstLine="480" w:firstLineChars="200"/>
        <w:jc w:val="both"/>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含氰废水采用氧化还原法进行处理。采用次氯酸钠(NaClO)为破氰氧化剂，次氯酸钠具有强氧化性、有效氯不易流失、具有操作简单、处理效果好和污泥量少等优点。</w:t>
      </w:r>
    </w:p>
    <w:p>
      <w:pPr>
        <w:pStyle w:val="19"/>
        <w:snapToGrid w:val="0"/>
        <w:spacing w:line="360" w:lineRule="auto"/>
        <w:ind w:firstLine="480" w:firstLineChars="200"/>
        <w:jc w:val="both"/>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采用pH、OPR仪表，自动调节方式，监控氧化反应终点，使氧化还原点位达300mV</w:t>
      </w:r>
    </w:p>
    <w:p>
      <w:pPr>
        <w:pStyle w:val="19"/>
        <w:snapToGrid w:val="0"/>
        <w:spacing w:line="360" w:lineRule="auto"/>
        <w:jc w:val="both"/>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以上、pH在10左右，次氯酸钠将水中的氰化物氧化成无毒的CO</w:t>
      </w:r>
      <w:r>
        <w:rPr>
          <w:rFonts w:hint="default" w:ascii="Times New Roman" w:hAnsi="Times New Roman" w:cs="Times New Roman"/>
          <w:color w:val="auto"/>
          <w:szCs w:val="24"/>
          <w:highlight w:val="none"/>
          <w:vertAlign w:val="subscript"/>
        </w:rPr>
        <w:t>2</w:t>
      </w:r>
      <w:r>
        <w:rPr>
          <w:rFonts w:hint="default" w:ascii="Times New Roman" w:hAnsi="Times New Roman" w:cs="Times New Roman"/>
          <w:color w:val="auto"/>
          <w:szCs w:val="24"/>
          <w:highlight w:val="none"/>
        </w:rPr>
        <w:t>、N</w:t>
      </w:r>
      <w:r>
        <w:rPr>
          <w:rFonts w:hint="default" w:ascii="Times New Roman" w:hAnsi="Times New Roman" w:cs="Times New Roman"/>
          <w:color w:val="auto"/>
          <w:szCs w:val="24"/>
          <w:highlight w:val="none"/>
          <w:vertAlign w:val="subscript"/>
        </w:rPr>
        <w:t>2</w:t>
      </w:r>
      <w:r>
        <w:rPr>
          <w:rFonts w:hint="default" w:ascii="Times New Roman" w:hAnsi="Times New Roman" w:cs="Times New Roman"/>
          <w:color w:val="auto"/>
          <w:szCs w:val="24"/>
          <w:highlight w:val="none"/>
        </w:rPr>
        <w:t>。破氰后的废水</w:t>
      </w:r>
    </w:p>
    <w:p>
      <w:pPr>
        <w:pStyle w:val="19"/>
        <w:snapToGrid w:val="0"/>
        <w:spacing w:line="360" w:lineRule="auto"/>
        <w:jc w:val="both"/>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合并入酸碱综合废水集水池3中。</w:t>
      </w:r>
    </w:p>
    <w:p>
      <w:pPr>
        <w:pStyle w:val="19"/>
        <w:snapToGrid w:val="0"/>
        <w:spacing w:line="360" w:lineRule="auto"/>
        <w:ind w:firstLine="480" w:firstLineChars="200"/>
        <w:jc w:val="both"/>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反应机理：</w:t>
      </w:r>
    </w:p>
    <w:p>
      <w:pPr>
        <w:pStyle w:val="19"/>
        <w:snapToGrid w:val="0"/>
        <w:spacing w:line="360" w:lineRule="auto"/>
        <w:ind w:firstLine="480" w:firstLineChars="200"/>
        <w:jc w:val="both"/>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第一步：NaCN</w:t>
      </w:r>
      <w:r>
        <w:rPr>
          <w:rFonts w:hint="eastAsia" w:ascii="Times New Roman" w:hAnsi="Times New Roman" w:cs="Times New Roman"/>
          <w:color w:val="auto"/>
          <w:szCs w:val="24"/>
          <w:highlight w:val="none"/>
          <w:lang w:val="en-US" w:eastAsia="zh-CN"/>
        </w:rPr>
        <w:t>+</w:t>
      </w:r>
      <w:r>
        <w:rPr>
          <w:rFonts w:hint="default" w:ascii="Times New Roman" w:hAnsi="Times New Roman" w:cs="Times New Roman"/>
          <w:color w:val="auto"/>
          <w:szCs w:val="24"/>
          <w:highlight w:val="none"/>
        </w:rPr>
        <w:t>NaClO</w:t>
      </w:r>
      <w:r>
        <w:rPr>
          <w:rFonts w:hint="eastAsia" w:ascii="Times New Roman" w:hAnsi="Times New Roman" w:cs="Times New Roman"/>
          <w:color w:val="auto"/>
          <w:szCs w:val="24"/>
          <w:highlight w:val="none"/>
          <w:lang w:val="en-US" w:eastAsia="zh-CN"/>
        </w:rPr>
        <w:t>=</w:t>
      </w:r>
      <w:r>
        <w:rPr>
          <w:rFonts w:hint="default" w:ascii="Times New Roman" w:hAnsi="Times New Roman" w:cs="Times New Roman"/>
          <w:color w:val="auto"/>
          <w:szCs w:val="24"/>
          <w:highlight w:val="none"/>
        </w:rPr>
        <w:t xml:space="preserve"> NaCNO</w:t>
      </w:r>
      <w:r>
        <w:rPr>
          <w:rFonts w:hint="eastAsia" w:ascii="Times New Roman" w:hAnsi="Times New Roman" w:cs="Times New Roman"/>
          <w:color w:val="auto"/>
          <w:szCs w:val="24"/>
          <w:highlight w:val="none"/>
          <w:lang w:val="en-US" w:eastAsia="zh-CN"/>
        </w:rPr>
        <w:t>+</w:t>
      </w:r>
      <w:r>
        <w:rPr>
          <w:rFonts w:hint="default" w:ascii="Times New Roman" w:hAnsi="Times New Roman" w:cs="Times New Roman"/>
          <w:color w:val="auto"/>
          <w:szCs w:val="24"/>
          <w:highlight w:val="none"/>
        </w:rPr>
        <w:t>NaCl</w:t>
      </w:r>
    </w:p>
    <w:p>
      <w:pPr>
        <w:pStyle w:val="19"/>
        <w:snapToGrid w:val="0"/>
        <w:spacing w:line="360" w:lineRule="auto"/>
        <w:ind w:firstLine="480" w:firstLineChars="200"/>
        <w:jc w:val="both"/>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第二步：2NaCNO</w:t>
      </w:r>
      <w:r>
        <w:rPr>
          <w:rFonts w:hint="eastAsia" w:ascii="Times New Roman" w:hAnsi="Times New Roman" w:cs="Times New Roman"/>
          <w:color w:val="auto"/>
          <w:szCs w:val="24"/>
          <w:highlight w:val="none"/>
          <w:lang w:val="en-US" w:eastAsia="zh-CN"/>
        </w:rPr>
        <w:t>+</w:t>
      </w:r>
      <w:r>
        <w:rPr>
          <w:rFonts w:hint="default" w:ascii="Times New Roman" w:hAnsi="Times New Roman" w:cs="Times New Roman"/>
          <w:color w:val="auto"/>
          <w:szCs w:val="24"/>
          <w:highlight w:val="none"/>
        </w:rPr>
        <w:t>3NaClO</w:t>
      </w:r>
      <w:r>
        <w:rPr>
          <w:rFonts w:hint="eastAsia" w:ascii="Times New Roman" w:hAnsi="Times New Roman" w:cs="Times New Roman"/>
          <w:color w:val="auto"/>
          <w:szCs w:val="24"/>
          <w:highlight w:val="none"/>
          <w:lang w:val="en-US" w:eastAsia="zh-CN"/>
        </w:rPr>
        <w:t>+</w:t>
      </w:r>
      <w:r>
        <w:rPr>
          <w:rFonts w:hint="default" w:ascii="Times New Roman" w:hAnsi="Times New Roman" w:cs="Times New Roman"/>
          <w:color w:val="auto"/>
          <w:szCs w:val="24"/>
          <w:highlight w:val="none"/>
        </w:rPr>
        <w:t>H</w:t>
      </w:r>
      <w:r>
        <w:rPr>
          <w:rFonts w:hint="default" w:ascii="Times New Roman" w:hAnsi="Times New Roman" w:cs="Times New Roman"/>
          <w:color w:val="auto"/>
          <w:szCs w:val="24"/>
          <w:highlight w:val="none"/>
          <w:vertAlign w:val="subscript"/>
        </w:rPr>
        <w:t>2</w:t>
      </w:r>
      <w:r>
        <w:rPr>
          <w:rFonts w:hint="default" w:ascii="Times New Roman" w:hAnsi="Times New Roman" w:cs="Times New Roman"/>
          <w:color w:val="auto"/>
          <w:szCs w:val="24"/>
          <w:highlight w:val="none"/>
        </w:rPr>
        <w:t>O</w:t>
      </w:r>
      <w:r>
        <w:rPr>
          <w:rFonts w:hint="eastAsia" w:ascii="Times New Roman" w:hAnsi="Times New Roman" w:cs="Times New Roman"/>
          <w:color w:val="auto"/>
          <w:szCs w:val="24"/>
          <w:highlight w:val="none"/>
          <w:lang w:val="en-US" w:eastAsia="zh-CN"/>
        </w:rPr>
        <w:t>=</w:t>
      </w:r>
      <w:r>
        <w:rPr>
          <w:rFonts w:hint="default" w:ascii="Times New Roman" w:hAnsi="Times New Roman" w:cs="Times New Roman"/>
          <w:color w:val="auto"/>
          <w:szCs w:val="24"/>
          <w:highlight w:val="none"/>
        </w:rPr>
        <w:t>2CO</w:t>
      </w:r>
      <w:r>
        <w:rPr>
          <w:rFonts w:hint="default" w:ascii="Times New Roman" w:hAnsi="Times New Roman" w:cs="Times New Roman"/>
          <w:color w:val="auto"/>
          <w:szCs w:val="24"/>
          <w:highlight w:val="none"/>
          <w:vertAlign w:val="subscript"/>
        </w:rPr>
        <w:t>2</w:t>
      </w:r>
      <w:r>
        <w:rPr>
          <w:rFonts w:hint="eastAsia" w:ascii="Times New Roman" w:hAnsi="Times New Roman" w:cs="Times New Roman"/>
          <w:color w:val="auto"/>
          <w:szCs w:val="24"/>
          <w:highlight w:val="none"/>
          <w:vertAlign w:val="baseline"/>
          <w:lang w:eastAsia="zh-CN"/>
        </w:rPr>
        <w:t>↑</w:t>
      </w:r>
      <w:r>
        <w:rPr>
          <w:rFonts w:hint="eastAsia" w:ascii="Times New Roman" w:hAnsi="Times New Roman" w:cs="Times New Roman"/>
          <w:color w:val="auto"/>
          <w:szCs w:val="24"/>
          <w:highlight w:val="none"/>
          <w:lang w:val="en-US" w:eastAsia="zh-CN"/>
        </w:rPr>
        <w:t>+</w:t>
      </w:r>
      <w:r>
        <w:rPr>
          <w:rFonts w:hint="default" w:ascii="Times New Roman" w:hAnsi="Times New Roman" w:cs="Times New Roman"/>
          <w:color w:val="auto"/>
          <w:szCs w:val="24"/>
          <w:highlight w:val="none"/>
        </w:rPr>
        <w:t>N</w:t>
      </w:r>
      <w:r>
        <w:rPr>
          <w:rFonts w:hint="default" w:ascii="Times New Roman" w:hAnsi="Times New Roman" w:cs="Times New Roman"/>
          <w:color w:val="auto"/>
          <w:szCs w:val="24"/>
          <w:highlight w:val="none"/>
          <w:vertAlign w:val="subscript"/>
        </w:rPr>
        <w:t>2</w:t>
      </w:r>
      <w:r>
        <w:rPr>
          <w:rFonts w:hint="eastAsia" w:ascii="Times New Roman" w:hAnsi="Times New Roman" w:cs="Times New Roman"/>
          <w:color w:val="auto"/>
          <w:szCs w:val="24"/>
          <w:highlight w:val="none"/>
          <w:vertAlign w:val="baseline"/>
          <w:lang w:eastAsia="zh-CN"/>
        </w:rPr>
        <w:t>↑</w:t>
      </w:r>
      <w:r>
        <w:rPr>
          <w:rFonts w:hint="eastAsia" w:ascii="Times New Roman" w:hAnsi="Times New Roman" w:cs="Times New Roman"/>
          <w:color w:val="auto"/>
          <w:szCs w:val="24"/>
          <w:highlight w:val="none"/>
          <w:lang w:val="en-US" w:eastAsia="zh-CN"/>
        </w:rPr>
        <w:t>+</w:t>
      </w:r>
      <w:r>
        <w:rPr>
          <w:rFonts w:hint="default" w:ascii="Times New Roman" w:hAnsi="Times New Roman" w:cs="Times New Roman"/>
          <w:color w:val="auto"/>
          <w:szCs w:val="24"/>
          <w:highlight w:val="none"/>
        </w:rPr>
        <w:t>3NaCl</w:t>
      </w:r>
      <w:r>
        <w:rPr>
          <w:rFonts w:hint="eastAsia" w:ascii="Times New Roman" w:hAnsi="Times New Roman" w:cs="Times New Roman"/>
          <w:color w:val="auto"/>
          <w:szCs w:val="24"/>
          <w:highlight w:val="none"/>
          <w:lang w:val="en-US" w:eastAsia="zh-CN"/>
        </w:rPr>
        <w:t>+</w:t>
      </w:r>
      <w:r>
        <w:rPr>
          <w:rFonts w:hint="default" w:ascii="Times New Roman" w:hAnsi="Times New Roman" w:cs="Times New Roman"/>
          <w:color w:val="auto"/>
          <w:szCs w:val="24"/>
          <w:highlight w:val="none"/>
        </w:rPr>
        <w:t>2NaOH</w:t>
      </w:r>
    </w:p>
    <w:p>
      <w:pPr>
        <w:pStyle w:val="19"/>
        <w:snapToGrid w:val="0"/>
        <w:spacing w:line="360" w:lineRule="auto"/>
        <w:ind w:firstLine="480" w:firstLineChars="200"/>
        <w:jc w:val="both"/>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④含镍废水处理</w:t>
      </w:r>
    </w:p>
    <w:p>
      <w:pPr>
        <w:pStyle w:val="19"/>
        <w:snapToGrid w:val="0"/>
        <w:spacing w:line="360" w:lineRule="auto"/>
        <w:ind w:firstLine="480" w:firstLineChars="200"/>
        <w:jc w:val="both"/>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含镍废水单独进行处理，采用化学沉淀法工艺进行处理，向污水中投加氢氧化钠，与重金属离子生成相应不溶于水氢氧化物沉淀，同时投加重金属捕集剂，增加镍离子去除效率，保证系统出水满足排放标准。</w:t>
      </w:r>
    </w:p>
    <w:p>
      <w:pPr>
        <w:pStyle w:val="19"/>
        <w:snapToGrid w:val="0"/>
        <w:spacing w:line="360" w:lineRule="auto"/>
        <w:ind w:firstLine="480" w:firstLineChars="200"/>
        <w:jc w:val="both"/>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⑤污泥处理系统</w:t>
      </w:r>
    </w:p>
    <w:p>
      <w:pPr>
        <w:pStyle w:val="19"/>
        <w:snapToGrid w:val="0"/>
        <w:spacing w:line="360" w:lineRule="auto"/>
        <w:ind w:firstLine="480" w:firstLineChars="200"/>
        <w:jc w:val="both"/>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沉淀后产生的重金属污泥浆用板框压滤机脱水，截留下来的重金属固态物其泥渣含</w:t>
      </w:r>
    </w:p>
    <w:p>
      <w:pPr>
        <w:pStyle w:val="19"/>
        <w:snapToGrid w:val="0"/>
        <w:spacing w:line="360" w:lineRule="auto"/>
        <w:jc w:val="both"/>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水率80%左右，经自然风干后，进一步缩小体积后，泥饼及时清理，集中外运后妥善处理，滤下水返回酸碱综合废水集水池3，重新进入污水处理系统，避免二次污染。</w:t>
      </w:r>
    </w:p>
    <w:p>
      <w:pPr>
        <w:pStyle w:val="19"/>
        <w:snapToGrid w:val="0"/>
        <w:spacing w:line="360" w:lineRule="auto"/>
        <w:ind w:firstLine="480" w:firstLineChars="200"/>
        <w:jc w:val="both"/>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⑥反冲洗系统</w:t>
      </w:r>
    </w:p>
    <w:p>
      <w:pPr>
        <w:pStyle w:val="19"/>
        <w:snapToGrid w:val="0"/>
        <w:spacing w:line="360" w:lineRule="auto"/>
        <w:ind w:firstLine="480" w:firstLineChars="200"/>
        <w:jc w:val="both"/>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砂滤罐1、砂滤罐2定期进行反冲洗，反冲洗废水排入地沟，再进入综合废水集水</w:t>
      </w:r>
    </w:p>
    <w:p>
      <w:pPr>
        <w:pStyle w:val="19"/>
        <w:snapToGrid w:val="0"/>
        <w:spacing w:line="360" w:lineRule="auto"/>
        <w:jc w:val="both"/>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池3进行处理。</w:t>
      </w:r>
    </w:p>
    <w:p>
      <w:pPr>
        <w:pStyle w:val="19"/>
        <w:snapToGrid w:val="0"/>
        <w:spacing w:line="360" w:lineRule="auto"/>
        <w:ind w:firstLine="480" w:firstLineChars="200"/>
        <w:jc w:val="both"/>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⑦废液处理系统</w:t>
      </w:r>
    </w:p>
    <w:p>
      <w:pPr>
        <w:pStyle w:val="19"/>
        <w:snapToGrid w:val="0"/>
        <w:spacing w:line="360" w:lineRule="auto"/>
        <w:ind w:firstLine="480" w:firstLineChars="200"/>
        <w:jc w:val="both"/>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废液采取分类收集于容器中，采用人工操作方式多次少量的加入废水，依靠废水处</w:t>
      </w:r>
    </w:p>
    <w:p>
      <w:pPr>
        <w:pStyle w:val="19"/>
        <w:snapToGrid w:val="0"/>
        <w:spacing w:line="360" w:lineRule="auto"/>
        <w:jc w:val="both"/>
        <w:rPr>
          <w:rFonts w:hint="eastAsia" w:ascii="Times New Roman" w:hAnsi="Times New Roman" w:eastAsia="宋体" w:cs="Times New Roman"/>
          <w:color w:val="auto"/>
          <w:szCs w:val="24"/>
          <w:highlight w:val="none"/>
          <w:lang w:eastAsia="zh-CN"/>
        </w:rPr>
      </w:pPr>
      <w:r>
        <w:rPr>
          <w:rFonts w:hint="default" w:ascii="Times New Roman" w:hAnsi="Times New Roman" w:cs="Times New Roman"/>
          <w:color w:val="auto"/>
          <w:szCs w:val="24"/>
          <w:highlight w:val="none"/>
        </w:rPr>
        <w:t>理系统，采取“化整为零”的方法解决</w:t>
      </w:r>
      <w:r>
        <w:rPr>
          <w:rFonts w:hint="eastAsia" w:ascii="Times New Roman" w:hAnsi="Times New Roman" w:cs="Times New Roman"/>
          <w:color w:val="auto"/>
          <w:szCs w:val="24"/>
          <w:highlight w:val="none"/>
          <w:lang w:eastAsia="zh-CN"/>
        </w:rPr>
        <w:t>。</w:t>
      </w:r>
    </w:p>
    <w:p>
      <w:pPr>
        <w:pStyle w:val="19"/>
        <w:snapToGrid w:val="0"/>
        <w:spacing w:line="360" w:lineRule="auto"/>
        <w:ind w:firstLine="480" w:firstLineChars="200"/>
        <w:jc w:val="both"/>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(2)污水站二期处理工艺</w:t>
      </w:r>
    </w:p>
    <w:p>
      <w:pPr>
        <w:pStyle w:val="19"/>
        <w:snapToGrid w:val="0"/>
        <w:spacing w:line="360" w:lineRule="auto"/>
        <w:ind w:firstLine="480" w:firstLineChars="200"/>
        <w:jc w:val="both"/>
        <w:rPr>
          <w:rFonts w:hint="eastAsia" w:ascii="Times New Roman" w:hAnsi="Times New Roman" w:cs="Times New Roman"/>
          <w:color w:val="auto"/>
          <w:szCs w:val="24"/>
          <w:highlight w:val="none"/>
          <w:lang w:eastAsia="zh-CN"/>
        </w:rPr>
      </w:pPr>
      <w:r>
        <w:rPr>
          <w:rFonts w:hint="default" w:ascii="Times New Roman" w:hAnsi="Times New Roman" w:cs="Times New Roman"/>
          <w:color w:val="auto"/>
          <w:szCs w:val="24"/>
          <w:highlight w:val="none"/>
        </w:rPr>
        <w:t>电镀工业园污水站处理工艺流程详见图</w:t>
      </w:r>
      <w:r>
        <w:rPr>
          <w:rFonts w:hint="eastAsia" w:ascii="Times New Roman" w:hAnsi="Times New Roman" w:cs="Times New Roman"/>
          <w:color w:val="auto"/>
          <w:szCs w:val="24"/>
          <w:highlight w:val="none"/>
          <w:lang w:val="en-US" w:eastAsia="zh-CN"/>
        </w:rPr>
        <w:t>4</w:t>
      </w:r>
      <w:r>
        <w:rPr>
          <w:rFonts w:hint="default" w:ascii="Times New Roman" w:hAnsi="Times New Roman" w:cs="Times New Roman"/>
          <w:color w:val="auto"/>
          <w:szCs w:val="24"/>
          <w:highlight w:val="none"/>
        </w:rPr>
        <w:t>.2-1。二期污水处理核心工艺与一期处理核心工艺基本相同，出水增加了一道过滤工序</w:t>
      </w:r>
      <w:r>
        <w:rPr>
          <w:rFonts w:hint="eastAsia" w:ascii="Times New Roman" w:hAnsi="Times New Roman" w:cs="Times New Roman"/>
          <w:color w:val="auto"/>
          <w:szCs w:val="24"/>
          <w:highlight w:val="none"/>
          <w:lang w:eastAsia="zh-CN"/>
        </w:rPr>
        <w:t>。</w:t>
      </w:r>
    </w:p>
    <w:p>
      <w:pPr>
        <w:pStyle w:val="19"/>
        <w:snapToGrid w:val="0"/>
        <w:spacing w:line="360" w:lineRule="auto"/>
        <w:ind w:firstLine="480" w:firstLineChars="200"/>
        <w:jc w:val="both"/>
        <w:rPr>
          <w:rFonts w:hint="eastAsia" w:ascii="Times New Roman" w:hAnsi="Times New Roman" w:cs="Times New Roman"/>
          <w:color w:val="auto"/>
          <w:szCs w:val="24"/>
          <w:highlight w:val="none"/>
          <w:lang w:eastAsia="zh-CN"/>
        </w:rPr>
      </w:pPr>
      <w:r>
        <w:rPr>
          <w:rFonts w:hint="eastAsia" w:ascii="Times New Roman" w:hAnsi="Times New Roman" w:cs="Times New Roman"/>
          <w:color w:val="auto"/>
          <w:szCs w:val="24"/>
          <w:highlight w:val="none"/>
          <w:lang w:val="en-US" w:eastAsia="zh-CN"/>
        </w:rPr>
        <w:t>6</w:t>
      </w:r>
      <w:r>
        <w:rPr>
          <w:rFonts w:hint="eastAsia" w:ascii="Times New Roman" w:hAnsi="Times New Roman" w:cs="Times New Roman"/>
          <w:color w:val="auto"/>
          <w:szCs w:val="24"/>
          <w:highlight w:val="none"/>
          <w:lang w:eastAsia="zh-CN"/>
        </w:rPr>
        <w:t>)污水处理出水水质分析</w:t>
      </w:r>
    </w:p>
    <w:p>
      <w:pPr>
        <w:pStyle w:val="19"/>
        <w:snapToGrid w:val="0"/>
        <w:spacing w:line="360" w:lineRule="auto"/>
        <w:ind w:firstLine="480" w:firstLineChars="200"/>
        <w:jc w:val="both"/>
        <w:rPr>
          <w:rFonts w:hint="eastAsia" w:ascii="Times New Roman" w:hAnsi="Times New Roman" w:cs="Times New Roman"/>
          <w:color w:val="auto"/>
          <w:szCs w:val="24"/>
          <w:highlight w:val="none"/>
          <w:lang w:eastAsia="zh-CN"/>
        </w:rPr>
      </w:pPr>
      <w:r>
        <w:rPr>
          <w:rFonts w:hint="eastAsia" w:ascii="Times New Roman" w:hAnsi="Times New Roman" w:cs="Times New Roman"/>
          <w:color w:val="auto"/>
          <w:szCs w:val="24"/>
          <w:highlight w:val="none"/>
          <w:lang w:eastAsia="zh-CN"/>
        </w:rPr>
        <w:t>201</w:t>
      </w:r>
      <w:r>
        <w:rPr>
          <w:rFonts w:hint="eastAsia" w:ascii="Times New Roman" w:hAnsi="Times New Roman" w:cs="Times New Roman"/>
          <w:color w:val="auto"/>
          <w:szCs w:val="24"/>
          <w:highlight w:val="none"/>
          <w:lang w:val="en-US" w:eastAsia="zh-CN"/>
        </w:rPr>
        <w:t>9</w:t>
      </w:r>
      <w:r>
        <w:rPr>
          <w:rFonts w:hint="eastAsia" w:ascii="Times New Roman" w:hAnsi="Times New Roman" w:cs="Times New Roman"/>
          <w:color w:val="auto"/>
          <w:szCs w:val="24"/>
          <w:highlight w:val="none"/>
          <w:lang w:eastAsia="zh-CN"/>
        </w:rPr>
        <w:t>年</w:t>
      </w:r>
      <w:r>
        <w:rPr>
          <w:rFonts w:hint="eastAsia" w:ascii="Times New Roman" w:hAnsi="Times New Roman" w:cs="Times New Roman"/>
          <w:color w:val="auto"/>
          <w:szCs w:val="24"/>
          <w:highlight w:val="none"/>
          <w:lang w:val="en-US" w:eastAsia="zh-CN"/>
        </w:rPr>
        <w:t>9</w:t>
      </w:r>
      <w:r>
        <w:rPr>
          <w:rFonts w:hint="eastAsia" w:ascii="Times New Roman" w:hAnsi="Times New Roman" w:cs="Times New Roman"/>
          <w:color w:val="auto"/>
          <w:szCs w:val="24"/>
          <w:highlight w:val="none"/>
          <w:lang w:eastAsia="zh-CN"/>
        </w:rPr>
        <w:t>月</w:t>
      </w:r>
      <w:r>
        <w:rPr>
          <w:rFonts w:hint="eastAsia" w:ascii="Times New Roman" w:hAnsi="Times New Roman" w:cs="Times New Roman"/>
          <w:color w:val="auto"/>
          <w:szCs w:val="24"/>
          <w:highlight w:val="none"/>
          <w:lang w:val="en-US" w:eastAsia="zh-CN"/>
        </w:rPr>
        <w:t>13-14</w:t>
      </w:r>
      <w:r>
        <w:rPr>
          <w:rFonts w:hint="eastAsia" w:ascii="Times New Roman" w:hAnsi="Times New Roman" w:cs="Times New Roman"/>
          <w:color w:val="auto"/>
          <w:szCs w:val="24"/>
          <w:highlight w:val="none"/>
          <w:lang w:eastAsia="zh-CN"/>
        </w:rPr>
        <w:t>日，对</w:t>
      </w:r>
      <w:r>
        <w:rPr>
          <w:rFonts w:hint="eastAsia" w:ascii="Times New Roman" w:hAnsi="Times New Roman" w:cs="Times New Roman"/>
          <w:color w:val="auto"/>
          <w:szCs w:val="24"/>
          <w:highlight w:val="none"/>
          <w:lang w:eastAsia="zh-CN"/>
        </w:rPr>
        <w:t>电镀工业园污水处理站排放口进行水质监测，见表</w:t>
      </w:r>
      <w:r>
        <w:rPr>
          <w:rFonts w:hint="eastAsia" w:ascii="Times New Roman" w:hAnsi="Times New Roman" w:cs="Times New Roman"/>
          <w:color w:val="auto"/>
          <w:szCs w:val="24"/>
          <w:highlight w:val="none"/>
          <w:lang w:val="en-US" w:eastAsia="zh-CN"/>
        </w:rPr>
        <w:t>4</w:t>
      </w:r>
      <w:r>
        <w:rPr>
          <w:rFonts w:hint="eastAsia" w:ascii="Times New Roman" w:hAnsi="Times New Roman" w:cs="Times New Roman"/>
          <w:color w:val="auto"/>
          <w:szCs w:val="24"/>
          <w:highlight w:val="none"/>
          <w:lang w:eastAsia="zh-CN"/>
        </w:rPr>
        <w:t>.2-4。可结果可知，工业园污水站排放口各项水质指标均符合相应标准，说明污水处理效果符合预期要求。</w:t>
      </w:r>
    </w:p>
    <w:p>
      <w:pPr>
        <w:adjustRightInd w:val="0"/>
        <w:snapToGrid w:val="0"/>
        <w:spacing w:line="360" w:lineRule="auto"/>
        <w:jc w:val="center"/>
        <w:rPr>
          <w:rFonts w:hint="eastAsia" w:ascii="黑体" w:hAnsi="黑体" w:eastAsia="黑体" w:cs="黑体"/>
          <w:color w:val="auto"/>
          <w:kern w:val="0"/>
          <w:sz w:val="24"/>
          <w:highlight w:val="none"/>
          <w:lang w:val="en-US" w:eastAsia="zh-CN"/>
        </w:rPr>
      </w:pPr>
      <w:r>
        <w:rPr>
          <w:rFonts w:hint="eastAsia" w:ascii="黑体" w:hAnsi="黑体" w:eastAsia="黑体" w:cs="黑体"/>
          <w:color w:val="auto"/>
          <w:kern w:val="0"/>
          <w:sz w:val="24"/>
          <w:highlight w:val="none"/>
          <w:lang w:eastAsia="zh-CN"/>
        </w:rPr>
        <w:t>表</w:t>
      </w:r>
      <w:r>
        <w:rPr>
          <w:rFonts w:hint="eastAsia" w:ascii="黑体" w:hAnsi="黑体" w:eastAsia="黑体" w:cs="黑体"/>
          <w:color w:val="auto"/>
          <w:kern w:val="0"/>
          <w:sz w:val="24"/>
          <w:highlight w:val="none"/>
          <w:lang w:val="en-US" w:eastAsia="zh-CN"/>
        </w:rPr>
        <w:t>4</w:t>
      </w:r>
      <w:r>
        <w:rPr>
          <w:rFonts w:hint="eastAsia" w:ascii="黑体" w:hAnsi="黑体" w:eastAsia="黑体" w:cs="黑体"/>
          <w:color w:val="auto"/>
          <w:kern w:val="0"/>
          <w:sz w:val="24"/>
          <w:highlight w:val="none"/>
          <w:lang w:eastAsia="zh-CN"/>
        </w:rPr>
        <w:t>.2-4</w:t>
      </w:r>
      <w:r>
        <w:rPr>
          <w:rFonts w:hint="eastAsia" w:ascii="黑体" w:hAnsi="黑体" w:eastAsia="黑体" w:cs="黑体"/>
          <w:color w:val="auto"/>
          <w:kern w:val="0"/>
          <w:sz w:val="24"/>
          <w:highlight w:val="none"/>
          <w:lang w:val="en-US" w:eastAsia="zh-CN"/>
        </w:rPr>
        <w:t xml:space="preserve"> </w:t>
      </w:r>
      <w:r>
        <w:rPr>
          <w:rFonts w:hint="eastAsia" w:ascii="黑体" w:hAnsi="黑体" w:eastAsia="黑体" w:cs="黑体"/>
          <w:color w:val="auto"/>
          <w:kern w:val="0"/>
          <w:sz w:val="24"/>
          <w:highlight w:val="none"/>
          <w:lang w:eastAsia="zh-CN"/>
        </w:rPr>
        <w:t xml:space="preserve"> 电镀工业园污水站排放口水质监测结果</w:t>
      </w:r>
      <w:r>
        <w:rPr>
          <w:rFonts w:hint="eastAsia" w:ascii="黑体" w:hAnsi="黑体" w:eastAsia="黑体" w:cs="黑体"/>
          <w:color w:val="auto"/>
          <w:kern w:val="0"/>
          <w:sz w:val="24"/>
          <w:highlight w:val="none"/>
          <w:lang w:val="en-US" w:eastAsia="zh-CN"/>
        </w:rPr>
        <w:t xml:space="preserve"> </w:t>
      </w:r>
      <w:r>
        <w:rPr>
          <w:rFonts w:hint="eastAsia" w:ascii="黑体" w:hAnsi="黑体" w:eastAsia="黑体" w:cs="黑体"/>
          <w:color w:val="auto"/>
          <w:kern w:val="0"/>
          <w:sz w:val="24"/>
          <w:highlight w:val="none"/>
        </w:rPr>
        <w:t>单位：mg/L (pH 除外)</w:t>
      </w:r>
    </w:p>
    <w:tbl>
      <w:tblPr>
        <w:tblStyle w:val="37"/>
        <w:tblW w:w="9231" w:type="dxa"/>
        <w:tblInd w:w="0" w:type="dxa"/>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341"/>
        <w:gridCol w:w="709"/>
        <w:gridCol w:w="1225"/>
        <w:gridCol w:w="826"/>
        <w:gridCol w:w="1026"/>
        <w:gridCol w:w="1026"/>
        <w:gridCol w:w="1026"/>
        <w:gridCol w:w="1026"/>
        <w:gridCol w:w="1026"/>
      </w:tblGrid>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63" w:hRule="atLeast"/>
        </w:trPr>
        <w:tc>
          <w:tcPr>
            <w:tcW w:w="1341" w:type="dxa"/>
            <w:tcBorders>
              <w:tl2br w:val="nil"/>
              <w:tr2bl w:val="nil"/>
            </w:tcBorders>
            <w:vAlign w:val="center"/>
          </w:tcPr>
          <w:p>
            <w:pPr>
              <w:adjustRightInd w:val="0"/>
              <w:snapToGrid w:val="0"/>
              <w:jc w:val="center"/>
              <w:rPr>
                <w:rFonts w:hint="eastAsia"/>
                <w:b/>
                <w:bCs/>
                <w:color w:val="auto"/>
                <w:szCs w:val="21"/>
                <w:highlight w:val="none"/>
                <w:lang w:eastAsia="zh-CN"/>
              </w:rPr>
            </w:pPr>
            <w:r>
              <w:rPr>
                <w:rFonts w:hint="eastAsia"/>
                <w:b/>
                <w:bCs/>
                <w:color w:val="auto"/>
                <w:szCs w:val="21"/>
                <w:highlight w:val="none"/>
                <w:lang w:eastAsia="zh-CN"/>
              </w:rPr>
              <w:t>监测时间</w:t>
            </w:r>
          </w:p>
        </w:tc>
        <w:tc>
          <w:tcPr>
            <w:tcW w:w="709" w:type="dxa"/>
            <w:tcBorders>
              <w:tl2br w:val="nil"/>
              <w:tr2bl w:val="nil"/>
            </w:tcBorders>
            <w:vAlign w:val="center"/>
          </w:tcPr>
          <w:p>
            <w:pPr>
              <w:adjustRightInd w:val="0"/>
              <w:snapToGrid w:val="0"/>
              <w:jc w:val="center"/>
              <w:rPr>
                <w:rFonts w:hint="eastAsia"/>
                <w:b/>
                <w:bCs/>
                <w:color w:val="auto"/>
                <w:szCs w:val="21"/>
                <w:highlight w:val="none"/>
                <w:lang w:eastAsia="zh-CN"/>
              </w:rPr>
            </w:pPr>
            <w:r>
              <w:rPr>
                <w:rFonts w:hint="eastAsia"/>
                <w:b/>
                <w:bCs/>
                <w:color w:val="auto"/>
                <w:szCs w:val="21"/>
                <w:highlight w:val="none"/>
                <w:lang w:eastAsia="zh-CN"/>
              </w:rPr>
              <w:t>总铬</w:t>
            </w:r>
          </w:p>
        </w:tc>
        <w:tc>
          <w:tcPr>
            <w:tcW w:w="1225" w:type="dxa"/>
            <w:tcBorders>
              <w:tl2br w:val="nil"/>
              <w:tr2bl w:val="nil"/>
            </w:tcBorders>
            <w:vAlign w:val="center"/>
          </w:tcPr>
          <w:p>
            <w:pPr>
              <w:adjustRightInd w:val="0"/>
              <w:snapToGrid w:val="0"/>
              <w:jc w:val="center"/>
              <w:rPr>
                <w:rFonts w:hint="eastAsia"/>
                <w:b/>
                <w:bCs/>
                <w:color w:val="auto"/>
                <w:szCs w:val="21"/>
                <w:highlight w:val="none"/>
                <w:lang w:eastAsia="zh-CN"/>
              </w:rPr>
            </w:pPr>
            <w:r>
              <w:rPr>
                <w:rFonts w:hint="eastAsia"/>
                <w:b/>
                <w:bCs/>
                <w:color w:val="auto"/>
                <w:szCs w:val="21"/>
                <w:highlight w:val="none"/>
                <w:lang w:eastAsia="zh-CN"/>
              </w:rPr>
              <w:t>铬(六价)</w:t>
            </w:r>
          </w:p>
        </w:tc>
        <w:tc>
          <w:tcPr>
            <w:tcW w:w="826" w:type="dxa"/>
            <w:tcBorders>
              <w:tl2br w:val="nil"/>
              <w:tr2bl w:val="nil"/>
            </w:tcBorders>
            <w:vAlign w:val="center"/>
          </w:tcPr>
          <w:p>
            <w:pPr>
              <w:adjustRightInd w:val="0"/>
              <w:snapToGrid w:val="0"/>
              <w:jc w:val="center"/>
              <w:rPr>
                <w:rFonts w:hint="eastAsia"/>
                <w:b/>
                <w:bCs/>
                <w:color w:val="auto"/>
                <w:szCs w:val="21"/>
                <w:highlight w:val="none"/>
                <w:lang w:eastAsia="zh-CN"/>
              </w:rPr>
            </w:pPr>
            <w:r>
              <w:rPr>
                <w:rFonts w:hint="eastAsia"/>
                <w:b/>
                <w:bCs/>
                <w:color w:val="auto"/>
                <w:szCs w:val="21"/>
                <w:highlight w:val="none"/>
                <w:lang w:eastAsia="zh-CN"/>
              </w:rPr>
              <w:t>总镍</w:t>
            </w:r>
          </w:p>
        </w:tc>
        <w:tc>
          <w:tcPr>
            <w:tcW w:w="1026" w:type="dxa"/>
            <w:tcBorders>
              <w:tl2br w:val="nil"/>
              <w:tr2bl w:val="nil"/>
            </w:tcBorders>
            <w:vAlign w:val="center"/>
          </w:tcPr>
          <w:p>
            <w:pPr>
              <w:adjustRightInd w:val="0"/>
              <w:snapToGrid w:val="0"/>
              <w:jc w:val="center"/>
              <w:rPr>
                <w:rFonts w:hint="eastAsia"/>
                <w:b/>
                <w:bCs/>
                <w:color w:val="auto"/>
                <w:szCs w:val="21"/>
                <w:highlight w:val="none"/>
                <w:lang w:eastAsia="zh-CN"/>
              </w:rPr>
            </w:pPr>
            <w:r>
              <w:rPr>
                <w:rFonts w:hint="eastAsia"/>
                <w:b/>
                <w:bCs/>
                <w:color w:val="auto"/>
                <w:szCs w:val="21"/>
                <w:highlight w:val="none"/>
                <w:lang w:eastAsia="zh-CN"/>
              </w:rPr>
              <w:t>总银</w:t>
            </w:r>
          </w:p>
        </w:tc>
        <w:tc>
          <w:tcPr>
            <w:tcW w:w="1026" w:type="dxa"/>
            <w:tcBorders>
              <w:tl2br w:val="nil"/>
              <w:tr2bl w:val="nil"/>
            </w:tcBorders>
            <w:vAlign w:val="center"/>
          </w:tcPr>
          <w:p>
            <w:pPr>
              <w:adjustRightInd w:val="0"/>
              <w:snapToGrid w:val="0"/>
              <w:jc w:val="center"/>
              <w:rPr>
                <w:rFonts w:hint="eastAsia"/>
                <w:b/>
                <w:bCs/>
                <w:color w:val="auto"/>
                <w:szCs w:val="21"/>
                <w:highlight w:val="none"/>
                <w:lang w:eastAsia="zh-CN"/>
              </w:rPr>
            </w:pPr>
            <w:r>
              <w:rPr>
                <w:rFonts w:hint="eastAsia"/>
                <w:b/>
                <w:bCs/>
                <w:color w:val="auto"/>
                <w:szCs w:val="21"/>
                <w:highlight w:val="none"/>
                <w:lang w:eastAsia="zh-CN"/>
              </w:rPr>
              <w:t>总锡</w:t>
            </w:r>
          </w:p>
        </w:tc>
        <w:tc>
          <w:tcPr>
            <w:tcW w:w="1026" w:type="dxa"/>
            <w:tcBorders>
              <w:tl2br w:val="nil"/>
              <w:tr2bl w:val="nil"/>
            </w:tcBorders>
            <w:vAlign w:val="center"/>
          </w:tcPr>
          <w:p>
            <w:pPr>
              <w:adjustRightInd w:val="0"/>
              <w:snapToGrid w:val="0"/>
              <w:jc w:val="center"/>
              <w:rPr>
                <w:rFonts w:hint="eastAsia"/>
                <w:b/>
                <w:bCs/>
                <w:color w:val="auto"/>
                <w:szCs w:val="21"/>
                <w:highlight w:val="none"/>
                <w:lang w:eastAsia="zh-CN"/>
              </w:rPr>
            </w:pPr>
            <w:r>
              <w:rPr>
                <w:rFonts w:hint="eastAsia"/>
                <w:b/>
                <w:bCs/>
                <w:color w:val="auto"/>
                <w:szCs w:val="21"/>
                <w:highlight w:val="none"/>
                <w:lang w:eastAsia="zh-CN"/>
              </w:rPr>
              <w:t>pH</w:t>
            </w:r>
          </w:p>
        </w:tc>
        <w:tc>
          <w:tcPr>
            <w:tcW w:w="1026" w:type="dxa"/>
            <w:tcBorders>
              <w:tl2br w:val="nil"/>
              <w:tr2bl w:val="nil"/>
            </w:tcBorders>
            <w:vAlign w:val="center"/>
          </w:tcPr>
          <w:p>
            <w:pPr>
              <w:adjustRightInd w:val="0"/>
              <w:snapToGrid w:val="0"/>
              <w:jc w:val="center"/>
              <w:rPr>
                <w:rFonts w:hint="eastAsia"/>
                <w:b/>
                <w:bCs/>
                <w:color w:val="auto"/>
                <w:szCs w:val="21"/>
                <w:highlight w:val="none"/>
                <w:lang w:eastAsia="zh-CN"/>
              </w:rPr>
            </w:pPr>
            <w:r>
              <w:rPr>
                <w:rFonts w:hint="eastAsia"/>
                <w:b/>
                <w:bCs/>
                <w:color w:val="auto"/>
                <w:szCs w:val="21"/>
                <w:highlight w:val="none"/>
                <w:lang w:eastAsia="zh-CN"/>
              </w:rPr>
              <w:t>总锌</w:t>
            </w:r>
          </w:p>
        </w:tc>
        <w:tc>
          <w:tcPr>
            <w:tcW w:w="1026" w:type="dxa"/>
            <w:tcBorders>
              <w:tl2br w:val="nil"/>
              <w:tr2bl w:val="nil"/>
            </w:tcBorders>
            <w:vAlign w:val="center"/>
          </w:tcPr>
          <w:p>
            <w:pPr>
              <w:adjustRightInd w:val="0"/>
              <w:snapToGrid w:val="0"/>
              <w:jc w:val="center"/>
              <w:rPr>
                <w:rFonts w:hint="eastAsia"/>
                <w:b/>
                <w:bCs/>
                <w:color w:val="auto"/>
                <w:szCs w:val="21"/>
                <w:highlight w:val="none"/>
                <w:lang w:eastAsia="zh-CN"/>
              </w:rPr>
            </w:pPr>
            <w:r>
              <w:rPr>
                <w:rFonts w:hint="eastAsia"/>
                <w:b/>
                <w:bCs/>
                <w:color w:val="auto"/>
                <w:szCs w:val="21"/>
                <w:highlight w:val="none"/>
                <w:lang w:eastAsia="zh-CN"/>
              </w:rPr>
              <w:t>总铜</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63" w:hRule="atLeast"/>
        </w:trPr>
        <w:tc>
          <w:tcPr>
            <w:tcW w:w="1341" w:type="dxa"/>
            <w:vMerge w:val="restart"/>
            <w:tcBorders>
              <w:tl2br w:val="nil"/>
              <w:tr2bl w:val="nil"/>
            </w:tcBorders>
            <w:vAlign w:val="center"/>
          </w:tcPr>
          <w:p>
            <w:pPr>
              <w:adjustRightInd w:val="0"/>
              <w:snapToGrid w:val="0"/>
              <w:jc w:val="center"/>
              <w:rPr>
                <w:rFonts w:hint="eastAsia"/>
                <w:color w:val="auto"/>
                <w:szCs w:val="21"/>
                <w:highlight w:val="none"/>
                <w:lang w:eastAsia="zh-CN"/>
              </w:rPr>
            </w:pPr>
            <w:r>
              <w:rPr>
                <w:rFonts w:hint="eastAsia"/>
                <w:color w:val="auto"/>
                <w:szCs w:val="21"/>
                <w:highlight w:val="none"/>
                <w:lang w:eastAsia="zh-CN"/>
              </w:rPr>
              <w:t>2019年9月13-14日</w:t>
            </w:r>
          </w:p>
        </w:tc>
        <w:tc>
          <w:tcPr>
            <w:tcW w:w="709" w:type="dxa"/>
            <w:tcBorders>
              <w:tl2br w:val="nil"/>
              <w:tr2bl w:val="nil"/>
            </w:tcBorders>
            <w:vAlign w:val="center"/>
          </w:tcPr>
          <w:p>
            <w:pPr>
              <w:adjustRightInd w:val="0"/>
              <w:snapToGrid w:val="0"/>
              <w:jc w:val="center"/>
              <w:rPr>
                <w:rFonts w:hint="eastAsia"/>
                <w:color w:val="auto"/>
                <w:szCs w:val="21"/>
                <w:highlight w:val="none"/>
                <w:lang w:val="en-US" w:eastAsia="zh-CN"/>
              </w:rPr>
            </w:pPr>
            <w:r>
              <w:rPr>
                <w:rFonts w:hint="eastAsia"/>
                <w:color w:val="auto"/>
                <w:szCs w:val="21"/>
                <w:highlight w:val="none"/>
                <w:lang w:val="en-US" w:eastAsia="zh-CN"/>
              </w:rPr>
              <w:t>0.238</w:t>
            </w:r>
          </w:p>
        </w:tc>
        <w:tc>
          <w:tcPr>
            <w:tcW w:w="1225" w:type="dxa"/>
            <w:tcBorders>
              <w:tl2br w:val="nil"/>
              <w:tr2bl w:val="nil"/>
            </w:tcBorders>
            <w:vAlign w:val="center"/>
          </w:tcPr>
          <w:p>
            <w:pPr>
              <w:adjustRightInd w:val="0"/>
              <w:snapToGrid w:val="0"/>
              <w:jc w:val="center"/>
              <w:rPr>
                <w:rFonts w:hint="eastAsia"/>
                <w:color w:val="auto"/>
                <w:szCs w:val="21"/>
                <w:highlight w:val="none"/>
                <w:lang w:val="en-US" w:eastAsia="zh-CN"/>
              </w:rPr>
            </w:pPr>
            <w:r>
              <w:rPr>
                <w:rFonts w:hint="eastAsia"/>
                <w:color w:val="auto"/>
                <w:szCs w:val="21"/>
                <w:highlight w:val="none"/>
                <w:lang w:val="en-US" w:eastAsia="zh-CN"/>
              </w:rPr>
              <w:t>0.095</w:t>
            </w:r>
          </w:p>
        </w:tc>
        <w:tc>
          <w:tcPr>
            <w:tcW w:w="826" w:type="dxa"/>
            <w:tcBorders>
              <w:tl2br w:val="nil"/>
              <w:tr2bl w:val="nil"/>
            </w:tcBorders>
            <w:vAlign w:val="center"/>
          </w:tcPr>
          <w:p>
            <w:pPr>
              <w:adjustRightInd w:val="0"/>
              <w:snapToGrid w:val="0"/>
              <w:jc w:val="center"/>
              <w:rPr>
                <w:rFonts w:hint="eastAsia"/>
                <w:color w:val="auto"/>
                <w:szCs w:val="21"/>
                <w:highlight w:val="none"/>
                <w:lang w:val="en-US" w:eastAsia="zh-CN"/>
              </w:rPr>
            </w:pPr>
            <w:r>
              <w:rPr>
                <w:rFonts w:hint="eastAsia"/>
                <w:color w:val="auto"/>
                <w:szCs w:val="21"/>
                <w:highlight w:val="none"/>
                <w:lang w:val="en-US" w:eastAsia="zh-CN"/>
              </w:rPr>
              <w:t>0.273</w:t>
            </w:r>
          </w:p>
        </w:tc>
        <w:tc>
          <w:tcPr>
            <w:tcW w:w="1026" w:type="dxa"/>
            <w:tcBorders>
              <w:tl2br w:val="nil"/>
              <w:tr2bl w:val="nil"/>
            </w:tcBorders>
            <w:vAlign w:val="center"/>
          </w:tcPr>
          <w:p>
            <w:pPr>
              <w:adjustRightInd w:val="0"/>
              <w:snapToGrid w:val="0"/>
              <w:jc w:val="center"/>
              <w:rPr>
                <w:rFonts w:hint="eastAsia"/>
                <w:color w:val="auto"/>
                <w:szCs w:val="21"/>
                <w:highlight w:val="none"/>
                <w:lang w:val="en-US" w:eastAsia="zh-CN"/>
              </w:rPr>
            </w:pPr>
            <w:r>
              <w:rPr>
                <w:rFonts w:hint="eastAsia"/>
                <w:color w:val="auto"/>
                <w:szCs w:val="21"/>
                <w:highlight w:val="none"/>
                <w:lang w:val="en-US" w:eastAsia="zh-CN"/>
              </w:rPr>
              <w:t>未检出</w:t>
            </w:r>
          </w:p>
        </w:tc>
        <w:tc>
          <w:tcPr>
            <w:tcW w:w="1026" w:type="dxa"/>
            <w:tcBorders>
              <w:tl2br w:val="nil"/>
              <w:tr2bl w:val="nil"/>
            </w:tcBorders>
            <w:vAlign w:val="center"/>
          </w:tcPr>
          <w:p>
            <w:pPr>
              <w:adjustRightInd w:val="0"/>
              <w:snapToGrid w:val="0"/>
              <w:jc w:val="center"/>
              <w:rPr>
                <w:rFonts w:hint="eastAsia"/>
                <w:color w:val="auto"/>
                <w:szCs w:val="21"/>
                <w:highlight w:val="none"/>
                <w:lang w:val="en-US" w:eastAsia="zh-CN"/>
              </w:rPr>
            </w:pPr>
            <w:r>
              <w:rPr>
                <w:rFonts w:hint="eastAsia"/>
                <w:color w:val="auto"/>
                <w:szCs w:val="21"/>
                <w:highlight w:val="none"/>
                <w:lang w:val="en-US" w:eastAsia="zh-CN"/>
              </w:rPr>
              <w:t>未检出</w:t>
            </w:r>
          </w:p>
        </w:tc>
        <w:tc>
          <w:tcPr>
            <w:tcW w:w="1026" w:type="dxa"/>
            <w:tcBorders>
              <w:tl2br w:val="nil"/>
              <w:tr2bl w:val="nil"/>
            </w:tcBorders>
            <w:vAlign w:val="center"/>
          </w:tcPr>
          <w:p>
            <w:pPr>
              <w:adjustRightInd w:val="0"/>
              <w:snapToGrid w:val="0"/>
              <w:jc w:val="center"/>
              <w:rPr>
                <w:rFonts w:hint="eastAsia"/>
                <w:color w:val="auto"/>
                <w:szCs w:val="21"/>
                <w:highlight w:val="none"/>
                <w:lang w:val="en-US" w:eastAsia="zh-CN"/>
              </w:rPr>
            </w:pPr>
            <w:r>
              <w:rPr>
                <w:rFonts w:hint="eastAsia"/>
                <w:color w:val="auto"/>
                <w:szCs w:val="21"/>
                <w:highlight w:val="none"/>
                <w:lang w:val="en-US" w:eastAsia="zh-CN"/>
              </w:rPr>
              <w:t>8.51</w:t>
            </w:r>
          </w:p>
        </w:tc>
        <w:tc>
          <w:tcPr>
            <w:tcW w:w="1026" w:type="dxa"/>
            <w:tcBorders>
              <w:tl2br w:val="nil"/>
              <w:tr2bl w:val="nil"/>
            </w:tcBorders>
            <w:vAlign w:val="center"/>
          </w:tcPr>
          <w:p>
            <w:pPr>
              <w:adjustRightInd w:val="0"/>
              <w:snapToGrid w:val="0"/>
              <w:jc w:val="center"/>
              <w:rPr>
                <w:rFonts w:hint="eastAsia"/>
                <w:color w:val="auto"/>
                <w:szCs w:val="21"/>
                <w:highlight w:val="none"/>
                <w:lang w:val="en-US" w:eastAsia="zh-CN"/>
              </w:rPr>
            </w:pPr>
            <w:r>
              <w:rPr>
                <w:rFonts w:hint="eastAsia"/>
                <w:color w:val="auto"/>
                <w:szCs w:val="21"/>
                <w:highlight w:val="none"/>
                <w:lang w:val="en-US" w:eastAsia="zh-CN"/>
              </w:rPr>
              <w:t>0.123</w:t>
            </w:r>
          </w:p>
        </w:tc>
        <w:tc>
          <w:tcPr>
            <w:tcW w:w="1026" w:type="dxa"/>
            <w:tcBorders>
              <w:tl2br w:val="nil"/>
              <w:tr2bl w:val="nil"/>
            </w:tcBorders>
            <w:vAlign w:val="center"/>
          </w:tcPr>
          <w:p>
            <w:pPr>
              <w:adjustRightInd w:val="0"/>
              <w:snapToGrid w:val="0"/>
              <w:jc w:val="center"/>
              <w:rPr>
                <w:rFonts w:hint="eastAsia"/>
                <w:color w:val="auto"/>
                <w:szCs w:val="21"/>
                <w:highlight w:val="none"/>
                <w:lang w:val="en-US" w:eastAsia="zh-CN"/>
              </w:rPr>
            </w:pPr>
            <w:r>
              <w:rPr>
                <w:rFonts w:hint="eastAsia"/>
                <w:color w:val="auto"/>
                <w:szCs w:val="21"/>
                <w:highlight w:val="none"/>
                <w:lang w:val="en-US" w:eastAsia="zh-CN"/>
              </w:rPr>
              <w:t>0.131</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63" w:hRule="atLeast"/>
        </w:trPr>
        <w:tc>
          <w:tcPr>
            <w:tcW w:w="1341" w:type="dxa"/>
            <w:vMerge w:val="continue"/>
            <w:tcBorders>
              <w:tl2br w:val="nil"/>
              <w:tr2bl w:val="nil"/>
            </w:tcBorders>
            <w:vAlign w:val="center"/>
          </w:tcPr>
          <w:p>
            <w:pPr>
              <w:adjustRightInd w:val="0"/>
              <w:snapToGrid w:val="0"/>
              <w:jc w:val="center"/>
              <w:rPr>
                <w:rFonts w:hint="eastAsia"/>
                <w:color w:val="auto"/>
                <w:szCs w:val="21"/>
                <w:highlight w:val="none"/>
                <w:lang w:eastAsia="zh-CN"/>
              </w:rPr>
            </w:pPr>
          </w:p>
        </w:tc>
        <w:tc>
          <w:tcPr>
            <w:tcW w:w="709" w:type="dxa"/>
            <w:tcBorders>
              <w:tl2br w:val="nil"/>
              <w:tr2bl w:val="nil"/>
            </w:tcBorders>
            <w:vAlign w:val="center"/>
          </w:tcPr>
          <w:p>
            <w:pPr>
              <w:adjustRightInd w:val="0"/>
              <w:snapToGrid w:val="0"/>
              <w:jc w:val="center"/>
              <w:rPr>
                <w:rFonts w:hint="eastAsia"/>
                <w:color w:val="auto"/>
                <w:szCs w:val="21"/>
                <w:highlight w:val="none"/>
                <w:lang w:val="en-US" w:eastAsia="zh-CN"/>
              </w:rPr>
            </w:pPr>
            <w:r>
              <w:rPr>
                <w:rFonts w:hint="eastAsia"/>
                <w:color w:val="auto"/>
                <w:szCs w:val="21"/>
                <w:highlight w:val="none"/>
                <w:lang w:val="en-US" w:eastAsia="zh-CN"/>
              </w:rPr>
              <w:t>1.0</w:t>
            </w:r>
          </w:p>
        </w:tc>
        <w:tc>
          <w:tcPr>
            <w:tcW w:w="1225" w:type="dxa"/>
            <w:tcBorders>
              <w:tl2br w:val="nil"/>
              <w:tr2bl w:val="nil"/>
            </w:tcBorders>
            <w:vAlign w:val="center"/>
          </w:tcPr>
          <w:p>
            <w:pPr>
              <w:adjustRightInd w:val="0"/>
              <w:snapToGrid w:val="0"/>
              <w:jc w:val="center"/>
              <w:rPr>
                <w:rFonts w:hint="eastAsia"/>
                <w:color w:val="auto"/>
                <w:szCs w:val="21"/>
                <w:highlight w:val="none"/>
                <w:lang w:val="en-US" w:eastAsia="zh-CN"/>
              </w:rPr>
            </w:pPr>
            <w:r>
              <w:rPr>
                <w:rFonts w:hint="eastAsia"/>
                <w:color w:val="auto"/>
                <w:szCs w:val="21"/>
                <w:highlight w:val="none"/>
                <w:lang w:val="en-US" w:eastAsia="zh-CN"/>
              </w:rPr>
              <w:t>0.2</w:t>
            </w:r>
          </w:p>
        </w:tc>
        <w:tc>
          <w:tcPr>
            <w:tcW w:w="826" w:type="dxa"/>
            <w:tcBorders>
              <w:tl2br w:val="nil"/>
              <w:tr2bl w:val="nil"/>
            </w:tcBorders>
            <w:vAlign w:val="center"/>
          </w:tcPr>
          <w:p>
            <w:pPr>
              <w:adjustRightInd w:val="0"/>
              <w:snapToGrid w:val="0"/>
              <w:jc w:val="center"/>
              <w:rPr>
                <w:rFonts w:hint="eastAsia"/>
                <w:color w:val="auto"/>
                <w:szCs w:val="21"/>
                <w:highlight w:val="none"/>
                <w:lang w:val="en-US" w:eastAsia="zh-CN"/>
              </w:rPr>
            </w:pPr>
            <w:r>
              <w:rPr>
                <w:rFonts w:hint="eastAsia"/>
                <w:color w:val="auto"/>
                <w:szCs w:val="21"/>
                <w:highlight w:val="none"/>
                <w:lang w:val="en-US" w:eastAsia="zh-CN"/>
              </w:rPr>
              <w:t>0.5</w:t>
            </w:r>
          </w:p>
        </w:tc>
        <w:tc>
          <w:tcPr>
            <w:tcW w:w="1026" w:type="dxa"/>
            <w:tcBorders>
              <w:tl2br w:val="nil"/>
              <w:tr2bl w:val="nil"/>
            </w:tcBorders>
            <w:vAlign w:val="center"/>
          </w:tcPr>
          <w:p>
            <w:pPr>
              <w:adjustRightInd w:val="0"/>
              <w:snapToGrid w:val="0"/>
              <w:jc w:val="center"/>
              <w:rPr>
                <w:rFonts w:hint="eastAsia"/>
                <w:color w:val="auto"/>
                <w:szCs w:val="21"/>
                <w:highlight w:val="none"/>
                <w:lang w:val="en-US" w:eastAsia="zh-CN"/>
              </w:rPr>
            </w:pPr>
            <w:r>
              <w:rPr>
                <w:rFonts w:hint="eastAsia"/>
                <w:color w:val="auto"/>
                <w:szCs w:val="21"/>
                <w:highlight w:val="none"/>
                <w:lang w:val="en-US" w:eastAsia="zh-CN"/>
              </w:rPr>
              <w:t>0.3</w:t>
            </w:r>
          </w:p>
        </w:tc>
        <w:tc>
          <w:tcPr>
            <w:tcW w:w="1026" w:type="dxa"/>
            <w:tcBorders>
              <w:tl2br w:val="nil"/>
              <w:tr2bl w:val="nil"/>
            </w:tcBorders>
            <w:vAlign w:val="center"/>
          </w:tcPr>
          <w:p>
            <w:pPr>
              <w:adjustRightInd w:val="0"/>
              <w:snapToGrid w:val="0"/>
              <w:jc w:val="center"/>
              <w:rPr>
                <w:rFonts w:hint="eastAsia"/>
                <w:color w:val="auto"/>
                <w:szCs w:val="21"/>
                <w:highlight w:val="none"/>
                <w:lang w:val="en-US" w:eastAsia="zh-CN"/>
              </w:rPr>
            </w:pPr>
            <w:r>
              <w:rPr>
                <w:rFonts w:hint="eastAsia"/>
                <w:color w:val="auto"/>
                <w:szCs w:val="21"/>
                <w:highlight w:val="none"/>
                <w:lang w:val="en-US" w:eastAsia="zh-CN"/>
              </w:rPr>
              <w:t>5.0</w:t>
            </w:r>
          </w:p>
        </w:tc>
        <w:tc>
          <w:tcPr>
            <w:tcW w:w="1026" w:type="dxa"/>
            <w:tcBorders>
              <w:tl2br w:val="nil"/>
              <w:tr2bl w:val="nil"/>
            </w:tcBorders>
            <w:vAlign w:val="center"/>
          </w:tcPr>
          <w:p>
            <w:pPr>
              <w:adjustRightInd w:val="0"/>
              <w:snapToGrid w:val="0"/>
              <w:jc w:val="center"/>
              <w:rPr>
                <w:rFonts w:hint="eastAsia"/>
                <w:color w:val="auto"/>
                <w:szCs w:val="21"/>
                <w:highlight w:val="none"/>
                <w:lang w:val="en-US" w:eastAsia="zh-CN"/>
              </w:rPr>
            </w:pPr>
            <w:r>
              <w:rPr>
                <w:rFonts w:hint="eastAsia"/>
                <w:color w:val="auto"/>
                <w:szCs w:val="21"/>
                <w:highlight w:val="none"/>
                <w:lang w:val="en-US" w:eastAsia="zh-CN"/>
              </w:rPr>
              <w:t>6-9</w:t>
            </w:r>
          </w:p>
        </w:tc>
        <w:tc>
          <w:tcPr>
            <w:tcW w:w="1026" w:type="dxa"/>
            <w:tcBorders>
              <w:tl2br w:val="nil"/>
              <w:tr2bl w:val="nil"/>
            </w:tcBorders>
            <w:vAlign w:val="center"/>
          </w:tcPr>
          <w:p>
            <w:pPr>
              <w:adjustRightInd w:val="0"/>
              <w:snapToGrid w:val="0"/>
              <w:jc w:val="center"/>
              <w:rPr>
                <w:rFonts w:hint="eastAsia"/>
                <w:color w:val="auto"/>
                <w:szCs w:val="21"/>
                <w:highlight w:val="none"/>
                <w:lang w:val="en-US" w:eastAsia="zh-CN"/>
              </w:rPr>
            </w:pPr>
            <w:r>
              <w:rPr>
                <w:rFonts w:hint="eastAsia"/>
                <w:color w:val="auto"/>
                <w:szCs w:val="21"/>
                <w:highlight w:val="none"/>
                <w:lang w:val="en-US" w:eastAsia="zh-CN"/>
              </w:rPr>
              <w:t>1.5</w:t>
            </w:r>
          </w:p>
        </w:tc>
        <w:tc>
          <w:tcPr>
            <w:tcW w:w="1026" w:type="dxa"/>
            <w:tcBorders>
              <w:tl2br w:val="nil"/>
              <w:tr2bl w:val="nil"/>
            </w:tcBorders>
            <w:vAlign w:val="center"/>
          </w:tcPr>
          <w:p>
            <w:pPr>
              <w:adjustRightInd w:val="0"/>
              <w:snapToGrid w:val="0"/>
              <w:jc w:val="center"/>
              <w:rPr>
                <w:rFonts w:hint="eastAsia"/>
                <w:color w:val="auto"/>
                <w:szCs w:val="21"/>
                <w:highlight w:val="none"/>
                <w:lang w:val="en-US" w:eastAsia="zh-CN"/>
              </w:rPr>
            </w:pPr>
            <w:r>
              <w:rPr>
                <w:rFonts w:hint="eastAsia"/>
                <w:color w:val="auto"/>
                <w:szCs w:val="21"/>
                <w:highlight w:val="none"/>
                <w:lang w:val="en-US" w:eastAsia="zh-CN"/>
              </w:rPr>
              <w:t>0.5</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63" w:hRule="atLeast"/>
        </w:trPr>
        <w:tc>
          <w:tcPr>
            <w:tcW w:w="1341" w:type="dxa"/>
            <w:tcBorders>
              <w:tl2br w:val="nil"/>
              <w:tr2bl w:val="nil"/>
            </w:tcBorders>
            <w:vAlign w:val="center"/>
          </w:tcPr>
          <w:p>
            <w:pPr>
              <w:adjustRightInd w:val="0"/>
              <w:snapToGrid w:val="0"/>
              <w:jc w:val="center"/>
              <w:rPr>
                <w:rFonts w:hint="eastAsia"/>
                <w:color w:val="auto"/>
                <w:szCs w:val="21"/>
                <w:highlight w:val="none"/>
                <w:lang w:eastAsia="zh-CN"/>
              </w:rPr>
            </w:pPr>
            <w:r>
              <w:rPr>
                <w:rFonts w:hint="eastAsia"/>
                <w:color w:val="auto"/>
                <w:szCs w:val="21"/>
                <w:highlight w:val="none"/>
                <w:lang w:eastAsia="zh-CN"/>
              </w:rPr>
              <w:t>GB21900-2008表2标准</w:t>
            </w:r>
          </w:p>
        </w:tc>
        <w:tc>
          <w:tcPr>
            <w:tcW w:w="7890" w:type="dxa"/>
            <w:gridSpan w:val="8"/>
            <w:tcBorders>
              <w:tl2br w:val="nil"/>
              <w:tr2bl w:val="nil"/>
            </w:tcBorders>
            <w:vAlign w:val="center"/>
          </w:tcPr>
          <w:p>
            <w:pPr>
              <w:adjustRightInd w:val="0"/>
              <w:snapToGrid w:val="0"/>
              <w:jc w:val="center"/>
              <w:rPr>
                <w:rFonts w:hint="eastAsia"/>
                <w:color w:val="auto"/>
                <w:szCs w:val="21"/>
                <w:highlight w:val="none"/>
                <w:lang w:eastAsia="zh-CN"/>
              </w:rPr>
            </w:pPr>
            <w:r>
              <w:rPr>
                <w:rFonts w:hint="eastAsia"/>
                <w:color w:val="auto"/>
                <w:szCs w:val="21"/>
                <w:highlight w:val="none"/>
                <w:lang w:eastAsia="zh-CN"/>
              </w:rPr>
              <w:t>处理设施排放口</w:t>
            </w:r>
          </w:p>
        </w:tc>
      </w:tr>
    </w:tbl>
    <w:p>
      <w:pPr>
        <w:pStyle w:val="19"/>
        <w:snapToGrid w:val="0"/>
        <w:spacing w:line="360" w:lineRule="auto"/>
        <w:ind w:firstLine="480" w:firstLineChars="200"/>
        <w:jc w:val="both"/>
        <w:rPr>
          <w:rFonts w:hint="eastAsia" w:ascii="Times New Roman" w:hAnsi="Times New Roman" w:cs="Times New Roman"/>
          <w:color w:val="auto"/>
          <w:szCs w:val="24"/>
          <w:highlight w:val="none"/>
          <w:lang w:eastAsia="zh-CN"/>
        </w:rPr>
      </w:pPr>
      <w:r>
        <w:rPr>
          <w:rFonts w:hint="eastAsia" w:ascii="Times New Roman" w:hAnsi="Times New Roman" w:cs="Times New Roman"/>
          <w:color w:val="auto"/>
          <w:szCs w:val="24"/>
          <w:highlight w:val="none"/>
          <w:lang w:eastAsia="zh-CN"/>
        </w:rPr>
        <w:t>根据监测数据(青[皓]WT1901283G、青[皓]WT1901343)可知，在含铬、含镍废水处理系统出水口铬(六价)、总铬、总镍、总银、总锡指标浓度均可满足《电镀污染物排放标准》(GB21900-2010)表2要求。其他污染物可达到《污水排入城市下水道水质标准》(GB/T31962-2015)表1中B级要求和镰湾河水质净化厂进水水质要求；生活污水中各污染物排放达到GB/T31962-2015要求。</w:t>
      </w:r>
    </w:p>
    <w:p>
      <w:pPr>
        <w:pStyle w:val="19"/>
        <w:snapToGrid w:val="0"/>
        <w:spacing w:line="360" w:lineRule="auto"/>
        <w:ind w:firstLine="480" w:firstLineChars="200"/>
        <w:jc w:val="both"/>
        <w:rPr>
          <w:rFonts w:hint="eastAsia" w:ascii="Times New Roman" w:hAnsi="Times New Roman" w:cs="Times New Roman"/>
          <w:color w:val="auto"/>
          <w:szCs w:val="24"/>
          <w:highlight w:val="none"/>
          <w:lang w:eastAsia="zh-CN"/>
        </w:rPr>
      </w:pPr>
      <w:r>
        <w:rPr>
          <w:rFonts w:hint="eastAsia" w:ascii="Times New Roman" w:hAnsi="Times New Roman" w:cs="Times New Roman"/>
          <w:color w:val="auto"/>
          <w:szCs w:val="24"/>
          <w:highlight w:val="none"/>
          <w:lang w:eastAsia="zh-CN"/>
        </w:rPr>
        <w:t>综上，综合配套管线、进水水质要求与处理容量等方面分析，项目电镀废水进入电镀工业园污水站处理是可行的。</w:t>
      </w:r>
    </w:p>
    <w:p>
      <w:pPr>
        <w:pStyle w:val="19"/>
        <w:snapToGrid w:val="0"/>
        <w:spacing w:line="360" w:lineRule="auto"/>
        <w:ind w:firstLine="480" w:firstLineChars="200"/>
        <w:jc w:val="both"/>
        <w:rPr>
          <w:rFonts w:hint="eastAsia" w:ascii="Times New Roman" w:hAnsi="Times New Roman" w:cs="Times New Roman"/>
          <w:color w:val="auto"/>
          <w:szCs w:val="24"/>
          <w:highlight w:val="none"/>
          <w:lang w:eastAsia="zh-CN"/>
        </w:rPr>
      </w:pPr>
      <w:r>
        <w:rPr>
          <w:rFonts w:hint="eastAsia" w:ascii="Times New Roman" w:hAnsi="Times New Roman" w:cs="Times New Roman"/>
          <w:color w:val="auto"/>
          <w:szCs w:val="24"/>
          <w:highlight w:val="none"/>
          <w:lang w:eastAsia="zh-CN"/>
        </w:rPr>
        <w:t>通过以上分析，项目产生的各类废水分类收集，该项目自身及废水处理所依托的电镀工业园污水站确保污水站出水水质稳定达标的前提下，项目废水排放不会对环境造成明显影响。</w:t>
      </w:r>
    </w:p>
    <w:p>
      <w:pPr>
        <w:pStyle w:val="19"/>
        <w:snapToGrid w:val="0"/>
        <w:spacing w:line="360" w:lineRule="auto"/>
        <w:ind w:firstLine="480" w:firstLineChars="200"/>
        <w:jc w:val="both"/>
        <w:rPr>
          <w:rFonts w:hint="eastAsia" w:ascii="Times New Roman" w:hAnsi="Times New Roman" w:cs="Times New Roman"/>
          <w:color w:val="auto"/>
          <w:szCs w:val="24"/>
          <w:highlight w:val="none"/>
          <w:lang w:eastAsia="zh-CN"/>
        </w:rPr>
      </w:pPr>
      <w:r>
        <w:rPr>
          <w:color w:val="auto"/>
          <w:kern w:val="0"/>
          <w:sz w:val="24"/>
          <w:highlight w:val="none"/>
        </w:rPr>
        <w:t>因此，该</w:t>
      </w:r>
      <w:r>
        <w:rPr>
          <w:rFonts w:hint="eastAsia"/>
          <w:color w:val="auto"/>
          <w:kern w:val="0"/>
          <w:sz w:val="24"/>
          <w:highlight w:val="none"/>
          <w:lang w:eastAsia="zh-CN"/>
        </w:rPr>
        <w:t>园区</w:t>
      </w:r>
      <w:r>
        <w:rPr>
          <w:color w:val="auto"/>
          <w:kern w:val="0"/>
          <w:sz w:val="24"/>
          <w:highlight w:val="none"/>
        </w:rPr>
        <w:t>废水污染防治措施可行、有效。</w:t>
      </w:r>
    </w:p>
    <w:p>
      <w:pPr>
        <w:pStyle w:val="19"/>
        <w:snapToGrid w:val="0"/>
        <w:spacing w:line="360" w:lineRule="auto"/>
        <w:jc w:val="center"/>
        <w:rPr>
          <w:color w:val="auto"/>
          <w:highlight w:val="none"/>
        </w:rPr>
      </w:pPr>
      <w:r>
        <w:rPr>
          <w:color w:val="auto"/>
          <w:highlight w:val="none"/>
        </w:rPr>
        <w:drawing>
          <wp:inline distT="0" distB="0" distL="114300" distR="114300">
            <wp:extent cx="5462270" cy="6284595"/>
            <wp:effectExtent l="0" t="0" r="5080" b="1905"/>
            <wp:docPr id="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pic:cNvPicPr>
                      <a:picLocks noChangeAspect="1"/>
                    </pic:cNvPicPr>
                  </pic:nvPicPr>
                  <pic:blipFill>
                    <a:blip r:embed="rId57"/>
                    <a:stretch>
                      <a:fillRect/>
                    </a:stretch>
                  </pic:blipFill>
                  <pic:spPr>
                    <a:xfrm>
                      <a:off x="0" y="0"/>
                      <a:ext cx="5462270" cy="6284595"/>
                    </a:xfrm>
                    <a:prstGeom prst="rect">
                      <a:avLst/>
                    </a:prstGeom>
                    <a:noFill/>
                    <a:ln w="9525">
                      <a:noFill/>
                    </a:ln>
                  </pic:spPr>
                </pic:pic>
              </a:graphicData>
            </a:graphic>
          </wp:inline>
        </w:drawing>
      </w:r>
    </w:p>
    <w:p>
      <w:pPr>
        <w:adjustRightInd w:val="0"/>
        <w:snapToGrid w:val="0"/>
        <w:spacing w:line="360" w:lineRule="auto"/>
        <w:jc w:val="center"/>
        <w:rPr>
          <w:rFonts w:hint="eastAsia" w:ascii="黑体" w:hAnsi="黑体" w:eastAsia="黑体" w:cs="黑体"/>
          <w:color w:val="auto"/>
          <w:kern w:val="0"/>
          <w:sz w:val="24"/>
          <w:highlight w:val="none"/>
        </w:rPr>
      </w:pPr>
      <w:r>
        <w:rPr>
          <w:rFonts w:hint="eastAsia" w:ascii="黑体" w:hAnsi="黑体" w:eastAsia="黑体" w:cs="黑体"/>
          <w:color w:val="auto"/>
          <w:kern w:val="0"/>
          <w:sz w:val="24"/>
          <w:highlight w:val="none"/>
        </w:rPr>
        <w:t>图</w:t>
      </w:r>
      <w:r>
        <w:rPr>
          <w:rFonts w:hint="eastAsia" w:ascii="黑体" w:hAnsi="黑体" w:eastAsia="黑体" w:cs="黑体"/>
          <w:color w:val="auto"/>
          <w:kern w:val="0"/>
          <w:sz w:val="24"/>
          <w:highlight w:val="none"/>
          <w:lang w:val="en-US" w:eastAsia="zh-CN"/>
        </w:rPr>
        <w:t>4</w:t>
      </w:r>
      <w:r>
        <w:rPr>
          <w:rFonts w:hint="eastAsia" w:ascii="黑体" w:hAnsi="黑体" w:eastAsia="黑体" w:cs="黑体"/>
          <w:color w:val="auto"/>
          <w:kern w:val="0"/>
          <w:sz w:val="24"/>
          <w:highlight w:val="none"/>
        </w:rPr>
        <w:t xml:space="preserve">.2-1 </w:t>
      </w:r>
      <w:r>
        <w:rPr>
          <w:rFonts w:hint="eastAsia" w:ascii="黑体" w:hAnsi="黑体" w:eastAsia="黑体" w:cs="黑体"/>
          <w:color w:val="auto"/>
          <w:kern w:val="0"/>
          <w:sz w:val="24"/>
          <w:highlight w:val="none"/>
          <w:lang w:val="en-US" w:eastAsia="zh-CN"/>
        </w:rPr>
        <w:t xml:space="preserve"> </w:t>
      </w:r>
      <w:r>
        <w:rPr>
          <w:rFonts w:hint="eastAsia" w:ascii="黑体" w:hAnsi="黑体" w:eastAsia="黑体" w:cs="黑体"/>
          <w:color w:val="auto"/>
          <w:kern w:val="0"/>
          <w:sz w:val="24"/>
          <w:highlight w:val="none"/>
        </w:rPr>
        <w:t>电镀工业园污水站处理工艺流程</w:t>
      </w:r>
    </w:p>
    <w:p>
      <w:pPr>
        <w:keepNext/>
        <w:keepLines/>
        <w:pageBreakBefore w:val="0"/>
        <w:widowControl w:val="0"/>
        <w:kinsoku/>
        <w:wordWrap/>
        <w:overflowPunct/>
        <w:topLinePunct w:val="0"/>
        <w:autoSpaceDE/>
        <w:autoSpaceDN/>
        <w:bidi w:val="0"/>
        <w:adjustRightInd w:val="0"/>
        <w:snapToGrid w:val="0"/>
        <w:spacing w:line="360" w:lineRule="auto"/>
        <w:jc w:val="left"/>
        <w:textAlignment w:val="auto"/>
        <w:outlineLvl w:val="2"/>
        <w:rPr>
          <w:color w:val="auto"/>
          <w:sz w:val="24"/>
          <w:highlight w:val="none"/>
        </w:rPr>
      </w:pPr>
      <w:r>
        <w:rPr>
          <w:rFonts w:hint="eastAsia" w:eastAsia="黑体"/>
          <w:bCs/>
          <w:color w:val="auto"/>
          <w:sz w:val="24"/>
          <w:highlight w:val="none"/>
          <w:lang w:val="zh-CN"/>
        </w:rPr>
        <w:t>4.2</w:t>
      </w:r>
      <w:r>
        <w:rPr>
          <w:rFonts w:hint="eastAsia" w:eastAsia="黑体"/>
          <w:bCs/>
          <w:color w:val="auto"/>
          <w:sz w:val="24"/>
          <w:highlight w:val="none"/>
          <w:lang w:val="en-US" w:eastAsia="zh-CN"/>
        </w:rPr>
        <w:t>.1</w:t>
      </w:r>
      <w:r>
        <w:rPr>
          <w:rFonts w:hint="eastAsia" w:eastAsia="黑体"/>
          <w:bCs/>
          <w:color w:val="auto"/>
          <w:sz w:val="24"/>
          <w:highlight w:val="none"/>
          <w:lang w:val="zh-CN"/>
        </w:rPr>
        <w:t xml:space="preserve"> </w:t>
      </w:r>
      <w:r>
        <w:rPr>
          <w:rFonts w:hint="eastAsia" w:eastAsia="黑体"/>
          <w:bCs/>
          <w:color w:val="auto"/>
          <w:sz w:val="24"/>
          <w:highlight w:val="none"/>
          <w:lang w:val="en-US" w:eastAsia="zh-CN"/>
        </w:rPr>
        <w:t>地下</w:t>
      </w:r>
      <w:r>
        <w:rPr>
          <w:rFonts w:eastAsia="黑体"/>
          <w:bCs/>
          <w:color w:val="auto"/>
          <w:sz w:val="24"/>
          <w:highlight w:val="none"/>
          <w:lang w:val="zh-CN"/>
        </w:rPr>
        <w:t>水</w:t>
      </w:r>
      <w:r>
        <w:rPr>
          <w:rFonts w:hint="eastAsia" w:eastAsia="黑体"/>
          <w:bCs/>
          <w:color w:val="auto"/>
          <w:sz w:val="24"/>
          <w:highlight w:val="none"/>
          <w:lang w:val="zh-CN"/>
        </w:rPr>
        <w:t>污染防治措施</w:t>
      </w:r>
      <w:r>
        <w:rPr>
          <w:rFonts w:hint="eastAsia" w:ascii="Times New Roman" w:hAnsi="Times New Roman" w:eastAsia="黑体" w:cs="Times New Roman"/>
          <w:bCs/>
          <w:color w:val="auto"/>
          <w:sz w:val="24"/>
          <w:highlight w:val="none"/>
          <w:lang w:val="zh-CN"/>
        </w:rPr>
        <w:t>有效性评估</w:t>
      </w:r>
    </w:p>
    <w:p>
      <w:pPr>
        <w:pStyle w:val="19"/>
        <w:snapToGrid w:val="0"/>
        <w:spacing w:line="360" w:lineRule="auto"/>
        <w:ind w:firstLine="480" w:firstLineChars="200"/>
        <w:jc w:val="both"/>
        <w:rPr>
          <w:rFonts w:hint="eastAsia" w:ascii="Times New Roman" w:hAnsi="Times New Roman" w:cs="Times New Roman"/>
          <w:color w:val="auto"/>
          <w:szCs w:val="24"/>
          <w:highlight w:val="none"/>
          <w:lang w:eastAsia="zh-CN"/>
        </w:rPr>
      </w:pPr>
      <w:r>
        <w:rPr>
          <w:rFonts w:hint="eastAsia" w:ascii="Times New Roman" w:hAnsi="Times New Roman" w:cs="Times New Roman"/>
          <w:color w:val="auto"/>
          <w:szCs w:val="24"/>
          <w:highlight w:val="none"/>
          <w:lang w:eastAsia="zh-CN"/>
        </w:rPr>
        <w:t>针对本项目可能对地下水造成的污染情况，</w:t>
      </w:r>
      <w:r>
        <w:rPr>
          <w:rFonts w:hint="eastAsia" w:ascii="Times New Roman" w:hAnsi="Times New Roman" w:cs="Times New Roman"/>
          <w:color w:val="auto"/>
          <w:szCs w:val="24"/>
          <w:highlight w:val="none"/>
          <w:lang w:val="en-US" w:eastAsia="zh-CN"/>
        </w:rPr>
        <w:t>建设单位</w:t>
      </w:r>
      <w:r>
        <w:rPr>
          <w:rFonts w:hint="eastAsia" w:ascii="Times New Roman" w:hAnsi="Times New Roman" w:cs="Times New Roman"/>
          <w:color w:val="auto"/>
          <w:szCs w:val="24"/>
          <w:highlight w:val="none"/>
          <w:lang w:eastAsia="zh-CN"/>
        </w:rPr>
        <w:t>采取</w:t>
      </w:r>
      <w:r>
        <w:rPr>
          <w:rFonts w:hint="eastAsia" w:ascii="Times New Roman" w:hAnsi="Times New Roman" w:cs="Times New Roman"/>
          <w:color w:val="auto"/>
          <w:szCs w:val="24"/>
          <w:highlight w:val="none"/>
          <w:lang w:val="en-US" w:eastAsia="zh-CN"/>
        </w:rPr>
        <w:t>了</w:t>
      </w:r>
      <w:r>
        <w:rPr>
          <w:rFonts w:hint="eastAsia" w:ascii="Times New Roman" w:hAnsi="Times New Roman" w:cs="Times New Roman"/>
          <w:color w:val="auto"/>
          <w:szCs w:val="24"/>
          <w:highlight w:val="none"/>
          <w:lang w:eastAsia="zh-CN"/>
        </w:rPr>
        <w:t>防止地下水污染的保护措施如下。</w:t>
      </w:r>
    </w:p>
    <w:p>
      <w:pPr>
        <w:pStyle w:val="19"/>
        <w:snapToGrid w:val="0"/>
        <w:spacing w:line="360" w:lineRule="auto"/>
        <w:ind w:firstLine="480" w:firstLineChars="200"/>
        <w:jc w:val="both"/>
        <w:rPr>
          <w:rFonts w:hint="eastAsia" w:ascii="Times New Roman" w:hAnsi="Times New Roman" w:cs="Times New Roman"/>
          <w:color w:val="auto"/>
          <w:szCs w:val="24"/>
          <w:highlight w:val="none"/>
          <w:lang w:eastAsia="zh-CN"/>
        </w:rPr>
      </w:pPr>
      <w:r>
        <w:rPr>
          <w:rFonts w:hint="eastAsia" w:ascii="Times New Roman" w:hAnsi="Times New Roman" w:cs="Times New Roman"/>
          <w:color w:val="auto"/>
          <w:szCs w:val="24"/>
          <w:highlight w:val="none"/>
          <w:lang w:eastAsia="zh-CN"/>
        </w:rPr>
        <w:t>（1）源头控制</w:t>
      </w:r>
    </w:p>
    <w:p>
      <w:pPr>
        <w:pStyle w:val="19"/>
        <w:snapToGrid w:val="0"/>
        <w:spacing w:line="360" w:lineRule="auto"/>
        <w:ind w:firstLine="480" w:firstLineChars="200"/>
        <w:jc w:val="both"/>
        <w:rPr>
          <w:color w:val="auto"/>
          <w:sz w:val="24"/>
          <w:highlight w:val="none"/>
        </w:rPr>
      </w:pPr>
      <w:r>
        <w:rPr>
          <w:rFonts w:hint="eastAsia" w:ascii="Times New Roman" w:hAnsi="Times New Roman" w:cs="Times New Roman"/>
          <w:color w:val="auto"/>
          <w:szCs w:val="24"/>
          <w:highlight w:val="none"/>
          <w:lang w:eastAsia="zh-CN"/>
        </w:rPr>
        <w:t>①建立和完善污、雨水的收集设施，并对厂区可能产生污染和泄露下渗的场地进行防渗处理。对于危险化学品等溶液的储存场所，进行良好的抗腐、防渗处理，同时在储存区周围进行围挡。</w:t>
      </w:r>
    </w:p>
    <w:p>
      <w:pPr>
        <w:tabs>
          <w:tab w:val="left" w:pos="0"/>
        </w:tabs>
        <w:spacing w:line="440" w:lineRule="exact"/>
        <w:ind w:firstLine="544" w:firstLineChars="227"/>
        <w:rPr>
          <w:color w:val="auto"/>
          <w:sz w:val="24"/>
          <w:highlight w:val="none"/>
        </w:rPr>
      </w:pPr>
      <w:r>
        <w:rPr>
          <w:rFonts w:hint="eastAsia" w:ascii="宋体" w:hAnsi="宋体" w:cs="宋体"/>
          <w:color w:val="auto"/>
          <w:sz w:val="24"/>
          <w:highlight w:val="none"/>
        </w:rPr>
        <w:t>②</w:t>
      </w:r>
      <w:r>
        <w:rPr>
          <w:color w:val="auto"/>
          <w:sz w:val="24"/>
          <w:highlight w:val="none"/>
        </w:rPr>
        <w:t>项目</w:t>
      </w:r>
      <w:r>
        <w:rPr>
          <w:rFonts w:hint="eastAsia"/>
          <w:color w:val="auto"/>
          <w:sz w:val="24"/>
          <w:highlight w:val="none"/>
          <w:lang w:val="en-US" w:eastAsia="zh-CN"/>
        </w:rPr>
        <w:t>各</w:t>
      </w:r>
      <w:r>
        <w:rPr>
          <w:color w:val="auto"/>
          <w:sz w:val="24"/>
          <w:highlight w:val="none"/>
        </w:rPr>
        <w:t>车间</w:t>
      </w:r>
      <w:r>
        <w:rPr>
          <w:rFonts w:hint="eastAsia"/>
          <w:color w:val="auto"/>
          <w:sz w:val="24"/>
          <w:highlight w:val="none"/>
          <w:lang w:val="en-US" w:eastAsia="zh-CN"/>
        </w:rPr>
        <w:t>所在车间楼</w:t>
      </w:r>
      <w:r>
        <w:rPr>
          <w:color w:val="auto"/>
          <w:sz w:val="24"/>
          <w:highlight w:val="none"/>
        </w:rPr>
        <w:t>设有含镍废水、含铬废水、综合废水收集池各1个，同时</w:t>
      </w:r>
      <w:r>
        <w:rPr>
          <w:rFonts w:hint="eastAsia"/>
          <w:color w:val="auto"/>
          <w:sz w:val="24"/>
          <w:highlight w:val="none"/>
          <w:u w:val="dotted"/>
          <w:lang w:val="en-US" w:eastAsia="zh-CN"/>
        </w:rPr>
        <w:t>园区</w:t>
      </w:r>
      <w:r>
        <w:rPr>
          <w:color w:val="auto"/>
          <w:sz w:val="24"/>
          <w:highlight w:val="none"/>
        </w:rPr>
        <w:t>污水站设有事故水池，保证在正常、非正常、事故状态下污水能收集，不会对地下水造成污染，污水处理站内的污水输送均采用管道输送，各处理池采取防腐防渗措施。</w:t>
      </w:r>
    </w:p>
    <w:p>
      <w:pPr>
        <w:tabs>
          <w:tab w:val="left" w:pos="0"/>
        </w:tabs>
        <w:spacing w:line="440" w:lineRule="exact"/>
        <w:ind w:firstLine="544" w:firstLineChars="227"/>
        <w:rPr>
          <w:bCs/>
          <w:color w:val="auto"/>
          <w:kern w:val="44"/>
          <w:sz w:val="24"/>
          <w:highlight w:val="none"/>
        </w:rPr>
      </w:pPr>
      <w:r>
        <w:rPr>
          <w:rFonts w:hint="eastAsia" w:ascii="宋体" w:hAnsi="宋体" w:cs="宋体"/>
          <w:color w:val="auto"/>
          <w:sz w:val="24"/>
          <w:highlight w:val="none"/>
        </w:rPr>
        <w:t>③</w:t>
      </w:r>
      <w:r>
        <w:rPr>
          <w:bCs/>
          <w:color w:val="auto"/>
          <w:kern w:val="44"/>
          <w:sz w:val="24"/>
          <w:highlight w:val="none"/>
        </w:rPr>
        <w:t>加强生产和设备运行管理，从原料产品储存、生产、运输、污染处理设施等全过程控制各种有害材料、产品泄露，采取行之有效的防渗措施，定期检查污染源项地下水保护设施，及时消除污染隐患，杜绝跑冒滴漏现象；发现有污染物泄漏或渗漏，采取清理污染物和修补等补救措施。</w:t>
      </w:r>
    </w:p>
    <w:p>
      <w:pPr>
        <w:spacing w:line="440" w:lineRule="exact"/>
        <w:ind w:firstLine="480" w:firstLineChars="200"/>
        <w:rPr>
          <w:color w:val="auto"/>
          <w:sz w:val="24"/>
          <w:highlight w:val="none"/>
        </w:rPr>
      </w:pPr>
      <w:r>
        <w:rPr>
          <w:color w:val="auto"/>
          <w:sz w:val="24"/>
          <w:highlight w:val="none"/>
        </w:rPr>
        <w:t>（2）分区防治</w:t>
      </w:r>
    </w:p>
    <w:p>
      <w:pPr>
        <w:spacing w:line="440" w:lineRule="exact"/>
        <w:ind w:firstLine="480" w:firstLineChars="200"/>
        <w:rPr>
          <w:color w:val="auto"/>
          <w:sz w:val="24"/>
          <w:highlight w:val="none"/>
        </w:rPr>
      </w:pPr>
      <w:r>
        <w:rPr>
          <w:color w:val="auto"/>
          <w:sz w:val="24"/>
          <w:highlight w:val="none"/>
        </w:rPr>
        <w:t>针对不同生产环节的的污染防治要求，针对性的采取不同的防腐、防渗工程措施。具体见表</w:t>
      </w:r>
      <w:r>
        <w:rPr>
          <w:rFonts w:hint="eastAsia"/>
          <w:color w:val="auto"/>
          <w:sz w:val="24"/>
          <w:highlight w:val="none"/>
          <w:lang w:val="en-US" w:eastAsia="zh-CN"/>
        </w:rPr>
        <w:t>4</w:t>
      </w:r>
      <w:r>
        <w:rPr>
          <w:color w:val="auto"/>
          <w:sz w:val="24"/>
          <w:highlight w:val="none"/>
        </w:rPr>
        <w:t>.2-3。</w:t>
      </w:r>
    </w:p>
    <w:p>
      <w:pPr>
        <w:spacing w:line="440" w:lineRule="exact"/>
        <w:ind w:firstLine="480" w:firstLineChars="200"/>
        <w:rPr>
          <w:color w:val="auto"/>
          <w:sz w:val="24"/>
          <w:highlight w:val="none"/>
        </w:rPr>
      </w:pPr>
      <w:r>
        <w:rPr>
          <w:color w:val="auto"/>
          <w:sz w:val="24"/>
          <w:highlight w:val="none"/>
        </w:rPr>
        <w:t>重点污染区：包括电镀区，污水收集井及输送管道、化学品库、危险废物暂存</w:t>
      </w:r>
      <w:r>
        <w:rPr>
          <w:rFonts w:hint="eastAsia"/>
          <w:color w:val="auto"/>
          <w:sz w:val="24"/>
          <w:highlight w:val="none"/>
          <w:lang w:val="en-US" w:eastAsia="zh-CN"/>
        </w:rPr>
        <w:t>区</w:t>
      </w:r>
      <w:r>
        <w:rPr>
          <w:color w:val="auto"/>
          <w:sz w:val="24"/>
          <w:highlight w:val="none"/>
        </w:rPr>
        <w:t>等。重点污染区严格按照</w:t>
      </w:r>
      <w:r>
        <w:rPr>
          <w:color w:val="auto"/>
          <w:kern w:val="24"/>
          <w:sz w:val="24"/>
          <w:highlight w:val="none"/>
        </w:rPr>
        <w:t>《危险废物贮存污染控制</w:t>
      </w:r>
      <w:r>
        <w:rPr>
          <w:snapToGrid w:val="0"/>
          <w:color w:val="auto"/>
          <w:kern w:val="0"/>
          <w:sz w:val="24"/>
          <w:highlight w:val="none"/>
        </w:rPr>
        <w:t>标准</w:t>
      </w:r>
      <w:r>
        <w:rPr>
          <w:color w:val="auto"/>
          <w:kern w:val="24"/>
          <w:sz w:val="24"/>
          <w:highlight w:val="none"/>
        </w:rPr>
        <w:t>》</w:t>
      </w:r>
      <w:r>
        <w:rPr>
          <w:rFonts w:hint="eastAsia"/>
          <w:color w:val="auto"/>
          <w:kern w:val="24"/>
          <w:sz w:val="24"/>
          <w:highlight w:val="none"/>
          <w:lang w:val="en-US" w:eastAsia="zh-CN"/>
        </w:rPr>
        <w:t>(</w:t>
      </w:r>
      <w:r>
        <w:rPr>
          <w:color w:val="auto"/>
          <w:kern w:val="24"/>
          <w:sz w:val="24"/>
          <w:highlight w:val="none"/>
        </w:rPr>
        <w:t>GB18597-2001</w:t>
      </w:r>
      <w:r>
        <w:rPr>
          <w:rFonts w:hint="eastAsia"/>
          <w:color w:val="auto"/>
          <w:kern w:val="24"/>
          <w:sz w:val="24"/>
          <w:highlight w:val="none"/>
          <w:lang w:val="en-US" w:eastAsia="zh-CN"/>
        </w:rPr>
        <w:t>)</w:t>
      </w:r>
      <w:r>
        <w:rPr>
          <w:color w:val="auto"/>
          <w:kern w:val="24"/>
          <w:sz w:val="24"/>
          <w:highlight w:val="none"/>
        </w:rPr>
        <w:t>、</w:t>
      </w:r>
      <w:r>
        <w:rPr>
          <w:color w:val="auto"/>
          <w:sz w:val="24"/>
          <w:highlight w:val="none"/>
        </w:rPr>
        <w:t>《电镀废水治理工程技术规范》</w:t>
      </w:r>
      <w:r>
        <w:rPr>
          <w:rFonts w:hint="eastAsia"/>
          <w:color w:val="auto"/>
          <w:sz w:val="24"/>
          <w:highlight w:val="none"/>
          <w:lang w:val="en-US" w:eastAsia="zh-CN"/>
        </w:rPr>
        <w:t>(</w:t>
      </w:r>
      <w:r>
        <w:rPr>
          <w:color w:val="auto"/>
          <w:sz w:val="24"/>
          <w:highlight w:val="none"/>
        </w:rPr>
        <w:t>HJ2002-2010</w:t>
      </w:r>
      <w:r>
        <w:rPr>
          <w:rFonts w:hint="eastAsia"/>
          <w:color w:val="auto"/>
          <w:sz w:val="24"/>
          <w:highlight w:val="none"/>
          <w:lang w:val="en-US" w:eastAsia="zh-CN"/>
        </w:rPr>
        <w:t>)</w:t>
      </w:r>
      <w:r>
        <w:rPr>
          <w:color w:val="auto"/>
          <w:sz w:val="24"/>
          <w:highlight w:val="none"/>
        </w:rPr>
        <w:t>等标准及技术规范要求进行防渗工程设计施工</w:t>
      </w:r>
      <w:r>
        <w:rPr>
          <w:color w:val="auto"/>
          <w:kern w:val="24"/>
          <w:sz w:val="24"/>
          <w:highlight w:val="none"/>
        </w:rPr>
        <w:t>，</w:t>
      </w:r>
      <w:r>
        <w:rPr>
          <w:color w:val="auto"/>
          <w:sz w:val="24"/>
          <w:highlight w:val="none"/>
        </w:rPr>
        <w:t>确保重点污染区各单元防渗层渗透系数≤10</w:t>
      </w:r>
      <w:r>
        <w:rPr>
          <w:color w:val="auto"/>
          <w:sz w:val="24"/>
          <w:highlight w:val="none"/>
          <w:vertAlign w:val="superscript"/>
        </w:rPr>
        <w:t>-12</w:t>
      </w:r>
      <w:r>
        <w:rPr>
          <w:color w:val="auto"/>
          <w:sz w:val="24"/>
          <w:highlight w:val="none"/>
        </w:rPr>
        <w:t>cm/s。选用优质PVC管道；管道外包防渗膜，渗层渗透系数≤10</w:t>
      </w:r>
      <w:r>
        <w:rPr>
          <w:color w:val="auto"/>
          <w:sz w:val="24"/>
          <w:highlight w:val="none"/>
          <w:vertAlign w:val="superscript"/>
        </w:rPr>
        <w:t>-10</w:t>
      </w:r>
      <w:r>
        <w:rPr>
          <w:color w:val="auto"/>
          <w:sz w:val="24"/>
          <w:highlight w:val="none"/>
        </w:rPr>
        <w:t>cm/s。</w:t>
      </w:r>
    </w:p>
    <w:p>
      <w:pPr>
        <w:spacing w:line="440" w:lineRule="exact"/>
        <w:ind w:firstLine="480" w:firstLineChars="200"/>
        <w:rPr>
          <w:color w:val="auto"/>
          <w:sz w:val="24"/>
          <w:highlight w:val="none"/>
        </w:rPr>
      </w:pPr>
      <w:r>
        <w:rPr>
          <w:color w:val="auto"/>
          <w:sz w:val="24"/>
          <w:highlight w:val="none"/>
        </w:rPr>
        <w:t>一般污染区：包装区、办公区、公辅设施等，地面采取粘土铺底，再在上层铺10~15cm的水泥进行硬化。通过上述措施可使一般污染区各单元防渗层渗透系数≤10</w:t>
      </w:r>
      <w:r>
        <w:rPr>
          <w:color w:val="auto"/>
          <w:sz w:val="24"/>
          <w:highlight w:val="none"/>
          <w:vertAlign w:val="superscript"/>
        </w:rPr>
        <w:t>-7</w:t>
      </w:r>
      <w:r>
        <w:rPr>
          <w:color w:val="auto"/>
          <w:sz w:val="24"/>
          <w:highlight w:val="none"/>
        </w:rPr>
        <w:t>cm/s。</w:t>
      </w:r>
    </w:p>
    <w:p>
      <w:pPr>
        <w:spacing w:line="440" w:lineRule="exact"/>
        <w:jc w:val="center"/>
        <w:rPr>
          <w:rFonts w:eastAsia="黑体"/>
          <w:color w:val="auto"/>
          <w:sz w:val="24"/>
          <w:highlight w:val="none"/>
        </w:rPr>
      </w:pPr>
      <w:r>
        <w:rPr>
          <w:rFonts w:eastAsia="黑体"/>
          <w:color w:val="auto"/>
          <w:sz w:val="24"/>
          <w:highlight w:val="none"/>
        </w:rPr>
        <w:t>表</w:t>
      </w:r>
      <w:r>
        <w:rPr>
          <w:rFonts w:hint="eastAsia" w:eastAsia="黑体"/>
          <w:color w:val="auto"/>
          <w:sz w:val="24"/>
          <w:highlight w:val="none"/>
          <w:lang w:val="en-US" w:eastAsia="zh-CN"/>
        </w:rPr>
        <w:t>4</w:t>
      </w:r>
      <w:r>
        <w:rPr>
          <w:rFonts w:eastAsia="黑体"/>
          <w:color w:val="auto"/>
          <w:sz w:val="24"/>
          <w:highlight w:val="none"/>
        </w:rPr>
        <w:t>.2-3  采取的分区防渗处理措施</w:t>
      </w:r>
    </w:p>
    <w:tbl>
      <w:tblPr>
        <w:tblStyle w:val="36"/>
        <w:tblW w:w="9523" w:type="dxa"/>
        <w:tblInd w:w="0"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971"/>
        <w:gridCol w:w="2434"/>
        <w:gridCol w:w="4766"/>
        <w:gridCol w:w="1352"/>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trPr>
        <w:tc>
          <w:tcPr>
            <w:tcW w:w="3405" w:type="dxa"/>
            <w:gridSpan w:val="2"/>
            <w:noWrap w:val="0"/>
            <w:vAlign w:val="center"/>
          </w:tcPr>
          <w:p>
            <w:pPr>
              <w:spacing w:line="300" w:lineRule="exact"/>
              <w:jc w:val="center"/>
              <w:rPr>
                <w:b/>
                <w:color w:val="auto"/>
                <w:szCs w:val="21"/>
                <w:highlight w:val="none"/>
              </w:rPr>
            </w:pPr>
            <w:r>
              <w:rPr>
                <w:b/>
                <w:color w:val="auto"/>
                <w:szCs w:val="21"/>
                <w:highlight w:val="none"/>
              </w:rPr>
              <w:t>防渗部位</w:t>
            </w:r>
          </w:p>
        </w:tc>
        <w:tc>
          <w:tcPr>
            <w:tcW w:w="4766" w:type="dxa"/>
            <w:noWrap w:val="0"/>
            <w:vAlign w:val="center"/>
          </w:tcPr>
          <w:p>
            <w:pPr>
              <w:spacing w:line="300" w:lineRule="exact"/>
              <w:jc w:val="center"/>
              <w:rPr>
                <w:b/>
                <w:color w:val="auto"/>
                <w:szCs w:val="21"/>
                <w:highlight w:val="none"/>
              </w:rPr>
            </w:pPr>
            <w:r>
              <w:rPr>
                <w:b/>
                <w:color w:val="auto"/>
                <w:szCs w:val="21"/>
                <w:highlight w:val="none"/>
              </w:rPr>
              <w:t>采取的防渗措施</w:t>
            </w:r>
          </w:p>
        </w:tc>
        <w:tc>
          <w:tcPr>
            <w:tcW w:w="1352" w:type="dxa"/>
            <w:noWrap w:val="0"/>
            <w:vAlign w:val="center"/>
          </w:tcPr>
          <w:p>
            <w:pPr>
              <w:spacing w:line="300" w:lineRule="exact"/>
              <w:jc w:val="center"/>
              <w:rPr>
                <w:b/>
                <w:color w:val="auto"/>
                <w:szCs w:val="21"/>
                <w:highlight w:val="none"/>
              </w:rPr>
            </w:pPr>
            <w:r>
              <w:rPr>
                <w:b/>
                <w:color w:val="auto"/>
                <w:szCs w:val="21"/>
                <w:highlight w:val="none"/>
              </w:rPr>
              <w:t>防渗系数</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trPr>
        <w:tc>
          <w:tcPr>
            <w:tcW w:w="971" w:type="dxa"/>
            <w:vMerge w:val="restart"/>
            <w:noWrap w:val="0"/>
            <w:vAlign w:val="center"/>
          </w:tcPr>
          <w:p>
            <w:pPr>
              <w:spacing w:line="300" w:lineRule="exact"/>
              <w:jc w:val="center"/>
              <w:rPr>
                <w:color w:val="auto"/>
                <w:szCs w:val="21"/>
                <w:highlight w:val="none"/>
              </w:rPr>
            </w:pPr>
            <w:r>
              <w:rPr>
                <w:color w:val="auto"/>
                <w:szCs w:val="21"/>
                <w:highlight w:val="none"/>
              </w:rPr>
              <w:t>重点污染区</w:t>
            </w:r>
          </w:p>
        </w:tc>
        <w:tc>
          <w:tcPr>
            <w:tcW w:w="2434" w:type="dxa"/>
            <w:tcBorders>
              <w:bottom w:val="dotted" w:color="auto" w:sz="4" w:space="0"/>
            </w:tcBorders>
            <w:noWrap w:val="0"/>
            <w:vAlign w:val="center"/>
          </w:tcPr>
          <w:p>
            <w:pPr>
              <w:spacing w:line="300" w:lineRule="exact"/>
              <w:jc w:val="center"/>
              <w:rPr>
                <w:color w:val="auto"/>
                <w:szCs w:val="21"/>
                <w:highlight w:val="none"/>
              </w:rPr>
            </w:pPr>
            <w:r>
              <w:rPr>
                <w:color w:val="auto"/>
                <w:szCs w:val="21"/>
                <w:highlight w:val="none"/>
              </w:rPr>
              <w:t>电镀车间</w:t>
            </w:r>
          </w:p>
        </w:tc>
        <w:tc>
          <w:tcPr>
            <w:tcW w:w="4766" w:type="dxa"/>
            <w:tcBorders>
              <w:bottom w:val="dotted" w:color="auto" w:sz="4" w:space="0"/>
            </w:tcBorders>
            <w:noWrap w:val="0"/>
            <w:vAlign w:val="center"/>
          </w:tcPr>
          <w:p>
            <w:pPr>
              <w:spacing w:line="300" w:lineRule="exact"/>
              <w:rPr>
                <w:color w:val="auto"/>
                <w:szCs w:val="21"/>
                <w:highlight w:val="none"/>
              </w:rPr>
            </w:pPr>
            <w:r>
              <w:rPr>
                <w:color w:val="auto"/>
                <w:szCs w:val="21"/>
                <w:highlight w:val="none"/>
              </w:rPr>
              <w:t>1、车间采取粘土铺底，再在上层铺设10-15cm的水泥进行硬化，并铺玻璃钢等人工防腐、防渗材料。</w:t>
            </w:r>
          </w:p>
          <w:p>
            <w:pPr>
              <w:spacing w:line="300" w:lineRule="exact"/>
              <w:rPr>
                <w:color w:val="auto"/>
                <w:szCs w:val="21"/>
                <w:highlight w:val="none"/>
              </w:rPr>
            </w:pPr>
            <w:r>
              <w:rPr>
                <w:color w:val="auto"/>
                <w:szCs w:val="21"/>
                <w:highlight w:val="none"/>
              </w:rPr>
              <w:t>2、企业对各类废水进行分区区划，分区作业，各分区之间设有0.5m高的围堰。企业各类废水管道、管沟设计，围堰采取均严格的防腐蚀、防渗漏处理措施。采用玻璃钢、环氧树脂泥防腐水泥防渗。</w:t>
            </w:r>
          </w:p>
        </w:tc>
        <w:tc>
          <w:tcPr>
            <w:tcW w:w="1352" w:type="dxa"/>
            <w:vMerge w:val="restart"/>
            <w:noWrap w:val="0"/>
            <w:vAlign w:val="center"/>
          </w:tcPr>
          <w:p>
            <w:pPr>
              <w:spacing w:line="300" w:lineRule="exact"/>
              <w:jc w:val="center"/>
              <w:rPr>
                <w:color w:val="auto"/>
                <w:szCs w:val="21"/>
                <w:highlight w:val="none"/>
              </w:rPr>
            </w:pPr>
            <w:r>
              <w:rPr>
                <w:bCs/>
                <w:color w:val="auto"/>
                <w:kern w:val="44"/>
                <w:szCs w:val="21"/>
                <w:highlight w:val="none"/>
              </w:rPr>
              <w:t>≤1.0×10</w:t>
            </w:r>
            <w:r>
              <w:rPr>
                <w:bCs/>
                <w:color w:val="auto"/>
                <w:kern w:val="44"/>
                <w:szCs w:val="21"/>
                <w:highlight w:val="none"/>
                <w:vertAlign w:val="superscript"/>
              </w:rPr>
              <w:t>-12</w:t>
            </w:r>
            <w:r>
              <w:rPr>
                <w:bCs/>
                <w:color w:val="auto"/>
                <w:kern w:val="44"/>
                <w:szCs w:val="21"/>
                <w:highlight w:val="none"/>
              </w:rPr>
              <w:t>cm/s</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trPr>
        <w:tc>
          <w:tcPr>
            <w:tcW w:w="971" w:type="dxa"/>
            <w:vMerge w:val="continue"/>
            <w:noWrap w:val="0"/>
            <w:vAlign w:val="center"/>
          </w:tcPr>
          <w:p>
            <w:pPr>
              <w:spacing w:line="300" w:lineRule="exact"/>
              <w:jc w:val="center"/>
              <w:rPr>
                <w:color w:val="auto"/>
                <w:szCs w:val="21"/>
                <w:highlight w:val="none"/>
              </w:rPr>
            </w:pPr>
          </w:p>
        </w:tc>
        <w:tc>
          <w:tcPr>
            <w:tcW w:w="2434" w:type="dxa"/>
            <w:tcBorders>
              <w:top w:val="dotted" w:color="auto" w:sz="4" w:space="0"/>
            </w:tcBorders>
            <w:noWrap w:val="0"/>
            <w:vAlign w:val="center"/>
          </w:tcPr>
          <w:p>
            <w:pPr>
              <w:spacing w:line="300" w:lineRule="exact"/>
              <w:jc w:val="center"/>
              <w:rPr>
                <w:color w:val="auto"/>
                <w:szCs w:val="21"/>
                <w:highlight w:val="none"/>
              </w:rPr>
            </w:pPr>
            <w:r>
              <w:rPr>
                <w:color w:val="auto"/>
                <w:szCs w:val="21"/>
                <w:highlight w:val="none"/>
              </w:rPr>
              <w:t>危废库、化学品库</w:t>
            </w:r>
          </w:p>
        </w:tc>
        <w:tc>
          <w:tcPr>
            <w:tcW w:w="4766" w:type="dxa"/>
            <w:tcBorders>
              <w:top w:val="dotted" w:color="auto" w:sz="4" w:space="0"/>
            </w:tcBorders>
            <w:noWrap w:val="0"/>
            <w:vAlign w:val="center"/>
          </w:tcPr>
          <w:p>
            <w:pPr>
              <w:spacing w:line="300" w:lineRule="exact"/>
              <w:rPr>
                <w:color w:val="auto"/>
                <w:szCs w:val="21"/>
                <w:highlight w:val="none"/>
              </w:rPr>
            </w:pPr>
            <w:r>
              <w:rPr>
                <w:color w:val="auto"/>
                <w:szCs w:val="21"/>
                <w:highlight w:val="none"/>
              </w:rPr>
              <w:t>严格按照《危险废物贮存污染控制标准》</w:t>
            </w:r>
            <w:r>
              <w:rPr>
                <w:rFonts w:hint="eastAsia"/>
                <w:color w:val="auto"/>
                <w:szCs w:val="21"/>
                <w:highlight w:val="none"/>
                <w:lang w:eastAsia="zh-CN"/>
              </w:rPr>
              <w:t>（</w:t>
            </w:r>
            <w:r>
              <w:rPr>
                <w:color w:val="auto"/>
                <w:szCs w:val="21"/>
                <w:highlight w:val="none"/>
              </w:rPr>
              <w:t>GB18597-2001</w:t>
            </w:r>
            <w:r>
              <w:rPr>
                <w:rFonts w:hint="eastAsia"/>
                <w:color w:val="auto"/>
                <w:szCs w:val="21"/>
                <w:highlight w:val="none"/>
                <w:lang w:eastAsia="zh-CN"/>
              </w:rPr>
              <w:t>）</w:t>
            </w:r>
            <w:r>
              <w:rPr>
                <w:color w:val="auto"/>
                <w:szCs w:val="21"/>
                <w:highlight w:val="none"/>
              </w:rPr>
              <w:t>及修改单要求，采取防腐、防渗、防风、防雨、防晒措施，采用玻璃钢、环氧树脂泥防腐水泥防渗。</w:t>
            </w:r>
          </w:p>
        </w:tc>
        <w:tc>
          <w:tcPr>
            <w:tcW w:w="1352" w:type="dxa"/>
            <w:vMerge w:val="continue"/>
            <w:noWrap w:val="0"/>
            <w:vAlign w:val="center"/>
          </w:tcPr>
          <w:p>
            <w:pPr>
              <w:spacing w:line="300" w:lineRule="exact"/>
              <w:jc w:val="center"/>
              <w:rPr>
                <w:bCs/>
                <w:color w:val="auto"/>
                <w:kern w:val="44"/>
                <w:szCs w:val="21"/>
                <w:highlight w:val="none"/>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trPr>
        <w:tc>
          <w:tcPr>
            <w:tcW w:w="971" w:type="dxa"/>
            <w:vMerge w:val="continue"/>
            <w:noWrap w:val="0"/>
            <w:vAlign w:val="center"/>
          </w:tcPr>
          <w:p>
            <w:pPr>
              <w:spacing w:line="300" w:lineRule="exact"/>
              <w:jc w:val="center"/>
              <w:rPr>
                <w:color w:val="auto"/>
                <w:szCs w:val="21"/>
                <w:highlight w:val="none"/>
              </w:rPr>
            </w:pPr>
          </w:p>
        </w:tc>
        <w:tc>
          <w:tcPr>
            <w:tcW w:w="2434" w:type="dxa"/>
            <w:noWrap w:val="0"/>
            <w:vAlign w:val="center"/>
          </w:tcPr>
          <w:p>
            <w:pPr>
              <w:spacing w:line="300" w:lineRule="exact"/>
              <w:jc w:val="center"/>
              <w:rPr>
                <w:color w:val="auto"/>
                <w:szCs w:val="21"/>
                <w:highlight w:val="none"/>
              </w:rPr>
            </w:pPr>
            <w:r>
              <w:rPr>
                <w:color w:val="auto"/>
                <w:szCs w:val="21"/>
                <w:highlight w:val="none"/>
              </w:rPr>
              <w:t>污水输送管道</w:t>
            </w:r>
          </w:p>
        </w:tc>
        <w:tc>
          <w:tcPr>
            <w:tcW w:w="4766" w:type="dxa"/>
            <w:noWrap w:val="0"/>
            <w:vAlign w:val="center"/>
          </w:tcPr>
          <w:p>
            <w:pPr>
              <w:spacing w:line="300" w:lineRule="exact"/>
              <w:rPr>
                <w:color w:val="auto"/>
                <w:szCs w:val="21"/>
                <w:highlight w:val="none"/>
              </w:rPr>
            </w:pPr>
            <w:r>
              <w:rPr>
                <w:color w:val="auto"/>
                <w:szCs w:val="21"/>
                <w:highlight w:val="none"/>
              </w:rPr>
              <w:t>选用优质PVC管道；管道外包防渗膜。</w:t>
            </w:r>
          </w:p>
        </w:tc>
        <w:tc>
          <w:tcPr>
            <w:tcW w:w="1352" w:type="dxa"/>
            <w:noWrap w:val="0"/>
            <w:vAlign w:val="center"/>
          </w:tcPr>
          <w:p>
            <w:pPr>
              <w:spacing w:line="300" w:lineRule="exact"/>
              <w:jc w:val="center"/>
              <w:rPr>
                <w:color w:val="auto"/>
                <w:szCs w:val="21"/>
                <w:highlight w:val="none"/>
              </w:rPr>
            </w:pPr>
            <w:r>
              <w:rPr>
                <w:bCs/>
                <w:color w:val="auto"/>
                <w:kern w:val="44"/>
                <w:szCs w:val="21"/>
                <w:highlight w:val="none"/>
              </w:rPr>
              <w:t>≤1.0×10</w:t>
            </w:r>
            <w:r>
              <w:rPr>
                <w:bCs/>
                <w:color w:val="auto"/>
                <w:kern w:val="44"/>
                <w:szCs w:val="21"/>
                <w:highlight w:val="none"/>
                <w:vertAlign w:val="superscript"/>
              </w:rPr>
              <w:t>-10</w:t>
            </w:r>
            <w:r>
              <w:rPr>
                <w:bCs/>
                <w:color w:val="auto"/>
                <w:kern w:val="44"/>
                <w:szCs w:val="21"/>
                <w:highlight w:val="none"/>
              </w:rPr>
              <w:t>cm/s</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trPr>
        <w:tc>
          <w:tcPr>
            <w:tcW w:w="971" w:type="dxa"/>
            <w:noWrap w:val="0"/>
            <w:vAlign w:val="center"/>
          </w:tcPr>
          <w:p>
            <w:pPr>
              <w:spacing w:line="300" w:lineRule="exact"/>
              <w:jc w:val="center"/>
              <w:rPr>
                <w:color w:val="auto"/>
                <w:szCs w:val="21"/>
                <w:highlight w:val="none"/>
              </w:rPr>
            </w:pPr>
            <w:r>
              <w:rPr>
                <w:color w:val="auto"/>
                <w:szCs w:val="21"/>
                <w:highlight w:val="none"/>
              </w:rPr>
              <w:t>一般污染区</w:t>
            </w:r>
          </w:p>
        </w:tc>
        <w:tc>
          <w:tcPr>
            <w:tcW w:w="2434" w:type="dxa"/>
            <w:noWrap w:val="0"/>
            <w:vAlign w:val="center"/>
          </w:tcPr>
          <w:p>
            <w:pPr>
              <w:spacing w:line="300" w:lineRule="exact"/>
              <w:jc w:val="center"/>
              <w:rPr>
                <w:color w:val="auto"/>
                <w:szCs w:val="21"/>
                <w:highlight w:val="none"/>
              </w:rPr>
            </w:pPr>
            <w:r>
              <w:rPr>
                <w:color w:val="auto"/>
                <w:szCs w:val="21"/>
                <w:highlight w:val="none"/>
              </w:rPr>
              <w:t>其它车间、办公室、一般仓库、公辅设施等地面</w:t>
            </w:r>
          </w:p>
        </w:tc>
        <w:tc>
          <w:tcPr>
            <w:tcW w:w="4766" w:type="dxa"/>
            <w:noWrap w:val="0"/>
            <w:vAlign w:val="center"/>
          </w:tcPr>
          <w:p>
            <w:pPr>
              <w:spacing w:line="300" w:lineRule="exact"/>
              <w:rPr>
                <w:color w:val="auto"/>
                <w:szCs w:val="21"/>
                <w:highlight w:val="none"/>
              </w:rPr>
            </w:pPr>
            <w:r>
              <w:rPr>
                <w:color w:val="auto"/>
                <w:szCs w:val="21"/>
                <w:highlight w:val="none"/>
              </w:rPr>
              <w:t>地面采取粘土铺底，再在上层铺10~15cm的水泥进行硬化。</w:t>
            </w:r>
          </w:p>
        </w:tc>
        <w:tc>
          <w:tcPr>
            <w:tcW w:w="1352" w:type="dxa"/>
            <w:noWrap w:val="0"/>
            <w:vAlign w:val="center"/>
          </w:tcPr>
          <w:p>
            <w:pPr>
              <w:spacing w:line="300" w:lineRule="exact"/>
              <w:jc w:val="center"/>
              <w:rPr>
                <w:bCs/>
                <w:color w:val="auto"/>
                <w:kern w:val="44"/>
                <w:szCs w:val="21"/>
                <w:highlight w:val="none"/>
              </w:rPr>
            </w:pPr>
            <w:r>
              <w:rPr>
                <w:bCs/>
                <w:color w:val="auto"/>
                <w:kern w:val="44"/>
                <w:szCs w:val="21"/>
                <w:highlight w:val="none"/>
              </w:rPr>
              <w:t>≤1.0×10</w:t>
            </w:r>
            <w:r>
              <w:rPr>
                <w:bCs/>
                <w:color w:val="auto"/>
                <w:kern w:val="44"/>
                <w:szCs w:val="21"/>
                <w:highlight w:val="none"/>
                <w:vertAlign w:val="superscript"/>
              </w:rPr>
              <w:t>-7</w:t>
            </w:r>
            <w:r>
              <w:rPr>
                <w:bCs/>
                <w:color w:val="auto"/>
                <w:kern w:val="44"/>
                <w:szCs w:val="21"/>
                <w:highlight w:val="none"/>
              </w:rPr>
              <w:t>cm/s</w:t>
            </w:r>
          </w:p>
        </w:tc>
      </w:tr>
    </w:tbl>
    <w:p>
      <w:pPr>
        <w:spacing w:line="440" w:lineRule="exact"/>
        <w:ind w:firstLine="480" w:firstLineChars="200"/>
        <w:rPr>
          <w:color w:val="auto"/>
          <w:sz w:val="24"/>
          <w:highlight w:val="none"/>
        </w:rPr>
      </w:pPr>
      <w:r>
        <w:rPr>
          <w:color w:val="auto"/>
          <w:sz w:val="24"/>
          <w:highlight w:val="none"/>
        </w:rPr>
        <w:t>（3）加强地下水污染监控</w:t>
      </w:r>
    </w:p>
    <w:p>
      <w:pPr>
        <w:spacing w:line="440" w:lineRule="exact"/>
        <w:ind w:firstLine="600" w:firstLineChars="250"/>
        <w:rPr>
          <w:color w:val="auto"/>
          <w:sz w:val="24"/>
          <w:highlight w:val="none"/>
        </w:rPr>
      </w:pPr>
      <w:r>
        <w:rPr>
          <w:color w:val="auto"/>
          <w:sz w:val="24"/>
          <w:highlight w:val="none"/>
        </w:rPr>
        <w:t>为了及时准确的掌握</w:t>
      </w:r>
      <w:r>
        <w:rPr>
          <w:rFonts w:hint="eastAsia"/>
          <w:color w:val="auto"/>
          <w:sz w:val="24"/>
          <w:highlight w:val="none"/>
          <w:lang w:val="en-US" w:eastAsia="zh-CN"/>
        </w:rPr>
        <w:t>项目</w:t>
      </w:r>
      <w:r>
        <w:rPr>
          <w:color w:val="auto"/>
          <w:sz w:val="24"/>
          <w:highlight w:val="none"/>
        </w:rPr>
        <w:t>周围地下水环境污染控制状况，</w:t>
      </w:r>
      <w:r>
        <w:rPr>
          <w:rFonts w:hint="eastAsia"/>
          <w:color w:val="auto"/>
          <w:sz w:val="24"/>
          <w:highlight w:val="none"/>
          <w:lang w:val="en-US" w:eastAsia="zh-CN"/>
        </w:rPr>
        <w:t>项目</w:t>
      </w:r>
      <w:r>
        <w:rPr>
          <w:color w:val="auto"/>
          <w:sz w:val="24"/>
          <w:highlight w:val="none"/>
        </w:rPr>
        <w:t>的地下水监控体系</w:t>
      </w:r>
      <w:r>
        <w:rPr>
          <w:rFonts w:hint="eastAsia"/>
          <w:color w:val="auto"/>
          <w:sz w:val="24"/>
          <w:highlight w:val="none"/>
          <w:lang w:val="en-US" w:eastAsia="zh-CN"/>
        </w:rPr>
        <w:t>纳入园区监测计划</w:t>
      </w:r>
      <w:r>
        <w:rPr>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eastAsia="宋体"/>
          <w:color w:val="auto"/>
          <w:sz w:val="24"/>
          <w:highlight w:val="none"/>
          <w:lang w:val="en-US" w:eastAsia="zh-CN"/>
        </w:rPr>
      </w:pPr>
      <w:r>
        <w:rPr>
          <w:color w:val="auto"/>
          <w:sz w:val="24"/>
          <w:szCs w:val="24"/>
          <w:highlight w:val="none"/>
        </w:rPr>
        <w:t>根据</w:t>
      </w:r>
      <w:r>
        <w:rPr>
          <w:rFonts w:hint="eastAsia"/>
          <w:color w:val="auto"/>
          <w:sz w:val="24"/>
          <w:szCs w:val="24"/>
          <w:highlight w:val="none"/>
          <w:lang w:val="en-US" w:eastAsia="zh-CN"/>
        </w:rPr>
        <w:t>该区域</w:t>
      </w:r>
      <w:r>
        <w:rPr>
          <w:color w:val="auto"/>
          <w:sz w:val="24"/>
          <w:szCs w:val="24"/>
          <w:highlight w:val="none"/>
        </w:rPr>
        <w:t>地下水流向</w:t>
      </w:r>
      <w:r>
        <w:rPr>
          <w:rFonts w:hint="eastAsia"/>
          <w:color w:val="auto"/>
          <w:sz w:val="24"/>
          <w:szCs w:val="24"/>
          <w:highlight w:val="none"/>
          <w:lang w:val="en-US" w:eastAsia="zh-CN"/>
        </w:rPr>
        <w:t>特点，园区目前设置1处监测井，</w:t>
      </w:r>
      <w:r>
        <w:rPr>
          <w:color w:val="auto"/>
          <w:sz w:val="24"/>
          <w:highlight w:val="none"/>
        </w:rPr>
        <w:t>监测井配置地下水水位监测装置和抽水装置</w:t>
      </w:r>
      <w:r>
        <w:rPr>
          <w:rFonts w:hint="eastAsia"/>
          <w:color w:val="auto"/>
          <w:sz w:val="24"/>
          <w:highlight w:val="none"/>
          <w:lang w:eastAsia="zh-CN"/>
        </w:rPr>
        <w:t>，</w:t>
      </w:r>
      <w:r>
        <w:rPr>
          <w:color w:val="auto"/>
          <w:sz w:val="24"/>
          <w:highlight w:val="none"/>
        </w:rPr>
        <w:t>监测因子包括常规污染物和铬、镍、铜</w:t>
      </w:r>
      <w:r>
        <w:rPr>
          <w:rFonts w:hint="eastAsia"/>
          <w:color w:val="auto"/>
          <w:sz w:val="24"/>
          <w:highlight w:val="none"/>
          <w:lang w:eastAsia="zh-CN"/>
        </w:rPr>
        <w:t>、</w:t>
      </w:r>
      <w:r>
        <w:rPr>
          <w:rFonts w:hint="eastAsia"/>
          <w:color w:val="auto"/>
          <w:sz w:val="24"/>
          <w:highlight w:val="none"/>
          <w:lang w:val="en-US" w:eastAsia="zh-CN"/>
        </w:rPr>
        <w:t>银、锡、锌</w:t>
      </w:r>
      <w:r>
        <w:rPr>
          <w:color w:val="auto"/>
          <w:sz w:val="24"/>
          <w:highlight w:val="none"/>
        </w:rPr>
        <w:t>等</w:t>
      </w:r>
      <w:r>
        <w:rPr>
          <w:rFonts w:hint="eastAsia"/>
          <w:color w:val="auto"/>
          <w:sz w:val="24"/>
          <w:highlight w:val="none"/>
          <w:lang w:val="en-US" w:eastAsia="zh-CN"/>
        </w:rPr>
        <w:t>特征污染物</w:t>
      </w:r>
      <w:r>
        <w:rPr>
          <w:color w:val="auto"/>
          <w:sz w:val="24"/>
          <w:highlight w:val="none"/>
        </w:rPr>
        <w:t>。</w:t>
      </w:r>
      <w:r>
        <w:rPr>
          <w:rFonts w:hint="eastAsia"/>
          <w:color w:val="auto"/>
          <w:sz w:val="24"/>
          <w:highlight w:val="none"/>
          <w:lang w:val="en-US" w:eastAsia="zh-CN"/>
        </w:rPr>
        <w:t>按照</w:t>
      </w:r>
      <w:r>
        <w:rPr>
          <w:rFonts w:hint="eastAsia"/>
          <w:bCs/>
          <w:color w:val="auto"/>
          <w:sz w:val="24"/>
          <w:highlight w:val="none"/>
          <w:lang w:val="en-US" w:eastAsia="zh-CN"/>
        </w:rPr>
        <w:t>《排污单位自行监测技术指南 电镀工业》（HJ985-2018）要求，每年取样监测，考察园区内地下水水质状况。</w:t>
      </w:r>
    </w:p>
    <w:p>
      <w:pPr>
        <w:spacing w:line="360" w:lineRule="auto"/>
        <w:ind w:firstLine="480" w:firstLineChars="200"/>
        <w:rPr>
          <w:color w:val="auto"/>
          <w:sz w:val="24"/>
          <w:highlight w:val="none"/>
        </w:rPr>
      </w:pPr>
      <w:r>
        <w:rPr>
          <w:rFonts w:hint="eastAsia"/>
          <w:color w:val="auto"/>
          <w:sz w:val="24"/>
          <w:szCs w:val="24"/>
          <w:highlight w:val="none"/>
          <w:lang w:val="en-US" w:eastAsia="zh-CN"/>
        </w:rPr>
        <w:t>综上所述，项目对地下水采取的污染防治措施合理有效。</w:t>
      </w:r>
    </w:p>
    <w:bookmarkEnd w:id="178"/>
    <w:p>
      <w:pPr>
        <w:keepNext/>
        <w:keepLines/>
        <w:adjustRightInd w:val="0"/>
        <w:snapToGrid w:val="0"/>
        <w:spacing w:line="360" w:lineRule="auto"/>
        <w:jc w:val="left"/>
        <w:outlineLvl w:val="1"/>
        <w:rPr>
          <w:rFonts w:eastAsia="黑体"/>
          <w:bCs/>
          <w:color w:val="auto"/>
          <w:sz w:val="24"/>
          <w:highlight w:val="none"/>
          <w:lang w:val="zh-CN"/>
        </w:rPr>
      </w:pPr>
      <w:bookmarkStart w:id="179" w:name="_Toc306032802"/>
      <w:bookmarkStart w:id="180" w:name="_Toc391301258"/>
      <w:bookmarkStart w:id="181" w:name="_Toc530655614"/>
      <w:bookmarkStart w:id="182" w:name="_Toc519063311"/>
      <w:bookmarkStart w:id="183" w:name="_Toc8881"/>
      <w:bookmarkStart w:id="184" w:name="_Toc177801618"/>
      <w:bookmarkStart w:id="185" w:name="_Toc175478411"/>
      <w:bookmarkStart w:id="186" w:name="_Toc178060030"/>
      <w:bookmarkStart w:id="187" w:name="_Toc194825038"/>
      <w:bookmarkStart w:id="188" w:name="_Toc175480190"/>
      <w:bookmarkStart w:id="189" w:name="_Toc175458003"/>
      <w:bookmarkStart w:id="190" w:name="_Toc182646265"/>
      <w:bookmarkStart w:id="191" w:name="_Toc177805110"/>
      <w:bookmarkStart w:id="192" w:name="_Toc176775960"/>
      <w:bookmarkStart w:id="193" w:name="_Toc209854575"/>
      <w:bookmarkStart w:id="194" w:name="_Toc177805253"/>
      <w:bookmarkStart w:id="195" w:name="_Toc199153131"/>
      <w:bookmarkStart w:id="196" w:name="_Toc184006167"/>
      <w:bookmarkStart w:id="197" w:name="_Toc194824922"/>
      <w:r>
        <w:rPr>
          <w:rFonts w:hint="eastAsia" w:eastAsia="黑体"/>
          <w:bCs/>
          <w:color w:val="auto"/>
          <w:sz w:val="24"/>
          <w:highlight w:val="none"/>
          <w:lang w:val="zh-CN"/>
        </w:rPr>
        <w:t xml:space="preserve">4.3 </w:t>
      </w:r>
      <w:r>
        <w:rPr>
          <w:rFonts w:eastAsia="黑体"/>
          <w:bCs/>
          <w:color w:val="auto"/>
          <w:sz w:val="24"/>
          <w:highlight w:val="none"/>
          <w:lang w:val="zh-CN"/>
        </w:rPr>
        <w:t>噪声</w:t>
      </w:r>
      <w:bookmarkEnd w:id="179"/>
      <w:bookmarkEnd w:id="180"/>
      <w:r>
        <w:rPr>
          <w:rFonts w:hint="eastAsia" w:eastAsia="黑体"/>
          <w:bCs/>
          <w:color w:val="auto"/>
          <w:sz w:val="24"/>
          <w:highlight w:val="none"/>
          <w:lang w:val="zh-CN"/>
        </w:rPr>
        <w:t>污染防治措施</w:t>
      </w:r>
      <w:bookmarkEnd w:id="181"/>
      <w:bookmarkEnd w:id="182"/>
      <w:r>
        <w:rPr>
          <w:rFonts w:hint="eastAsia" w:ascii="Times New Roman" w:hAnsi="Times New Roman" w:eastAsia="黑体" w:cs="Times New Roman"/>
          <w:bCs/>
          <w:color w:val="auto"/>
          <w:sz w:val="24"/>
          <w:highlight w:val="none"/>
          <w:lang w:val="zh-CN"/>
        </w:rPr>
        <w:t>有效性评估</w:t>
      </w:r>
      <w:bookmarkEnd w:id="183"/>
    </w:p>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pPr>
        <w:pStyle w:val="108"/>
        <w:ind w:firstLine="480" w:firstLineChars="200"/>
        <w:rPr>
          <w:rFonts w:ascii="Times New Roman"/>
          <w:color w:val="auto"/>
          <w:kern w:val="0"/>
          <w:sz w:val="24"/>
          <w:szCs w:val="24"/>
          <w:highlight w:val="none"/>
        </w:rPr>
      </w:pPr>
      <w:r>
        <w:rPr>
          <w:rFonts w:ascii="Times New Roman"/>
          <w:color w:val="auto"/>
          <w:kern w:val="0"/>
          <w:sz w:val="24"/>
          <w:szCs w:val="24"/>
          <w:highlight w:val="none"/>
        </w:rPr>
        <w:t>该项目主要噪声设备行车、风机、甩干机等，主要噪声设备的噪声值约在70dB(A)～80dB(A)之间。</w:t>
      </w:r>
    </w:p>
    <w:p>
      <w:pPr>
        <w:pStyle w:val="108"/>
        <w:ind w:firstLine="480" w:firstLineChars="200"/>
        <w:rPr>
          <w:rFonts w:ascii="Times New Roman"/>
          <w:color w:val="auto"/>
          <w:kern w:val="0"/>
          <w:sz w:val="24"/>
          <w:szCs w:val="24"/>
          <w:highlight w:val="none"/>
        </w:rPr>
      </w:pPr>
      <w:r>
        <w:rPr>
          <w:rFonts w:ascii="Times New Roman"/>
          <w:color w:val="auto"/>
          <w:kern w:val="0"/>
          <w:sz w:val="24"/>
          <w:szCs w:val="24"/>
          <w:highlight w:val="none"/>
        </w:rPr>
        <w:t xml:space="preserve">1、生产车间噪声污染防治措施 </w:t>
      </w:r>
    </w:p>
    <w:p>
      <w:pPr>
        <w:pStyle w:val="108"/>
        <w:ind w:firstLine="480" w:firstLineChars="200"/>
        <w:rPr>
          <w:rFonts w:ascii="Times New Roman"/>
          <w:color w:val="auto"/>
          <w:kern w:val="0"/>
          <w:sz w:val="24"/>
          <w:szCs w:val="24"/>
          <w:highlight w:val="none"/>
        </w:rPr>
      </w:pPr>
      <w:r>
        <w:rPr>
          <w:rFonts w:ascii="Times New Roman"/>
          <w:color w:val="auto"/>
          <w:kern w:val="0"/>
          <w:sz w:val="24"/>
          <w:szCs w:val="24"/>
          <w:highlight w:val="none"/>
        </w:rPr>
        <w:t xml:space="preserve">项目营运过程中，对于车间设备噪声控制可分三步进行：第一、车间设备合理布置。第二、降低声源噪声，尽量选用低噪声设备。第三、在传播途径上采取隔绝和吸收措施以减低噪声影响。 </w:t>
      </w:r>
    </w:p>
    <w:p>
      <w:pPr>
        <w:pStyle w:val="108"/>
        <w:ind w:firstLine="480" w:firstLineChars="200"/>
        <w:rPr>
          <w:rFonts w:ascii="Times New Roman"/>
          <w:color w:val="auto"/>
          <w:kern w:val="0"/>
          <w:sz w:val="24"/>
          <w:szCs w:val="24"/>
          <w:highlight w:val="none"/>
        </w:rPr>
      </w:pPr>
      <w:r>
        <w:rPr>
          <w:rFonts w:ascii="Times New Roman"/>
          <w:color w:val="auto"/>
          <w:kern w:val="0"/>
          <w:sz w:val="24"/>
          <w:szCs w:val="24"/>
          <w:highlight w:val="none"/>
        </w:rPr>
        <w:t>建设单位在后续建设过程中，优先选用低噪声设备，并合理布置各产噪设备，主要产噪设备均位于室内，对强噪声设备采取隔声、吸声、减振、消音等措施。</w:t>
      </w:r>
    </w:p>
    <w:p>
      <w:pPr>
        <w:pStyle w:val="108"/>
        <w:ind w:firstLine="480" w:firstLineChars="200"/>
        <w:rPr>
          <w:rFonts w:ascii="Times New Roman"/>
          <w:color w:val="auto"/>
          <w:kern w:val="0"/>
          <w:sz w:val="24"/>
          <w:szCs w:val="24"/>
          <w:highlight w:val="none"/>
        </w:rPr>
      </w:pPr>
      <w:r>
        <w:rPr>
          <w:rFonts w:ascii="Times New Roman"/>
          <w:color w:val="auto"/>
          <w:kern w:val="0"/>
          <w:sz w:val="24"/>
          <w:szCs w:val="24"/>
          <w:highlight w:val="none"/>
        </w:rPr>
        <w:t xml:space="preserve">2、风机噪声控制措施 </w:t>
      </w:r>
    </w:p>
    <w:p>
      <w:pPr>
        <w:pStyle w:val="108"/>
        <w:ind w:firstLine="480" w:firstLineChars="200"/>
        <w:rPr>
          <w:rFonts w:ascii="Times New Roman"/>
          <w:color w:val="auto"/>
          <w:kern w:val="0"/>
          <w:sz w:val="24"/>
          <w:szCs w:val="24"/>
          <w:highlight w:val="none"/>
        </w:rPr>
      </w:pPr>
      <w:r>
        <w:rPr>
          <w:rFonts w:ascii="Times New Roman"/>
          <w:color w:val="auto"/>
          <w:kern w:val="0"/>
          <w:sz w:val="24"/>
          <w:szCs w:val="24"/>
          <w:highlight w:val="none"/>
        </w:rPr>
        <w:t xml:space="preserve">该项目生产过程需要使用大功率的风机。对于风机噪声，建设单位应重点加以控制。首先，在设备的安装布局上应远离对噪声敏感的建筑，设计时尽量减小风管阻力，选用中、低压风机。其次，在各类风机的进出口管道上安装消音器，风管进出口处采用柔性接头；风机的基础采用的橡胶减振垫或减振台座；在风机壳上敷设玻璃纤维、矿渣棉等隔声材料。 </w:t>
      </w:r>
    </w:p>
    <w:p>
      <w:pPr>
        <w:adjustRightInd w:val="0"/>
        <w:snapToGrid w:val="0"/>
        <w:spacing w:line="360" w:lineRule="auto"/>
        <w:ind w:firstLine="480" w:firstLineChars="200"/>
        <w:rPr>
          <w:rFonts w:hint="eastAsia" w:eastAsia="黑体"/>
          <w:bCs/>
          <w:color w:val="auto"/>
          <w:sz w:val="24"/>
          <w:highlight w:val="none"/>
          <w:lang w:val="zh-CN"/>
        </w:rPr>
      </w:pPr>
      <w:r>
        <w:rPr>
          <w:color w:val="auto"/>
          <w:kern w:val="0"/>
          <w:sz w:val="24"/>
          <w:highlight w:val="none"/>
        </w:rPr>
        <w:t>经预测评价可知，该项目对</w:t>
      </w:r>
      <w:r>
        <w:rPr>
          <w:rFonts w:hint="eastAsia"/>
          <w:color w:val="auto"/>
          <w:sz w:val="24"/>
          <w:highlight w:val="none"/>
          <w:lang w:eastAsia="zh-CN"/>
        </w:rPr>
        <w:t>电镀工业园</w:t>
      </w:r>
      <w:r>
        <w:rPr>
          <w:color w:val="auto"/>
          <w:kern w:val="0"/>
          <w:sz w:val="24"/>
          <w:highlight w:val="none"/>
        </w:rPr>
        <w:t>各边界的噪声贡献值较小，能够满足《工业企业厂界环境噪声排放标准》(GB12348-2008)3类标准要求</w:t>
      </w:r>
      <w:r>
        <w:rPr>
          <w:color w:val="auto"/>
          <w:kern w:val="0"/>
          <w:sz w:val="24"/>
          <w:highlight w:val="none"/>
        </w:rPr>
        <w:t>。</w:t>
      </w:r>
      <w:bookmarkStart w:id="198" w:name="_Toc391301259"/>
      <w:bookmarkStart w:id="199" w:name="_Toc306032803"/>
      <w:bookmarkStart w:id="200" w:name="_Toc530655615"/>
      <w:bookmarkStart w:id="201" w:name="_Toc519063312"/>
    </w:p>
    <w:p>
      <w:pPr>
        <w:keepNext/>
        <w:keepLines/>
        <w:adjustRightInd w:val="0"/>
        <w:snapToGrid w:val="0"/>
        <w:spacing w:line="360" w:lineRule="auto"/>
        <w:jc w:val="left"/>
        <w:outlineLvl w:val="1"/>
        <w:rPr>
          <w:rFonts w:eastAsia="黑体"/>
          <w:bCs/>
          <w:color w:val="auto"/>
          <w:sz w:val="24"/>
          <w:highlight w:val="none"/>
          <w:lang w:val="zh-CN"/>
        </w:rPr>
      </w:pPr>
      <w:bookmarkStart w:id="202" w:name="_Toc18241"/>
      <w:r>
        <w:rPr>
          <w:rFonts w:hint="eastAsia" w:eastAsia="黑体"/>
          <w:bCs/>
          <w:color w:val="auto"/>
          <w:sz w:val="24"/>
          <w:highlight w:val="none"/>
          <w:lang w:val="zh-CN"/>
        </w:rPr>
        <w:t xml:space="preserve">4.4 </w:t>
      </w:r>
      <w:bookmarkEnd w:id="198"/>
      <w:bookmarkEnd w:id="199"/>
      <w:r>
        <w:rPr>
          <w:rFonts w:hint="eastAsia" w:eastAsia="黑体"/>
          <w:bCs/>
          <w:color w:val="auto"/>
          <w:sz w:val="24"/>
          <w:highlight w:val="none"/>
          <w:lang w:val="zh-CN"/>
        </w:rPr>
        <w:t>固废</w:t>
      </w:r>
      <w:bookmarkEnd w:id="200"/>
      <w:bookmarkEnd w:id="201"/>
      <w:r>
        <w:rPr>
          <w:rFonts w:hint="eastAsia" w:eastAsia="黑体" w:cs="Times New Roman"/>
          <w:bCs/>
          <w:color w:val="auto"/>
          <w:sz w:val="24"/>
          <w:highlight w:val="none"/>
          <w:lang w:val="en-US" w:eastAsia="zh-CN"/>
        </w:rPr>
        <w:t>污染防治</w:t>
      </w:r>
      <w:r>
        <w:rPr>
          <w:rFonts w:hint="eastAsia" w:ascii="Times New Roman" w:hAnsi="Times New Roman" w:eastAsia="黑体" w:cs="Times New Roman"/>
          <w:bCs/>
          <w:color w:val="auto"/>
          <w:sz w:val="24"/>
          <w:highlight w:val="none"/>
          <w:lang w:val="zh-CN"/>
        </w:rPr>
        <w:t>措施有效性评估</w:t>
      </w:r>
      <w:bookmarkEnd w:id="202"/>
    </w:p>
    <w:p>
      <w:pPr>
        <w:pStyle w:val="108"/>
        <w:ind w:firstLine="480" w:firstLineChars="200"/>
        <w:rPr>
          <w:rFonts w:ascii="Times New Roman"/>
          <w:color w:val="auto"/>
          <w:kern w:val="0"/>
          <w:sz w:val="24"/>
          <w:szCs w:val="24"/>
          <w:highlight w:val="none"/>
        </w:rPr>
      </w:pPr>
      <w:r>
        <w:rPr>
          <w:rFonts w:ascii="Times New Roman"/>
          <w:color w:val="auto"/>
          <w:kern w:val="0"/>
          <w:sz w:val="24"/>
          <w:szCs w:val="24"/>
          <w:highlight w:val="none"/>
        </w:rPr>
        <w:t>项目产生的固体废物包括</w:t>
      </w:r>
      <w:r>
        <w:rPr>
          <w:rFonts w:hint="eastAsia" w:ascii="Times New Roman"/>
          <w:color w:val="auto"/>
          <w:kern w:val="0"/>
          <w:sz w:val="24"/>
          <w:szCs w:val="24"/>
          <w:highlight w:val="none"/>
          <w:lang w:val="en-US" w:eastAsia="zh-CN"/>
        </w:rPr>
        <w:t>一般固废、</w:t>
      </w:r>
      <w:r>
        <w:rPr>
          <w:rFonts w:ascii="Times New Roman"/>
          <w:color w:val="auto"/>
          <w:kern w:val="0"/>
          <w:sz w:val="24"/>
          <w:szCs w:val="24"/>
          <w:highlight w:val="none"/>
        </w:rPr>
        <w:t>危险废物和生活垃圾。</w:t>
      </w:r>
    </w:p>
    <w:p>
      <w:pPr>
        <w:pStyle w:val="108"/>
        <w:ind w:firstLine="480" w:firstLineChars="200"/>
        <w:rPr>
          <w:rFonts w:ascii="Times New Roman"/>
          <w:color w:val="auto"/>
          <w:kern w:val="0"/>
          <w:sz w:val="24"/>
          <w:szCs w:val="24"/>
          <w:highlight w:val="none"/>
        </w:rPr>
      </w:pPr>
      <w:r>
        <w:rPr>
          <w:rFonts w:ascii="Times New Roman"/>
          <w:color w:val="auto"/>
          <w:kern w:val="0"/>
          <w:sz w:val="24"/>
          <w:szCs w:val="24"/>
          <w:highlight w:val="none"/>
        </w:rPr>
        <w:t>危废主要包括各类</w:t>
      </w:r>
      <w:r>
        <w:rPr>
          <w:rFonts w:hint="eastAsia" w:ascii="Times New Roman"/>
          <w:color w:val="auto"/>
          <w:kern w:val="0"/>
          <w:sz w:val="24"/>
          <w:szCs w:val="24"/>
          <w:highlight w:val="none"/>
        </w:rPr>
        <w:t>槽渣</w:t>
      </w:r>
      <w:r>
        <w:rPr>
          <w:rFonts w:ascii="Times New Roman"/>
          <w:color w:val="auto"/>
          <w:kern w:val="0"/>
          <w:sz w:val="24"/>
          <w:szCs w:val="24"/>
          <w:highlight w:val="none"/>
        </w:rPr>
        <w:t>、废过滤芯/滤渣、废化工原料包装等，委托有资质单位处理。公司已与</w:t>
      </w:r>
      <w:r>
        <w:rPr>
          <w:rFonts w:hint="eastAsia" w:ascii="Times New Roman"/>
          <w:color w:val="auto"/>
          <w:sz w:val="24"/>
          <w:highlight w:val="none"/>
          <w:lang w:eastAsia="zh-CN"/>
        </w:rPr>
        <w:t>电镀工业园</w:t>
      </w:r>
      <w:r>
        <w:rPr>
          <w:rFonts w:ascii="Times New Roman"/>
          <w:color w:val="auto"/>
          <w:kern w:val="0"/>
          <w:sz w:val="24"/>
          <w:szCs w:val="24"/>
          <w:highlight w:val="none"/>
        </w:rPr>
        <w:t>签订《危险废物代为处置协议》。</w:t>
      </w:r>
    </w:p>
    <w:p>
      <w:pPr>
        <w:pStyle w:val="108"/>
        <w:ind w:firstLine="480" w:firstLineChars="200"/>
        <w:rPr>
          <w:rFonts w:ascii="Times New Roman"/>
          <w:color w:val="auto"/>
          <w:kern w:val="0"/>
          <w:sz w:val="24"/>
          <w:szCs w:val="24"/>
          <w:highlight w:val="none"/>
        </w:rPr>
      </w:pPr>
      <w:r>
        <w:rPr>
          <w:rFonts w:ascii="Times New Roman"/>
          <w:color w:val="auto"/>
          <w:kern w:val="0"/>
          <w:sz w:val="24"/>
          <w:szCs w:val="24"/>
          <w:highlight w:val="none"/>
        </w:rPr>
        <w:t>车间内严格按照《危险废物贮存污染控制标准》(GB18597-2001)及修改单要求的相关要求，设置废物暂存设施。</w:t>
      </w:r>
    </w:p>
    <w:p>
      <w:pPr>
        <w:adjustRightInd w:val="0"/>
        <w:snapToGrid w:val="0"/>
        <w:spacing w:line="360" w:lineRule="auto"/>
        <w:ind w:firstLine="480" w:firstLineChars="200"/>
        <w:jc w:val="left"/>
        <w:rPr>
          <w:color w:val="auto"/>
          <w:sz w:val="24"/>
          <w:highlight w:val="none"/>
        </w:rPr>
      </w:pPr>
      <w:r>
        <w:rPr>
          <w:color w:val="auto"/>
          <w:kern w:val="0"/>
          <w:sz w:val="24"/>
          <w:highlight w:val="none"/>
        </w:rPr>
        <w:t>该项目对所产生的固体废弃物分别集中收集，按类别进行处理，能够确保所有固废的处置措施妥善有效。该项目固废防治措施合理可行</w:t>
      </w:r>
      <w:r>
        <w:rPr>
          <w:color w:val="auto"/>
          <w:sz w:val="24"/>
          <w:highlight w:val="none"/>
        </w:rPr>
        <w:t>。</w:t>
      </w:r>
    </w:p>
    <w:p>
      <w:pPr>
        <w:adjustRightInd w:val="0"/>
        <w:snapToGrid w:val="0"/>
        <w:spacing w:line="360" w:lineRule="auto"/>
        <w:jc w:val="left"/>
        <w:outlineLvl w:val="1"/>
        <w:rPr>
          <w:rFonts w:hint="default" w:eastAsia="黑体"/>
          <w:bCs/>
          <w:color w:val="auto"/>
          <w:sz w:val="24"/>
          <w:highlight w:val="none"/>
          <w:lang w:val="en-US"/>
        </w:rPr>
      </w:pPr>
      <w:bookmarkStart w:id="203" w:name="_Toc15316"/>
      <w:bookmarkStart w:id="204" w:name="_Toc2121"/>
      <w:r>
        <w:rPr>
          <w:rFonts w:hint="eastAsia" w:eastAsia="黑体"/>
          <w:bCs/>
          <w:color w:val="auto"/>
          <w:sz w:val="24"/>
          <w:highlight w:val="none"/>
          <w:lang w:val="en-US" w:eastAsia="zh-CN"/>
        </w:rPr>
        <w:t>4.5环境风险防范措施有效性</w:t>
      </w:r>
      <w:bookmarkEnd w:id="203"/>
      <w:r>
        <w:rPr>
          <w:rFonts w:hint="eastAsia" w:eastAsia="黑体"/>
          <w:bCs/>
          <w:color w:val="auto"/>
          <w:sz w:val="24"/>
          <w:highlight w:val="none"/>
          <w:lang w:val="en-US" w:eastAsia="zh-CN"/>
        </w:rPr>
        <w:t>评估</w:t>
      </w:r>
      <w:bookmarkEnd w:id="204"/>
    </w:p>
    <w:p>
      <w:pPr>
        <w:pStyle w:val="108"/>
        <w:ind w:firstLine="480" w:firstLineChars="200"/>
        <w:rPr>
          <w:rFonts w:hint="default" w:ascii="Times New Roman" w:hAnsi="Times New Roman" w:cs="Times New Roman"/>
          <w:color w:val="auto"/>
          <w:kern w:val="0"/>
          <w:sz w:val="24"/>
          <w:szCs w:val="24"/>
          <w:highlight w:val="none"/>
          <w:lang w:val="en-US" w:eastAsia="zh-CN"/>
        </w:rPr>
      </w:pPr>
      <w:r>
        <w:rPr>
          <w:rFonts w:hint="default" w:ascii="Times New Roman" w:hAnsi="Times New Roman" w:eastAsia="黑体" w:cs="Times New Roman"/>
          <w:bCs/>
          <w:color w:val="auto"/>
          <w:kern w:val="2"/>
          <w:sz w:val="24"/>
          <w:szCs w:val="24"/>
          <w:highlight w:val="none"/>
          <w:lang w:val="en-US" w:eastAsia="zh-CN" w:bidi="ar-SA"/>
        </w:rPr>
        <w:t>1</w:t>
      </w:r>
      <w:r>
        <w:rPr>
          <w:rFonts w:hint="default" w:ascii="Times New Roman" w:hAnsi="Times New Roman" w:cs="Times New Roman"/>
          <w:color w:val="auto"/>
          <w:kern w:val="0"/>
          <w:sz w:val="24"/>
          <w:szCs w:val="24"/>
          <w:highlight w:val="none"/>
          <w:lang w:val="en-US" w:eastAsia="zh-CN"/>
        </w:rPr>
        <w:t>、环境风险潜势初判</w:t>
      </w:r>
    </w:p>
    <w:p>
      <w:pPr>
        <w:pStyle w:val="108"/>
        <w:ind w:firstLine="480" w:firstLineChars="200"/>
        <w:rPr>
          <w:rFonts w:hint="default" w:ascii="Times New Roman" w:hAnsi="Times New Roman" w:cs="Times New Roman"/>
          <w:color w:val="auto"/>
          <w:kern w:val="0"/>
          <w:sz w:val="24"/>
          <w:szCs w:val="24"/>
          <w:highlight w:val="none"/>
          <w:lang w:eastAsia="zh-CN"/>
        </w:rPr>
      </w:pPr>
      <w:r>
        <w:rPr>
          <w:rFonts w:hint="default" w:ascii="Times New Roman" w:hAnsi="Times New Roman" w:cs="Times New Roman"/>
          <w:color w:val="auto"/>
          <w:kern w:val="0"/>
          <w:sz w:val="24"/>
          <w:szCs w:val="24"/>
          <w:highlight w:val="none"/>
          <w:lang w:val="en-US" w:eastAsia="zh-CN"/>
        </w:rPr>
        <w:t>根据</w:t>
      </w:r>
      <w:r>
        <w:rPr>
          <w:rFonts w:hint="default" w:ascii="Times New Roman" w:hAnsi="Times New Roman" w:cs="Times New Roman"/>
          <w:color w:val="auto"/>
          <w:kern w:val="0"/>
          <w:sz w:val="24"/>
          <w:szCs w:val="24"/>
          <w:highlight w:val="none"/>
        </w:rPr>
        <w:t>《建设项目环境风险评价技术导则》</w:t>
      </w:r>
      <w:r>
        <w:rPr>
          <w:rFonts w:hint="eastAsia" w:ascii="Times New Roman" w:hAnsi="Times New Roman" w:cs="Times New Roman"/>
          <w:color w:val="auto"/>
          <w:kern w:val="0"/>
          <w:sz w:val="24"/>
          <w:szCs w:val="24"/>
          <w:highlight w:val="none"/>
          <w:lang w:eastAsia="zh-CN"/>
        </w:rPr>
        <w:t>(</w:t>
      </w:r>
      <w:r>
        <w:rPr>
          <w:rFonts w:hint="default" w:ascii="Times New Roman" w:hAnsi="Times New Roman" w:cs="Times New Roman"/>
          <w:color w:val="auto"/>
          <w:kern w:val="0"/>
          <w:sz w:val="24"/>
          <w:szCs w:val="24"/>
          <w:highlight w:val="none"/>
        </w:rPr>
        <w:t>HJ169</w:t>
      </w:r>
      <w:r>
        <w:rPr>
          <w:rFonts w:hint="default" w:ascii="Times New Roman" w:hAnsi="Times New Roman" w:cs="Times New Roman"/>
          <w:color w:val="auto"/>
          <w:kern w:val="0"/>
          <w:sz w:val="24"/>
          <w:szCs w:val="24"/>
          <w:highlight w:val="none"/>
          <w:lang w:val="en-US" w:eastAsia="zh-CN"/>
        </w:rPr>
        <w:t>-</w:t>
      </w:r>
      <w:r>
        <w:rPr>
          <w:rFonts w:hint="default" w:ascii="Times New Roman" w:hAnsi="Times New Roman" w:cs="Times New Roman"/>
          <w:color w:val="auto"/>
          <w:kern w:val="0"/>
          <w:sz w:val="24"/>
          <w:szCs w:val="24"/>
          <w:highlight w:val="none"/>
        </w:rPr>
        <w:t>20</w:t>
      </w:r>
      <w:r>
        <w:rPr>
          <w:rFonts w:hint="default" w:ascii="Times New Roman" w:hAnsi="Times New Roman" w:cs="Times New Roman"/>
          <w:color w:val="auto"/>
          <w:kern w:val="0"/>
          <w:sz w:val="24"/>
          <w:szCs w:val="24"/>
          <w:highlight w:val="none"/>
          <w:lang w:val="en-US" w:eastAsia="zh-CN"/>
        </w:rPr>
        <w:t>18</w:t>
      </w:r>
      <w:r>
        <w:rPr>
          <w:rFonts w:hint="eastAsia" w:ascii="Times New Roman" w:hAnsi="Times New Roman" w:cs="Times New Roman"/>
          <w:color w:val="auto"/>
          <w:kern w:val="0"/>
          <w:sz w:val="24"/>
          <w:szCs w:val="24"/>
          <w:highlight w:val="none"/>
          <w:lang w:val="en-US" w:eastAsia="zh-CN"/>
        </w:rPr>
        <w:t>)</w:t>
      </w:r>
      <w:r>
        <w:rPr>
          <w:rFonts w:hint="default" w:ascii="Times New Roman" w:hAnsi="Times New Roman" w:cs="Times New Roman"/>
          <w:color w:val="auto"/>
          <w:kern w:val="0"/>
          <w:sz w:val="24"/>
          <w:szCs w:val="24"/>
          <w:highlight w:val="none"/>
          <w:lang w:val="en-US" w:eastAsia="zh-CN"/>
        </w:rPr>
        <w:t>，</w:t>
      </w:r>
      <w:r>
        <w:rPr>
          <w:rFonts w:hint="eastAsia" w:ascii="Times New Roman" w:hAnsi="Times New Roman" w:cs="Times New Roman"/>
          <w:color w:val="auto"/>
          <w:kern w:val="0"/>
          <w:sz w:val="24"/>
          <w:szCs w:val="24"/>
          <w:highlight w:val="none"/>
          <w:lang w:val="en-US" w:eastAsia="zh-CN"/>
        </w:rPr>
        <w:t>项目</w:t>
      </w:r>
      <w:r>
        <w:rPr>
          <w:rFonts w:hint="default" w:ascii="Times New Roman" w:hAnsi="Times New Roman" w:cs="Times New Roman"/>
          <w:color w:val="auto"/>
          <w:kern w:val="0"/>
          <w:sz w:val="24"/>
          <w:szCs w:val="24"/>
          <w:highlight w:val="none"/>
          <w:lang w:val="en-US" w:eastAsia="zh-CN"/>
        </w:rPr>
        <w:t>涉及的危险物质为铬酐</w:t>
      </w:r>
      <w:r>
        <w:rPr>
          <w:rFonts w:hint="eastAsia" w:ascii="Times New Roman" w:hAnsi="Times New Roman" w:cs="Times New Roman"/>
          <w:color w:val="auto"/>
          <w:kern w:val="0"/>
          <w:sz w:val="24"/>
          <w:szCs w:val="24"/>
          <w:highlight w:val="none"/>
          <w:lang w:val="en-US" w:eastAsia="zh-CN"/>
        </w:rPr>
        <w:t>(</w:t>
      </w:r>
      <w:r>
        <w:rPr>
          <w:rFonts w:hint="default" w:ascii="Times New Roman" w:hAnsi="Times New Roman" w:cs="Times New Roman"/>
          <w:color w:val="auto"/>
          <w:kern w:val="0"/>
          <w:sz w:val="24"/>
          <w:szCs w:val="24"/>
          <w:highlight w:val="none"/>
          <w:lang w:val="en-US" w:eastAsia="zh-CN"/>
        </w:rPr>
        <w:t>别名铬酸</w:t>
      </w:r>
      <w:r>
        <w:rPr>
          <w:rFonts w:hint="eastAsia" w:ascii="Times New Roman" w:hAnsi="Times New Roman" w:cs="Times New Roman"/>
          <w:color w:val="auto"/>
          <w:kern w:val="0"/>
          <w:sz w:val="24"/>
          <w:szCs w:val="24"/>
          <w:highlight w:val="none"/>
          <w:lang w:val="en-US" w:eastAsia="zh-CN"/>
        </w:rPr>
        <w:t>)</w:t>
      </w:r>
      <w:r>
        <w:rPr>
          <w:rFonts w:hint="default" w:ascii="Times New Roman" w:hAnsi="Times New Roman" w:cs="Times New Roman"/>
          <w:color w:val="auto"/>
          <w:kern w:val="0"/>
          <w:sz w:val="24"/>
          <w:szCs w:val="24"/>
          <w:highlight w:val="none"/>
          <w:lang w:val="en-US" w:eastAsia="zh-CN"/>
        </w:rPr>
        <w:t>、硫酸</w:t>
      </w:r>
      <w:r>
        <w:rPr>
          <w:rFonts w:hint="eastAsia" w:ascii="Times New Roman" w:hAnsi="Times New Roman" w:cs="Times New Roman"/>
          <w:color w:val="auto"/>
          <w:kern w:val="0"/>
          <w:sz w:val="24"/>
          <w:szCs w:val="24"/>
          <w:highlight w:val="none"/>
          <w:lang w:val="en-US" w:eastAsia="zh-CN"/>
        </w:rPr>
        <w:t>、盐酸</w:t>
      </w:r>
      <w:r>
        <w:rPr>
          <w:rFonts w:hint="default" w:ascii="Times New Roman" w:hAnsi="Times New Roman" w:cs="Times New Roman"/>
          <w:color w:val="auto"/>
          <w:kern w:val="0"/>
          <w:sz w:val="24"/>
          <w:szCs w:val="24"/>
          <w:highlight w:val="none"/>
          <w:lang w:val="en-US" w:eastAsia="zh-CN"/>
        </w:rPr>
        <w:t>，</w:t>
      </w:r>
      <w:r>
        <w:rPr>
          <w:rFonts w:hint="eastAsia" w:ascii="Times New Roman" w:hAnsi="Times New Roman" w:cs="Times New Roman"/>
          <w:color w:val="auto"/>
          <w:kern w:val="0"/>
          <w:sz w:val="24"/>
          <w:szCs w:val="24"/>
          <w:highlight w:val="none"/>
          <w:lang w:val="en-US" w:eastAsia="zh-CN"/>
        </w:rPr>
        <w:t>各车间</w:t>
      </w:r>
      <w:r>
        <w:rPr>
          <w:rFonts w:hint="default" w:ascii="Times New Roman" w:hAnsi="Times New Roman" w:cs="Times New Roman"/>
          <w:color w:val="auto"/>
          <w:kern w:val="0"/>
          <w:sz w:val="24"/>
          <w:szCs w:val="24"/>
          <w:highlight w:val="none"/>
          <w:lang w:val="en-US" w:eastAsia="zh-CN"/>
        </w:rPr>
        <w:t>一般仅存当天的用量，日进日用，</w:t>
      </w:r>
      <w:r>
        <w:rPr>
          <w:rFonts w:hint="eastAsia" w:ascii="Times New Roman" w:hAnsi="Times New Roman" w:cs="Times New Roman"/>
          <w:color w:val="auto"/>
          <w:kern w:val="0"/>
          <w:sz w:val="24"/>
          <w:szCs w:val="24"/>
          <w:highlight w:val="none"/>
          <w:lang w:val="en-US" w:eastAsia="zh-CN"/>
        </w:rPr>
        <w:t>车间最大</w:t>
      </w:r>
      <w:r>
        <w:rPr>
          <w:rFonts w:hint="default" w:ascii="Times New Roman" w:hAnsi="Times New Roman" w:cs="Times New Roman"/>
          <w:color w:val="auto"/>
          <w:kern w:val="0"/>
          <w:sz w:val="24"/>
          <w:szCs w:val="24"/>
          <w:highlight w:val="none"/>
          <w:lang w:val="en-US" w:eastAsia="zh-CN"/>
        </w:rPr>
        <w:t>储存量分别</w:t>
      </w:r>
      <w:r>
        <w:rPr>
          <w:rFonts w:hint="default" w:ascii="Times New Roman" w:hAnsi="Times New Roman" w:cs="Times New Roman"/>
          <w:color w:val="auto"/>
          <w:kern w:val="0"/>
          <w:sz w:val="24"/>
          <w:szCs w:val="24"/>
          <w:highlight w:val="none"/>
          <w:lang w:val="en-US" w:eastAsia="zh-CN"/>
        </w:rPr>
        <w:t>为0.02t、0.</w:t>
      </w:r>
      <w:r>
        <w:rPr>
          <w:rFonts w:hint="eastAsia" w:ascii="Times New Roman" w:hAnsi="Times New Roman" w:cs="Times New Roman"/>
          <w:color w:val="auto"/>
          <w:kern w:val="0"/>
          <w:sz w:val="24"/>
          <w:szCs w:val="24"/>
          <w:highlight w:val="none"/>
          <w:lang w:val="en-US" w:eastAsia="zh-CN"/>
        </w:rPr>
        <w:t>5t</w:t>
      </w:r>
      <w:r>
        <w:rPr>
          <w:rFonts w:hint="default" w:ascii="Times New Roman" w:hAnsi="Times New Roman" w:cs="Times New Roman"/>
          <w:color w:val="auto"/>
          <w:kern w:val="0"/>
          <w:sz w:val="24"/>
          <w:szCs w:val="24"/>
          <w:highlight w:val="none"/>
          <w:lang w:val="en-US" w:eastAsia="zh-CN"/>
        </w:rPr>
        <w:t>、0.</w:t>
      </w:r>
      <w:r>
        <w:rPr>
          <w:rFonts w:hint="eastAsia" w:ascii="Times New Roman" w:hAnsi="Times New Roman" w:cs="Times New Roman"/>
          <w:color w:val="auto"/>
          <w:kern w:val="0"/>
          <w:sz w:val="24"/>
          <w:szCs w:val="24"/>
          <w:highlight w:val="none"/>
          <w:lang w:val="en-US" w:eastAsia="zh-CN"/>
        </w:rPr>
        <w:t>5</w:t>
      </w:r>
      <w:r>
        <w:rPr>
          <w:rFonts w:hint="default" w:ascii="Times New Roman" w:hAnsi="Times New Roman" w:cs="Times New Roman"/>
          <w:color w:val="auto"/>
          <w:kern w:val="0"/>
          <w:sz w:val="24"/>
          <w:szCs w:val="24"/>
          <w:highlight w:val="none"/>
          <w:lang w:val="en-US" w:eastAsia="zh-CN"/>
        </w:rPr>
        <w:t>t，</w:t>
      </w:r>
      <w:r>
        <w:rPr>
          <w:rFonts w:hint="default" w:ascii="Times New Roman" w:hAnsi="Times New Roman" w:cs="Times New Roman"/>
          <w:color w:val="auto"/>
          <w:kern w:val="0"/>
          <w:sz w:val="24"/>
          <w:szCs w:val="24"/>
          <w:highlight w:val="none"/>
          <w:lang w:val="en-US" w:eastAsia="zh-CN"/>
        </w:rPr>
        <w:t>每种危险物质在厂界内的最大存在总量与其在附录B中对应临界量的比值Q，临界量分别为0.25t、10t</w:t>
      </w:r>
      <w:r>
        <w:rPr>
          <w:rFonts w:hint="eastAsia" w:ascii="Times New Roman" w:hAnsi="Times New Roman" w:cs="Times New Roman"/>
          <w:color w:val="auto"/>
          <w:kern w:val="0"/>
          <w:sz w:val="24"/>
          <w:szCs w:val="24"/>
          <w:highlight w:val="none"/>
          <w:lang w:val="en-US" w:eastAsia="zh-CN"/>
        </w:rPr>
        <w:t>、7.5t</w:t>
      </w:r>
      <w:r>
        <w:rPr>
          <w:rFonts w:hint="default" w:ascii="Times New Roman" w:hAnsi="Times New Roman" w:cs="Times New Roman"/>
          <w:color w:val="auto"/>
          <w:kern w:val="0"/>
          <w:sz w:val="24"/>
          <w:szCs w:val="24"/>
          <w:highlight w:val="none"/>
          <w:lang w:val="en-US" w:eastAsia="zh-CN"/>
        </w:rPr>
        <w:t>，Q=0.1</w:t>
      </w:r>
      <w:r>
        <w:rPr>
          <w:rFonts w:hint="eastAsia" w:ascii="Times New Roman" w:hAnsi="Times New Roman" w:cs="Times New Roman"/>
          <w:color w:val="auto"/>
          <w:kern w:val="0"/>
          <w:sz w:val="24"/>
          <w:szCs w:val="24"/>
          <w:highlight w:val="none"/>
          <w:lang w:val="en-US" w:eastAsia="zh-CN"/>
        </w:rPr>
        <w:t>97</w:t>
      </w:r>
      <w:r>
        <w:rPr>
          <w:rFonts w:hint="default" w:ascii="Times New Roman" w:hAnsi="Times New Roman" w:cs="Times New Roman"/>
          <w:color w:val="auto"/>
          <w:kern w:val="0"/>
          <w:sz w:val="24"/>
          <w:szCs w:val="24"/>
          <w:highlight w:val="none"/>
          <w:lang w:val="en-US" w:eastAsia="zh-CN"/>
        </w:rPr>
        <w:t>&lt;1，</w:t>
      </w:r>
      <w:r>
        <w:rPr>
          <w:rFonts w:hint="eastAsia" w:ascii="Times New Roman" w:hAnsi="Times New Roman" w:cs="Times New Roman"/>
          <w:color w:val="auto"/>
          <w:kern w:val="0"/>
          <w:sz w:val="24"/>
          <w:szCs w:val="24"/>
          <w:highlight w:val="none"/>
          <w:lang w:val="en-US" w:eastAsia="zh-CN"/>
        </w:rPr>
        <w:t>项目</w:t>
      </w:r>
      <w:r>
        <w:rPr>
          <w:rFonts w:hint="default" w:ascii="Times New Roman" w:hAnsi="Times New Roman" w:cs="Times New Roman"/>
          <w:color w:val="auto"/>
          <w:kern w:val="0"/>
          <w:sz w:val="24"/>
          <w:szCs w:val="24"/>
          <w:highlight w:val="none"/>
        </w:rPr>
        <w:t>环境风险潜势为I级</w:t>
      </w:r>
      <w:r>
        <w:rPr>
          <w:rFonts w:hint="default" w:ascii="Times New Roman" w:hAnsi="Times New Roman" w:cs="Times New Roman"/>
          <w:color w:val="auto"/>
          <w:kern w:val="0"/>
          <w:sz w:val="24"/>
          <w:szCs w:val="24"/>
          <w:highlight w:val="none"/>
          <w:lang w:eastAsia="zh-CN"/>
        </w:rPr>
        <w:t>。</w:t>
      </w:r>
    </w:p>
    <w:p>
      <w:pPr>
        <w:pStyle w:val="108"/>
        <w:ind w:firstLine="480" w:firstLineChars="200"/>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lang w:val="en-US" w:eastAsia="zh-CN"/>
        </w:rPr>
        <w:t>2、</w:t>
      </w:r>
      <w:r>
        <w:rPr>
          <w:rFonts w:hint="default" w:ascii="Times New Roman" w:hAnsi="Times New Roman" w:cs="Times New Roman"/>
          <w:color w:val="auto"/>
          <w:kern w:val="0"/>
          <w:sz w:val="24"/>
          <w:szCs w:val="24"/>
          <w:highlight w:val="none"/>
        </w:rPr>
        <w:t>风险识别</w:t>
      </w:r>
    </w:p>
    <w:p>
      <w:pPr>
        <w:pStyle w:val="108"/>
        <w:ind w:firstLine="480" w:firstLineChars="200"/>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对建设项目生产和储运设施的风险因素、风险类型，结合项目组成、工艺过程等进行识别和筛选。主要包括以下几方面的内容：</w:t>
      </w:r>
    </w:p>
    <w:p>
      <w:pPr>
        <w:pStyle w:val="108"/>
        <w:ind w:firstLine="480" w:firstLineChars="200"/>
        <w:rPr>
          <w:rFonts w:hint="default" w:ascii="Times New Roman" w:hAnsi="Times New Roman" w:cs="Times New Roman"/>
          <w:color w:val="auto"/>
          <w:kern w:val="0"/>
          <w:sz w:val="24"/>
          <w:szCs w:val="24"/>
          <w:highlight w:val="none"/>
        </w:rPr>
      </w:pPr>
      <w:r>
        <w:rPr>
          <w:rFonts w:hint="eastAsia" w:ascii="Times New Roman" w:hAnsi="Times New Roman" w:cs="Times New Roman"/>
          <w:color w:val="auto"/>
          <w:kern w:val="0"/>
          <w:sz w:val="24"/>
          <w:szCs w:val="24"/>
          <w:highlight w:val="none"/>
          <w:lang w:eastAsia="zh-CN"/>
        </w:rPr>
        <w:t>(</w:t>
      </w:r>
      <w:r>
        <w:rPr>
          <w:rFonts w:hint="default" w:ascii="Times New Roman" w:hAnsi="Times New Roman" w:cs="Times New Roman"/>
          <w:color w:val="auto"/>
          <w:kern w:val="0"/>
          <w:sz w:val="24"/>
          <w:szCs w:val="24"/>
          <w:highlight w:val="none"/>
          <w:lang w:val="en-US" w:eastAsia="zh-CN"/>
        </w:rPr>
        <w:t>1</w:t>
      </w:r>
      <w:r>
        <w:rPr>
          <w:rFonts w:hint="eastAsia" w:ascii="Times New Roman" w:hAnsi="Times New Roman" w:cs="Times New Roman"/>
          <w:color w:val="auto"/>
          <w:kern w:val="0"/>
          <w:sz w:val="24"/>
          <w:szCs w:val="24"/>
          <w:highlight w:val="none"/>
          <w:lang w:eastAsia="zh-CN"/>
        </w:rPr>
        <w:t>)</w:t>
      </w:r>
      <w:r>
        <w:rPr>
          <w:rFonts w:hint="default" w:ascii="Times New Roman" w:hAnsi="Times New Roman" w:cs="Times New Roman"/>
          <w:color w:val="auto"/>
          <w:kern w:val="0"/>
          <w:sz w:val="24"/>
          <w:szCs w:val="24"/>
          <w:highlight w:val="none"/>
        </w:rPr>
        <w:t>生产过程化学物质的危险性识别；</w:t>
      </w:r>
    </w:p>
    <w:p>
      <w:pPr>
        <w:pStyle w:val="108"/>
        <w:ind w:firstLine="480" w:firstLineChars="200"/>
        <w:rPr>
          <w:rFonts w:hint="default" w:ascii="Times New Roman" w:hAnsi="Times New Roman" w:cs="Times New Roman"/>
          <w:color w:val="auto"/>
          <w:kern w:val="0"/>
          <w:sz w:val="24"/>
          <w:szCs w:val="24"/>
          <w:highlight w:val="none"/>
        </w:rPr>
      </w:pPr>
      <w:r>
        <w:rPr>
          <w:rFonts w:hint="eastAsia" w:ascii="Times New Roman" w:hAnsi="Times New Roman" w:cs="Times New Roman"/>
          <w:color w:val="auto"/>
          <w:kern w:val="0"/>
          <w:sz w:val="24"/>
          <w:szCs w:val="24"/>
          <w:highlight w:val="none"/>
          <w:lang w:eastAsia="zh-CN"/>
        </w:rPr>
        <w:t>(</w:t>
      </w:r>
      <w:r>
        <w:rPr>
          <w:rFonts w:hint="default" w:ascii="Times New Roman" w:hAnsi="Times New Roman" w:cs="Times New Roman"/>
          <w:color w:val="auto"/>
          <w:kern w:val="0"/>
          <w:sz w:val="24"/>
          <w:szCs w:val="24"/>
          <w:highlight w:val="none"/>
          <w:lang w:val="en-US" w:eastAsia="zh-CN"/>
        </w:rPr>
        <w:t>2</w:t>
      </w:r>
      <w:r>
        <w:rPr>
          <w:rFonts w:hint="eastAsia" w:ascii="Times New Roman" w:hAnsi="Times New Roman" w:cs="Times New Roman"/>
          <w:color w:val="auto"/>
          <w:kern w:val="0"/>
          <w:sz w:val="24"/>
          <w:szCs w:val="24"/>
          <w:highlight w:val="none"/>
          <w:lang w:eastAsia="zh-CN"/>
        </w:rPr>
        <w:t>)</w:t>
      </w:r>
      <w:r>
        <w:rPr>
          <w:rFonts w:hint="default" w:ascii="Times New Roman" w:hAnsi="Times New Roman" w:cs="Times New Roman"/>
          <w:color w:val="auto"/>
          <w:kern w:val="0"/>
          <w:sz w:val="24"/>
          <w:szCs w:val="24"/>
          <w:highlight w:val="none"/>
        </w:rPr>
        <w:t>危险品使用、储运过程风险因素识别；</w:t>
      </w:r>
    </w:p>
    <w:p>
      <w:pPr>
        <w:pStyle w:val="108"/>
        <w:ind w:firstLine="480" w:firstLineChars="200"/>
        <w:rPr>
          <w:rFonts w:hint="default" w:ascii="Times New Roman" w:hAnsi="Times New Roman" w:cs="Times New Roman"/>
          <w:color w:val="auto"/>
          <w:kern w:val="0"/>
          <w:sz w:val="24"/>
          <w:szCs w:val="24"/>
          <w:highlight w:val="none"/>
        </w:rPr>
      </w:pPr>
      <w:r>
        <w:rPr>
          <w:rFonts w:hint="eastAsia" w:ascii="Times New Roman" w:hAnsi="Times New Roman" w:cs="Times New Roman"/>
          <w:color w:val="auto"/>
          <w:kern w:val="0"/>
          <w:sz w:val="24"/>
          <w:szCs w:val="24"/>
          <w:highlight w:val="none"/>
          <w:lang w:eastAsia="zh-CN"/>
        </w:rPr>
        <w:t>(</w:t>
      </w:r>
      <w:r>
        <w:rPr>
          <w:rFonts w:hint="default" w:ascii="Times New Roman" w:hAnsi="Times New Roman" w:cs="Times New Roman"/>
          <w:color w:val="auto"/>
          <w:kern w:val="0"/>
          <w:sz w:val="24"/>
          <w:szCs w:val="24"/>
          <w:highlight w:val="none"/>
          <w:lang w:val="en-US" w:eastAsia="zh-CN"/>
        </w:rPr>
        <w:t>3</w:t>
      </w:r>
      <w:r>
        <w:rPr>
          <w:rFonts w:hint="eastAsia" w:ascii="Times New Roman" w:hAnsi="Times New Roman" w:cs="Times New Roman"/>
          <w:color w:val="auto"/>
          <w:kern w:val="0"/>
          <w:sz w:val="24"/>
          <w:szCs w:val="24"/>
          <w:highlight w:val="none"/>
          <w:lang w:eastAsia="zh-CN"/>
        </w:rPr>
        <w:t>)</w:t>
      </w:r>
      <w:r>
        <w:rPr>
          <w:rFonts w:hint="default" w:ascii="Times New Roman" w:hAnsi="Times New Roman" w:cs="Times New Roman"/>
          <w:color w:val="auto"/>
          <w:kern w:val="0"/>
          <w:sz w:val="24"/>
          <w:szCs w:val="24"/>
          <w:highlight w:val="none"/>
        </w:rPr>
        <w:t>生产废水的事故排放。</w:t>
      </w:r>
    </w:p>
    <w:p>
      <w:pPr>
        <w:pStyle w:val="108"/>
        <w:ind w:firstLine="480" w:firstLineChars="200"/>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lang w:val="en-US" w:eastAsia="zh-CN"/>
        </w:rPr>
        <w:t>3、</w:t>
      </w:r>
      <w:r>
        <w:rPr>
          <w:rFonts w:hint="default" w:ascii="Times New Roman" w:hAnsi="Times New Roman" w:cs="Times New Roman"/>
          <w:color w:val="auto"/>
          <w:kern w:val="0"/>
          <w:sz w:val="24"/>
          <w:szCs w:val="24"/>
          <w:highlight w:val="none"/>
        </w:rPr>
        <w:t>风险类型</w:t>
      </w:r>
    </w:p>
    <w:p>
      <w:pPr>
        <w:pStyle w:val="108"/>
        <w:ind w:firstLine="480" w:firstLineChars="200"/>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根据</w:t>
      </w:r>
      <w:r>
        <w:rPr>
          <w:rFonts w:hint="default" w:ascii="Times New Roman" w:hAnsi="Times New Roman" w:cs="Times New Roman"/>
          <w:color w:val="auto"/>
          <w:kern w:val="0"/>
          <w:sz w:val="24"/>
          <w:szCs w:val="24"/>
          <w:highlight w:val="none"/>
          <w:lang w:val="en-US" w:eastAsia="zh-CN"/>
        </w:rPr>
        <w:t>生产</w:t>
      </w:r>
      <w:r>
        <w:rPr>
          <w:rFonts w:hint="default" w:ascii="Times New Roman" w:hAnsi="Times New Roman" w:cs="Times New Roman"/>
          <w:color w:val="auto"/>
          <w:kern w:val="0"/>
          <w:sz w:val="24"/>
          <w:szCs w:val="24"/>
          <w:highlight w:val="none"/>
        </w:rPr>
        <w:t>实际情况，生产过程中可能发生的环境风险事故主要为</w:t>
      </w:r>
      <w:r>
        <w:rPr>
          <w:rFonts w:hint="default" w:ascii="Times New Roman" w:hAnsi="Times New Roman" w:cs="Times New Roman"/>
          <w:color w:val="auto"/>
          <w:kern w:val="0"/>
          <w:sz w:val="24"/>
          <w:szCs w:val="24"/>
          <w:highlight w:val="none"/>
          <w:lang w:val="en-US" w:eastAsia="zh-CN"/>
        </w:rPr>
        <w:t>危险物质</w:t>
      </w:r>
      <w:r>
        <w:rPr>
          <w:rFonts w:hint="default" w:ascii="Times New Roman" w:hAnsi="Times New Roman" w:cs="Times New Roman"/>
          <w:color w:val="auto"/>
          <w:kern w:val="0"/>
          <w:sz w:val="24"/>
          <w:szCs w:val="24"/>
          <w:highlight w:val="none"/>
        </w:rPr>
        <w:t>泄漏引发的伤害，因此，环境风险评价的主要评价对象是：</w:t>
      </w:r>
      <w:r>
        <w:rPr>
          <w:rFonts w:hint="default" w:ascii="Times New Roman" w:hAnsi="Times New Roman" w:cs="Times New Roman"/>
          <w:color w:val="auto"/>
          <w:kern w:val="0"/>
          <w:sz w:val="24"/>
          <w:szCs w:val="24"/>
          <w:highlight w:val="none"/>
          <w:lang w:val="en-US" w:eastAsia="zh-CN"/>
        </w:rPr>
        <w:t>危险物质</w:t>
      </w:r>
      <w:r>
        <w:rPr>
          <w:rFonts w:hint="default" w:ascii="Times New Roman" w:hAnsi="Times New Roman" w:cs="Times New Roman"/>
          <w:color w:val="auto"/>
          <w:kern w:val="0"/>
          <w:sz w:val="24"/>
          <w:szCs w:val="24"/>
          <w:highlight w:val="none"/>
        </w:rPr>
        <w:t>泄露。</w:t>
      </w:r>
    </w:p>
    <w:p>
      <w:pPr>
        <w:pStyle w:val="108"/>
        <w:ind w:firstLine="480" w:firstLineChars="200"/>
        <w:rPr>
          <w:rFonts w:hint="default" w:ascii="Times New Roman" w:hAnsi="Times New Roman"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lang w:val="en-US" w:eastAsia="zh-CN"/>
        </w:rPr>
        <w:t>4、环境风险防范措施有效性</w:t>
      </w:r>
    </w:p>
    <w:p>
      <w:pPr>
        <w:pStyle w:val="108"/>
        <w:ind w:firstLine="480" w:firstLineChars="200"/>
        <w:rPr>
          <w:rFonts w:hint="default" w:ascii="Times New Roman" w:hAnsi="Times New Roman" w:cs="Times New Roman"/>
          <w:color w:val="auto"/>
          <w:kern w:val="0"/>
          <w:sz w:val="24"/>
          <w:szCs w:val="24"/>
          <w:highlight w:val="none"/>
          <w:lang w:val="en-US" w:eastAsia="zh-CN"/>
        </w:rPr>
      </w:pPr>
      <w:r>
        <w:rPr>
          <w:rFonts w:hint="eastAsia" w:ascii="Times New Roman" w:cs="Times New Roman"/>
          <w:color w:val="auto"/>
          <w:kern w:val="0"/>
          <w:sz w:val="24"/>
          <w:szCs w:val="24"/>
          <w:highlight w:val="none"/>
          <w:lang w:val="en-US" w:eastAsia="zh-CN"/>
        </w:rPr>
        <w:t>(1)</w:t>
      </w:r>
      <w:r>
        <w:rPr>
          <w:rFonts w:hint="default" w:ascii="Times New Roman" w:hAnsi="Times New Roman" w:cs="Times New Roman"/>
          <w:color w:val="auto"/>
          <w:kern w:val="0"/>
          <w:sz w:val="24"/>
          <w:szCs w:val="24"/>
          <w:highlight w:val="none"/>
          <w:lang w:val="en-US" w:eastAsia="zh-CN"/>
        </w:rPr>
        <w:t>废气事故排放防范与管理措施</w:t>
      </w:r>
    </w:p>
    <w:p>
      <w:pPr>
        <w:pStyle w:val="108"/>
        <w:ind w:firstLine="480" w:firstLineChars="200"/>
        <w:rPr>
          <w:rFonts w:hint="default" w:ascii="Times New Roman" w:hAnsi="Times New Roman"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lang w:val="en-US" w:eastAsia="zh-CN"/>
        </w:rPr>
        <w:t>①各生产环节严格执行生产管理的有关规定，加强设备的检修及保养，提高管理人员素质，确保设备长期处于良好状态，使设备达到预期的处理效果。</w:t>
      </w:r>
    </w:p>
    <w:p>
      <w:pPr>
        <w:pStyle w:val="108"/>
        <w:ind w:firstLine="480" w:firstLineChars="200"/>
        <w:rPr>
          <w:rFonts w:hint="default" w:ascii="Times New Roman" w:hAnsi="Times New Roman"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lang w:val="en-US" w:eastAsia="zh-CN"/>
        </w:rPr>
        <w:t>②现场作业人员定时记录废气处理状况，如对喷淋循环水系统、抽风机、回收装置等设备进行检验工作，并派专人巡视，遇不良工作状况立即停止车间相关作业，维修正常后再开始作业，杜绝事故性废气直排。待检修完毕再通知生产车间相关工序。</w:t>
      </w:r>
    </w:p>
    <w:p>
      <w:pPr>
        <w:pStyle w:val="108"/>
        <w:ind w:firstLine="480" w:firstLineChars="200"/>
        <w:rPr>
          <w:rFonts w:hint="default" w:ascii="Times New Roman" w:hAnsi="Times New Roman" w:cs="Times New Roman"/>
          <w:color w:val="auto"/>
          <w:kern w:val="0"/>
          <w:sz w:val="24"/>
          <w:szCs w:val="24"/>
          <w:highlight w:val="none"/>
          <w:lang w:val="en-US" w:eastAsia="zh-CN"/>
        </w:rPr>
      </w:pPr>
      <w:r>
        <w:rPr>
          <w:rFonts w:hint="eastAsia" w:ascii="Times New Roman" w:cs="Times New Roman"/>
          <w:color w:val="auto"/>
          <w:kern w:val="0"/>
          <w:sz w:val="24"/>
          <w:szCs w:val="24"/>
          <w:highlight w:val="none"/>
          <w:lang w:val="en-US" w:eastAsia="zh-CN"/>
        </w:rPr>
        <w:t>(2)</w:t>
      </w:r>
      <w:r>
        <w:rPr>
          <w:rFonts w:hint="default" w:ascii="Times New Roman" w:hAnsi="Times New Roman" w:cs="Times New Roman"/>
          <w:color w:val="auto"/>
          <w:kern w:val="0"/>
          <w:sz w:val="24"/>
          <w:szCs w:val="24"/>
          <w:highlight w:val="none"/>
          <w:lang w:val="en-US" w:eastAsia="zh-CN"/>
        </w:rPr>
        <w:t>废水事故性排放的防范与管理措施</w:t>
      </w:r>
    </w:p>
    <w:p>
      <w:pPr>
        <w:pStyle w:val="108"/>
        <w:ind w:firstLine="480" w:firstLineChars="200"/>
        <w:rPr>
          <w:rFonts w:hint="default" w:ascii="Times New Roman" w:hAnsi="Times New Roman" w:cs="Times New Roman"/>
          <w:color w:val="auto"/>
          <w:kern w:val="0"/>
          <w:sz w:val="24"/>
          <w:szCs w:val="24"/>
          <w:highlight w:val="none"/>
          <w:lang w:val="en-US" w:eastAsia="zh-CN"/>
        </w:rPr>
      </w:pPr>
      <w:r>
        <w:rPr>
          <w:rFonts w:hint="eastAsia" w:ascii="Times New Roman" w:cs="Times New Roman"/>
          <w:color w:val="auto"/>
          <w:kern w:val="0"/>
          <w:sz w:val="24"/>
          <w:szCs w:val="24"/>
          <w:highlight w:val="none"/>
          <w:lang w:val="en-US" w:eastAsia="zh-CN"/>
        </w:rPr>
        <w:t>1)</w:t>
      </w:r>
      <w:r>
        <w:rPr>
          <w:rFonts w:hint="default" w:ascii="Times New Roman" w:hAnsi="Times New Roman" w:cs="Times New Roman"/>
          <w:color w:val="auto"/>
          <w:kern w:val="0"/>
          <w:sz w:val="24"/>
          <w:szCs w:val="24"/>
          <w:highlight w:val="none"/>
          <w:lang w:val="en-US" w:eastAsia="zh-CN"/>
        </w:rPr>
        <w:t>废水收集设施及构筑物的质量控制</w:t>
      </w:r>
    </w:p>
    <w:p>
      <w:pPr>
        <w:pStyle w:val="108"/>
        <w:ind w:firstLine="480" w:firstLineChars="200"/>
        <w:rPr>
          <w:rFonts w:hint="default" w:ascii="Times New Roman" w:hAnsi="Times New Roman"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lang w:val="en-US" w:eastAsia="zh-CN"/>
        </w:rPr>
        <w:t>项目生产废水的处理依托</w:t>
      </w:r>
      <w:r>
        <w:rPr>
          <w:rFonts w:hint="eastAsia" w:ascii="Times New Roman" w:cs="Times New Roman"/>
          <w:color w:val="auto"/>
          <w:kern w:val="0"/>
          <w:sz w:val="24"/>
          <w:szCs w:val="24"/>
          <w:highlight w:val="none"/>
          <w:lang w:val="en-US" w:eastAsia="zh-CN"/>
        </w:rPr>
        <w:t>园区</w:t>
      </w:r>
      <w:r>
        <w:rPr>
          <w:rFonts w:hint="default" w:ascii="Times New Roman" w:hAnsi="Times New Roman" w:cs="Times New Roman"/>
          <w:color w:val="auto"/>
          <w:kern w:val="0"/>
          <w:sz w:val="24"/>
          <w:szCs w:val="24"/>
          <w:highlight w:val="none"/>
          <w:lang w:val="en-US" w:eastAsia="zh-CN"/>
        </w:rPr>
        <w:t>污水处理</w:t>
      </w:r>
      <w:r>
        <w:rPr>
          <w:rFonts w:hint="eastAsia" w:ascii="Times New Roman" w:cs="Times New Roman"/>
          <w:color w:val="auto"/>
          <w:kern w:val="0"/>
          <w:sz w:val="24"/>
          <w:szCs w:val="24"/>
          <w:highlight w:val="none"/>
          <w:lang w:val="en-US" w:eastAsia="zh-CN"/>
        </w:rPr>
        <w:t>站</w:t>
      </w:r>
      <w:r>
        <w:rPr>
          <w:rFonts w:hint="default" w:ascii="Times New Roman" w:hAnsi="Times New Roman" w:cs="Times New Roman"/>
          <w:color w:val="auto"/>
          <w:kern w:val="0"/>
          <w:sz w:val="24"/>
          <w:szCs w:val="24"/>
          <w:highlight w:val="none"/>
          <w:lang w:val="en-US" w:eastAsia="zh-CN"/>
        </w:rPr>
        <w:t>处理，项目设置分类水管将生产废水输送至</w:t>
      </w:r>
      <w:r>
        <w:rPr>
          <w:rFonts w:hint="eastAsia" w:ascii="Times New Roman" w:cs="Times New Roman"/>
          <w:color w:val="auto"/>
          <w:kern w:val="0"/>
          <w:sz w:val="24"/>
          <w:szCs w:val="24"/>
          <w:highlight w:val="none"/>
          <w:lang w:val="en-US" w:eastAsia="zh-CN"/>
        </w:rPr>
        <w:t>园区</w:t>
      </w:r>
      <w:r>
        <w:rPr>
          <w:rFonts w:hint="default" w:ascii="Times New Roman" w:hAnsi="Times New Roman" w:cs="Times New Roman"/>
          <w:color w:val="auto"/>
          <w:kern w:val="0"/>
          <w:sz w:val="24"/>
          <w:szCs w:val="24"/>
          <w:highlight w:val="none"/>
          <w:lang w:val="en-US" w:eastAsia="zh-CN"/>
        </w:rPr>
        <w:t>污水处理</w:t>
      </w:r>
      <w:r>
        <w:rPr>
          <w:rFonts w:hint="eastAsia" w:ascii="Times New Roman" w:cs="Times New Roman"/>
          <w:color w:val="auto"/>
          <w:kern w:val="0"/>
          <w:sz w:val="24"/>
          <w:szCs w:val="24"/>
          <w:highlight w:val="none"/>
          <w:lang w:val="en-US" w:eastAsia="zh-CN"/>
        </w:rPr>
        <w:t>站</w:t>
      </w:r>
      <w:r>
        <w:rPr>
          <w:rFonts w:hint="default" w:ascii="Times New Roman" w:hAnsi="Times New Roman" w:cs="Times New Roman"/>
          <w:color w:val="auto"/>
          <w:kern w:val="0"/>
          <w:sz w:val="24"/>
          <w:szCs w:val="24"/>
          <w:highlight w:val="none"/>
          <w:lang w:val="en-US" w:eastAsia="zh-CN"/>
        </w:rPr>
        <w:t>，在此过程中确保设备及构筑物质量，具体如下：</w:t>
      </w:r>
    </w:p>
    <w:p>
      <w:pPr>
        <w:pStyle w:val="108"/>
        <w:ind w:firstLine="480" w:firstLineChars="200"/>
        <w:rPr>
          <w:rFonts w:hint="default" w:ascii="Times New Roman" w:hAnsi="Times New Roman"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lang w:val="en-US" w:eastAsia="zh-CN"/>
        </w:rPr>
        <w:t>①污水输送管道采用防腐、耐酸碱材料，并充分考虑管道的抗击、抗震动等要求。管线采用地面架管方式，以方便事故的发生和检修。在适当位置设置管道截止阀，并定期检查其性能；</w:t>
      </w:r>
    </w:p>
    <w:p>
      <w:pPr>
        <w:pStyle w:val="108"/>
        <w:ind w:firstLine="480" w:firstLineChars="200"/>
        <w:rPr>
          <w:rFonts w:hint="default" w:ascii="Times New Roman" w:hAnsi="Times New Roman"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lang w:val="en-US" w:eastAsia="zh-CN"/>
        </w:rPr>
        <w:t>②重要部位的阀门，如管道接头处的阀门、安全阀等，采用耐腐蚀、安全系数高、性能良好的阀门，并加强检查、防护。日常配备有管道紧急维修的设备和配件，对不能满足输送要求或老化、破裂的管道，应及时更换维修，以降低事故发生概率；</w:t>
      </w:r>
    </w:p>
    <w:p>
      <w:pPr>
        <w:pStyle w:val="108"/>
        <w:ind w:firstLine="480" w:firstLineChars="200"/>
        <w:rPr>
          <w:rFonts w:hint="default" w:ascii="Times New Roman" w:hAnsi="Times New Roman"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lang w:val="en-US" w:eastAsia="zh-CN"/>
        </w:rPr>
        <w:t>③在</w:t>
      </w:r>
      <w:r>
        <w:rPr>
          <w:rFonts w:hint="eastAsia" w:ascii="Times New Roman" w:cs="Times New Roman"/>
          <w:color w:val="auto"/>
          <w:kern w:val="0"/>
          <w:sz w:val="24"/>
          <w:szCs w:val="24"/>
          <w:highlight w:val="none"/>
          <w:lang w:val="en-US" w:eastAsia="zh-CN"/>
        </w:rPr>
        <w:t>车间</w:t>
      </w:r>
      <w:r>
        <w:rPr>
          <w:rFonts w:hint="default" w:ascii="Times New Roman" w:hAnsi="Times New Roman" w:cs="Times New Roman"/>
          <w:color w:val="auto"/>
          <w:kern w:val="0"/>
          <w:sz w:val="24"/>
          <w:szCs w:val="24"/>
          <w:highlight w:val="none"/>
          <w:lang w:val="en-US" w:eastAsia="zh-CN"/>
        </w:rPr>
        <w:t>与</w:t>
      </w:r>
      <w:r>
        <w:rPr>
          <w:rFonts w:hint="eastAsia" w:ascii="Times New Roman" w:cs="Times New Roman"/>
          <w:color w:val="auto"/>
          <w:kern w:val="0"/>
          <w:sz w:val="24"/>
          <w:szCs w:val="24"/>
          <w:highlight w:val="none"/>
          <w:lang w:val="en-US" w:eastAsia="zh-CN"/>
        </w:rPr>
        <w:t>园区</w:t>
      </w:r>
      <w:r>
        <w:rPr>
          <w:rFonts w:hint="default" w:ascii="Times New Roman" w:hAnsi="Times New Roman" w:cs="Times New Roman"/>
          <w:color w:val="auto"/>
          <w:kern w:val="0"/>
          <w:sz w:val="24"/>
          <w:szCs w:val="24"/>
          <w:highlight w:val="none"/>
          <w:lang w:val="en-US" w:eastAsia="zh-CN"/>
        </w:rPr>
        <w:t>废水收集管之间设置截断阀门，发生泄露时关闭以阶段污染物外排途径，以杜绝发生泄露事故时污染物直接排入外环境。</w:t>
      </w:r>
    </w:p>
    <w:p>
      <w:pPr>
        <w:pStyle w:val="108"/>
        <w:ind w:firstLine="480" w:firstLineChars="200"/>
        <w:rPr>
          <w:rFonts w:hint="default" w:ascii="Times New Roman" w:hAnsi="Times New Roman" w:cs="Times New Roman"/>
          <w:color w:val="auto"/>
          <w:kern w:val="0"/>
          <w:sz w:val="24"/>
          <w:szCs w:val="24"/>
          <w:highlight w:val="none"/>
          <w:lang w:val="en-US" w:eastAsia="zh-CN"/>
        </w:rPr>
      </w:pPr>
      <w:r>
        <w:rPr>
          <w:rFonts w:hint="eastAsia" w:ascii="Times New Roman" w:cs="Times New Roman"/>
          <w:color w:val="auto"/>
          <w:kern w:val="0"/>
          <w:sz w:val="24"/>
          <w:szCs w:val="24"/>
          <w:highlight w:val="none"/>
          <w:lang w:val="en-US" w:eastAsia="zh-CN"/>
        </w:rPr>
        <w:t>(3)</w:t>
      </w:r>
      <w:r>
        <w:rPr>
          <w:rFonts w:hint="default" w:ascii="Times New Roman" w:hAnsi="Times New Roman" w:cs="Times New Roman"/>
          <w:color w:val="auto"/>
          <w:kern w:val="0"/>
          <w:sz w:val="24"/>
          <w:szCs w:val="24"/>
          <w:highlight w:val="none"/>
          <w:lang w:val="en-US" w:eastAsia="zh-CN"/>
        </w:rPr>
        <w:t>危险化学品事故防范措施</w:t>
      </w:r>
    </w:p>
    <w:p>
      <w:pPr>
        <w:pStyle w:val="108"/>
        <w:ind w:firstLine="480" w:firstLineChars="200"/>
        <w:rPr>
          <w:rFonts w:hint="default" w:ascii="Times New Roman" w:hAnsi="Times New Roman"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lang w:val="en-US" w:eastAsia="zh-CN"/>
        </w:rPr>
        <w:t>项目用到的危险化学品主要为盐酸、硫酸、</w:t>
      </w:r>
      <w:r>
        <w:rPr>
          <w:rFonts w:hint="eastAsia" w:ascii="Times New Roman" w:cs="Times New Roman"/>
          <w:color w:val="auto"/>
          <w:kern w:val="0"/>
          <w:sz w:val="24"/>
          <w:szCs w:val="24"/>
          <w:highlight w:val="none"/>
          <w:lang w:val="en-US" w:eastAsia="zh-CN"/>
        </w:rPr>
        <w:t>铬酐</w:t>
      </w:r>
      <w:r>
        <w:rPr>
          <w:rFonts w:hint="default" w:ascii="Times New Roman" w:hAnsi="Times New Roman" w:cs="Times New Roman"/>
          <w:color w:val="auto"/>
          <w:kern w:val="0"/>
          <w:sz w:val="24"/>
          <w:szCs w:val="24"/>
          <w:highlight w:val="none"/>
          <w:lang w:val="en-US" w:eastAsia="zh-CN"/>
        </w:rPr>
        <w:t>等，此类化学品建设单位在运输、储存、生产和废弃各个环节均需重点注意事故防范和应急措施。</w:t>
      </w:r>
    </w:p>
    <w:p>
      <w:pPr>
        <w:pStyle w:val="108"/>
        <w:ind w:firstLine="480" w:firstLineChars="200"/>
        <w:rPr>
          <w:rFonts w:hint="default" w:ascii="Times New Roman" w:hAnsi="Times New Roman" w:cs="Times New Roman"/>
          <w:color w:val="auto"/>
          <w:kern w:val="0"/>
          <w:sz w:val="24"/>
          <w:szCs w:val="24"/>
          <w:highlight w:val="none"/>
          <w:lang w:val="en-US" w:eastAsia="zh-CN"/>
        </w:rPr>
      </w:pPr>
      <w:r>
        <w:rPr>
          <w:rFonts w:hint="eastAsia" w:ascii="Times New Roman" w:cs="Times New Roman"/>
          <w:color w:val="auto"/>
          <w:kern w:val="0"/>
          <w:sz w:val="24"/>
          <w:szCs w:val="24"/>
          <w:highlight w:val="none"/>
          <w:lang w:val="en-US" w:eastAsia="zh-CN"/>
        </w:rPr>
        <w:t>(</w:t>
      </w:r>
      <w:r>
        <w:rPr>
          <w:rFonts w:hint="default" w:ascii="Times New Roman" w:hAnsi="Times New Roman" w:cs="Times New Roman"/>
          <w:color w:val="auto"/>
          <w:kern w:val="0"/>
          <w:sz w:val="24"/>
          <w:szCs w:val="24"/>
          <w:highlight w:val="none"/>
          <w:lang w:val="en-US" w:eastAsia="zh-CN"/>
        </w:rPr>
        <w:t>1</w:t>
      </w:r>
      <w:r>
        <w:rPr>
          <w:rFonts w:hint="eastAsia" w:ascii="Times New Roman" w:cs="Times New Roman"/>
          <w:color w:val="auto"/>
          <w:kern w:val="0"/>
          <w:sz w:val="24"/>
          <w:szCs w:val="24"/>
          <w:highlight w:val="none"/>
          <w:lang w:val="en-US" w:eastAsia="zh-CN"/>
        </w:rPr>
        <w:t>)</w:t>
      </w:r>
      <w:r>
        <w:rPr>
          <w:rFonts w:hint="default" w:ascii="Times New Roman" w:hAnsi="Times New Roman" w:cs="Times New Roman"/>
          <w:color w:val="auto"/>
          <w:kern w:val="0"/>
          <w:sz w:val="24"/>
          <w:szCs w:val="24"/>
          <w:highlight w:val="none"/>
          <w:lang w:val="en-US" w:eastAsia="zh-CN"/>
        </w:rPr>
        <w:t>运输：由危险化学品供应商负责直接运输到厂，建设单位不设专门运输车队。危险化学品进出厂门都应进行严格的检查登记，防止有偷盗、遗失的情况出现。</w:t>
      </w:r>
    </w:p>
    <w:p>
      <w:pPr>
        <w:pStyle w:val="108"/>
        <w:ind w:firstLine="480" w:firstLineChars="200"/>
        <w:rPr>
          <w:rFonts w:hint="default" w:ascii="Times New Roman" w:hAnsi="Times New Roman" w:cs="Times New Roman"/>
          <w:color w:val="auto"/>
          <w:kern w:val="0"/>
          <w:sz w:val="24"/>
          <w:szCs w:val="24"/>
          <w:highlight w:val="none"/>
          <w:lang w:val="en-US" w:eastAsia="zh-CN"/>
        </w:rPr>
      </w:pPr>
      <w:r>
        <w:rPr>
          <w:rFonts w:hint="eastAsia" w:ascii="Times New Roman" w:cs="Times New Roman"/>
          <w:color w:val="auto"/>
          <w:kern w:val="0"/>
          <w:sz w:val="24"/>
          <w:szCs w:val="24"/>
          <w:highlight w:val="none"/>
          <w:lang w:val="en-US" w:eastAsia="zh-CN"/>
        </w:rPr>
        <w:t>(</w:t>
      </w:r>
      <w:r>
        <w:rPr>
          <w:rFonts w:hint="default" w:ascii="Times New Roman" w:hAnsi="Times New Roman" w:cs="Times New Roman"/>
          <w:color w:val="auto"/>
          <w:kern w:val="0"/>
          <w:sz w:val="24"/>
          <w:szCs w:val="24"/>
          <w:highlight w:val="none"/>
          <w:lang w:val="en-US" w:eastAsia="zh-CN"/>
        </w:rPr>
        <w:t>2</w:t>
      </w:r>
      <w:r>
        <w:rPr>
          <w:rFonts w:hint="eastAsia" w:ascii="Times New Roman" w:cs="Times New Roman"/>
          <w:color w:val="auto"/>
          <w:kern w:val="0"/>
          <w:sz w:val="24"/>
          <w:szCs w:val="24"/>
          <w:highlight w:val="none"/>
          <w:lang w:val="en-US" w:eastAsia="zh-CN"/>
        </w:rPr>
        <w:t>)</w:t>
      </w:r>
      <w:r>
        <w:rPr>
          <w:rFonts w:hint="default" w:ascii="Times New Roman" w:hAnsi="Times New Roman" w:cs="Times New Roman"/>
          <w:color w:val="auto"/>
          <w:kern w:val="0"/>
          <w:sz w:val="24"/>
          <w:szCs w:val="24"/>
          <w:highlight w:val="none"/>
          <w:lang w:val="en-US" w:eastAsia="zh-CN"/>
        </w:rPr>
        <w:t>储存：项目设专门的危险化学品仓库，企业主要负责人及各车间负责人必须保证本单位危险化学品的安仝管理符合有关法律、法规、规章的规定和国家标准的要求，并对本单位危险化学品的安全负责，防止泄露、丢失。同时，制定严密的仓库进出安全管理制度，防止丢失或被盗，以免造成额外的环境和安全事故风险。当发生泄露事故时，可经由围堰及收集沟将泄漏物料控制在围堰内并将其大部分重新收集至贮槽(桶)内。通常回收完泄露的物料后，用水对地面进行冲洗，在提前告知</w:t>
      </w:r>
      <w:r>
        <w:rPr>
          <w:rFonts w:hint="eastAsia" w:ascii="Times New Roman" w:cs="Times New Roman"/>
          <w:color w:val="auto"/>
          <w:kern w:val="0"/>
          <w:sz w:val="24"/>
          <w:szCs w:val="24"/>
          <w:highlight w:val="none"/>
          <w:lang w:val="en-US" w:eastAsia="zh-CN"/>
        </w:rPr>
        <w:t>园区</w:t>
      </w:r>
      <w:r>
        <w:rPr>
          <w:rFonts w:hint="default" w:ascii="Times New Roman" w:hAnsi="Times New Roman" w:cs="Times New Roman"/>
          <w:color w:val="auto"/>
          <w:kern w:val="0"/>
          <w:sz w:val="24"/>
          <w:szCs w:val="24"/>
          <w:highlight w:val="none"/>
          <w:lang w:val="en-US" w:eastAsia="zh-CN"/>
        </w:rPr>
        <w:t>的前提下，将冲洗废水收集并纳入</w:t>
      </w:r>
      <w:r>
        <w:rPr>
          <w:rFonts w:hint="eastAsia" w:ascii="Times New Roman" w:cs="Times New Roman"/>
          <w:color w:val="auto"/>
          <w:kern w:val="0"/>
          <w:sz w:val="24"/>
          <w:szCs w:val="24"/>
          <w:highlight w:val="none"/>
          <w:lang w:val="en-US" w:eastAsia="zh-CN"/>
        </w:rPr>
        <w:t>园区</w:t>
      </w:r>
      <w:r>
        <w:rPr>
          <w:rFonts w:hint="default" w:ascii="Times New Roman" w:hAnsi="Times New Roman" w:cs="Times New Roman"/>
          <w:color w:val="auto"/>
          <w:kern w:val="0"/>
          <w:sz w:val="24"/>
          <w:szCs w:val="24"/>
          <w:highlight w:val="none"/>
          <w:lang w:val="en-US" w:eastAsia="zh-CN"/>
        </w:rPr>
        <w:t>污水处理</w:t>
      </w:r>
      <w:r>
        <w:rPr>
          <w:rFonts w:hint="eastAsia" w:ascii="Times New Roman" w:cs="Times New Roman"/>
          <w:color w:val="auto"/>
          <w:kern w:val="0"/>
          <w:sz w:val="24"/>
          <w:szCs w:val="24"/>
          <w:highlight w:val="none"/>
          <w:lang w:val="en-US" w:eastAsia="zh-CN"/>
        </w:rPr>
        <w:t>站</w:t>
      </w:r>
      <w:r>
        <w:rPr>
          <w:rFonts w:hint="default" w:ascii="Times New Roman" w:hAnsi="Times New Roman" w:cs="Times New Roman"/>
          <w:color w:val="auto"/>
          <w:kern w:val="0"/>
          <w:sz w:val="24"/>
          <w:szCs w:val="24"/>
          <w:highlight w:val="none"/>
          <w:lang w:val="en-US" w:eastAsia="zh-CN"/>
        </w:rPr>
        <w:t>集中处理，不允许出现随意外排现象。</w:t>
      </w:r>
    </w:p>
    <w:p>
      <w:pPr>
        <w:pStyle w:val="108"/>
        <w:ind w:firstLine="480" w:firstLineChars="200"/>
        <w:rPr>
          <w:rFonts w:hint="default" w:ascii="Times New Roman" w:hAnsi="Times New Roman" w:cs="Times New Roman"/>
          <w:color w:val="auto"/>
          <w:kern w:val="0"/>
          <w:sz w:val="24"/>
          <w:szCs w:val="24"/>
          <w:highlight w:val="none"/>
          <w:lang w:val="en-US" w:eastAsia="zh-CN"/>
        </w:rPr>
      </w:pPr>
      <w:r>
        <w:rPr>
          <w:rFonts w:hint="eastAsia" w:ascii="Times New Roman" w:cs="Times New Roman"/>
          <w:color w:val="auto"/>
          <w:kern w:val="0"/>
          <w:sz w:val="24"/>
          <w:szCs w:val="24"/>
          <w:highlight w:val="none"/>
          <w:lang w:val="en-US" w:eastAsia="zh-CN"/>
        </w:rPr>
        <w:t>(</w:t>
      </w:r>
      <w:r>
        <w:rPr>
          <w:rFonts w:hint="default" w:ascii="Times New Roman" w:hAnsi="Times New Roman" w:cs="Times New Roman"/>
          <w:color w:val="auto"/>
          <w:kern w:val="0"/>
          <w:sz w:val="24"/>
          <w:szCs w:val="24"/>
          <w:highlight w:val="none"/>
          <w:lang w:val="en-US" w:eastAsia="zh-CN"/>
        </w:rPr>
        <w:t>3</w:t>
      </w:r>
      <w:r>
        <w:rPr>
          <w:rFonts w:hint="eastAsia" w:ascii="Times New Roman" w:cs="Times New Roman"/>
          <w:color w:val="auto"/>
          <w:kern w:val="0"/>
          <w:sz w:val="24"/>
          <w:szCs w:val="24"/>
          <w:highlight w:val="none"/>
          <w:lang w:val="en-US" w:eastAsia="zh-CN"/>
        </w:rPr>
        <w:t>)</w:t>
      </w:r>
      <w:r>
        <w:rPr>
          <w:rFonts w:hint="default" w:ascii="Times New Roman" w:hAnsi="Times New Roman" w:cs="Times New Roman"/>
          <w:color w:val="auto"/>
          <w:kern w:val="0"/>
          <w:sz w:val="24"/>
          <w:szCs w:val="24"/>
          <w:highlight w:val="none"/>
          <w:lang w:val="en-US" w:eastAsia="zh-CN"/>
        </w:rPr>
        <w:t>使用：在生产过程中使用此类危险化学物品时一定要加强局部排风和全面通风。可能接触该毒物时，必须佩带防毒面具。工作现场禁止吸烟、进食和饮水。工作后彻底清洗、更衣。车间应配备急救设备及抢救药品。紧急事态抢救及事故现场处理时，戴空气呼吸器。穿相应防护服，戴防化学手套。</w:t>
      </w:r>
    </w:p>
    <w:p>
      <w:pPr>
        <w:pStyle w:val="108"/>
        <w:ind w:firstLine="480" w:firstLineChars="200"/>
        <w:rPr>
          <w:rFonts w:hint="default" w:ascii="Times New Roman" w:hAnsi="Times New Roman" w:cs="Times New Roman"/>
          <w:color w:val="auto"/>
          <w:kern w:val="0"/>
          <w:sz w:val="24"/>
          <w:szCs w:val="24"/>
          <w:highlight w:val="none"/>
          <w:lang w:val="en-US" w:eastAsia="zh-CN"/>
        </w:rPr>
      </w:pPr>
      <w:r>
        <w:rPr>
          <w:rFonts w:hint="eastAsia" w:ascii="Times New Roman" w:cs="Times New Roman"/>
          <w:color w:val="auto"/>
          <w:kern w:val="0"/>
          <w:sz w:val="24"/>
          <w:szCs w:val="24"/>
          <w:highlight w:val="none"/>
          <w:lang w:val="en-US" w:eastAsia="zh-CN"/>
        </w:rPr>
        <w:t>(</w:t>
      </w:r>
      <w:r>
        <w:rPr>
          <w:rFonts w:hint="default" w:ascii="Times New Roman" w:hAnsi="Times New Roman" w:cs="Times New Roman"/>
          <w:color w:val="auto"/>
          <w:kern w:val="0"/>
          <w:sz w:val="24"/>
          <w:szCs w:val="24"/>
          <w:highlight w:val="none"/>
          <w:lang w:val="en-US" w:eastAsia="zh-CN"/>
        </w:rPr>
        <w:t>4</w:t>
      </w:r>
      <w:r>
        <w:rPr>
          <w:rFonts w:hint="eastAsia" w:ascii="Times New Roman" w:cs="Times New Roman"/>
          <w:color w:val="auto"/>
          <w:kern w:val="0"/>
          <w:sz w:val="24"/>
          <w:szCs w:val="24"/>
          <w:highlight w:val="none"/>
          <w:lang w:val="en-US" w:eastAsia="zh-CN"/>
        </w:rPr>
        <w:t>)</w:t>
      </w:r>
      <w:r>
        <w:rPr>
          <w:rFonts w:hint="default" w:ascii="Times New Roman" w:hAnsi="Times New Roman" w:cs="Times New Roman"/>
          <w:color w:val="auto"/>
          <w:kern w:val="0"/>
          <w:sz w:val="24"/>
          <w:szCs w:val="24"/>
          <w:highlight w:val="none"/>
          <w:lang w:val="en-US" w:eastAsia="zh-CN"/>
        </w:rPr>
        <w:t>废弃：在生产工艺使用过程中所产生的相应废弃物都属于危险废物，需储存厂区的危废暂存间内，定时由园</w:t>
      </w:r>
      <w:r>
        <w:rPr>
          <w:rFonts w:hint="eastAsia" w:ascii="Times New Roman" w:cs="Times New Roman"/>
          <w:color w:val="auto"/>
          <w:kern w:val="0"/>
          <w:sz w:val="24"/>
          <w:szCs w:val="24"/>
          <w:highlight w:val="none"/>
          <w:lang w:val="en-US" w:eastAsia="zh-CN"/>
        </w:rPr>
        <w:t>去</w:t>
      </w:r>
      <w:r>
        <w:rPr>
          <w:rFonts w:hint="default" w:ascii="Times New Roman" w:hAnsi="Times New Roman" w:cs="Times New Roman"/>
          <w:color w:val="auto"/>
          <w:kern w:val="0"/>
          <w:sz w:val="24"/>
          <w:szCs w:val="24"/>
          <w:highlight w:val="none"/>
          <w:lang w:val="en-US" w:eastAsia="zh-CN"/>
        </w:rPr>
        <w:t>转送至危废库暂存、委托处置，以免对周围环境产生危害。</w:t>
      </w:r>
    </w:p>
    <w:p>
      <w:pPr>
        <w:pStyle w:val="108"/>
        <w:ind w:firstLine="480" w:firstLineChars="200"/>
        <w:rPr>
          <w:rFonts w:hint="eastAsia" w:ascii="Times New Roman" w:cs="Times New Roman"/>
          <w:color w:val="auto"/>
          <w:kern w:val="0"/>
          <w:sz w:val="24"/>
          <w:szCs w:val="24"/>
          <w:highlight w:val="none"/>
          <w:lang w:val="en-US" w:eastAsia="zh-CN"/>
        </w:rPr>
      </w:pPr>
      <w:r>
        <w:rPr>
          <w:rFonts w:hint="eastAsia" w:ascii="Times New Roman" w:cs="Times New Roman"/>
          <w:color w:val="auto"/>
          <w:kern w:val="0"/>
          <w:sz w:val="24"/>
          <w:szCs w:val="24"/>
          <w:highlight w:val="none"/>
          <w:lang w:val="en-US" w:eastAsia="zh-CN"/>
        </w:rPr>
        <w:t>经调查，项目运行以来，未发生环境污染事故。</w:t>
      </w:r>
    </w:p>
    <w:p>
      <w:pPr>
        <w:pStyle w:val="108"/>
        <w:ind w:firstLine="480" w:firstLineChars="200"/>
        <w:rPr>
          <w:rFonts w:hint="default" w:ascii="Times New Roman" w:cs="Times New Roman"/>
          <w:color w:val="auto"/>
          <w:kern w:val="0"/>
          <w:sz w:val="24"/>
          <w:szCs w:val="24"/>
          <w:highlight w:val="none"/>
          <w:lang w:val="en-US" w:eastAsia="zh-CN"/>
        </w:rPr>
      </w:pPr>
      <w:r>
        <w:rPr>
          <w:rFonts w:hint="eastAsia" w:ascii="Times New Roman" w:cs="Times New Roman"/>
          <w:color w:val="auto"/>
          <w:kern w:val="0"/>
          <w:sz w:val="24"/>
          <w:szCs w:val="24"/>
          <w:highlight w:val="none"/>
          <w:lang w:val="en-US" w:eastAsia="zh-CN"/>
        </w:rPr>
        <w:t>综上分析，项目现行废气、噪声、废水、固废等措施有效，能够满足国家和地方相关法律、法规和标准的要求。尚未制定应急预案，因此本次评价建议企业制定应急预案并备案。</w:t>
      </w:r>
    </w:p>
    <w:p>
      <w:pPr>
        <w:adjustRightInd w:val="0"/>
        <w:snapToGrid w:val="0"/>
        <w:spacing w:line="360" w:lineRule="auto"/>
        <w:jc w:val="left"/>
        <w:outlineLvl w:val="1"/>
        <w:rPr>
          <w:rFonts w:eastAsia="黑体"/>
          <w:bCs/>
          <w:color w:val="auto"/>
          <w:sz w:val="24"/>
          <w:highlight w:val="none"/>
          <w:lang w:val="zh-CN"/>
        </w:rPr>
      </w:pPr>
      <w:bookmarkStart w:id="205" w:name="_Toc530655616"/>
      <w:bookmarkStart w:id="206" w:name="_Toc28473"/>
      <w:bookmarkStart w:id="207" w:name="_Toc519063313"/>
      <w:r>
        <w:rPr>
          <w:rFonts w:hint="eastAsia" w:eastAsia="黑体"/>
          <w:bCs/>
          <w:color w:val="auto"/>
          <w:sz w:val="24"/>
          <w:highlight w:val="none"/>
          <w:lang w:val="zh-CN"/>
        </w:rPr>
        <w:t>4.</w:t>
      </w:r>
      <w:r>
        <w:rPr>
          <w:rFonts w:hint="eastAsia" w:eastAsia="黑体"/>
          <w:bCs/>
          <w:color w:val="auto"/>
          <w:sz w:val="24"/>
          <w:highlight w:val="none"/>
          <w:lang w:val="en-US" w:eastAsia="zh-CN"/>
        </w:rPr>
        <w:t>6</w:t>
      </w:r>
      <w:r>
        <w:rPr>
          <w:rFonts w:hint="eastAsia" w:eastAsia="黑体"/>
          <w:bCs/>
          <w:color w:val="auto"/>
          <w:sz w:val="24"/>
          <w:highlight w:val="none"/>
          <w:lang w:val="zh-CN"/>
        </w:rPr>
        <w:t xml:space="preserve"> 环境管理与环境监测计划</w:t>
      </w:r>
      <w:bookmarkEnd w:id="205"/>
      <w:bookmarkEnd w:id="206"/>
      <w:bookmarkEnd w:id="207"/>
    </w:p>
    <w:p>
      <w:pPr>
        <w:pStyle w:val="101"/>
        <w:adjustRightInd w:val="0"/>
        <w:snapToGrid w:val="0"/>
        <w:rPr>
          <w:color w:val="auto"/>
          <w:highlight w:val="none"/>
        </w:rPr>
      </w:pPr>
      <w:r>
        <w:rPr>
          <w:color w:val="auto"/>
          <w:highlight w:val="none"/>
        </w:rPr>
        <w:t>营运期的环境管理的重点是各项环境保护措施的落实，工程环保工作要纳入公司全面工作之中，在工程管理的每个环节都要注重环境保护，把环保工作贯穿到工程管理的每个部分。公司环保管理机构要对环境保护工作统一管理，对公司环保工作定期检查，并接受政府环境保护主管部门的监督和指导。</w:t>
      </w:r>
    </w:p>
    <w:p>
      <w:pPr>
        <w:pStyle w:val="11"/>
        <w:adjustRightInd w:val="0"/>
        <w:snapToGrid w:val="0"/>
        <w:spacing w:line="360" w:lineRule="auto"/>
        <w:ind w:firstLine="480"/>
        <w:rPr>
          <w:color w:val="auto"/>
          <w:sz w:val="24"/>
          <w:szCs w:val="20"/>
          <w:highlight w:val="none"/>
        </w:rPr>
      </w:pPr>
      <w:r>
        <w:rPr>
          <w:rFonts w:cs="宋体" w:asciiTheme="minorHAnsi" w:hAnsiTheme="minorHAnsi"/>
          <w:color w:val="auto"/>
          <w:sz w:val="24"/>
          <w:szCs w:val="20"/>
          <w:highlight w:val="none"/>
        </w:rPr>
        <w:t>建设项目运营期环境保护管理计划可</w:t>
      </w:r>
      <w:r>
        <w:rPr>
          <w:color w:val="auto"/>
          <w:sz w:val="24"/>
          <w:szCs w:val="20"/>
          <w:highlight w:val="none"/>
        </w:rPr>
        <w:t>见表4.</w:t>
      </w:r>
      <w:r>
        <w:rPr>
          <w:rFonts w:hint="eastAsia"/>
          <w:color w:val="auto"/>
          <w:sz w:val="24"/>
          <w:szCs w:val="20"/>
          <w:highlight w:val="none"/>
          <w:lang w:val="en-US" w:eastAsia="zh-CN"/>
        </w:rPr>
        <w:t>6</w:t>
      </w:r>
      <w:r>
        <w:rPr>
          <w:color w:val="auto"/>
          <w:sz w:val="24"/>
          <w:szCs w:val="20"/>
          <w:highlight w:val="none"/>
        </w:rPr>
        <w:t>-1。</w:t>
      </w:r>
    </w:p>
    <w:p>
      <w:pPr>
        <w:pStyle w:val="1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eastAsia="黑体"/>
          <w:color w:val="auto"/>
          <w:sz w:val="24"/>
          <w:szCs w:val="24"/>
          <w:highlight w:val="none"/>
        </w:rPr>
      </w:pPr>
      <w:r>
        <w:rPr>
          <w:rFonts w:eastAsia="黑体"/>
          <w:color w:val="auto"/>
          <w:sz w:val="24"/>
          <w:szCs w:val="24"/>
          <w:highlight w:val="none"/>
        </w:rPr>
        <w:t>表4.</w:t>
      </w:r>
      <w:r>
        <w:rPr>
          <w:rFonts w:hint="eastAsia" w:eastAsia="黑体"/>
          <w:color w:val="auto"/>
          <w:sz w:val="24"/>
          <w:szCs w:val="24"/>
          <w:highlight w:val="none"/>
          <w:lang w:val="en-US" w:eastAsia="zh-CN"/>
        </w:rPr>
        <w:t>6</w:t>
      </w:r>
      <w:r>
        <w:rPr>
          <w:rFonts w:eastAsia="黑体"/>
          <w:color w:val="auto"/>
          <w:sz w:val="24"/>
          <w:szCs w:val="24"/>
          <w:highlight w:val="none"/>
        </w:rPr>
        <w:t>-1  营运期环境保护管理计划</w:t>
      </w:r>
    </w:p>
    <w:tbl>
      <w:tblPr>
        <w:tblStyle w:val="36"/>
        <w:tblW w:w="9231" w:type="dxa"/>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676"/>
        <w:gridCol w:w="1126"/>
        <w:gridCol w:w="4313"/>
        <w:gridCol w:w="1126"/>
        <w:gridCol w:w="1990"/>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63" w:hRule="atLeast"/>
          <w:jc w:val="center"/>
        </w:trPr>
        <w:tc>
          <w:tcPr>
            <w:tcW w:w="676" w:type="dxa"/>
            <w:vAlign w:val="center"/>
          </w:tcPr>
          <w:p>
            <w:pPr>
              <w:pStyle w:val="11"/>
              <w:adjustRightInd w:val="0"/>
              <w:snapToGrid w:val="0"/>
              <w:ind w:firstLine="0" w:firstLineChars="0"/>
              <w:jc w:val="center"/>
              <w:rPr>
                <w:b/>
                <w:color w:val="auto"/>
                <w:szCs w:val="21"/>
                <w:highlight w:val="none"/>
              </w:rPr>
            </w:pPr>
            <w:r>
              <w:rPr>
                <w:b/>
                <w:color w:val="auto"/>
                <w:szCs w:val="21"/>
                <w:highlight w:val="none"/>
              </w:rPr>
              <w:t>序号</w:t>
            </w:r>
          </w:p>
        </w:tc>
        <w:tc>
          <w:tcPr>
            <w:tcW w:w="1126" w:type="dxa"/>
            <w:vAlign w:val="center"/>
          </w:tcPr>
          <w:p>
            <w:pPr>
              <w:pStyle w:val="11"/>
              <w:adjustRightInd w:val="0"/>
              <w:snapToGrid w:val="0"/>
              <w:ind w:firstLine="0" w:firstLineChars="0"/>
              <w:jc w:val="center"/>
              <w:rPr>
                <w:b/>
                <w:color w:val="auto"/>
                <w:szCs w:val="21"/>
                <w:highlight w:val="none"/>
              </w:rPr>
            </w:pPr>
            <w:r>
              <w:rPr>
                <w:b/>
                <w:color w:val="auto"/>
                <w:szCs w:val="21"/>
                <w:highlight w:val="none"/>
              </w:rPr>
              <w:t>项目</w:t>
            </w:r>
          </w:p>
        </w:tc>
        <w:tc>
          <w:tcPr>
            <w:tcW w:w="4313" w:type="dxa"/>
            <w:vAlign w:val="center"/>
          </w:tcPr>
          <w:p>
            <w:pPr>
              <w:pStyle w:val="11"/>
              <w:adjustRightInd w:val="0"/>
              <w:snapToGrid w:val="0"/>
              <w:ind w:firstLine="0" w:firstLineChars="0"/>
              <w:jc w:val="center"/>
              <w:rPr>
                <w:b/>
                <w:color w:val="auto"/>
                <w:szCs w:val="21"/>
                <w:highlight w:val="none"/>
              </w:rPr>
            </w:pPr>
            <w:r>
              <w:rPr>
                <w:b/>
                <w:color w:val="auto"/>
                <w:szCs w:val="21"/>
                <w:highlight w:val="none"/>
              </w:rPr>
              <w:t>环境保护管理内容</w:t>
            </w:r>
          </w:p>
        </w:tc>
        <w:tc>
          <w:tcPr>
            <w:tcW w:w="1126" w:type="dxa"/>
            <w:vAlign w:val="center"/>
          </w:tcPr>
          <w:p>
            <w:pPr>
              <w:pStyle w:val="11"/>
              <w:adjustRightInd w:val="0"/>
              <w:snapToGrid w:val="0"/>
              <w:ind w:firstLine="0" w:firstLineChars="0"/>
              <w:jc w:val="center"/>
              <w:rPr>
                <w:b/>
                <w:color w:val="auto"/>
                <w:szCs w:val="21"/>
                <w:highlight w:val="none"/>
              </w:rPr>
            </w:pPr>
            <w:r>
              <w:rPr>
                <w:b/>
                <w:color w:val="auto"/>
                <w:szCs w:val="21"/>
                <w:highlight w:val="none"/>
              </w:rPr>
              <w:t>执行机构</w:t>
            </w:r>
          </w:p>
        </w:tc>
        <w:tc>
          <w:tcPr>
            <w:tcW w:w="1990" w:type="dxa"/>
            <w:vAlign w:val="center"/>
          </w:tcPr>
          <w:p>
            <w:pPr>
              <w:pStyle w:val="11"/>
              <w:adjustRightInd w:val="0"/>
              <w:snapToGrid w:val="0"/>
              <w:ind w:firstLine="0" w:firstLineChars="0"/>
              <w:jc w:val="center"/>
              <w:rPr>
                <w:b/>
                <w:color w:val="auto"/>
                <w:szCs w:val="21"/>
                <w:highlight w:val="none"/>
              </w:rPr>
            </w:pPr>
            <w:r>
              <w:rPr>
                <w:b/>
                <w:color w:val="auto"/>
                <w:szCs w:val="21"/>
                <w:highlight w:val="none"/>
              </w:rPr>
              <w:t>监督管理机构</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676" w:type="dxa"/>
            <w:vAlign w:val="center"/>
          </w:tcPr>
          <w:p>
            <w:pPr>
              <w:pStyle w:val="11"/>
              <w:adjustRightInd w:val="0"/>
              <w:snapToGrid w:val="0"/>
              <w:ind w:firstLine="0" w:firstLineChars="0"/>
              <w:jc w:val="center"/>
              <w:rPr>
                <w:color w:val="auto"/>
                <w:szCs w:val="21"/>
                <w:highlight w:val="none"/>
              </w:rPr>
            </w:pPr>
            <w:r>
              <w:rPr>
                <w:color w:val="auto"/>
                <w:szCs w:val="21"/>
                <w:highlight w:val="none"/>
              </w:rPr>
              <w:t>1</w:t>
            </w:r>
          </w:p>
        </w:tc>
        <w:tc>
          <w:tcPr>
            <w:tcW w:w="1126" w:type="dxa"/>
            <w:vAlign w:val="center"/>
          </w:tcPr>
          <w:p>
            <w:pPr>
              <w:pStyle w:val="11"/>
              <w:adjustRightInd w:val="0"/>
              <w:snapToGrid w:val="0"/>
              <w:ind w:firstLine="0" w:firstLineChars="0"/>
              <w:jc w:val="center"/>
              <w:rPr>
                <w:color w:val="auto"/>
                <w:szCs w:val="21"/>
                <w:highlight w:val="none"/>
              </w:rPr>
            </w:pPr>
            <w:r>
              <w:rPr>
                <w:color w:val="auto"/>
                <w:szCs w:val="21"/>
                <w:highlight w:val="none"/>
              </w:rPr>
              <w:t>水污染</w:t>
            </w:r>
          </w:p>
          <w:p>
            <w:pPr>
              <w:pStyle w:val="11"/>
              <w:adjustRightInd w:val="0"/>
              <w:snapToGrid w:val="0"/>
              <w:ind w:firstLine="0" w:firstLineChars="0"/>
              <w:jc w:val="center"/>
              <w:rPr>
                <w:color w:val="auto"/>
                <w:szCs w:val="21"/>
                <w:highlight w:val="none"/>
              </w:rPr>
            </w:pPr>
            <w:r>
              <w:rPr>
                <w:color w:val="auto"/>
                <w:szCs w:val="21"/>
                <w:highlight w:val="none"/>
              </w:rPr>
              <w:t>防治</w:t>
            </w:r>
          </w:p>
        </w:tc>
        <w:tc>
          <w:tcPr>
            <w:tcW w:w="4313" w:type="dxa"/>
            <w:vAlign w:val="center"/>
          </w:tcPr>
          <w:p>
            <w:pPr>
              <w:pStyle w:val="11"/>
              <w:adjustRightInd w:val="0"/>
              <w:snapToGrid w:val="0"/>
              <w:ind w:firstLine="0" w:firstLineChars="0"/>
              <w:rPr>
                <w:color w:val="auto"/>
                <w:szCs w:val="21"/>
                <w:highlight w:val="none"/>
              </w:rPr>
            </w:pPr>
            <w:r>
              <w:rPr>
                <w:color w:val="auto"/>
                <w:szCs w:val="21"/>
                <w:highlight w:val="none"/>
              </w:rPr>
              <w:t>(1)污水池严禁渗漏和外溢；</w:t>
            </w:r>
          </w:p>
          <w:p>
            <w:pPr>
              <w:pStyle w:val="11"/>
              <w:adjustRightInd w:val="0"/>
              <w:snapToGrid w:val="0"/>
              <w:ind w:firstLine="0" w:firstLineChars="0"/>
              <w:rPr>
                <w:color w:val="auto"/>
                <w:szCs w:val="21"/>
                <w:highlight w:val="none"/>
              </w:rPr>
            </w:pPr>
            <w:r>
              <w:rPr>
                <w:color w:val="auto"/>
                <w:szCs w:val="21"/>
                <w:highlight w:val="none"/>
              </w:rPr>
              <w:t>(2)定期检修，确保治理设施高效运作</w:t>
            </w:r>
            <w:r>
              <w:rPr>
                <w:rFonts w:hint="eastAsia"/>
                <w:color w:val="auto"/>
                <w:szCs w:val="21"/>
                <w:highlight w:val="none"/>
              </w:rPr>
              <w:t>。</w:t>
            </w:r>
          </w:p>
        </w:tc>
        <w:tc>
          <w:tcPr>
            <w:tcW w:w="1126" w:type="dxa"/>
            <w:vAlign w:val="center"/>
          </w:tcPr>
          <w:p>
            <w:pPr>
              <w:pStyle w:val="11"/>
              <w:adjustRightInd w:val="0"/>
              <w:snapToGrid w:val="0"/>
              <w:ind w:firstLine="0" w:firstLineChars="0"/>
              <w:jc w:val="center"/>
              <w:rPr>
                <w:color w:val="auto"/>
                <w:szCs w:val="21"/>
                <w:highlight w:val="none"/>
              </w:rPr>
            </w:pPr>
            <w:r>
              <w:rPr>
                <w:color w:val="auto"/>
                <w:szCs w:val="21"/>
                <w:highlight w:val="none"/>
              </w:rPr>
              <w:t>建设单位</w:t>
            </w:r>
          </w:p>
        </w:tc>
        <w:tc>
          <w:tcPr>
            <w:tcW w:w="1990" w:type="dxa"/>
            <w:vAlign w:val="center"/>
          </w:tcPr>
          <w:p>
            <w:pPr>
              <w:pStyle w:val="11"/>
              <w:adjustRightInd w:val="0"/>
              <w:snapToGrid w:val="0"/>
              <w:ind w:firstLine="0" w:firstLineChars="0"/>
              <w:jc w:val="center"/>
              <w:rPr>
                <w:color w:val="auto"/>
                <w:szCs w:val="21"/>
                <w:highlight w:val="none"/>
              </w:rPr>
            </w:pPr>
            <w:r>
              <w:rPr>
                <w:rFonts w:hint="eastAsia"/>
                <w:color w:val="auto"/>
                <w:szCs w:val="21"/>
                <w:highlight w:val="none"/>
              </w:rPr>
              <w:t>青岛市</w:t>
            </w:r>
            <w:r>
              <w:rPr>
                <w:rFonts w:hint="eastAsia"/>
                <w:color w:val="auto"/>
                <w:szCs w:val="21"/>
                <w:highlight w:val="none"/>
                <w:lang w:val="en-US" w:eastAsia="zh-CN"/>
              </w:rPr>
              <w:t>生态环境</w:t>
            </w:r>
            <w:r>
              <w:rPr>
                <w:rFonts w:hint="eastAsia"/>
                <w:color w:val="auto"/>
                <w:szCs w:val="21"/>
                <w:highlight w:val="none"/>
              </w:rPr>
              <w:t>局</w:t>
            </w:r>
            <w:r>
              <w:rPr>
                <w:rFonts w:hint="eastAsia"/>
                <w:color w:val="auto"/>
                <w:szCs w:val="21"/>
                <w:highlight w:val="none"/>
                <w:lang w:val="en-US" w:eastAsia="zh-CN"/>
              </w:rPr>
              <w:t>西海岸新区</w:t>
            </w:r>
            <w:r>
              <w:rPr>
                <w:rFonts w:hint="eastAsia"/>
                <w:color w:val="auto"/>
                <w:szCs w:val="21"/>
                <w:highlight w:val="none"/>
              </w:rPr>
              <w:t>分局</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676" w:type="dxa"/>
            <w:vAlign w:val="center"/>
          </w:tcPr>
          <w:p>
            <w:pPr>
              <w:pStyle w:val="11"/>
              <w:adjustRightInd w:val="0"/>
              <w:snapToGrid w:val="0"/>
              <w:ind w:firstLine="0" w:firstLineChars="0"/>
              <w:jc w:val="center"/>
              <w:rPr>
                <w:color w:val="auto"/>
                <w:szCs w:val="21"/>
                <w:highlight w:val="none"/>
              </w:rPr>
            </w:pPr>
            <w:r>
              <w:rPr>
                <w:color w:val="auto"/>
                <w:szCs w:val="21"/>
                <w:highlight w:val="none"/>
              </w:rPr>
              <w:t>2</w:t>
            </w:r>
          </w:p>
        </w:tc>
        <w:tc>
          <w:tcPr>
            <w:tcW w:w="1126" w:type="dxa"/>
            <w:vAlign w:val="center"/>
          </w:tcPr>
          <w:p>
            <w:pPr>
              <w:pStyle w:val="11"/>
              <w:adjustRightInd w:val="0"/>
              <w:snapToGrid w:val="0"/>
              <w:ind w:firstLine="0" w:firstLineChars="0"/>
              <w:jc w:val="center"/>
              <w:rPr>
                <w:color w:val="auto"/>
                <w:szCs w:val="21"/>
                <w:highlight w:val="none"/>
              </w:rPr>
            </w:pPr>
            <w:r>
              <w:rPr>
                <w:color w:val="auto"/>
                <w:szCs w:val="21"/>
                <w:highlight w:val="none"/>
              </w:rPr>
              <w:t>大气污染</w:t>
            </w:r>
          </w:p>
          <w:p>
            <w:pPr>
              <w:pStyle w:val="11"/>
              <w:adjustRightInd w:val="0"/>
              <w:snapToGrid w:val="0"/>
              <w:ind w:firstLine="0" w:firstLineChars="0"/>
              <w:jc w:val="center"/>
              <w:rPr>
                <w:color w:val="auto"/>
                <w:szCs w:val="21"/>
                <w:highlight w:val="none"/>
              </w:rPr>
            </w:pPr>
            <w:r>
              <w:rPr>
                <w:color w:val="auto"/>
                <w:szCs w:val="21"/>
                <w:highlight w:val="none"/>
              </w:rPr>
              <w:t>防治</w:t>
            </w:r>
          </w:p>
        </w:tc>
        <w:tc>
          <w:tcPr>
            <w:tcW w:w="4313" w:type="dxa"/>
            <w:vAlign w:val="center"/>
          </w:tcPr>
          <w:p>
            <w:pPr>
              <w:pStyle w:val="11"/>
              <w:adjustRightInd w:val="0"/>
              <w:snapToGrid w:val="0"/>
              <w:ind w:firstLine="0" w:firstLineChars="0"/>
              <w:rPr>
                <w:color w:val="auto"/>
                <w:szCs w:val="21"/>
                <w:highlight w:val="none"/>
              </w:rPr>
            </w:pPr>
            <w:r>
              <w:rPr>
                <w:color w:val="auto"/>
                <w:szCs w:val="21"/>
                <w:highlight w:val="none"/>
              </w:rPr>
              <w:t>(1)根据生产情况，合理控制废气处理装置的运行参数；</w:t>
            </w:r>
          </w:p>
          <w:p>
            <w:pPr>
              <w:pStyle w:val="11"/>
              <w:adjustRightInd w:val="0"/>
              <w:snapToGrid w:val="0"/>
              <w:ind w:firstLine="0" w:firstLineChars="0"/>
              <w:rPr>
                <w:color w:val="auto"/>
                <w:szCs w:val="21"/>
                <w:highlight w:val="none"/>
              </w:rPr>
            </w:pPr>
            <w:r>
              <w:rPr>
                <w:color w:val="auto"/>
                <w:szCs w:val="21"/>
                <w:highlight w:val="none"/>
              </w:rPr>
              <w:t>(2)定期检修，确保治理设施的高效运作</w:t>
            </w:r>
          </w:p>
        </w:tc>
        <w:tc>
          <w:tcPr>
            <w:tcW w:w="1126" w:type="dxa"/>
            <w:vAlign w:val="center"/>
          </w:tcPr>
          <w:p>
            <w:pPr>
              <w:pStyle w:val="11"/>
              <w:adjustRightInd w:val="0"/>
              <w:snapToGrid w:val="0"/>
              <w:ind w:firstLine="0" w:firstLineChars="0"/>
              <w:jc w:val="center"/>
              <w:rPr>
                <w:color w:val="auto"/>
                <w:szCs w:val="21"/>
                <w:highlight w:val="none"/>
              </w:rPr>
            </w:pPr>
            <w:r>
              <w:rPr>
                <w:color w:val="auto"/>
                <w:szCs w:val="21"/>
                <w:highlight w:val="none"/>
              </w:rPr>
              <w:t>建设单位</w:t>
            </w:r>
          </w:p>
        </w:tc>
        <w:tc>
          <w:tcPr>
            <w:tcW w:w="1990" w:type="dxa"/>
            <w:vAlign w:val="center"/>
          </w:tcPr>
          <w:p>
            <w:pPr>
              <w:adjustRightInd w:val="0"/>
              <w:snapToGrid w:val="0"/>
              <w:jc w:val="center"/>
              <w:rPr>
                <w:color w:val="auto"/>
                <w:highlight w:val="none"/>
              </w:rPr>
            </w:pPr>
            <w:r>
              <w:rPr>
                <w:rFonts w:hint="eastAsia"/>
                <w:color w:val="auto"/>
                <w:szCs w:val="21"/>
                <w:highlight w:val="none"/>
              </w:rPr>
              <w:t>青岛市</w:t>
            </w:r>
            <w:r>
              <w:rPr>
                <w:rFonts w:hint="eastAsia"/>
                <w:color w:val="auto"/>
                <w:szCs w:val="21"/>
                <w:highlight w:val="none"/>
                <w:lang w:val="en-US" w:eastAsia="zh-CN"/>
              </w:rPr>
              <w:t>生态环境</w:t>
            </w:r>
            <w:r>
              <w:rPr>
                <w:rFonts w:hint="eastAsia"/>
                <w:color w:val="auto"/>
                <w:szCs w:val="21"/>
                <w:highlight w:val="none"/>
              </w:rPr>
              <w:t>局</w:t>
            </w:r>
            <w:r>
              <w:rPr>
                <w:rFonts w:hint="eastAsia"/>
                <w:color w:val="auto"/>
                <w:szCs w:val="21"/>
                <w:highlight w:val="none"/>
                <w:lang w:val="en-US" w:eastAsia="zh-CN"/>
              </w:rPr>
              <w:t>西海岸新区</w:t>
            </w:r>
            <w:r>
              <w:rPr>
                <w:rFonts w:hint="eastAsia"/>
                <w:color w:val="auto"/>
                <w:szCs w:val="21"/>
                <w:highlight w:val="none"/>
              </w:rPr>
              <w:t>分局</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676" w:type="dxa"/>
            <w:vAlign w:val="center"/>
          </w:tcPr>
          <w:p>
            <w:pPr>
              <w:pStyle w:val="11"/>
              <w:adjustRightInd w:val="0"/>
              <w:snapToGrid w:val="0"/>
              <w:ind w:firstLine="0" w:firstLineChars="0"/>
              <w:jc w:val="center"/>
              <w:rPr>
                <w:color w:val="auto"/>
                <w:szCs w:val="21"/>
                <w:highlight w:val="none"/>
              </w:rPr>
            </w:pPr>
            <w:r>
              <w:rPr>
                <w:color w:val="auto"/>
                <w:szCs w:val="21"/>
                <w:highlight w:val="none"/>
              </w:rPr>
              <w:t>3</w:t>
            </w:r>
          </w:p>
        </w:tc>
        <w:tc>
          <w:tcPr>
            <w:tcW w:w="1126" w:type="dxa"/>
            <w:vAlign w:val="center"/>
          </w:tcPr>
          <w:p>
            <w:pPr>
              <w:pStyle w:val="11"/>
              <w:adjustRightInd w:val="0"/>
              <w:snapToGrid w:val="0"/>
              <w:ind w:firstLine="0" w:firstLineChars="0"/>
              <w:jc w:val="center"/>
              <w:rPr>
                <w:color w:val="auto"/>
                <w:szCs w:val="21"/>
                <w:highlight w:val="none"/>
              </w:rPr>
            </w:pPr>
            <w:r>
              <w:rPr>
                <w:color w:val="auto"/>
                <w:szCs w:val="21"/>
                <w:highlight w:val="none"/>
              </w:rPr>
              <w:t>噪声污染防治</w:t>
            </w:r>
          </w:p>
        </w:tc>
        <w:tc>
          <w:tcPr>
            <w:tcW w:w="4313" w:type="dxa"/>
            <w:vAlign w:val="center"/>
          </w:tcPr>
          <w:p>
            <w:pPr>
              <w:pStyle w:val="11"/>
              <w:adjustRightInd w:val="0"/>
              <w:snapToGrid w:val="0"/>
              <w:ind w:firstLine="0" w:firstLineChars="0"/>
              <w:rPr>
                <w:color w:val="auto"/>
                <w:szCs w:val="21"/>
                <w:highlight w:val="none"/>
              </w:rPr>
            </w:pPr>
            <w:r>
              <w:rPr>
                <w:color w:val="auto"/>
                <w:szCs w:val="21"/>
                <w:highlight w:val="none"/>
              </w:rPr>
              <w:t>(1)高噪声设备</w:t>
            </w:r>
            <w:r>
              <w:rPr>
                <w:rFonts w:hint="eastAsia"/>
                <w:color w:val="auto"/>
                <w:szCs w:val="21"/>
                <w:highlight w:val="none"/>
              </w:rPr>
              <w:t>隔声</w:t>
            </w:r>
            <w:r>
              <w:rPr>
                <w:color w:val="auto"/>
                <w:szCs w:val="21"/>
                <w:highlight w:val="none"/>
              </w:rPr>
              <w:t>减振处理；</w:t>
            </w:r>
          </w:p>
          <w:p>
            <w:pPr>
              <w:pStyle w:val="11"/>
              <w:adjustRightInd w:val="0"/>
              <w:snapToGrid w:val="0"/>
              <w:ind w:firstLine="0" w:firstLineChars="0"/>
              <w:rPr>
                <w:color w:val="auto"/>
                <w:szCs w:val="21"/>
                <w:highlight w:val="none"/>
              </w:rPr>
            </w:pPr>
            <w:r>
              <w:rPr>
                <w:color w:val="auto"/>
                <w:szCs w:val="21"/>
                <w:highlight w:val="none"/>
              </w:rPr>
              <w:t>(2)厂区设置绿化带。</w:t>
            </w:r>
          </w:p>
        </w:tc>
        <w:tc>
          <w:tcPr>
            <w:tcW w:w="1126" w:type="dxa"/>
            <w:vAlign w:val="center"/>
          </w:tcPr>
          <w:p>
            <w:pPr>
              <w:pStyle w:val="11"/>
              <w:adjustRightInd w:val="0"/>
              <w:snapToGrid w:val="0"/>
              <w:ind w:firstLine="0" w:firstLineChars="0"/>
              <w:jc w:val="center"/>
              <w:rPr>
                <w:color w:val="auto"/>
                <w:szCs w:val="21"/>
                <w:highlight w:val="none"/>
              </w:rPr>
            </w:pPr>
            <w:r>
              <w:rPr>
                <w:color w:val="auto"/>
                <w:szCs w:val="21"/>
                <w:highlight w:val="none"/>
              </w:rPr>
              <w:t>建设单位</w:t>
            </w:r>
          </w:p>
        </w:tc>
        <w:tc>
          <w:tcPr>
            <w:tcW w:w="1990" w:type="dxa"/>
            <w:vAlign w:val="center"/>
          </w:tcPr>
          <w:p>
            <w:pPr>
              <w:adjustRightInd w:val="0"/>
              <w:snapToGrid w:val="0"/>
              <w:jc w:val="center"/>
              <w:rPr>
                <w:color w:val="auto"/>
                <w:highlight w:val="none"/>
              </w:rPr>
            </w:pPr>
            <w:r>
              <w:rPr>
                <w:rFonts w:hint="eastAsia"/>
                <w:color w:val="auto"/>
                <w:szCs w:val="21"/>
                <w:highlight w:val="none"/>
              </w:rPr>
              <w:t>青岛市</w:t>
            </w:r>
            <w:r>
              <w:rPr>
                <w:rFonts w:hint="eastAsia"/>
                <w:color w:val="auto"/>
                <w:szCs w:val="21"/>
                <w:highlight w:val="none"/>
                <w:lang w:val="en-US" w:eastAsia="zh-CN"/>
              </w:rPr>
              <w:t>生态环境</w:t>
            </w:r>
            <w:r>
              <w:rPr>
                <w:rFonts w:hint="eastAsia"/>
                <w:color w:val="auto"/>
                <w:szCs w:val="21"/>
                <w:highlight w:val="none"/>
              </w:rPr>
              <w:t>局</w:t>
            </w:r>
            <w:r>
              <w:rPr>
                <w:rFonts w:hint="eastAsia"/>
                <w:color w:val="auto"/>
                <w:szCs w:val="21"/>
                <w:highlight w:val="none"/>
                <w:lang w:val="en-US" w:eastAsia="zh-CN"/>
              </w:rPr>
              <w:t>西海岸新区</w:t>
            </w:r>
            <w:r>
              <w:rPr>
                <w:rFonts w:hint="eastAsia"/>
                <w:color w:val="auto"/>
                <w:szCs w:val="21"/>
                <w:highlight w:val="none"/>
              </w:rPr>
              <w:t>分局</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676" w:type="dxa"/>
            <w:vAlign w:val="center"/>
          </w:tcPr>
          <w:p>
            <w:pPr>
              <w:pStyle w:val="11"/>
              <w:adjustRightInd w:val="0"/>
              <w:snapToGrid w:val="0"/>
              <w:ind w:firstLine="0" w:firstLineChars="0"/>
              <w:jc w:val="center"/>
              <w:rPr>
                <w:color w:val="auto"/>
                <w:szCs w:val="21"/>
                <w:highlight w:val="none"/>
              </w:rPr>
            </w:pPr>
            <w:r>
              <w:rPr>
                <w:color w:val="auto"/>
                <w:szCs w:val="21"/>
                <w:highlight w:val="none"/>
              </w:rPr>
              <w:t>4</w:t>
            </w:r>
          </w:p>
        </w:tc>
        <w:tc>
          <w:tcPr>
            <w:tcW w:w="1126" w:type="dxa"/>
            <w:vAlign w:val="center"/>
          </w:tcPr>
          <w:p>
            <w:pPr>
              <w:pStyle w:val="11"/>
              <w:adjustRightInd w:val="0"/>
              <w:snapToGrid w:val="0"/>
              <w:ind w:firstLine="0" w:firstLineChars="0"/>
              <w:jc w:val="center"/>
              <w:rPr>
                <w:color w:val="auto"/>
                <w:szCs w:val="21"/>
                <w:highlight w:val="none"/>
              </w:rPr>
            </w:pPr>
            <w:r>
              <w:rPr>
                <w:color w:val="auto"/>
                <w:szCs w:val="21"/>
                <w:highlight w:val="none"/>
              </w:rPr>
              <w:t>固废处理</w:t>
            </w:r>
          </w:p>
        </w:tc>
        <w:tc>
          <w:tcPr>
            <w:tcW w:w="4313" w:type="dxa"/>
            <w:vAlign w:val="center"/>
          </w:tcPr>
          <w:p>
            <w:pPr>
              <w:pStyle w:val="11"/>
              <w:adjustRightInd w:val="0"/>
              <w:snapToGrid w:val="0"/>
              <w:ind w:firstLine="0" w:firstLineChars="0"/>
              <w:rPr>
                <w:color w:val="auto"/>
                <w:szCs w:val="21"/>
                <w:highlight w:val="none"/>
              </w:rPr>
            </w:pPr>
            <w:r>
              <w:rPr>
                <w:color w:val="auto"/>
                <w:szCs w:val="21"/>
                <w:highlight w:val="none"/>
              </w:rPr>
              <w:t>(1)各类</w:t>
            </w:r>
            <w:r>
              <w:rPr>
                <w:rFonts w:hint="eastAsia"/>
                <w:color w:val="auto"/>
                <w:szCs w:val="21"/>
                <w:highlight w:val="none"/>
              </w:rPr>
              <w:t>固废</w:t>
            </w:r>
            <w:r>
              <w:rPr>
                <w:color w:val="auto"/>
                <w:szCs w:val="21"/>
                <w:highlight w:val="none"/>
              </w:rPr>
              <w:t>及时按要求收集，贮存并按要求处理；</w:t>
            </w:r>
          </w:p>
          <w:p>
            <w:pPr>
              <w:pStyle w:val="11"/>
              <w:adjustRightInd w:val="0"/>
              <w:snapToGrid w:val="0"/>
              <w:ind w:firstLine="0" w:firstLineChars="0"/>
              <w:rPr>
                <w:color w:val="auto"/>
                <w:szCs w:val="21"/>
                <w:highlight w:val="none"/>
              </w:rPr>
            </w:pPr>
            <w:r>
              <w:rPr>
                <w:color w:val="auto"/>
                <w:szCs w:val="21"/>
                <w:highlight w:val="none"/>
              </w:rPr>
              <w:t>(2)专人收集厂区生产废物、生活垃圾。</w:t>
            </w:r>
          </w:p>
        </w:tc>
        <w:tc>
          <w:tcPr>
            <w:tcW w:w="1126" w:type="dxa"/>
            <w:vAlign w:val="center"/>
          </w:tcPr>
          <w:p>
            <w:pPr>
              <w:pStyle w:val="11"/>
              <w:adjustRightInd w:val="0"/>
              <w:snapToGrid w:val="0"/>
              <w:ind w:firstLine="0" w:firstLineChars="0"/>
              <w:jc w:val="center"/>
              <w:rPr>
                <w:color w:val="auto"/>
                <w:szCs w:val="21"/>
                <w:highlight w:val="none"/>
              </w:rPr>
            </w:pPr>
            <w:r>
              <w:rPr>
                <w:color w:val="auto"/>
                <w:szCs w:val="21"/>
                <w:highlight w:val="none"/>
              </w:rPr>
              <w:t>建设单位</w:t>
            </w:r>
          </w:p>
        </w:tc>
        <w:tc>
          <w:tcPr>
            <w:tcW w:w="1990" w:type="dxa"/>
            <w:vAlign w:val="center"/>
          </w:tcPr>
          <w:p>
            <w:pPr>
              <w:adjustRightInd w:val="0"/>
              <w:snapToGrid w:val="0"/>
              <w:jc w:val="center"/>
              <w:rPr>
                <w:color w:val="auto"/>
                <w:highlight w:val="none"/>
              </w:rPr>
            </w:pPr>
            <w:r>
              <w:rPr>
                <w:rFonts w:hint="eastAsia"/>
                <w:color w:val="auto"/>
                <w:szCs w:val="21"/>
                <w:highlight w:val="none"/>
              </w:rPr>
              <w:t>青岛市</w:t>
            </w:r>
            <w:r>
              <w:rPr>
                <w:rFonts w:hint="eastAsia"/>
                <w:color w:val="auto"/>
                <w:szCs w:val="21"/>
                <w:highlight w:val="none"/>
                <w:lang w:val="en-US" w:eastAsia="zh-CN"/>
              </w:rPr>
              <w:t>生态环境</w:t>
            </w:r>
            <w:r>
              <w:rPr>
                <w:rFonts w:hint="eastAsia"/>
                <w:color w:val="auto"/>
                <w:szCs w:val="21"/>
                <w:highlight w:val="none"/>
              </w:rPr>
              <w:t>局</w:t>
            </w:r>
            <w:r>
              <w:rPr>
                <w:rFonts w:hint="eastAsia"/>
                <w:color w:val="auto"/>
                <w:szCs w:val="21"/>
                <w:highlight w:val="none"/>
                <w:lang w:val="en-US" w:eastAsia="zh-CN"/>
              </w:rPr>
              <w:t>西海岸新区</w:t>
            </w:r>
            <w:r>
              <w:rPr>
                <w:rFonts w:hint="eastAsia"/>
                <w:color w:val="auto"/>
                <w:szCs w:val="21"/>
                <w:highlight w:val="none"/>
              </w:rPr>
              <w:t>分局</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jc w:val="center"/>
        </w:trPr>
        <w:tc>
          <w:tcPr>
            <w:tcW w:w="676" w:type="dxa"/>
            <w:vAlign w:val="center"/>
          </w:tcPr>
          <w:p>
            <w:pPr>
              <w:pStyle w:val="11"/>
              <w:adjustRightInd w:val="0"/>
              <w:snapToGrid w:val="0"/>
              <w:ind w:firstLine="0" w:firstLineChars="0"/>
              <w:jc w:val="center"/>
              <w:rPr>
                <w:color w:val="auto"/>
                <w:szCs w:val="21"/>
                <w:highlight w:val="none"/>
              </w:rPr>
            </w:pPr>
            <w:r>
              <w:rPr>
                <w:rFonts w:hint="eastAsia"/>
                <w:color w:val="auto"/>
                <w:szCs w:val="21"/>
                <w:highlight w:val="none"/>
              </w:rPr>
              <w:t>5</w:t>
            </w:r>
          </w:p>
        </w:tc>
        <w:tc>
          <w:tcPr>
            <w:tcW w:w="1126" w:type="dxa"/>
            <w:vAlign w:val="center"/>
          </w:tcPr>
          <w:p>
            <w:pPr>
              <w:pStyle w:val="11"/>
              <w:adjustRightInd w:val="0"/>
              <w:snapToGrid w:val="0"/>
              <w:ind w:firstLine="0" w:firstLineChars="0"/>
              <w:jc w:val="center"/>
              <w:rPr>
                <w:color w:val="auto"/>
                <w:szCs w:val="21"/>
                <w:highlight w:val="none"/>
              </w:rPr>
            </w:pPr>
            <w:r>
              <w:rPr>
                <w:color w:val="auto"/>
                <w:szCs w:val="21"/>
                <w:highlight w:val="none"/>
              </w:rPr>
              <w:t>安全管理</w:t>
            </w:r>
          </w:p>
        </w:tc>
        <w:tc>
          <w:tcPr>
            <w:tcW w:w="4313" w:type="dxa"/>
            <w:vAlign w:val="center"/>
          </w:tcPr>
          <w:p>
            <w:pPr>
              <w:pStyle w:val="99"/>
              <w:snapToGrid w:val="0"/>
              <w:spacing w:line="240" w:lineRule="auto"/>
              <w:ind w:left="0" w:right="0"/>
              <w:rPr>
                <w:color w:val="auto"/>
                <w:sz w:val="21"/>
                <w:szCs w:val="21"/>
                <w:highlight w:val="none"/>
              </w:rPr>
            </w:pPr>
            <w:r>
              <w:rPr>
                <w:color w:val="auto"/>
                <w:sz w:val="21"/>
                <w:szCs w:val="21"/>
                <w:highlight w:val="none"/>
              </w:rPr>
              <w:t>(1)加强职工培训，建全安全生产制度，防止生产事故发生，确保无污染事故发生；</w:t>
            </w:r>
          </w:p>
          <w:p>
            <w:pPr>
              <w:pStyle w:val="11"/>
              <w:adjustRightInd w:val="0"/>
              <w:snapToGrid w:val="0"/>
              <w:ind w:firstLine="0" w:firstLineChars="0"/>
              <w:rPr>
                <w:color w:val="auto"/>
                <w:szCs w:val="21"/>
                <w:highlight w:val="none"/>
              </w:rPr>
            </w:pPr>
            <w:r>
              <w:rPr>
                <w:color w:val="auto"/>
                <w:szCs w:val="21"/>
                <w:highlight w:val="none"/>
              </w:rPr>
              <w:t>(2)配备污染事故应急处理设备，制订相应处理措施，明确人员和操作规程，一旦发生污染事故能够迅速作出反应，及时上报并有效控制。</w:t>
            </w:r>
          </w:p>
        </w:tc>
        <w:tc>
          <w:tcPr>
            <w:tcW w:w="1126" w:type="dxa"/>
            <w:vAlign w:val="center"/>
          </w:tcPr>
          <w:p>
            <w:pPr>
              <w:pStyle w:val="11"/>
              <w:adjustRightInd w:val="0"/>
              <w:snapToGrid w:val="0"/>
              <w:ind w:firstLine="0" w:firstLineChars="0"/>
              <w:jc w:val="center"/>
              <w:rPr>
                <w:color w:val="auto"/>
                <w:szCs w:val="21"/>
                <w:highlight w:val="none"/>
              </w:rPr>
            </w:pPr>
            <w:r>
              <w:rPr>
                <w:color w:val="auto"/>
                <w:szCs w:val="21"/>
                <w:highlight w:val="none"/>
              </w:rPr>
              <w:t>建设单位</w:t>
            </w:r>
          </w:p>
        </w:tc>
        <w:tc>
          <w:tcPr>
            <w:tcW w:w="1990" w:type="dxa"/>
            <w:vAlign w:val="center"/>
          </w:tcPr>
          <w:p>
            <w:pPr>
              <w:adjustRightInd w:val="0"/>
              <w:snapToGrid w:val="0"/>
              <w:jc w:val="center"/>
              <w:rPr>
                <w:color w:val="auto"/>
                <w:highlight w:val="none"/>
              </w:rPr>
            </w:pPr>
            <w:r>
              <w:rPr>
                <w:rFonts w:hint="eastAsia"/>
                <w:color w:val="auto"/>
                <w:szCs w:val="21"/>
                <w:highlight w:val="none"/>
              </w:rPr>
              <w:t>青岛市</w:t>
            </w:r>
            <w:r>
              <w:rPr>
                <w:rFonts w:hint="eastAsia"/>
                <w:color w:val="auto"/>
                <w:szCs w:val="21"/>
                <w:highlight w:val="none"/>
                <w:lang w:val="en-US" w:eastAsia="zh-CN"/>
              </w:rPr>
              <w:t>生态环境</w:t>
            </w:r>
            <w:r>
              <w:rPr>
                <w:rFonts w:hint="eastAsia"/>
                <w:color w:val="auto"/>
                <w:szCs w:val="21"/>
                <w:highlight w:val="none"/>
              </w:rPr>
              <w:t>局</w:t>
            </w:r>
            <w:r>
              <w:rPr>
                <w:rFonts w:hint="eastAsia"/>
                <w:color w:val="auto"/>
                <w:szCs w:val="21"/>
                <w:highlight w:val="none"/>
                <w:lang w:val="en-US" w:eastAsia="zh-CN"/>
              </w:rPr>
              <w:t>西海岸新区</w:t>
            </w:r>
            <w:r>
              <w:rPr>
                <w:rFonts w:hint="eastAsia"/>
                <w:color w:val="auto"/>
                <w:szCs w:val="21"/>
                <w:highlight w:val="none"/>
              </w:rPr>
              <w:t>分局</w:t>
            </w:r>
          </w:p>
        </w:tc>
      </w:tr>
    </w:tbl>
    <w:p>
      <w:pPr>
        <w:pStyle w:val="11"/>
        <w:spacing w:before="120" w:beforeLines="50"/>
        <w:ind w:firstLine="0" w:firstLineChars="0"/>
        <w:jc w:val="center"/>
        <w:rPr>
          <w:rFonts w:eastAsia="黑体"/>
          <w:color w:val="auto"/>
          <w:sz w:val="24"/>
          <w:highlight w:val="none"/>
        </w:rPr>
      </w:pPr>
      <w:r>
        <w:rPr>
          <w:rFonts w:eastAsia="黑体"/>
          <w:color w:val="auto"/>
          <w:sz w:val="24"/>
          <w:szCs w:val="24"/>
          <w:highlight w:val="none"/>
        </w:rPr>
        <w:t>表4.</w:t>
      </w:r>
      <w:r>
        <w:rPr>
          <w:rFonts w:hint="eastAsia" w:eastAsia="黑体"/>
          <w:color w:val="auto"/>
          <w:sz w:val="24"/>
          <w:szCs w:val="24"/>
          <w:highlight w:val="none"/>
          <w:lang w:val="en-US" w:eastAsia="zh-CN"/>
        </w:rPr>
        <w:t>6</w:t>
      </w:r>
      <w:r>
        <w:rPr>
          <w:rFonts w:eastAsia="黑体"/>
          <w:color w:val="auto"/>
          <w:sz w:val="24"/>
          <w:szCs w:val="24"/>
          <w:highlight w:val="none"/>
        </w:rPr>
        <w:t xml:space="preserve">-2  </w:t>
      </w:r>
      <w:r>
        <w:rPr>
          <w:rFonts w:hint="eastAsia" w:eastAsia="黑体"/>
          <w:color w:val="auto"/>
          <w:sz w:val="24"/>
          <w:szCs w:val="24"/>
          <w:highlight w:val="none"/>
          <w:lang w:val="en-US" w:eastAsia="zh-CN"/>
        </w:rPr>
        <w:t>项目环境</w:t>
      </w:r>
      <w:r>
        <w:rPr>
          <w:rFonts w:eastAsia="黑体"/>
          <w:color w:val="auto"/>
          <w:sz w:val="24"/>
          <w:szCs w:val="24"/>
          <w:highlight w:val="none"/>
        </w:rPr>
        <w:t>监测计划</w:t>
      </w:r>
      <w:r>
        <w:rPr>
          <w:rFonts w:eastAsia="黑体"/>
          <w:color w:val="auto"/>
          <w:sz w:val="24"/>
          <w:highlight w:val="none"/>
        </w:rPr>
        <w:t>一览表</w:t>
      </w:r>
    </w:p>
    <w:tbl>
      <w:tblPr>
        <w:tblStyle w:val="36"/>
        <w:tblW w:w="9231" w:type="dxa"/>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707"/>
        <w:gridCol w:w="1718"/>
        <w:gridCol w:w="2015"/>
        <w:gridCol w:w="3118"/>
        <w:gridCol w:w="1673"/>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97" w:hRule="atLeast"/>
          <w:jc w:val="center"/>
        </w:trPr>
        <w:tc>
          <w:tcPr>
            <w:tcW w:w="707" w:type="dxa"/>
            <w:vAlign w:val="center"/>
          </w:tcPr>
          <w:p>
            <w:pPr>
              <w:adjustRightInd w:val="0"/>
              <w:snapToGrid w:val="0"/>
              <w:spacing w:before="60" w:beforeLines="25" w:after="12" w:afterLines="5"/>
              <w:jc w:val="center"/>
              <w:rPr>
                <w:b/>
                <w:color w:val="auto"/>
                <w:szCs w:val="21"/>
                <w:highlight w:val="none"/>
              </w:rPr>
            </w:pPr>
            <w:r>
              <w:rPr>
                <w:b/>
                <w:color w:val="auto"/>
                <w:szCs w:val="21"/>
                <w:highlight w:val="none"/>
              </w:rPr>
              <w:t>类型</w:t>
            </w:r>
          </w:p>
        </w:tc>
        <w:tc>
          <w:tcPr>
            <w:tcW w:w="1718" w:type="dxa"/>
            <w:vAlign w:val="center"/>
          </w:tcPr>
          <w:p>
            <w:pPr>
              <w:adjustRightInd w:val="0"/>
              <w:snapToGrid w:val="0"/>
              <w:jc w:val="center"/>
              <w:rPr>
                <w:b/>
                <w:color w:val="auto"/>
                <w:szCs w:val="21"/>
                <w:highlight w:val="none"/>
              </w:rPr>
            </w:pPr>
            <w:r>
              <w:rPr>
                <w:b/>
                <w:color w:val="auto"/>
                <w:szCs w:val="21"/>
                <w:highlight w:val="none"/>
              </w:rPr>
              <w:t>产污环节</w:t>
            </w:r>
          </w:p>
        </w:tc>
        <w:tc>
          <w:tcPr>
            <w:tcW w:w="2015" w:type="dxa"/>
            <w:vAlign w:val="center"/>
          </w:tcPr>
          <w:p>
            <w:pPr>
              <w:adjustRightInd w:val="0"/>
              <w:snapToGrid w:val="0"/>
              <w:jc w:val="center"/>
              <w:rPr>
                <w:b/>
                <w:color w:val="auto"/>
                <w:szCs w:val="21"/>
                <w:highlight w:val="none"/>
              </w:rPr>
            </w:pPr>
            <w:r>
              <w:rPr>
                <w:b/>
                <w:color w:val="auto"/>
                <w:szCs w:val="21"/>
                <w:highlight w:val="none"/>
              </w:rPr>
              <w:t>监测点位</w:t>
            </w:r>
          </w:p>
        </w:tc>
        <w:tc>
          <w:tcPr>
            <w:tcW w:w="3118" w:type="dxa"/>
            <w:vAlign w:val="center"/>
          </w:tcPr>
          <w:p>
            <w:pPr>
              <w:adjustRightInd w:val="0"/>
              <w:snapToGrid w:val="0"/>
              <w:jc w:val="center"/>
              <w:rPr>
                <w:b/>
                <w:color w:val="auto"/>
                <w:szCs w:val="21"/>
                <w:highlight w:val="none"/>
              </w:rPr>
            </w:pPr>
            <w:r>
              <w:rPr>
                <w:b/>
                <w:color w:val="auto"/>
                <w:szCs w:val="21"/>
                <w:highlight w:val="none"/>
              </w:rPr>
              <w:t>监测项目</w:t>
            </w:r>
          </w:p>
        </w:tc>
        <w:tc>
          <w:tcPr>
            <w:tcW w:w="1673" w:type="dxa"/>
            <w:vAlign w:val="center"/>
          </w:tcPr>
          <w:p>
            <w:pPr>
              <w:adjustRightInd w:val="0"/>
              <w:snapToGrid w:val="0"/>
              <w:jc w:val="center"/>
              <w:rPr>
                <w:b/>
                <w:color w:val="auto"/>
                <w:szCs w:val="21"/>
                <w:highlight w:val="none"/>
              </w:rPr>
            </w:pPr>
            <w:r>
              <w:rPr>
                <w:rFonts w:hint="eastAsia"/>
                <w:b/>
                <w:color w:val="auto"/>
                <w:szCs w:val="21"/>
                <w:highlight w:val="none"/>
              </w:rPr>
              <w:t>监测频次</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97" w:hRule="atLeast"/>
          <w:jc w:val="center"/>
        </w:trPr>
        <w:tc>
          <w:tcPr>
            <w:tcW w:w="707" w:type="dxa"/>
            <w:vMerge w:val="restart"/>
            <w:vAlign w:val="center"/>
          </w:tcPr>
          <w:p>
            <w:pPr>
              <w:adjustRightInd w:val="0"/>
              <w:snapToGrid w:val="0"/>
              <w:spacing w:before="60" w:beforeLines="25" w:after="12" w:afterLines="5"/>
              <w:jc w:val="center"/>
              <w:rPr>
                <w:color w:val="auto"/>
                <w:szCs w:val="21"/>
                <w:highlight w:val="none"/>
              </w:rPr>
            </w:pPr>
            <w:r>
              <w:rPr>
                <w:color w:val="auto"/>
                <w:szCs w:val="21"/>
                <w:highlight w:val="none"/>
              </w:rPr>
              <w:t>废气</w:t>
            </w:r>
          </w:p>
        </w:tc>
        <w:tc>
          <w:tcPr>
            <w:tcW w:w="1718" w:type="dxa"/>
            <w:vAlign w:val="center"/>
          </w:tcPr>
          <w:p>
            <w:pPr>
              <w:adjustRightInd w:val="0"/>
              <w:snapToGrid w:val="0"/>
              <w:jc w:val="center"/>
              <w:rPr>
                <w:color w:val="auto"/>
                <w:szCs w:val="21"/>
                <w:highlight w:val="none"/>
              </w:rPr>
            </w:pPr>
            <w:r>
              <w:rPr>
                <w:rFonts w:hint="eastAsia"/>
                <w:color w:val="auto"/>
                <w:szCs w:val="21"/>
                <w:highlight w:val="none"/>
                <w:lang w:eastAsia="zh-CN"/>
              </w:rPr>
              <w:t>镀锡酸洗、抛光</w:t>
            </w:r>
          </w:p>
        </w:tc>
        <w:tc>
          <w:tcPr>
            <w:tcW w:w="2015" w:type="dxa"/>
            <w:vAlign w:val="center"/>
          </w:tcPr>
          <w:p>
            <w:pPr>
              <w:adjustRightInd w:val="0"/>
              <w:snapToGrid w:val="0"/>
              <w:spacing w:line="300" w:lineRule="exact"/>
              <w:jc w:val="center"/>
              <w:rPr>
                <w:color w:val="auto"/>
                <w:szCs w:val="21"/>
                <w:highlight w:val="none"/>
              </w:rPr>
            </w:pPr>
            <w:r>
              <w:rPr>
                <w:color w:val="auto"/>
                <w:szCs w:val="21"/>
                <w:highlight w:val="none"/>
              </w:rPr>
              <w:t>P1排气筒</w:t>
            </w:r>
          </w:p>
        </w:tc>
        <w:tc>
          <w:tcPr>
            <w:tcW w:w="3118" w:type="dxa"/>
            <w:vAlign w:val="center"/>
          </w:tcPr>
          <w:p>
            <w:pPr>
              <w:jc w:val="center"/>
              <w:rPr>
                <w:color w:val="auto"/>
                <w:sz w:val="21"/>
                <w:highlight w:val="none"/>
              </w:rPr>
            </w:pPr>
            <w:r>
              <w:rPr>
                <w:rFonts w:hint="default" w:ascii="Times New Roman" w:hAnsi="Times New Roman" w:cs="Times New Roman"/>
                <w:color w:val="auto"/>
                <w:sz w:val="21"/>
                <w:szCs w:val="21"/>
                <w:highlight w:val="none"/>
              </w:rPr>
              <w:t>氯化氢</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NO</w:t>
            </w:r>
            <w:r>
              <w:rPr>
                <w:rFonts w:hint="default" w:ascii="Times New Roman" w:hAnsi="Times New Roman" w:cs="Times New Roman"/>
                <w:color w:val="auto"/>
                <w:sz w:val="21"/>
                <w:szCs w:val="21"/>
                <w:highlight w:val="none"/>
                <w:vertAlign w:val="subscript"/>
              </w:rPr>
              <w:t>x</w:t>
            </w:r>
            <w:r>
              <w:rPr>
                <w:rFonts w:hint="eastAsia"/>
                <w:color w:val="auto"/>
                <w:highlight w:val="none"/>
                <w:lang w:eastAsia="zh-CN"/>
              </w:rPr>
              <w:t>、硫酸雾</w:t>
            </w:r>
            <w:r>
              <w:rPr>
                <w:rFonts w:hint="eastAsia"/>
                <w:color w:val="auto"/>
                <w:szCs w:val="21"/>
                <w:highlight w:val="none"/>
                <w:lang w:eastAsia="zh-CN"/>
              </w:rPr>
              <w:t>、</w:t>
            </w:r>
            <w:r>
              <w:rPr>
                <w:rFonts w:hint="eastAsia"/>
                <w:color w:val="auto"/>
                <w:szCs w:val="21"/>
                <w:highlight w:val="none"/>
                <w:lang w:val="en-US" w:eastAsia="zh-CN"/>
              </w:rPr>
              <w:t>甲基磺酸雾</w:t>
            </w:r>
          </w:p>
        </w:tc>
        <w:tc>
          <w:tcPr>
            <w:tcW w:w="1673" w:type="dxa"/>
            <w:vMerge w:val="restart"/>
            <w:vAlign w:val="center"/>
          </w:tcPr>
          <w:p>
            <w:pPr>
              <w:adjustRightInd w:val="0"/>
              <w:snapToGrid w:val="0"/>
              <w:jc w:val="center"/>
              <w:rPr>
                <w:color w:val="auto"/>
                <w:szCs w:val="21"/>
                <w:highlight w:val="none"/>
              </w:rPr>
            </w:pPr>
            <w:r>
              <w:rPr>
                <w:rFonts w:hint="eastAsia"/>
                <w:color w:val="auto"/>
                <w:szCs w:val="21"/>
                <w:highlight w:val="none"/>
              </w:rPr>
              <w:t>每半年一次</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97" w:hRule="atLeast"/>
          <w:jc w:val="center"/>
        </w:trPr>
        <w:tc>
          <w:tcPr>
            <w:tcW w:w="707" w:type="dxa"/>
            <w:vMerge w:val="continue"/>
            <w:vAlign w:val="center"/>
          </w:tcPr>
          <w:p>
            <w:pPr>
              <w:adjustRightInd w:val="0"/>
              <w:snapToGrid w:val="0"/>
              <w:spacing w:before="60" w:beforeLines="25" w:after="12" w:afterLines="5"/>
              <w:jc w:val="center"/>
              <w:rPr>
                <w:color w:val="auto"/>
                <w:szCs w:val="21"/>
                <w:highlight w:val="none"/>
              </w:rPr>
            </w:pPr>
          </w:p>
        </w:tc>
        <w:tc>
          <w:tcPr>
            <w:tcW w:w="1718" w:type="dxa"/>
            <w:vAlign w:val="center"/>
          </w:tcPr>
          <w:p>
            <w:pPr>
              <w:adjustRightInd w:val="0"/>
              <w:snapToGrid w:val="0"/>
              <w:jc w:val="center"/>
              <w:rPr>
                <w:rFonts w:hint="eastAsia" w:eastAsia="宋体"/>
                <w:color w:val="auto"/>
                <w:szCs w:val="21"/>
                <w:highlight w:val="none"/>
                <w:lang w:eastAsia="zh-CN"/>
              </w:rPr>
            </w:pPr>
            <w:r>
              <w:rPr>
                <w:rFonts w:hint="eastAsia"/>
                <w:color w:val="auto"/>
                <w:szCs w:val="21"/>
                <w:highlight w:val="none"/>
                <w:lang w:eastAsia="zh-CN"/>
              </w:rPr>
              <w:t>镀锌酸洗</w:t>
            </w:r>
          </w:p>
        </w:tc>
        <w:tc>
          <w:tcPr>
            <w:tcW w:w="2015" w:type="dxa"/>
            <w:vAlign w:val="center"/>
          </w:tcPr>
          <w:p>
            <w:pPr>
              <w:adjustRightInd w:val="0"/>
              <w:snapToGrid w:val="0"/>
              <w:spacing w:line="300" w:lineRule="exact"/>
              <w:jc w:val="center"/>
              <w:rPr>
                <w:rFonts w:hint="eastAsia"/>
                <w:color w:val="auto"/>
                <w:szCs w:val="21"/>
                <w:highlight w:val="none"/>
              </w:rPr>
            </w:pPr>
            <w:r>
              <w:rPr>
                <w:color w:val="auto"/>
                <w:szCs w:val="21"/>
                <w:highlight w:val="none"/>
              </w:rPr>
              <w:t>P2排气筒</w:t>
            </w:r>
          </w:p>
        </w:tc>
        <w:tc>
          <w:tcPr>
            <w:tcW w:w="3118" w:type="dxa"/>
            <w:vAlign w:val="center"/>
          </w:tcPr>
          <w:p>
            <w:pPr>
              <w:jc w:val="center"/>
              <w:rPr>
                <w:rFonts w:hint="eastAsia" w:ascii="Times New Roman" w:hAnsi="Times New Roman"/>
                <w:color w:val="auto"/>
                <w:sz w:val="21"/>
                <w:highlight w:val="none"/>
              </w:rPr>
            </w:pPr>
            <w:r>
              <w:rPr>
                <w:rFonts w:hint="default" w:ascii="Times New Roman" w:hAnsi="Times New Roman" w:cs="Times New Roman"/>
                <w:color w:val="auto"/>
                <w:sz w:val="21"/>
                <w:szCs w:val="21"/>
                <w:highlight w:val="none"/>
              </w:rPr>
              <w:t>氯化氢</w:t>
            </w:r>
          </w:p>
        </w:tc>
        <w:tc>
          <w:tcPr>
            <w:tcW w:w="1673" w:type="dxa"/>
            <w:vMerge w:val="continue"/>
            <w:vAlign w:val="center"/>
          </w:tcPr>
          <w:p>
            <w:pPr>
              <w:adjustRightInd w:val="0"/>
              <w:snapToGrid w:val="0"/>
              <w:jc w:val="center"/>
              <w:rPr>
                <w:rFonts w:hint="eastAsia"/>
                <w:color w:val="auto"/>
                <w:szCs w:val="21"/>
                <w:highlight w:val="none"/>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97" w:hRule="atLeast"/>
          <w:jc w:val="center"/>
        </w:trPr>
        <w:tc>
          <w:tcPr>
            <w:tcW w:w="707" w:type="dxa"/>
            <w:vMerge w:val="continue"/>
            <w:vAlign w:val="center"/>
          </w:tcPr>
          <w:p>
            <w:pPr>
              <w:adjustRightInd w:val="0"/>
              <w:snapToGrid w:val="0"/>
              <w:spacing w:before="60" w:beforeLines="25" w:after="12" w:afterLines="5"/>
              <w:jc w:val="center"/>
              <w:rPr>
                <w:color w:val="auto"/>
                <w:szCs w:val="21"/>
                <w:highlight w:val="none"/>
              </w:rPr>
            </w:pPr>
          </w:p>
        </w:tc>
        <w:tc>
          <w:tcPr>
            <w:tcW w:w="1718" w:type="dxa"/>
            <w:vAlign w:val="center"/>
          </w:tcPr>
          <w:p>
            <w:pPr>
              <w:adjustRightInd w:val="0"/>
              <w:snapToGrid w:val="0"/>
              <w:jc w:val="center"/>
              <w:rPr>
                <w:rFonts w:hint="eastAsia" w:eastAsia="宋体"/>
                <w:color w:val="auto"/>
                <w:szCs w:val="21"/>
                <w:highlight w:val="none"/>
                <w:lang w:eastAsia="zh-CN"/>
              </w:rPr>
            </w:pPr>
            <w:r>
              <w:rPr>
                <w:rFonts w:hint="eastAsia"/>
                <w:color w:val="auto"/>
                <w:szCs w:val="21"/>
                <w:highlight w:val="none"/>
                <w:lang w:eastAsia="zh-CN"/>
              </w:rPr>
              <w:t>酸洗、镀铜、镀铬</w:t>
            </w:r>
          </w:p>
        </w:tc>
        <w:tc>
          <w:tcPr>
            <w:tcW w:w="2015" w:type="dxa"/>
            <w:vAlign w:val="center"/>
          </w:tcPr>
          <w:p>
            <w:pPr>
              <w:adjustRightInd w:val="0"/>
              <w:snapToGrid w:val="0"/>
              <w:spacing w:line="300" w:lineRule="exact"/>
              <w:jc w:val="center"/>
              <w:rPr>
                <w:rFonts w:hint="eastAsia"/>
                <w:color w:val="auto"/>
                <w:szCs w:val="21"/>
                <w:highlight w:val="none"/>
              </w:rPr>
            </w:pPr>
            <w:r>
              <w:rPr>
                <w:color w:val="auto"/>
                <w:szCs w:val="21"/>
                <w:highlight w:val="none"/>
              </w:rPr>
              <w:t>P3排气筒</w:t>
            </w:r>
          </w:p>
        </w:tc>
        <w:tc>
          <w:tcPr>
            <w:tcW w:w="3118" w:type="dxa"/>
            <w:vAlign w:val="center"/>
          </w:tcPr>
          <w:p>
            <w:pPr>
              <w:jc w:val="center"/>
              <w:rPr>
                <w:rFonts w:hint="eastAsia" w:ascii="Times New Roman" w:hAnsi="Times New Roman"/>
                <w:color w:val="auto"/>
                <w:sz w:val="21"/>
                <w:highlight w:val="none"/>
              </w:rPr>
            </w:pPr>
            <w:r>
              <w:rPr>
                <w:rFonts w:hint="eastAsia"/>
                <w:color w:val="auto"/>
                <w:highlight w:val="none"/>
                <w:lang w:eastAsia="zh-CN"/>
              </w:rPr>
              <w:t>氯化氢、硫酸雾、铬酸雾</w:t>
            </w:r>
          </w:p>
        </w:tc>
        <w:tc>
          <w:tcPr>
            <w:tcW w:w="1673" w:type="dxa"/>
            <w:vMerge w:val="continue"/>
            <w:vAlign w:val="center"/>
          </w:tcPr>
          <w:p>
            <w:pPr>
              <w:adjustRightInd w:val="0"/>
              <w:snapToGrid w:val="0"/>
              <w:jc w:val="center"/>
              <w:rPr>
                <w:rFonts w:hint="eastAsia"/>
                <w:color w:val="auto"/>
                <w:szCs w:val="21"/>
                <w:highlight w:val="none"/>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97" w:hRule="atLeast"/>
          <w:jc w:val="center"/>
        </w:trPr>
        <w:tc>
          <w:tcPr>
            <w:tcW w:w="707" w:type="dxa"/>
            <w:vMerge w:val="continue"/>
            <w:vAlign w:val="center"/>
          </w:tcPr>
          <w:p>
            <w:pPr>
              <w:adjustRightInd w:val="0"/>
              <w:snapToGrid w:val="0"/>
              <w:spacing w:before="60" w:beforeLines="25" w:after="12" w:afterLines="5"/>
              <w:jc w:val="center"/>
              <w:rPr>
                <w:color w:val="auto"/>
                <w:szCs w:val="21"/>
                <w:highlight w:val="none"/>
              </w:rPr>
            </w:pPr>
          </w:p>
        </w:tc>
        <w:tc>
          <w:tcPr>
            <w:tcW w:w="1718" w:type="dxa"/>
            <w:vAlign w:val="center"/>
          </w:tcPr>
          <w:p>
            <w:pPr>
              <w:adjustRightInd w:val="0"/>
              <w:snapToGrid w:val="0"/>
              <w:jc w:val="center"/>
              <w:rPr>
                <w:rFonts w:hint="eastAsia" w:eastAsia="宋体"/>
                <w:color w:val="auto"/>
                <w:szCs w:val="21"/>
                <w:highlight w:val="none"/>
                <w:lang w:eastAsia="zh-CN"/>
              </w:rPr>
            </w:pPr>
            <w:r>
              <w:rPr>
                <w:rFonts w:hint="eastAsia"/>
                <w:color w:val="auto"/>
                <w:szCs w:val="21"/>
                <w:highlight w:val="none"/>
                <w:lang w:eastAsia="zh-CN"/>
              </w:rPr>
              <w:t>天然气锅炉</w:t>
            </w:r>
          </w:p>
        </w:tc>
        <w:tc>
          <w:tcPr>
            <w:tcW w:w="2015" w:type="dxa"/>
            <w:vAlign w:val="center"/>
          </w:tcPr>
          <w:p>
            <w:pPr>
              <w:adjustRightInd w:val="0"/>
              <w:snapToGrid w:val="0"/>
              <w:spacing w:line="300" w:lineRule="exact"/>
              <w:jc w:val="center"/>
              <w:rPr>
                <w:rFonts w:hint="eastAsia"/>
                <w:color w:val="auto"/>
                <w:szCs w:val="21"/>
                <w:highlight w:val="none"/>
              </w:rPr>
            </w:pPr>
            <w:r>
              <w:rPr>
                <w:color w:val="auto"/>
                <w:szCs w:val="21"/>
                <w:highlight w:val="none"/>
              </w:rPr>
              <w:t>P4</w:t>
            </w:r>
            <w:r>
              <w:rPr>
                <w:rFonts w:hint="eastAsia"/>
                <w:color w:val="auto"/>
                <w:szCs w:val="21"/>
                <w:highlight w:val="none"/>
                <w:lang w:val="en-US" w:eastAsia="zh-CN"/>
              </w:rPr>
              <w:t>-1</w:t>
            </w:r>
            <w:r>
              <w:rPr>
                <w:color w:val="auto"/>
                <w:szCs w:val="21"/>
                <w:highlight w:val="none"/>
              </w:rPr>
              <w:t>排气筒</w:t>
            </w:r>
          </w:p>
        </w:tc>
        <w:tc>
          <w:tcPr>
            <w:tcW w:w="3118" w:type="dxa"/>
            <w:vAlign w:val="center"/>
          </w:tcPr>
          <w:p>
            <w:pPr>
              <w:pStyle w:val="19"/>
              <w:jc w:val="center"/>
              <w:rPr>
                <w:rFonts w:hint="eastAsia" w:ascii="Times New Roman" w:hAnsi="Times New Roman"/>
                <w:color w:val="auto"/>
                <w:sz w:val="21"/>
                <w:highlight w:val="none"/>
              </w:rPr>
            </w:pPr>
            <w:r>
              <w:rPr>
                <w:rFonts w:hint="default" w:ascii="Times New Roman" w:hAnsi="Times New Roman" w:cs="Times New Roman"/>
                <w:color w:val="auto"/>
                <w:sz w:val="21"/>
                <w:szCs w:val="21"/>
                <w:highlight w:val="none"/>
              </w:rPr>
              <w:t>SO</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、NOx、烟尘</w:t>
            </w:r>
          </w:p>
        </w:tc>
        <w:tc>
          <w:tcPr>
            <w:tcW w:w="1673" w:type="dxa"/>
            <w:vMerge w:val="continue"/>
            <w:vAlign w:val="center"/>
          </w:tcPr>
          <w:p>
            <w:pPr>
              <w:adjustRightInd w:val="0"/>
              <w:snapToGrid w:val="0"/>
              <w:jc w:val="center"/>
              <w:rPr>
                <w:rFonts w:hint="eastAsia"/>
                <w:color w:val="auto"/>
                <w:szCs w:val="21"/>
                <w:highlight w:val="none"/>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97" w:hRule="atLeast"/>
          <w:jc w:val="center"/>
        </w:trPr>
        <w:tc>
          <w:tcPr>
            <w:tcW w:w="707" w:type="dxa"/>
            <w:vMerge w:val="continue"/>
            <w:vAlign w:val="center"/>
          </w:tcPr>
          <w:p>
            <w:pPr>
              <w:adjustRightInd w:val="0"/>
              <w:snapToGrid w:val="0"/>
              <w:spacing w:before="60" w:beforeLines="25" w:after="12" w:afterLines="5"/>
              <w:jc w:val="center"/>
              <w:rPr>
                <w:color w:val="auto"/>
                <w:szCs w:val="21"/>
                <w:highlight w:val="none"/>
              </w:rPr>
            </w:pPr>
          </w:p>
        </w:tc>
        <w:tc>
          <w:tcPr>
            <w:tcW w:w="1718" w:type="dxa"/>
            <w:vAlign w:val="center"/>
          </w:tcPr>
          <w:p>
            <w:pPr>
              <w:adjustRightInd w:val="0"/>
              <w:snapToGrid w:val="0"/>
              <w:jc w:val="center"/>
              <w:rPr>
                <w:rFonts w:hint="eastAsia"/>
                <w:color w:val="auto"/>
                <w:szCs w:val="21"/>
                <w:highlight w:val="none"/>
              </w:rPr>
            </w:pPr>
            <w:r>
              <w:rPr>
                <w:rFonts w:hint="eastAsia"/>
                <w:color w:val="auto"/>
                <w:szCs w:val="21"/>
                <w:highlight w:val="none"/>
                <w:lang w:eastAsia="zh-CN"/>
              </w:rPr>
              <w:t>镀锌酸洗、电解</w:t>
            </w:r>
          </w:p>
        </w:tc>
        <w:tc>
          <w:tcPr>
            <w:tcW w:w="2015" w:type="dxa"/>
            <w:vAlign w:val="center"/>
          </w:tcPr>
          <w:p>
            <w:pPr>
              <w:adjustRightInd w:val="0"/>
              <w:snapToGrid w:val="0"/>
              <w:spacing w:line="300" w:lineRule="exact"/>
              <w:jc w:val="center"/>
              <w:rPr>
                <w:rFonts w:hint="eastAsia"/>
                <w:color w:val="auto"/>
                <w:szCs w:val="21"/>
                <w:highlight w:val="none"/>
              </w:rPr>
            </w:pPr>
            <w:r>
              <w:rPr>
                <w:color w:val="auto"/>
                <w:szCs w:val="21"/>
                <w:highlight w:val="none"/>
              </w:rPr>
              <w:t>P</w:t>
            </w:r>
            <w:r>
              <w:rPr>
                <w:rFonts w:hint="eastAsia"/>
                <w:color w:val="auto"/>
                <w:szCs w:val="21"/>
                <w:highlight w:val="none"/>
                <w:lang w:val="en-US" w:eastAsia="zh-CN"/>
              </w:rPr>
              <w:t>4-2</w:t>
            </w:r>
            <w:r>
              <w:rPr>
                <w:color w:val="auto"/>
                <w:szCs w:val="21"/>
                <w:highlight w:val="none"/>
              </w:rPr>
              <w:t>排气筒</w:t>
            </w:r>
          </w:p>
        </w:tc>
        <w:tc>
          <w:tcPr>
            <w:tcW w:w="3118" w:type="dxa"/>
            <w:vAlign w:val="center"/>
          </w:tcPr>
          <w:p>
            <w:pPr>
              <w:jc w:val="center"/>
              <w:rPr>
                <w:rFonts w:hint="eastAsia" w:ascii="Times New Roman" w:hAnsi="Times New Roman"/>
                <w:color w:val="auto"/>
                <w:sz w:val="21"/>
                <w:highlight w:val="none"/>
              </w:rPr>
            </w:pPr>
            <w:r>
              <w:rPr>
                <w:rFonts w:hint="default" w:ascii="Times New Roman" w:hAnsi="Times New Roman" w:cs="Times New Roman"/>
                <w:color w:val="auto"/>
                <w:sz w:val="21"/>
                <w:szCs w:val="21"/>
                <w:highlight w:val="none"/>
              </w:rPr>
              <w:t>氯化氢</w:t>
            </w:r>
            <w:r>
              <w:rPr>
                <w:rFonts w:hint="default" w:ascii="Times New Roman" w:hAnsi="Times New Roman" w:cs="Times New Roman"/>
                <w:color w:val="auto"/>
                <w:sz w:val="21"/>
                <w:szCs w:val="21"/>
                <w:highlight w:val="none"/>
                <w:lang w:eastAsia="zh-CN"/>
              </w:rPr>
              <w:t>、</w:t>
            </w:r>
            <w:r>
              <w:rPr>
                <w:rFonts w:hint="eastAsia"/>
                <w:color w:val="auto"/>
                <w:highlight w:val="none"/>
                <w:lang w:eastAsia="zh-CN"/>
              </w:rPr>
              <w:t>硫酸雾</w:t>
            </w:r>
          </w:p>
        </w:tc>
        <w:tc>
          <w:tcPr>
            <w:tcW w:w="1673" w:type="dxa"/>
            <w:vMerge w:val="continue"/>
            <w:vAlign w:val="center"/>
          </w:tcPr>
          <w:p>
            <w:pPr>
              <w:adjustRightInd w:val="0"/>
              <w:snapToGrid w:val="0"/>
              <w:jc w:val="center"/>
              <w:rPr>
                <w:rFonts w:hint="eastAsia"/>
                <w:color w:val="auto"/>
                <w:szCs w:val="21"/>
                <w:highlight w:val="none"/>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97" w:hRule="atLeast"/>
          <w:jc w:val="center"/>
        </w:trPr>
        <w:tc>
          <w:tcPr>
            <w:tcW w:w="707" w:type="dxa"/>
            <w:vMerge w:val="continue"/>
            <w:vAlign w:val="center"/>
          </w:tcPr>
          <w:p>
            <w:pPr>
              <w:adjustRightInd w:val="0"/>
              <w:snapToGrid w:val="0"/>
              <w:spacing w:before="60" w:beforeLines="25" w:after="12" w:afterLines="5"/>
              <w:jc w:val="center"/>
              <w:rPr>
                <w:color w:val="auto"/>
                <w:szCs w:val="21"/>
                <w:highlight w:val="none"/>
              </w:rPr>
            </w:pPr>
          </w:p>
        </w:tc>
        <w:tc>
          <w:tcPr>
            <w:tcW w:w="1718" w:type="dxa"/>
            <w:tcBorders>
              <w:left w:val="dotted" w:color="auto" w:sz="4" w:space="0"/>
            </w:tcBorders>
            <w:vAlign w:val="center"/>
          </w:tcPr>
          <w:p>
            <w:pPr>
              <w:adjustRightInd w:val="0"/>
              <w:snapToGrid w:val="0"/>
              <w:jc w:val="center"/>
              <w:rPr>
                <w:rFonts w:hint="eastAsia" w:eastAsia="宋体"/>
                <w:color w:val="auto"/>
                <w:szCs w:val="21"/>
                <w:highlight w:val="none"/>
                <w:lang w:eastAsia="zh-CN"/>
              </w:rPr>
            </w:pPr>
            <w:r>
              <w:rPr>
                <w:rFonts w:hint="eastAsia"/>
                <w:color w:val="auto"/>
                <w:szCs w:val="21"/>
                <w:highlight w:val="none"/>
                <w:lang w:eastAsia="zh-CN"/>
              </w:rPr>
              <w:t>镀银、粗化、敏化、</w:t>
            </w:r>
          </w:p>
        </w:tc>
        <w:tc>
          <w:tcPr>
            <w:tcW w:w="2015" w:type="dxa"/>
            <w:vAlign w:val="center"/>
          </w:tcPr>
          <w:p>
            <w:pPr>
              <w:adjustRightInd w:val="0"/>
              <w:snapToGrid w:val="0"/>
              <w:spacing w:line="300" w:lineRule="exact"/>
              <w:jc w:val="center"/>
              <w:rPr>
                <w:rFonts w:hint="eastAsia"/>
                <w:color w:val="auto"/>
                <w:szCs w:val="21"/>
                <w:highlight w:val="none"/>
              </w:rPr>
            </w:pPr>
            <w:r>
              <w:rPr>
                <w:color w:val="auto"/>
                <w:szCs w:val="21"/>
                <w:highlight w:val="none"/>
              </w:rPr>
              <w:t>P</w:t>
            </w:r>
            <w:r>
              <w:rPr>
                <w:rFonts w:hint="eastAsia"/>
                <w:color w:val="auto"/>
                <w:szCs w:val="21"/>
                <w:highlight w:val="none"/>
                <w:lang w:val="en-US" w:eastAsia="zh-CN"/>
              </w:rPr>
              <w:t>5</w:t>
            </w:r>
            <w:r>
              <w:rPr>
                <w:color w:val="auto"/>
                <w:szCs w:val="21"/>
                <w:highlight w:val="none"/>
              </w:rPr>
              <w:t>排气筒</w:t>
            </w:r>
          </w:p>
        </w:tc>
        <w:tc>
          <w:tcPr>
            <w:tcW w:w="3118" w:type="dxa"/>
            <w:vAlign w:val="center"/>
          </w:tcPr>
          <w:p>
            <w:pPr>
              <w:jc w:val="center"/>
              <w:rPr>
                <w:rFonts w:hint="eastAsia" w:ascii="Times New Roman" w:hAnsi="Times New Roman"/>
                <w:color w:val="auto"/>
                <w:sz w:val="21"/>
                <w:highlight w:val="none"/>
              </w:rPr>
            </w:pPr>
            <w:r>
              <w:rPr>
                <w:rFonts w:hint="eastAsia"/>
                <w:color w:val="auto"/>
                <w:highlight w:val="none"/>
                <w:lang w:val="en-US" w:eastAsia="zh-CN"/>
              </w:rPr>
              <w:t>氯化氢、铬酸雾、氨</w:t>
            </w:r>
          </w:p>
        </w:tc>
        <w:tc>
          <w:tcPr>
            <w:tcW w:w="1673" w:type="dxa"/>
            <w:vMerge w:val="continue"/>
            <w:vAlign w:val="center"/>
          </w:tcPr>
          <w:p>
            <w:pPr>
              <w:adjustRightInd w:val="0"/>
              <w:snapToGrid w:val="0"/>
              <w:jc w:val="center"/>
              <w:rPr>
                <w:rFonts w:hint="eastAsia"/>
                <w:color w:val="auto"/>
                <w:szCs w:val="21"/>
                <w:highlight w:val="none"/>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97" w:hRule="atLeast"/>
          <w:jc w:val="center"/>
        </w:trPr>
        <w:tc>
          <w:tcPr>
            <w:tcW w:w="707" w:type="dxa"/>
            <w:vMerge w:val="continue"/>
            <w:vAlign w:val="center"/>
          </w:tcPr>
          <w:p>
            <w:pPr>
              <w:adjustRightInd w:val="0"/>
              <w:snapToGrid w:val="0"/>
              <w:spacing w:before="60" w:beforeLines="25" w:after="12" w:afterLines="5"/>
              <w:jc w:val="center"/>
              <w:rPr>
                <w:color w:val="auto"/>
                <w:szCs w:val="21"/>
                <w:highlight w:val="none"/>
              </w:rPr>
            </w:pPr>
          </w:p>
        </w:tc>
        <w:tc>
          <w:tcPr>
            <w:tcW w:w="1718" w:type="dxa"/>
            <w:vAlign w:val="center"/>
          </w:tcPr>
          <w:p>
            <w:pPr>
              <w:adjustRightInd w:val="0"/>
              <w:snapToGrid w:val="0"/>
              <w:jc w:val="center"/>
              <w:rPr>
                <w:rFonts w:hint="eastAsia"/>
                <w:color w:val="auto"/>
                <w:szCs w:val="21"/>
                <w:highlight w:val="none"/>
              </w:rPr>
            </w:pPr>
            <w:r>
              <w:rPr>
                <w:rFonts w:hint="eastAsia"/>
                <w:color w:val="auto"/>
                <w:szCs w:val="21"/>
                <w:highlight w:val="none"/>
                <w:lang w:eastAsia="zh-CN"/>
              </w:rPr>
              <w:t>镀锌酸洗</w:t>
            </w:r>
          </w:p>
        </w:tc>
        <w:tc>
          <w:tcPr>
            <w:tcW w:w="2015" w:type="dxa"/>
            <w:vAlign w:val="center"/>
          </w:tcPr>
          <w:p>
            <w:pPr>
              <w:adjustRightInd w:val="0"/>
              <w:snapToGrid w:val="0"/>
              <w:spacing w:line="300" w:lineRule="exact"/>
              <w:jc w:val="center"/>
              <w:rPr>
                <w:rFonts w:hint="eastAsia"/>
                <w:color w:val="auto"/>
                <w:szCs w:val="21"/>
                <w:highlight w:val="none"/>
              </w:rPr>
            </w:pPr>
            <w:r>
              <w:rPr>
                <w:color w:val="auto"/>
                <w:szCs w:val="21"/>
                <w:highlight w:val="none"/>
              </w:rPr>
              <w:t>P</w:t>
            </w:r>
            <w:r>
              <w:rPr>
                <w:rFonts w:hint="eastAsia"/>
                <w:color w:val="auto"/>
                <w:szCs w:val="21"/>
                <w:highlight w:val="none"/>
                <w:lang w:val="en-US" w:eastAsia="zh-CN"/>
              </w:rPr>
              <w:t>6</w:t>
            </w:r>
            <w:r>
              <w:rPr>
                <w:color w:val="auto"/>
                <w:szCs w:val="21"/>
                <w:highlight w:val="none"/>
              </w:rPr>
              <w:t>排气筒</w:t>
            </w:r>
          </w:p>
        </w:tc>
        <w:tc>
          <w:tcPr>
            <w:tcW w:w="3118" w:type="dxa"/>
            <w:vAlign w:val="center"/>
          </w:tcPr>
          <w:p>
            <w:pPr>
              <w:jc w:val="center"/>
              <w:rPr>
                <w:rFonts w:hint="eastAsia" w:ascii="Times New Roman" w:hAnsi="Times New Roman"/>
                <w:color w:val="auto"/>
                <w:sz w:val="21"/>
                <w:highlight w:val="none"/>
              </w:rPr>
            </w:pPr>
            <w:r>
              <w:rPr>
                <w:rFonts w:hint="default" w:ascii="Times New Roman" w:hAnsi="Times New Roman" w:cs="Times New Roman"/>
                <w:color w:val="auto"/>
                <w:sz w:val="21"/>
                <w:szCs w:val="21"/>
                <w:highlight w:val="none"/>
              </w:rPr>
              <w:t>氯化氢</w:t>
            </w:r>
          </w:p>
        </w:tc>
        <w:tc>
          <w:tcPr>
            <w:tcW w:w="1673" w:type="dxa"/>
            <w:vMerge w:val="continue"/>
            <w:vAlign w:val="center"/>
          </w:tcPr>
          <w:p>
            <w:pPr>
              <w:adjustRightInd w:val="0"/>
              <w:snapToGrid w:val="0"/>
              <w:jc w:val="center"/>
              <w:rPr>
                <w:rFonts w:hint="eastAsia"/>
                <w:color w:val="auto"/>
                <w:szCs w:val="21"/>
                <w:highlight w:val="none"/>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97" w:hRule="atLeast"/>
          <w:jc w:val="center"/>
        </w:trPr>
        <w:tc>
          <w:tcPr>
            <w:tcW w:w="707" w:type="dxa"/>
            <w:vMerge w:val="continue"/>
            <w:vAlign w:val="center"/>
          </w:tcPr>
          <w:p>
            <w:pPr>
              <w:adjustRightInd w:val="0"/>
              <w:snapToGrid w:val="0"/>
              <w:spacing w:before="60" w:beforeLines="25" w:after="12" w:afterLines="5"/>
              <w:jc w:val="center"/>
              <w:rPr>
                <w:color w:val="auto"/>
                <w:szCs w:val="21"/>
                <w:highlight w:val="none"/>
              </w:rPr>
            </w:pPr>
          </w:p>
        </w:tc>
        <w:tc>
          <w:tcPr>
            <w:tcW w:w="1718" w:type="dxa"/>
            <w:vAlign w:val="center"/>
          </w:tcPr>
          <w:p>
            <w:pPr>
              <w:adjustRightInd w:val="0"/>
              <w:snapToGrid w:val="0"/>
              <w:jc w:val="center"/>
              <w:rPr>
                <w:color w:val="auto"/>
                <w:szCs w:val="21"/>
                <w:highlight w:val="none"/>
              </w:rPr>
            </w:pPr>
            <w:r>
              <w:rPr>
                <w:color w:val="auto"/>
                <w:szCs w:val="21"/>
                <w:highlight w:val="none"/>
              </w:rPr>
              <w:t>无组织废气</w:t>
            </w:r>
          </w:p>
        </w:tc>
        <w:tc>
          <w:tcPr>
            <w:tcW w:w="2015" w:type="dxa"/>
            <w:vAlign w:val="center"/>
          </w:tcPr>
          <w:p>
            <w:pPr>
              <w:adjustRightInd w:val="0"/>
              <w:snapToGrid w:val="0"/>
              <w:jc w:val="center"/>
              <w:rPr>
                <w:color w:val="auto"/>
                <w:szCs w:val="21"/>
                <w:highlight w:val="none"/>
              </w:rPr>
            </w:pPr>
            <w:r>
              <w:rPr>
                <w:rFonts w:hint="eastAsia"/>
                <w:color w:val="auto"/>
                <w:szCs w:val="21"/>
                <w:highlight w:val="none"/>
              </w:rPr>
              <w:t>园区厂界上、</w:t>
            </w:r>
            <w:r>
              <w:rPr>
                <w:color w:val="auto"/>
                <w:szCs w:val="21"/>
                <w:highlight w:val="none"/>
              </w:rPr>
              <w:t>下风向</w:t>
            </w:r>
          </w:p>
        </w:tc>
        <w:tc>
          <w:tcPr>
            <w:tcW w:w="3118" w:type="dxa"/>
            <w:vAlign w:val="center"/>
          </w:tcPr>
          <w:p>
            <w:pPr>
              <w:adjustRightInd w:val="0"/>
              <w:snapToGrid w:val="0"/>
              <w:jc w:val="center"/>
              <w:rPr>
                <w:color w:val="auto"/>
                <w:szCs w:val="21"/>
                <w:highlight w:val="none"/>
                <w:lang w:val="en-US"/>
              </w:rPr>
            </w:pPr>
            <w:r>
              <w:rPr>
                <w:color w:val="auto"/>
                <w:szCs w:val="21"/>
                <w:highlight w:val="none"/>
              </w:rPr>
              <w:t>氯化氢</w:t>
            </w:r>
            <w:r>
              <w:rPr>
                <w:rFonts w:hint="eastAsia"/>
                <w:color w:val="auto"/>
                <w:szCs w:val="21"/>
                <w:highlight w:val="none"/>
                <w:lang w:eastAsia="zh-CN"/>
              </w:rPr>
              <w:t>、</w:t>
            </w:r>
            <w:r>
              <w:rPr>
                <w:rFonts w:hint="default" w:ascii="Times New Roman" w:hAnsi="Times New Roman" w:cs="Times New Roman"/>
                <w:color w:val="auto"/>
                <w:sz w:val="21"/>
                <w:szCs w:val="21"/>
                <w:highlight w:val="none"/>
              </w:rPr>
              <w:t>NO</w:t>
            </w:r>
            <w:r>
              <w:rPr>
                <w:rFonts w:hint="default" w:ascii="Times New Roman" w:hAnsi="Times New Roman" w:cs="Times New Roman"/>
                <w:color w:val="auto"/>
                <w:sz w:val="21"/>
                <w:szCs w:val="21"/>
                <w:highlight w:val="none"/>
                <w:vertAlign w:val="subscript"/>
              </w:rPr>
              <w:t>x</w:t>
            </w:r>
            <w:r>
              <w:rPr>
                <w:rFonts w:hint="eastAsia"/>
                <w:color w:val="auto"/>
                <w:szCs w:val="21"/>
                <w:highlight w:val="none"/>
                <w:lang w:eastAsia="zh-CN"/>
              </w:rPr>
              <w:t>、</w:t>
            </w:r>
            <w:r>
              <w:rPr>
                <w:rFonts w:hint="eastAsia"/>
                <w:color w:val="auto"/>
                <w:highlight w:val="none"/>
                <w:lang w:eastAsia="zh-CN"/>
              </w:rPr>
              <w:t>硫酸雾</w:t>
            </w:r>
            <w:r>
              <w:rPr>
                <w:rFonts w:hint="eastAsia"/>
                <w:color w:val="auto"/>
                <w:szCs w:val="21"/>
                <w:highlight w:val="none"/>
                <w:lang w:eastAsia="zh-CN"/>
              </w:rPr>
              <w:t>、</w:t>
            </w:r>
            <w:r>
              <w:rPr>
                <w:rFonts w:hint="eastAsia"/>
                <w:color w:val="auto"/>
                <w:highlight w:val="none"/>
                <w:lang w:eastAsia="zh-CN"/>
              </w:rPr>
              <w:t>铬酸雾</w:t>
            </w:r>
            <w:r>
              <w:rPr>
                <w:rFonts w:hint="eastAsia"/>
                <w:color w:val="auto"/>
                <w:szCs w:val="21"/>
                <w:highlight w:val="none"/>
                <w:lang w:eastAsia="zh-CN"/>
              </w:rPr>
              <w:t>、</w:t>
            </w:r>
            <w:r>
              <w:rPr>
                <w:rFonts w:hint="eastAsia"/>
                <w:color w:val="auto"/>
                <w:highlight w:val="none"/>
                <w:lang w:val="en-US" w:eastAsia="zh-CN"/>
              </w:rPr>
              <w:t>氨、</w:t>
            </w:r>
            <w:r>
              <w:rPr>
                <w:rFonts w:hint="eastAsia"/>
                <w:color w:val="auto"/>
                <w:szCs w:val="21"/>
                <w:highlight w:val="none"/>
                <w:lang w:val="en-US" w:eastAsia="zh-CN"/>
              </w:rPr>
              <w:t>甲基磺酸雾</w:t>
            </w:r>
          </w:p>
        </w:tc>
        <w:tc>
          <w:tcPr>
            <w:tcW w:w="1673" w:type="dxa"/>
            <w:vAlign w:val="center"/>
          </w:tcPr>
          <w:p>
            <w:pPr>
              <w:adjustRightInd w:val="0"/>
              <w:snapToGrid w:val="0"/>
              <w:jc w:val="center"/>
              <w:rPr>
                <w:color w:val="auto"/>
                <w:szCs w:val="21"/>
                <w:highlight w:val="none"/>
              </w:rPr>
            </w:pPr>
            <w:r>
              <w:rPr>
                <w:rFonts w:hint="eastAsia"/>
                <w:color w:val="auto"/>
                <w:szCs w:val="21"/>
                <w:highlight w:val="none"/>
              </w:rPr>
              <w:t>每年一次</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97" w:hRule="atLeast"/>
          <w:jc w:val="center"/>
        </w:trPr>
        <w:tc>
          <w:tcPr>
            <w:tcW w:w="707" w:type="dxa"/>
            <w:vAlign w:val="center"/>
          </w:tcPr>
          <w:p>
            <w:pPr>
              <w:adjustRightInd w:val="0"/>
              <w:snapToGrid w:val="0"/>
              <w:spacing w:before="60" w:beforeLines="25" w:after="12" w:afterLines="5"/>
              <w:jc w:val="center"/>
              <w:rPr>
                <w:color w:val="auto"/>
                <w:szCs w:val="21"/>
                <w:highlight w:val="none"/>
              </w:rPr>
            </w:pPr>
            <w:r>
              <w:rPr>
                <w:color w:val="auto"/>
                <w:szCs w:val="21"/>
                <w:highlight w:val="none"/>
              </w:rPr>
              <w:t>噪声</w:t>
            </w:r>
          </w:p>
        </w:tc>
        <w:tc>
          <w:tcPr>
            <w:tcW w:w="1718" w:type="dxa"/>
            <w:vAlign w:val="center"/>
          </w:tcPr>
          <w:p>
            <w:pPr>
              <w:adjustRightInd w:val="0"/>
              <w:snapToGrid w:val="0"/>
              <w:jc w:val="center"/>
              <w:rPr>
                <w:color w:val="auto"/>
                <w:szCs w:val="21"/>
                <w:highlight w:val="none"/>
              </w:rPr>
            </w:pPr>
            <w:r>
              <w:rPr>
                <w:rFonts w:hint="eastAsia"/>
                <w:color w:val="auto"/>
                <w:szCs w:val="21"/>
                <w:highlight w:val="none"/>
              </w:rPr>
              <w:t>园区厂界</w:t>
            </w:r>
            <w:r>
              <w:rPr>
                <w:color w:val="auto"/>
                <w:szCs w:val="21"/>
                <w:highlight w:val="none"/>
              </w:rPr>
              <w:t>噪声</w:t>
            </w:r>
          </w:p>
        </w:tc>
        <w:tc>
          <w:tcPr>
            <w:tcW w:w="2015" w:type="dxa"/>
            <w:vAlign w:val="center"/>
          </w:tcPr>
          <w:p>
            <w:pPr>
              <w:adjustRightInd w:val="0"/>
              <w:snapToGrid w:val="0"/>
              <w:ind w:firstLine="252"/>
              <w:jc w:val="center"/>
              <w:rPr>
                <w:color w:val="auto"/>
                <w:szCs w:val="21"/>
                <w:highlight w:val="none"/>
              </w:rPr>
            </w:pPr>
            <w:r>
              <w:rPr>
                <w:rFonts w:hint="eastAsia"/>
                <w:color w:val="auto"/>
                <w:szCs w:val="21"/>
                <w:highlight w:val="none"/>
              </w:rPr>
              <w:t>园区厂界外1m处</w:t>
            </w:r>
          </w:p>
        </w:tc>
        <w:tc>
          <w:tcPr>
            <w:tcW w:w="3118" w:type="dxa"/>
            <w:vAlign w:val="center"/>
          </w:tcPr>
          <w:p>
            <w:pPr>
              <w:adjustRightInd w:val="0"/>
              <w:snapToGrid w:val="0"/>
              <w:jc w:val="center"/>
              <w:rPr>
                <w:color w:val="auto"/>
                <w:szCs w:val="21"/>
                <w:highlight w:val="none"/>
              </w:rPr>
            </w:pPr>
            <w:r>
              <w:rPr>
                <w:color w:val="auto"/>
                <w:kern w:val="0"/>
                <w:szCs w:val="21"/>
                <w:highlight w:val="none"/>
              </w:rPr>
              <w:t>噪声常规监测</w:t>
            </w:r>
          </w:p>
        </w:tc>
        <w:tc>
          <w:tcPr>
            <w:tcW w:w="1673" w:type="dxa"/>
            <w:vAlign w:val="center"/>
          </w:tcPr>
          <w:p>
            <w:pPr>
              <w:adjustRightInd w:val="0"/>
              <w:snapToGrid w:val="0"/>
              <w:jc w:val="center"/>
              <w:rPr>
                <w:color w:val="auto"/>
                <w:szCs w:val="21"/>
                <w:highlight w:val="none"/>
              </w:rPr>
            </w:pPr>
            <w:r>
              <w:rPr>
                <w:rFonts w:hint="eastAsia"/>
                <w:color w:val="auto"/>
                <w:szCs w:val="21"/>
                <w:highlight w:val="none"/>
              </w:rPr>
              <w:t>每</w:t>
            </w:r>
            <w:r>
              <w:rPr>
                <w:rFonts w:hint="eastAsia"/>
                <w:color w:val="auto"/>
                <w:szCs w:val="21"/>
                <w:highlight w:val="none"/>
                <w:lang w:val="en-US" w:eastAsia="zh-CN"/>
              </w:rPr>
              <w:t>季度</w:t>
            </w:r>
            <w:r>
              <w:rPr>
                <w:rFonts w:hint="eastAsia"/>
                <w:color w:val="auto"/>
                <w:szCs w:val="21"/>
                <w:highlight w:val="none"/>
              </w:rPr>
              <w:t>一次</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97" w:hRule="atLeast"/>
          <w:jc w:val="center"/>
        </w:trPr>
        <w:tc>
          <w:tcPr>
            <w:tcW w:w="707" w:type="dxa"/>
            <w:vAlign w:val="center"/>
          </w:tcPr>
          <w:p>
            <w:pPr>
              <w:adjustRightInd w:val="0"/>
              <w:snapToGrid w:val="0"/>
              <w:spacing w:before="60" w:beforeLines="25" w:after="12" w:afterLines="5"/>
              <w:jc w:val="center"/>
              <w:rPr>
                <w:rFonts w:hint="eastAsia" w:eastAsia="宋体"/>
                <w:color w:val="auto"/>
                <w:szCs w:val="21"/>
                <w:highlight w:val="none"/>
                <w:lang w:val="en-US" w:eastAsia="zh-CN"/>
              </w:rPr>
            </w:pPr>
            <w:r>
              <w:rPr>
                <w:rFonts w:hint="eastAsia"/>
                <w:color w:val="auto"/>
                <w:szCs w:val="21"/>
                <w:highlight w:val="none"/>
                <w:lang w:val="en-US" w:eastAsia="zh-CN"/>
              </w:rPr>
              <w:t>固废</w:t>
            </w:r>
          </w:p>
        </w:tc>
        <w:tc>
          <w:tcPr>
            <w:tcW w:w="1718" w:type="dxa"/>
            <w:vAlign w:val="center"/>
          </w:tcPr>
          <w:p>
            <w:pPr>
              <w:adjustRightInd w:val="0"/>
              <w:snapToGrid w:val="0"/>
              <w:spacing w:line="300" w:lineRule="exact"/>
              <w:ind w:firstLine="0" w:firstLineChars="0"/>
              <w:jc w:val="center"/>
              <w:rPr>
                <w:rFonts w:hint="eastAsia"/>
                <w:color w:val="auto"/>
                <w:szCs w:val="21"/>
                <w:highlight w:val="none"/>
              </w:rPr>
            </w:pPr>
            <w:r>
              <w:rPr>
                <w:color w:val="auto"/>
                <w:sz w:val="21"/>
                <w:szCs w:val="21"/>
                <w:highlight w:val="none"/>
              </w:rPr>
              <w:t>生产过程</w:t>
            </w:r>
          </w:p>
        </w:tc>
        <w:tc>
          <w:tcPr>
            <w:tcW w:w="2015" w:type="dxa"/>
            <w:vAlign w:val="center"/>
          </w:tcPr>
          <w:p>
            <w:pPr>
              <w:snapToGrid w:val="0"/>
              <w:spacing w:line="340" w:lineRule="exact"/>
              <w:ind w:firstLine="0" w:firstLineChars="0"/>
              <w:jc w:val="center"/>
              <w:rPr>
                <w:rFonts w:hint="eastAsia"/>
                <w:color w:val="auto"/>
                <w:szCs w:val="21"/>
                <w:highlight w:val="none"/>
              </w:rPr>
            </w:pPr>
            <w:r>
              <w:rPr>
                <w:color w:val="auto"/>
                <w:sz w:val="21"/>
                <w:szCs w:val="21"/>
                <w:highlight w:val="none"/>
              </w:rPr>
              <w:t>统计各类固废量</w:t>
            </w:r>
          </w:p>
        </w:tc>
        <w:tc>
          <w:tcPr>
            <w:tcW w:w="3118" w:type="dxa"/>
            <w:vAlign w:val="center"/>
          </w:tcPr>
          <w:p>
            <w:pPr>
              <w:snapToGrid w:val="0"/>
              <w:spacing w:line="340" w:lineRule="exact"/>
              <w:ind w:firstLine="0" w:firstLineChars="0"/>
              <w:jc w:val="center"/>
              <w:rPr>
                <w:color w:val="auto"/>
                <w:kern w:val="0"/>
                <w:szCs w:val="21"/>
                <w:highlight w:val="none"/>
              </w:rPr>
            </w:pPr>
            <w:r>
              <w:rPr>
                <w:color w:val="auto"/>
                <w:sz w:val="21"/>
                <w:szCs w:val="21"/>
                <w:highlight w:val="none"/>
              </w:rPr>
              <w:t>统计种类、产生量、暂存方式、去向</w:t>
            </w:r>
          </w:p>
        </w:tc>
        <w:tc>
          <w:tcPr>
            <w:tcW w:w="1673" w:type="dxa"/>
            <w:vAlign w:val="center"/>
          </w:tcPr>
          <w:p>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每月统计一次</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516" w:hRule="atLeast"/>
          <w:jc w:val="center"/>
        </w:trPr>
        <w:tc>
          <w:tcPr>
            <w:tcW w:w="707" w:type="dxa"/>
            <w:vMerge w:val="restart"/>
            <w:vAlign w:val="center"/>
          </w:tcPr>
          <w:p>
            <w:pPr>
              <w:adjustRightInd w:val="0"/>
              <w:snapToGrid w:val="0"/>
              <w:spacing w:before="60" w:beforeLines="25" w:after="12" w:afterLines="5"/>
              <w:jc w:val="center"/>
              <w:rPr>
                <w:rFonts w:hint="eastAsia" w:eastAsia="宋体"/>
                <w:color w:val="auto"/>
                <w:szCs w:val="21"/>
                <w:highlight w:val="none"/>
                <w:lang w:val="en-US" w:eastAsia="zh-CN"/>
              </w:rPr>
            </w:pPr>
            <w:r>
              <w:rPr>
                <w:rFonts w:hint="eastAsia"/>
                <w:color w:val="auto"/>
                <w:szCs w:val="21"/>
                <w:highlight w:val="none"/>
                <w:lang w:val="en-US" w:eastAsia="zh-CN"/>
              </w:rPr>
              <w:t>废水</w:t>
            </w:r>
          </w:p>
        </w:tc>
        <w:tc>
          <w:tcPr>
            <w:tcW w:w="1718" w:type="dxa"/>
            <w:vMerge w:val="restart"/>
            <w:vAlign w:val="center"/>
          </w:tcPr>
          <w:p>
            <w:pPr>
              <w:adjustRightInd w:val="0"/>
              <w:snapToGrid w:val="0"/>
              <w:jc w:val="center"/>
              <w:rPr>
                <w:rFonts w:hint="eastAsia"/>
                <w:color w:val="auto"/>
                <w:szCs w:val="21"/>
                <w:highlight w:val="none"/>
              </w:rPr>
            </w:pPr>
            <w:r>
              <w:rPr>
                <w:rFonts w:hint="eastAsia"/>
                <w:color w:val="auto"/>
                <w:szCs w:val="21"/>
                <w:highlight w:val="none"/>
              </w:rPr>
              <w:t>电镀生产</w:t>
            </w:r>
          </w:p>
        </w:tc>
        <w:tc>
          <w:tcPr>
            <w:tcW w:w="2015" w:type="dxa"/>
            <w:tcBorders>
              <w:bottom w:val="dotted" w:color="auto" w:sz="4" w:space="0"/>
            </w:tcBorders>
            <w:vAlign w:val="center"/>
          </w:tcPr>
          <w:p>
            <w:pPr>
              <w:adjustRightInd w:val="0"/>
              <w:snapToGrid w:val="0"/>
              <w:spacing w:line="300" w:lineRule="exact"/>
              <w:jc w:val="center"/>
              <w:rPr>
                <w:rFonts w:hint="default" w:eastAsia="宋体"/>
                <w:color w:val="auto"/>
                <w:szCs w:val="21"/>
                <w:highlight w:val="none"/>
                <w:lang w:val="en-US" w:eastAsia="zh-CN"/>
              </w:rPr>
            </w:pPr>
            <w:r>
              <w:rPr>
                <w:rFonts w:hint="eastAsia"/>
                <w:color w:val="auto"/>
                <w:szCs w:val="21"/>
                <w:highlight w:val="none"/>
                <w:lang w:val="en-US" w:eastAsia="zh-CN"/>
              </w:rPr>
              <w:t>园区污水总排口</w:t>
            </w:r>
          </w:p>
        </w:tc>
        <w:tc>
          <w:tcPr>
            <w:tcW w:w="3118" w:type="dxa"/>
            <w:tcBorders>
              <w:bottom w:val="dotted" w:color="auto" w:sz="4" w:space="0"/>
            </w:tcBorders>
            <w:vAlign w:val="center"/>
          </w:tcPr>
          <w:p>
            <w:pPr>
              <w:snapToGrid w:val="0"/>
              <w:spacing w:line="300" w:lineRule="exact"/>
              <w:jc w:val="center"/>
              <w:rPr>
                <w:color w:val="auto"/>
                <w:kern w:val="0"/>
                <w:szCs w:val="21"/>
                <w:highlight w:val="none"/>
              </w:rPr>
            </w:pPr>
            <w:r>
              <w:rPr>
                <w:bCs/>
                <w:color w:val="auto"/>
                <w:szCs w:val="21"/>
                <w:highlight w:val="none"/>
              </w:rPr>
              <w:t>pH、COD</w:t>
            </w:r>
            <w:r>
              <w:rPr>
                <w:bCs/>
                <w:color w:val="auto"/>
                <w:szCs w:val="21"/>
                <w:highlight w:val="none"/>
                <w:vertAlign w:val="subscript"/>
              </w:rPr>
              <w:t>Cr</w:t>
            </w:r>
            <w:r>
              <w:rPr>
                <w:bCs/>
                <w:color w:val="auto"/>
                <w:szCs w:val="21"/>
                <w:highlight w:val="none"/>
              </w:rPr>
              <w:t>、BOD</w:t>
            </w:r>
            <w:r>
              <w:rPr>
                <w:bCs/>
                <w:color w:val="auto"/>
                <w:szCs w:val="21"/>
                <w:highlight w:val="none"/>
                <w:vertAlign w:val="subscript"/>
              </w:rPr>
              <w:t>5</w:t>
            </w:r>
            <w:r>
              <w:rPr>
                <w:bCs/>
                <w:color w:val="auto"/>
                <w:szCs w:val="21"/>
                <w:highlight w:val="none"/>
              </w:rPr>
              <w:t>、SS、氨氮</w:t>
            </w:r>
            <w:r>
              <w:rPr>
                <w:color w:val="auto"/>
                <w:szCs w:val="21"/>
                <w:highlight w:val="none"/>
              </w:rPr>
              <w:t>、石油类、总锌、总铜</w:t>
            </w:r>
          </w:p>
        </w:tc>
        <w:tc>
          <w:tcPr>
            <w:tcW w:w="1673" w:type="dxa"/>
            <w:vMerge w:val="restart"/>
            <w:vAlign w:val="center"/>
          </w:tcPr>
          <w:p>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纳入园区监测计划</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52" w:hRule="atLeast"/>
          <w:jc w:val="center"/>
        </w:trPr>
        <w:tc>
          <w:tcPr>
            <w:tcW w:w="707" w:type="dxa"/>
            <w:vMerge w:val="continue"/>
            <w:vAlign w:val="center"/>
          </w:tcPr>
          <w:p>
            <w:pPr>
              <w:adjustRightInd w:val="0"/>
              <w:snapToGrid w:val="0"/>
              <w:spacing w:before="60" w:beforeLines="25" w:after="12" w:afterLines="5"/>
              <w:jc w:val="center"/>
              <w:rPr>
                <w:rFonts w:hint="eastAsia"/>
                <w:color w:val="auto"/>
                <w:szCs w:val="21"/>
                <w:highlight w:val="none"/>
                <w:lang w:val="en-US" w:eastAsia="zh-CN"/>
              </w:rPr>
            </w:pPr>
          </w:p>
        </w:tc>
        <w:tc>
          <w:tcPr>
            <w:tcW w:w="1718" w:type="dxa"/>
            <w:vMerge w:val="continue"/>
            <w:vAlign w:val="center"/>
          </w:tcPr>
          <w:p>
            <w:pPr>
              <w:adjustRightInd w:val="0"/>
              <w:snapToGrid w:val="0"/>
              <w:jc w:val="center"/>
              <w:rPr>
                <w:rFonts w:hint="eastAsia"/>
                <w:color w:val="auto"/>
                <w:szCs w:val="21"/>
                <w:highlight w:val="none"/>
              </w:rPr>
            </w:pPr>
          </w:p>
        </w:tc>
        <w:tc>
          <w:tcPr>
            <w:tcW w:w="2015" w:type="dxa"/>
            <w:tcBorders>
              <w:bottom w:val="dotted" w:color="auto" w:sz="4" w:space="0"/>
            </w:tcBorders>
            <w:vAlign w:val="center"/>
          </w:tcPr>
          <w:p>
            <w:pPr>
              <w:adjustRightInd w:val="0"/>
              <w:snapToGrid w:val="0"/>
              <w:spacing w:line="300" w:lineRule="exact"/>
              <w:jc w:val="center"/>
              <w:rPr>
                <w:rFonts w:hint="eastAsia"/>
                <w:color w:val="auto"/>
                <w:szCs w:val="21"/>
                <w:highlight w:val="none"/>
                <w:lang w:val="en-US" w:eastAsia="zh-CN"/>
              </w:rPr>
            </w:pPr>
            <w:r>
              <w:rPr>
                <w:rFonts w:hint="eastAsia"/>
                <w:color w:val="auto"/>
                <w:szCs w:val="21"/>
                <w:highlight w:val="none"/>
                <w:lang w:val="en-US" w:eastAsia="zh-CN"/>
              </w:rPr>
              <w:t>综合污水处理设施出口</w:t>
            </w:r>
          </w:p>
        </w:tc>
        <w:tc>
          <w:tcPr>
            <w:tcW w:w="3118" w:type="dxa"/>
            <w:tcBorders>
              <w:bottom w:val="dotted" w:color="auto" w:sz="4" w:space="0"/>
            </w:tcBorders>
            <w:vAlign w:val="center"/>
          </w:tcPr>
          <w:p>
            <w:pPr>
              <w:adjustRightInd w:val="0"/>
              <w:snapToGrid w:val="0"/>
              <w:jc w:val="center"/>
              <w:rPr>
                <w:rFonts w:hint="default" w:eastAsia="宋体"/>
                <w:color w:val="auto"/>
                <w:szCs w:val="21"/>
                <w:highlight w:val="none"/>
                <w:lang w:val="en-US" w:eastAsia="zh-CN"/>
              </w:rPr>
            </w:pPr>
            <w:r>
              <w:rPr>
                <w:rFonts w:hint="eastAsia"/>
                <w:color w:val="auto"/>
                <w:szCs w:val="21"/>
                <w:highlight w:val="none"/>
              </w:rPr>
              <w:t>综合废水：</w:t>
            </w:r>
            <w:r>
              <w:rPr>
                <w:rFonts w:hint="eastAsia"/>
                <w:color w:val="auto"/>
                <w:szCs w:val="21"/>
                <w:highlight w:val="none"/>
                <w:lang w:val="en-US" w:eastAsia="zh-CN"/>
              </w:rPr>
              <w:t>银、锡</w:t>
            </w:r>
          </w:p>
        </w:tc>
        <w:tc>
          <w:tcPr>
            <w:tcW w:w="1673" w:type="dxa"/>
            <w:vMerge w:val="continue"/>
            <w:vAlign w:val="center"/>
          </w:tcPr>
          <w:p>
            <w:pPr>
              <w:adjustRightInd w:val="0"/>
              <w:snapToGrid w:val="0"/>
              <w:jc w:val="center"/>
              <w:rPr>
                <w:rFonts w:hint="eastAsia"/>
                <w:color w:val="auto"/>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52" w:hRule="atLeast"/>
          <w:jc w:val="center"/>
        </w:trPr>
        <w:tc>
          <w:tcPr>
            <w:tcW w:w="707" w:type="dxa"/>
            <w:vMerge w:val="continue"/>
            <w:vAlign w:val="center"/>
          </w:tcPr>
          <w:p>
            <w:pPr>
              <w:adjustRightInd w:val="0"/>
              <w:snapToGrid w:val="0"/>
              <w:spacing w:before="60" w:beforeLines="25" w:after="12" w:afterLines="5"/>
              <w:jc w:val="center"/>
              <w:rPr>
                <w:rFonts w:hint="eastAsia"/>
                <w:color w:val="auto"/>
                <w:szCs w:val="21"/>
                <w:highlight w:val="none"/>
                <w:lang w:val="en-US" w:eastAsia="zh-CN"/>
              </w:rPr>
            </w:pPr>
          </w:p>
        </w:tc>
        <w:tc>
          <w:tcPr>
            <w:tcW w:w="1718" w:type="dxa"/>
            <w:vMerge w:val="continue"/>
            <w:vAlign w:val="center"/>
          </w:tcPr>
          <w:p>
            <w:pPr>
              <w:adjustRightInd w:val="0"/>
              <w:snapToGrid w:val="0"/>
              <w:jc w:val="center"/>
              <w:rPr>
                <w:rFonts w:hint="eastAsia"/>
                <w:color w:val="auto"/>
                <w:szCs w:val="21"/>
                <w:highlight w:val="none"/>
              </w:rPr>
            </w:pPr>
          </w:p>
        </w:tc>
        <w:tc>
          <w:tcPr>
            <w:tcW w:w="2015" w:type="dxa"/>
            <w:tcBorders>
              <w:bottom w:val="dotted" w:color="auto" w:sz="4" w:space="0"/>
            </w:tcBorders>
            <w:vAlign w:val="center"/>
          </w:tcPr>
          <w:p>
            <w:pPr>
              <w:adjustRightInd w:val="0"/>
              <w:snapToGrid w:val="0"/>
              <w:spacing w:line="300" w:lineRule="exact"/>
              <w:jc w:val="center"/>
              <w:rPr>
                <w:rFonts w:hint="eastAsia"/>
                <w:color w:val="auto"/>
                <w:szCs w:val="21"/>
                <w:highlight w:val="none"/>
              </w:rPr>
            </w:pPr>
            <w:r>
              <w:rPr>
                <w:rFonts w:hint="eastAsia"/>
                <w:color w:val="auto"/>
                <w:szCs w:val="21"/>
                <w:highlight w:val="none"/>
                <w:lang w:val="en-US" w:eastAsia="zh-CN"/>
              </w:rPr>
              <w:t>含铬污水处理设施出口</w:t>
            </w:r>
          </w:p>
        </w:tc>
        <w:tc>
          <w:tcPr>
            <w:tcW w:w="3118" w:type="dxa"/>
            <w:tcBorders>
              <w:bottom w:val="dotted" w:color="auto" w:sz="4" w:space="0"/>
            </w:tcBorders>
            <w:vAlign w:val="center"/>
          </w:tcPr>
          <w:p>
            <w:pPr>
              <w:adjustRightInd w:val="0"/>
              <w:snapToGrid w:val="0"/>
              <w:jc w:val="center"/>
              <w:rPr>
                <w:rFonts w:hint="eastAsia"/>
                <w:color w:val="auto"/>
                <w:szCs w:val="21"/>
                <w:highlight w:val="none"/>
              </w:rPr>
            </w:pPr>
            <w:r>
              <w:rPr>
                <w:rFonts w:hint="eastAsia"/>
                <w:color w:val="auto"/>
                <w:szCs w:val="21"/>
                <w:highlight w:val="none"/>
              </w:rPr>
              <w:t>含铬废水：</w:t>
            </w:r>
            <w:r>
              <w:rPr>
                <w:color w:val="auto"/>
                <w:szCs w:val="21"/>
                <w:highlight w:val="none"/>
              </w:rPr>
              <w:t>pH、六价铬、总铬</w:t>
            </w:r>
          </w:p>
        </w:tc>
        <w:tc>
          <w:tcPr>
            <w:tcW w:w="1673" w:type="dxa"/>
            <w:vMerge w:val="continue"/>
            <w:vAlign w:val="center"/>
          </w:tcPr>
          <w:p>
            <w:pPr>
              <w:adjustRightInd w:val="0"/>
              <w:snapToGrid w:val="0"/>
              <w:jc w:val="center"/>
              <w:rPr>
                <w:rFonts w:hint="eastAsia"/>
                <w:color w:val="auto"/>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728" w:hRule="atLeast"/>
          <w:jc w:val="center"/>
        </w:trPr>
        <w:tc>
          <w:tcPr>
            <w:tcW w:w="707" w:type="dxa"/>
            <w:vMerge w:val="continue"/>
            <w:vAlign w:val="center"/>
          </w:tcPr>
          <w:p>
            <w:pPr>
              <w:adjustRightInd w:val="0"/>
              <w:snapToGrid w:val="0"/>
              <w:spacing w:before="60" w:beforeLines="25" w:after="12" w:afterLines="5"/>
              <w:jc w:val="center"/>
              <w:rPr>
                <w:rFonts w:hint="eastAsia"/>
                <w:color w:val="auto"/>
                <w:szCs w:val="21"/>
                <w:highlight w:val="none"/>
                <w:lang w:val="en-US" w:eastAsia="zh-CN"/>
              </w:rPr>
            </w:pPr>
          </w:p>
        </w:tc>
        <w:tc>
          <w:tcPr>
            <w:tcW w:w="1718" w:type="dxa"/>
            <w:vMerge w:val="continue"/>
            <w:vAlign w:val="center"/>
          </w:tcPr>
          <w:p>
            <w:pPr>
              <w:adjustRightInd w:val="0"/>
              <w:snapToGrid w:val="0"/>
              <w:jc w:val="center"/>
              <w:rPr>
                <w:rFonts w:hint="eastAsia"/>
                <w:color w:val="auto"/>
                <w:szCs w:val="21"/>
                <w:highlight w:val="none"/>
              </w:rPr>
            </w:pPr>
          </w:p>
        </w:tc>
        <w:tc>
          <w:tcPr>
            <w:tcW w:w="2015" w:type="dxa"/>
            <w:vAlign w:val="center"/>
          </w:tcPr>
          <w:p>
            <w:pPr>
              <w:adjustRightInd w:val="0"/>
              <w:snapToGrid w:val="0"/>
              <w:spacing w:line="300" w:lineRule="exact"/>
              <w:jc w:val="center"/>
              <w:rPr>
                <w:rFonts w:hint="eastAsia"/>
                <w:color w:val="auto"/>
                <w:szCs w:val="21"/>
                <w:highlight w:val="none"/>
              </w:rPr>
            </w:pPr>
            <w:r>
              <w:rPr>
                <w:rFonts w:hint="eastAsia"/>
                <w:color w:val="auto"/>
                <w:szCs w:val="21"/>
                <w:highlight w:val="none"/>
                <w:lang w:val="en-US" w:eastAsia="zh-CN"/>
              </w:rPr>
              <w:t>含镍污水处理设施出口</w:t>
            </w:r>
          </w:p>
        </w:tc>
        <w:tc>
          <w:tcPr>
            <w:tcW w:w="3118" w:type="dxa"/>
            <w:vAlign w:val="center"/>
          </w:tcPr>
          <w:p>
            <w:pPr>
              <w:adjustRightInd w:val="0"/>
              <w:snapToGrid w:val="0"/>
              <w:jc w:val="center"/>
              <w:rPr>
                <w:rFonts w:hint="eastAsia"/>
                <w:color w:val="auto"/>
                <w:szCs w:val="21"/>
                <w:highlight w:val="none"/>
              </w:rPr>
            </w:pPr>
            <w:r>
              <w:rPr>
                <w:rFonts w:hint="eastAsia"/>
                <w:color w:val="auto"/>
                <w:szCs w:val="21"/>
                <w:highlight w:val="none"/>
              </w:rPr>
              <w:t>含镍废水：</w:t>
            </w:r>
            <w:r>
              <w:rPr>
                <w:color w:val="auto"/>
                <w:szCs w:val="21"/>
                <w:highlight w:val="none"/>
              </w:rPr>
              <w:t>pH、总镍</w:t>
            </w:r>
            <w:r>
              <w:rPr>
                <w:rFonts w:hint="eastAsia"/>
                <w:color w:val="auto"/>
                <w:szCs w:val="21"/>
                <w:highlight w:val="none"/>
              </w:rPr>
              <w:t>；</w:t>
            </w:r>
          </w:p>
        </w:tc>
        <w:tc>
          <w:tcPr>
            <w:tcW w:w="1673" w:type="dxa"/>
            <w:vMerge w:val="continue"/>
            <w:vAlign w:val="center"/>
          </w:tcPr>
          <w:p>
            <w:pPr>
              <w:adjustRightInd w:val="0"/>
              <w:snapToGrid w:val="0"/>
              <w:jc w:val="center"/>
              <w:rPr>
                <w:rFonts w:hint="eastAsia"/>
                <w:color w:val="auto"/>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97" w:hRule="atLeast"/>
          <w:jc w:val="center"/>
        </w:trPr>
        <w:tc>
          <w:tcPr>
            <w:tcW w:w="707" w:type="dxa"/>
            <w:vAlign w:val="center"/>
          </w:tcPr>
          <w:p>
            <w:pPr>
              <w:adjustRightInd w:val="0"/>
              <w:snapToGrid w:val="0"/>
              <w:spacing w:before="60" w:beforeLines="25" w:after="12" w:afterLines="5"/>
              <w:jc w:val="center"/>
              <w:rPr>
                <w:rFonts w:hint="eastAsia" w:eastAsia="宋体"/>
                <w:color w:val="auto"/>
                <w:szCs w:val="21"/>
                <w:highlight w:val="none"/>
                <w:lang w:val="en-US" w:eastAsia="zh-CN"/>
              </w:rPr>
            </w:pPr>
            <w:r>
              <w:rPr>
                <w:rFonts w:hint="eastAsia"/>
                <w:color w:val="auto"/>
                <w:szCs w:val="21"/>
                <w:highlight w:val="none"/>
                <w:lang w:val="en-US" w:eastAsia="zh-CN"/>
              </w:rPr>
              <w:t>地下水</w:t>
            </w:r>
          </w:p>
        </w:tc>
        <w:tc>
          <w:tcPr>
            <w:tcW w:w="1718" w:type="dxa"/>
            <w:vAlign w:val="center"/>
          </w:tcPr>
          <w:p>
            <w:pPr>
              <w:adjustRightInd w:val="0"/>
              <w:snapToGrid w:val="0"/>
              <w:jc w:val="center"/>
              <w:rPr>
                <w:rFonts w:hint="eastAsia"/>
                <w:color w:val="auto"/>
                <w:szCs w:val="21"/>
                <w:highlight w:val="none"/>
              </w:rPr>
            </w:pPr>
            <w:r>
              <w:rPr>
                <w:rFonts w:hint="eastAsia"/>
                <w:color w:val="auto"/>
                <w:szCs w:val="21"/>
                <w:highlight w:val="none"/>
              </w:rPr>
              <w:t>电镀生产</w:t>
            </w:r>
          </w:p>
        </w:tc>
        <w:tc>
          <w:tcPr>
            <w:tcW w:w="2015" w:type="dxa"/>
            <w:vAlign w:val="center"/>
          </w:tcPr>
          <w:p>
            <w:pPr>
              <w:snapToGrid w:val="0"/>
              <w:spacing w:line="300" w:lineRule="exact"/>
              <w:jc w:val="center"/>
              <w:rPr>
                <w:rFonts w:hint="eastAsia"/>
                <w:color w:val="auto"/>
                <w:szCs w:val="21"/>
                <w:highlight w:val="none"/>
              </w:rPr>
            </w:pPr>
            <w:r>
              <w:rPr>
                <w:rFonts w:hint="eastAsia"/>
                <w:color w:val="auto"/>
                <w:szCs w:val="21"/>
                <w:highlight w:val="none"/>
                <w:lang w:val="en-US" w:eastAsia="zh-CN"/>
              </w:rPr>
              <w:t>园区</w:t>
            </w:r>
            <w:r>
              <w:rPr>
                <w:rFonts w:hint="eastAsia"/>
                <w:color w:val="auto"/>
                <w:szCs w:val="21"/>
                <w:highlight w:val="none"/>
              </w:rPr>
              <w:t>地下水监控井</w:t>
            </w:r>
          </w:p>
        </w:tc>
        <w:tc>
          <w:tcPr>
            <w:tcW w:w="3118" w:type="dxa"/>
            <w:vAlign w:val="center"/>
          </w:tcPr>
          <w:p>
            <w:pPr>
              <w:snapToGrid w:val="0"/>
              <w:spacing w:line="300" w:lineRule="exact"/>
              <w:jc w:val="center"/>
              <w:rPr>
                <w:rFonts w:hint="default"/>
                <w:color w:val="auto"/>
                <w:kern w:val="0"/>
                <w:szCs w:val="21"/>
                <w:highlight w:val="none"/>
                <w:lang w:val="en-US"/>
              </w:rPr>
            </w:pPr>
            <w:r>
              <w:rPr>
                <w:color w:val="auto"/>
                <w:szCs w:val="21"/>
                <w:highlight w:val="none"/>
              </w:rPr>
              <w:t>锌、镍、铜、铬</w:t>
            </w:r>
            <w:r>
              <w:rPr>
                <w:rFonts w:hint="eastAsia"/>
                <w:color w:val="auto"/>
                <w:szCs w:val="21"/>
                <w:highlight w:val="none"/>
                <w:lang w:eastAsia="zh-CN"/>
              </w:rPr>
              <w:t>(</w:t>
            </w:r>
            <w:r>
              <w:rPr>
                <w:color w:val="auto"/>
                <w:szCs w:val="21"/>
                <w:highlight w:val="none"/>
              </w:rPr>
              <w:t>六价</w:t>
            </w:r>
            <w:r>
              <w:rPr>
                <w:rFonts w:hint="eastAsia"/>
                <w:color w:val="auto"/>
                <w:szCs w:val="21"/>
                <w:highlight w:val="none"/>
                <w:lang w:eastAsia="zh-CN"/>
              </w:rPr>
              <w:t>)</w:t>
            </w:r>
            <w:r>
              <w:rPr>
                <w:rFonts w:hint="eastAsia"/>
                <w:color w:val="auto"/>
                <w:szCs w:val="21"/>
                <w:highlight w:val="none"/>
              </w:rPr>
              <w:t>、</w:t>
            </w:r>
            <w:r>
              <w:rPr>
                <w:rFonts w:hint="eastAsia"/>
                <w:color w:val="auto"/>
                <w:szCs w:val="21"/>
                <w:highlight w:val="none"/>
                <w:lang w:val="en-US" w:eastAsia="zh-CN"/>
              </w:rPr>
              <w:t>银、锡</w:t>
            </w:r>
          </w:p>
        </w:tc>
        <w:tc>
          <w:tcPr>
            <w:tcW w:w="1673" w:type="dxa"/>
            <w:vMerge w:val="continue"/>
            <w:vAlign w:val="center"/>
          </w:tcPr>
          <w:p>
            <w:pPr>
              <w:adjustRightInd w:val="0"/>
              <w:snapToGrid w:val="0"/>
              <w:jc w:val="center"/>
              <w:rPr>
                <w:rFonts w:hint="eastAsia"/>
                <w:color w:val="auto"/>
                <w:szCs w:val="21"/>
                <w:highlight w:val="none"/>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97" w:hRule="atLeast"/>
          <w:jc w:val="center"/>
        </w:trPr>
        <w:tc>
          <w:tcPr>
            <w:tcW w:w="707" w:type="dxa"/>
            <w:vAlign w:val="center"/>
          </w:tcPr>
          <w:p>
            <w:pPr>
              <w:adjustRightInd w:val="0"/>
              <w:snapToGrid w:val="0"/>
              <w:spacing w:before="60" w:beforeLines="25" w:after="12" w:afterLines="5"/>
              <w:jc w:val="center"/>
              <w:rPr>
                <w:rFonts w:hint="eastAsia" w:eastAsia="宋体"/>
                <w:color w:val="auto"/>
                <w:szCs w:val="21"/>
                <w:highlight w:val="none"/>
                <w:lang w:val="en-US" w:eastAsia="zh-CN"/>
              </w:rPr>
            </w:pPr>
            <w:r>
              <w:rPr>
                <w:rFonts w:hint="eastAsia"/>
                <w:color w:val="auto"/>
                <w:szCs w:val="21"/>
                <w:highlight w:val="none"/>
                <w:lang w:val="en-US" w:eastAsia="zh-CN"/>
              </w:rPr>
              <w:t>土壤</w:t>
            </w:r>
          </w:p>
        </w:tc>
        <w:tc>
          <w:tcPr>
            <w:tcW w:w="1718" w:type="dxa"/>
            <w:vAlign w:val="center"/>
          </w:tcPr>
          <w:p>
            <w:pPr>
              <w:adjustRightInd w:val="0"/>
              <w:snapToGrid w:val="0"/>
              <w:jc w:val="center"/>
              <w:rPr>
                <w:rFonts w:hint="eastAsia"/>
                <w:color w:val="auto"/>
                <w:szCs w:val="21"/>
                <w:highlight w:val="none"/>
              </w:rPr>
            </w:pPr>
            <w:r>
              <w:rPr>
                <w:rFonts w:hint="eastAsia"/>
                <w:color w:val="auto"/>
                <w:szCs w:val="21"/>
                <w:highlight w:val="none"/>
              </w:rPr>
              <w:t>电镀生产</w:t>
            </w:r>
          </w:p>
        </w:tc>
        <w:tc>
          <w:tcPr>
            <w:tcW w:w="2015" w:type="dxa"/>
            <w:vAlign w:val="center"/>
          </w:tcPr>
          <w:p>
            <w:pPr>
              <w:snapToGrid w:val="0"/>
              <w:spacing w:line="300" w:lineRule="exact"/>
              <w:jc w:val="center"/>
              <w:rPr>
                <w:rFonts w:hint="eastAsia"/>
                <w:color w:val="auto"/>
                <w:szCs w:val="21"/>
                <w:highlight w:val="none"/>
              </w:rPr>
            </w:pPr>
            <w:r>
              <w:rPr>
                <w:rFonts w:hint="eastAsia"/>
                <w:color w:val="auto"/>
                <w:szCs w:val="21"/>
                <w:highlight w:val="none"/>
                <w:lang w:val="en-US" w:eastAsia="zh-CN"/>
              </w:rPr>
              <w:t>园区</w:t>
            </w:r>
            <w:r>
              <w:rPr>
                <w:rFonts w:hint="eastAsia"/>
                <w:color w:val="auto"/>
                <w:szCs w:val="21"/>
                <w:highlight w:val="none"/>
              </w:rPr>
              <w:t>厂区及周边</w:t>
            </w:r>
          </w:p>
        </w:tc>
        <w:tc>
          <w:tcPr>
            <w:tcW w:w="3118" w:type="dxa"/>
            <w:vAlign w:val="center"/>
          </w:tcPr>
          <w:p>
            <w:pPr>
              <w:snapToGrid w:val="0"/>
              <w:spacing w:line="300" w:lineRule="exact"/>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pH值、</w:t>
            </w:r>
            <w:r>
              <w:rPr>
                <w:color w:val="auto"/>
                <w:szCs w:val="21"/>
                <w:highlight w:val="none"/>
              </w:rPr>
              <w:t>锌、镍、铜、铬</w:t>
            </w:r>
            <w:r>
              <w:rPr>
                <w:rFonts w:hint="eastAsia"/>
                <w:color w:val="auto"/>
                <w:szCs w:val="21"/>
                <w:highlight w:val="none"/>
                <w:lang w:eastAsia="zh-CN"/>
              </w:rPr>
              <w:t>(</w:t>
            </w:r>
            <w:r>
              <w:rPr>
                <w:color w:val="auto"/>
                <w:szCs w:val="21"/>
                <w:highlight w:val="none"/>
              </w:rPr>
              <w:t>六价</w:t>
            </w:r>
            <w:r>
              <w:rPr>
                <w:rFonts w:hint="eastAsia"/>
                <w:color w:val="auto"/>
                <w:szCs w:val="21"/>
                <w:highlight w:val="none"/>
                <w:lang w:eastAsia="zh-CN"/>
              </w:rPr>
              <w:t>)</w:t>
            </w:r>
            <w:r>
              <w:rPr>
                <w:rFonts w:hint="eastAsia"/>
                <w:color w:val="auto"/>
                <w:szCs w:val="21"/>
                <w:highlight w:val="none"/>
              </w:rPr>
              <w:t>、</w:t>
            </w:r>
            <w:r>
              <w:rPr>
                <w:rFonts w:hint="eastAsia"/>
                <w:color w:val="auto"/>
                <w:szCs w:val="21"/>
                <w:highlight w:val="none"/>
                <w:lang w:val="en-US" w:eastAsia="zh-CN"/>
              </w:rPr>
              <w:t>银、锡</w:t>
            </w:r>
          </w:p>
        </w:tc>
        <w:tc>
          <w:tcPr>
            <w:tcW w:w="1673" w:type="dxa"/>
            <w:vMerge w:val="continue"/>
            <w:vAlign w:val="center"/>
          </w:tcPr>
          <w:p>
            <w:pPr>
              <w:adjustRightInd w:val="0"/>
              <w:snapToGrid w:val="0"/>
              <w:jc w:val="center"/>
              <w:rPr>
                <w:rFonts w:hint="eastAsia"/>
                <w:color w:val="auto"/>
                <w:szCs w:val="21"/>
                <w:highlight w:val="none"/>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97" w:hRule="atLeast"/>
          <w:jc w:val="center"/>
        </w:trPr>
        <w:tc>
          <w:tcPr>
            <w:tcW w:w="9231" w:type="dxa"/>
            <w:gridSpan w:val="5"/>
            <w:vAlign w:val="center"/>
          </w:tcPr>
          <w:p>
            <w:pPr>
              <w:widowControl/>
              <w:jc w:val="left"/>
              <w:rPr>
                <w:color w:val="auto"/>
                <w:szCs w:val="21"/>
                <w:highlight w:val="none"/>
              </w:rPr>
            </w:pPr>
            <w:r>
              <w:rPr>
                <w:rFonts w:hint="eastAsia"/>
                <w:color w:val="auto"/>
                <w:szCs w:val="21"/>
                <w:highlight w:val="none"/>
              </w:rPr>
              <w:t>注：</w:t>
            </w:r>
            <w:r>
              <w:rPr>
                <w:color w:val="auto"/>
                <w:kern w:val="24"/>
                <w:szCs w:val="21"/>
                <w:highlight w:val="none"/>
              </w:rPr>
              <w:t>以上监测计划可委托有资质部门进行监测。</w:t>
            </w:r>
          </w:p>
        </w:tc>
      </w:tr>
    </w:tbl>
    <w:p>
      <w:pPr>
        <w:adjustRightInd w:val="0"/>
        <w:snapToGrid w:val="0"/>
        <w:spacing w:line="360" w:lineRule="auto"/>
        <w:ind w:firstLine="480" w:firstLineChars="200"/>
        <w:rPr>
          <w:rFonts w:hint="eastAsia"/>
          <w:color w:val="auto"/>
          <w:kern w:val="24"/>
          <w:sz w:val="24"/>
          <w:szCs w:val="20"/>
          <w:highlight w:val="none"/>
        </w:rPr>
      </w:pPr>
      <w:r>
        <w:rPr>
          <w:rFonts w:hint="eastAsia"/>
          <w:color w:val="auto"/>
          <w:kern w:val="24"/>
          <w:sz w:val="24"/>
          <w:szCs w:val="20"/>
          <w:highlight w:val="none"/>
        </w:rPr>
        <w:t>另外，应注意监测资料的保存与建挡，做到：</w:t>
      </w:r>
    </w:p>
    <w:p>
      <w:pPr>
        <w:adjustRightInd w:val="0"/>
        <w:snapToGrid w:val="0"/>
        <w:spacing w:line="360" w:lineRule="auto"/>
        <w:ind w:firstLine="480" w:firstLineChars="200"/>
        <w:rPr>
          <w:rFonts w:hint="eastAsia"/>
          <w:color w:val="auto"/>
          <w:kern w:val="24"/>
          <w:sz w:val="24"/>
          <w:szCs w:val="20"/>
          <w:highlight w:val="none"/>
        </w:rPr>
      </w:pPr>
      <w:r>
        <w:rPr>
          <w:rFonts w:hint="eastAsia"/>
          <w:color w:val="auto"/>
          <w:kern w:val="24"/>
          <w:sz w:val="24"/>
          <w:szCs w:val="20"/>
          <w:highlight w:val="none"/>
          <w:lang w:eastAsia="zh-CN"/>
        </w:rPr>
        <w:t>(</w:t>
      </w:r>
      <w:r>
        <w:rPr>
          <w:rFonts w:hint="eastAsia"/>
          <w:color w:val="auto"/>
          <w:kern w:val="24"/>
          <w:sz w:val="24"/>
          <w:szCs w:val="20"/>
          <w:highlight w:val="none"/>
        </w:rPr>
        <w:t>1</w:t>
      </w:r>
      <w:r>
        <w:rPr>
          <w:rFonts w:hint="eastAsia"/>
          <w:color w:val="auto"/>
          <w:kern w:val="24"/>
          <w:sz w:val="24"/>
          <w:szCs w:val="20"/>
          <w:highlight w:val="none"/>
          <w:lang w:eastAsia="zh-CN"/>
        </w:rPr>
        <w:t>)</w:t>
      </w:r>
      <w:r>
        <w:rPr>
          <w:rFonts w:hint="eastAsia"/>
          <w:color w:val="auto"/>
          <w:kern w:val="24"/>
          <w:sz w:val="24"/>
          <w:szCs w:val="20"/>
          <w:highlight w:val="none"/>
        </w:rPr>
        <w:t>应有监测分析原始记录，记录应符合环境监测记录规范要求；</w:t>
      </w:r>
    </w:p>
    <w:p>
      <w:pPr>
        <w:adjustRightInd w:val="0"/>
        <w:snapToGrid w:val="0"/>
        <w:spacing w:line="360" w:lineRule="auto"/>
        <w:ind w:firstLine="480" w:firstLineChars="200"/>
        <w:rPr>
          <w:rFonts w:hint="eastAsia"/>
          <w:color w:val="auto"/>
          <w:kern w:val="24"/>
          <w:sz w:val="24"/>
          <w:szCs w:val="20"/>
          <w:highlight w:val="none"/>
        </w:rPr>
      </w:pPr>
      <w:r>
        <w:rPr>
          <w:rFonts w:hint="eastAsia"/>
          <w:color w:val="auto"/>
          <w:kern w:val="24"/>
          <w:sz w:val="24"/>
          <w:szCs w:val="20"/>
          <w:highlight w:val="none"/>
          <w:lang w:eastAsia="zh-CN"/>
        </w:rPr>
        <w:t>(</w:t>
      </w:r>
      <w:r>
        <w:rPr>
          <w:rFonts w:hint="eastAsia"/>
          <w:color w:val="auto"/>
          <w:kern w:val="24"/>
          <w:sz w:val="24"/>
          <w:szCs w:val="20"/>
          <w:highlight w:val="none"/>
        </w:rPr>
        <w:t>2</w:t>
      </w:r>
      <w:r>
        <w:rPr>
          <w:rFonts w:hint="eastAsia"/>
          <w:color w:val="auto"/>
          <w:kern w:val="24"/>
          <w:sz w:val="24"/>
          <w:szCs w:val="20"/>
          <w:highlight w:val="none"/>
          <w:lang w:eastAsia="zh-CN"/>
        </w:rPr>
        <w:t>)</w:t>
      </w:r>
      <w:r>
        <w:rPr>
          <w:rFonts w:hint="eastAsia"/>
          <w:color w:val="auto"/>
          <w:kern w:val="24"/>
          <w:sz w:val="24"/>
          <w:szCs w:val="20"/>
          <w:highlight w:val="none"/>
        </w:rPr>
        <w:t>及时做好监测资料的分析、反馈、通报与归档；</w:t>
      </w:r>
    </w:p>
    <w:p>
      <w:pPr>
        <w:adjustRightInd w:val="0"/>
        <w:snapToGrid w:val="0"/>
        <w:spacing w:line="360" w:lineRule="auto"/>
        <w:ind w:firstLine="480" w:firstLineChars="200"/>
        <w:rPr>
          <w:color w:val="auto"/>
          <w:kern w:val="24"/>
          <w:sz w:val="24"/>
          <w:szCs w:val="20"/>
          <w:highlight w:val="none"/>
        </w:rPr>
      </w:pPr>
      <w:r>
        <w:rPr>
          <w:rFonts w:hint="eastAsia"/>
          <w:color w:val="auto"/>
          <w:kern w:val="24"/>
          <w:sz w:val="24"/>
          <w:szCs w:val="20"/>
          <w:highlight w:val="none"/>
          <w:lang w:eastAsia="zh-CN"/>
        </w:rPr>
        <w:t>(</w:t>
      </w:r>
      <w:r>
        <w:rPr>
          <w:rFonts w:hint="eastAsia"/>
          <w:color w:val="auto"/>
          <w:kern w:val="24"/>
          <w:sz w:val="24"/>
          <w:szCs w:val="20"/>
          <w:highlight w:val="none"/>
        </w:rPr>
        <w:t>3</w:t>
      </w:r>
      <w:r>
        <w:rPr>
          <w:rFonts w:hint="eastAsia"/>
          <w:color w:val="auto"/>
          <w:kern w:val="24"/>
          <w:sz w:val="24"/>
          <w:szCs w:val="20"/>
          <w:highlight w:val="none"/>
          <w:lang w:eastAsia="zh-CN"/>
        </w:rPr>
        <w:t>)</w:t>
      </w:r>
      <w:r>
        <w:rPr>
          <w:rFonts w:hint="eastAsia"/>
          <w:color w:val="auto"/>
          <w:kern w:val="24"/>
          <w:sz w:val="24"/>
          <w:szCs w:val="20"/>
          <w:highlight w:val="none"/>
        </w:rPr>
        <w:t>接受环保主管部门的监督和指导</w:t>
      </w:r>
      <w:r>
        <w:rPr>
          <w:color w:val="auto"/>
          <w:kern w:val="24"/>
          <w:sz w:val="24"/>
          <w:szCs w:val="20"/>
          <w:highlight w:val="none"/>
        </w:rPr>
        <w:t>。</w:t>
      </w:r>
    </w:p>
    <w:p>
      <w:pPr>
        <w:spacing w:line="360" w:lineRule="auto"/>
        <w:outlineLvl w:val="1"/>
        <w:rPr>
          <w:rFonts w:eastAsia="黑体"/>
          <w:color w:val="auto"/>
          <w:sz w:val="24"/>
          <w:highlight w:val="none"/>
        </w:rPr>
      </w:pPr>
      <w:bookmarkStart w:id="208" w:name="_Toc530655617"/>
      <w:bookmarkStart w:id="209" w:name="_Toc22976"/>
      <w:bookmarkStart w:id="210" w:name="_Toc519063314"/>
      <w:r>
        <w:rPr>
          <w:rFonts w:eastAsia="黑体"/>
          <w:color w:val="auto"/>
          <w:sz w:val="24"/>
          <w:highlight w:val="none"/>
        </w:rPr>
        <w:t>4.</w:t>
      </w:r>
      <w:r>
        <w:rPr>
          <w:rFonts w:hint="eastAsia" w:eastAsia="黑体"/>
          <w:color w:val="auto"/>
          <w:sz w:val="24"/>
          <w:highlight w:val="none"/>
          <w:lang w:val="en-US" w:eastAsia="zh-CN"/>
        </w:rPr>
        <w:t>7</w:t>
      </w:r>
      <w:r>
        <w:rPr>
          <w:rFonts w:eastAsia="黑体"/>
          <w:color w:val="auto"/>
          <w:sz w:val="24"/>
          <w:highlight w:val="none"/>
        </w:rPr>
        <w:t xml:space="preserve"> 排污口规范化设置</w:t>
      </w:r>
      <w:bookmarkEnd w:id="208"/>
      <w:bookmarkEnd w:id="209"/>
      <w:bookmarkEnd w:id="210"/>
    </w:p>
    <w:p>
      <w:pPr>
        <w:adjustRightInd w:val="0"/>
        <w:snapToGrid w:val="0"/>
        <w:spacing w:line="360" w:lineRule="auto"/>
        <w:ind w:firstLine="600" w:firstLineChars="250"/>
        <w:rPr>
          <w:rFonts w:hint="eastAsia"/>
          <w:color w:val="auto"/>
          <w:kern w:val="24"/>
          <w:sz w:val="24"/>
          <w:highlight w:val="none"/>
        </w:rPr>
      </w:pPr>
      <w:r>
        <w:rPr>
          <w:rFonts w:hint="eastAsia"/>
          <w:color w:val="auto"/>
          <w:kern w:val="24"/>
          <w:sz w:val="24"/>
          <w:highlight w:val="none"/>
        </w:rPr>
        <w:t>根据国家环境保护总局《关于开展排放口规范化整治工作的通知》</w:t>
      </w:r>
      <w:r>
        <w:rPr>
          <w:rFonts w:hint="eastAsia"/>
          <w:color w:val="auto"/>
          <w:kern w:val="24"/>
          <w:sz w:val="24"/>
          <w:highlight w:val="none"/>
          <w:lang w:eastAsia="zh-CN"/>
        </w:rPr>
        <w:t>(</w:t>
      </w:r>
      <w:r>
        <w:rPr>
          <w:rFonts w:hint="eastAsia"/>
          <w:color w:val="auto"/>
          <w:kern w:val="24"/>
          <w:sz w:val="24"/>
          <w:highlight w:val="none"/>
        </w:rPr>
        <w:t>环发[1999]24号</w:t>
      </w:r>
      <w:r>
        <w:rPr>
          <w:rFonts w:hint="eastAsia"/>
          <w:color w:val="auto"/>
          <w:kern w:val="24"/>
          <w:sz w:val="24"/>
          <w:highlight w:val="none"/>
          <w:lang w:eastAsia="zh-CN"/>
        </w:rPr>
        <w:t>)</w:t>
      </w:r>
      <w:r>
        <w:rPr>
          <w:rFonts w:hint="eastAsia"/>
          <w:color w:val="auto"/>
          <w:kern w:val="24"/>
          <w:sz w:val="24"/>
          <w:highlight w:val="none"/>
        </w:rPr>
        <w:t>和《排放口规范化整治技术》</w:t>
      </w:r>
      <w:r>
        <w:rPr>
          <w:rFonts w:hint="eastAsia"/>
          <w:color w:val="auto"/>
          <w:kern w:val="24"/>
          <w:sz w:val="24"/>
          <w:highlight w:val="none"/>
          <w:lang w:eastAsia="zh-CN"/>
        </w:rPr>
        <w:t>(</w:t>
      </w:r>
      <w:r>
        <w:rPr>
          <w:rFonts w:hint="eastAsia"/>
          <w:color w:val="auto"/>
          <w:kern w:val="24"/>
          <w:sz w:val="24"/>
          <w:highlight w:val="none"/>
        </w:rPr>
        <w:t>环发[1999]24号文</w:t>
      </w:r>
      <w:r>
        <w:rPr>
          <w:rFonts w:hint="eastAsia"/>
          <w:color w:val="auto"/>
          <w:kern w:val="24"/>
          <w:sz w:val="24"/>
          <w:highlight w:val="none"/>
          <w:lang w:eastAsia="zh-CN"/>
        </w:rPr>
        <w:t>)</w:t>
      </w:r>
      <w:r>
        <w:rPr>
          <w:rFonts w:hint="eastAsia"/>
          <w:color w:val="auto"/>
          <w:kern w:val="24"/>
          <w:sz w:val="24"/>
          <w:highlight w:val="none"/>
        </w:rPr>
        <w:t>以及关于贯彻落实《山东省污水排放口环境信息公开技术规范》</w:t>
      </w:r>
      <w:r>
        <w:rPr>
          <w:rFonts w:hint="eastAsia"/>
          <w:color w:val="auto"/>
          <w:kern w:val="24"/>
          <w:sz w:val="24"/>
          <w:highlight w:val="none"/>
          <w:lang w:eastAsia="zh-CN"/>
        </w:rPr>
        <w:t>(</w:t>
      </w:r>
      <w:r>
        <w:rPr>
          <w:rFonts w:hint="eastAsia"/>
          <w:color w:val="auto"/>
          <w:kern w:val="24"/>
          <w:sz w:val="24"/>
          <w:highlight w:val="none"/>
        </w:rPr>
        <w:t>DB37/T2643-2014</w:t>
      </w:r>
      <w:r>
        <w:rPr>
          <w:rFonts w:hint="eastAsia"/>
          <w:color w:val="auto"/>
          <w:kern w:val="24"/>
          <w:sz w:val="24"/>
          <w:highlight w:val="none"/>
          <w:lang w:eastAsia="zh-CN"/>
        </w:rPr>
        <w:t>)</w:t>
      </w:r>
      <w:r>
        <w:rPr>
          <w:rFonts w:hint="eastAsia"/>
          <w:color w:val="auto"/>
          <w:kern w:val="24"/>
          <w:sz w:val="24"/>
          <w:highlight w:val="none"/>
        </w:rPr>
        <w:t>的规定，建设项目产生的各类污染物排放口必须规范化，而且规范化工作的完成必须与污染治理设施同步。</w:t>
      </w:r>
    </w:p>
    <w:p>
      <w:pPr>
        <w:adjustRightInd w:val="0"/>
        <w:snapToGrid w:val="0"/>
        <w:spacing w:line="360" w:lineRule="auto"/>
        <w:ind w:firstLine="600" w:firstLineChars="250"/>
        <w:rPr>
          <w:rFonts w:hint="eastAsia"/>
          <w:color w:val="auto"/>
          <w:kern w:val="24"/>
          <w:sz w:val="24"/>
          <w:highlight w:val="none"/>
        </w:rPr>
      </w:pPr>
      <w:r>
        <w:rPr>
          <w:rFonts w:hint="eastAsia"/>
          <w:color w:val="auto"/>
          <w:kern w:val="24"/>
          <w:sz w:val="24"/>
          <w:highlight w:val="none"/>
        </w:rPr>
        <w:t>1、废气治理设施</w:t>
      </w:r>
    </w:p>
    <w:p>
      <w:pPr>
        <w:adjustRightInd w:val="0"/>
        <w:snapToGrid w:val="0"/>
        <w:spacing w:line="360" w:lineRule="auto"/>
        <w:ind w:firstLine="600" w:firstLineChars="250"/>
        <w:rPr>
          <w:rFonts w:hint="eastAsia"/>
          <w:color w:val="auto"/>
          <w:kern w:val="24"/>
          <w:sz w:val="24"/>
          <w:highlight w:val="none"/>
        </w:rPr>
      </w:pPr>
      <w:r>
        <w:rPr>
          <w:rFonts w:hint="eastAsia"/>
          <w:color w:val="auto"/>
          <w:kern w:val="24"/>
          <w:sz w:val="24"/>
          <w:highlight w:val="none"/>
          <w:lang w:val="en-US" w:eastAsia="zh-CN"/>
        </w:rPr>
        <w:t>根据现场勘查，</w:t>
      </w:r>
      <w:r>
        <w:rPr>
          <w:rFonts w:hint="eastAsia"/>
          <w:color w:val="auto"/>
          <w:kern w:val="24"/>
          <w:sz w:val="24"/>
          <w:highlight w:val="none"/>
        </w:rPr>
        <w:t>工艺废气排放筒的高度和设计符合标准要求。</w:t>
      </w:r>
    </w:p>
    <w:p>
      <w:pPr>
        <w:adjustRightInd w:val="0"/>
        <w:snapToGrid w:val="0"/>
        <w:spacing w:line="360" w:lineRule="auto"/>
        <w:ind w:firstLine="600" w:firstLineChars="250"/>
        <w:rPr>
          <w:rFonts w:hint="eastAsia"/>
          <w:color w:val="auto"/>
          <w:kern w:val="24"/>
          <w:sz w:val="24"/>
          <w:highlight w:val="none"/>
        </w:rPr>
      </w:pPr>
      <w:r>
        <w:rPr>
          <w:rFonts w:hint="eastAsia"/>
          <w:color w:val="auto"/>
          <w:kern w:val="24"/>
          <w:sz w:val="24"/>
          <w:highlight w:val="none"/>
        </w:rPr>
        <w:t>2、废水治理设施</w:t>
      </w:r>
    </w:p>
    <w:p>
      <w:pPr>
        <w:adjustRightInd w:val="0"/>
        <w:snapToGrid w:val="0"/>
        <w:spacing w:line="360" w:lineRule="auto"/>
        <w:ind w:firstLine="600" w:firstLineChars="250"/>
        <w:rPr>
          <w:rFonts w:hint="eastAsia"/>
          <w:color w:val="auto"/>
          <w:kern w:val="24"/>
          <w:sz w:val="24"/>
          <w:highlight w:val="none"/>
        </w:rPr>
      </w:pPr>
      <w:r>
        <w:rPr>
          <w:rFonts w:hint="eastAsia"/>
          <w:color w:val="auto"/>
          <w:kern w:val="24"/>
          <w:sz w:val="24"/>
          <w:highlight w:val="none"/>
          <w:lang w:val="en-US" w:eastAsia="zh-CN"/>
        </w:rPr>
        <w:t>根据</w:t>
      </w:r>
      <w:r>
        <w:rPr>
          <w:rFonts w:hint="eastAsia"/>
          <w:color w:val="auto"/>
          <w:kern w:val="24"/>
          <w:sz w:val="24"/>
          <w:highlight w:val="none"/>
          <w:lang w:val="en-US" w:eastAsia="zh-CN"/>
        </w:rPr>
        <w:t>现场勘查，</w:t>
      </w:r>
      <w:r>
        <w:rPr>
          <w:rFonts w:hint="eastAsia"/>
          <w:color w:val="auto"/>
          <w:kern w:val="24"/>
          <w:sz w:val="24"/>
          <w:highlight w:val="none"/>
          <w:lang w:val="en-US" w:eastAsia="zh-CN"/>
        </w:rPr>
        <w:t>园区</w:t>
      </w:r>
      <w:r>
        <w:rPr>
          <w:rFonts w:hint="eastAsia"/>
          <w:color w:val="auto"/>
          <w:kern w:val="24"/>
          <w:sz w:val="24"/>
          <w:highlight w:val="none"/>
        </w:rPr>
        <w:t>污水处理设施排放口符合《环境保护图形标志  排放口</w:t>
      </w:r>
      <w:r>
        <w:rPr>
          <w:rFonts w:hint="eastAsia"/>
          <w:color w:val="auto"/>
          <w:kern w:val="24"/>
          <w:sz w:val="24"/>
          <w:highlight w:val="none"/>
          <w:lang w:eastAsia="zh-CN"/>
        </w:rPr>
        <w:t>(</w:t>
      </w:r>
      <w:r>
        <w:rPr>
          <w:rFonts w:hint="eastAsia"/>
          <w:color w:val="auto"/>
          <w:kern w:val="24"/>
          <w:sz w:val="24"/>
          <w:highlight w:val="none"/>
        </w:rPr>
        <w:t>源</w:t>
      </w:r>
      <w:r>
        <w:rPr>
          <w:rFonts w:hint="eastAsia"/>
          <w:color w:val="auto"/>
          <w:kern w:val="24"/>
          <w:sz w:val="24"/>
          <w:highlight w:val="none"/>
          <w:lang w:eastAsia="zh-CN"/>
        </w:rPr>
        <w:t>)</w:t>
      </w:r>
      <w:r>
        <w:rPr>
          <w:rFonts w:hint="eastAsia"/>
          <w:color w:val="auto"/>
          <w:kern w:val="24"/>
          <w:sz w:val="24"/>
          <w:highlight w:val="none"/>
        </w:rPr>
        <w:t>》和《排污口规范化整治要求</w:t>
      </w:r>
      <w:r>
        <w:rPr>
          <w:rFonts w:hint="eastAsia"/>
          <w:color w:val="auto"/>
          <w:kern w:val="24"/>
          <w:sz w:val="24"/>
          <w:highlight w:val="none"/>
          <w:lang w:eastAsia="zh-CN"/>
        </w:rPr>
        <w:t>(</w:t>
      </w:r>
      <w:r>
        <w:rPr>
          <w:rFonts w:hint="eastAsia"/>
          <w:color w:val="auto"/>
          <w:kern w:val="24"/>
          <w:sz w:val="24"/>
          <w:highlight w:val="none"/>
        </w:rPr>
        <w:t>试行</w:t>
      </w:r>
      <w:r>
        <w:rPr>
          <w:rFonts w:hint="eastAsia"/>
          <w:color w:val="auto"/>
          <w:kern w:val="24"/>
          <w:sz w:val="24"/>
          <w:highlight w:val="none"/>
          <w:lang w:eastAsia="zh-CN"/>
        </w:rPr>
        <w:t>)</w:t>
      </w:r>
      <w:r>
        <w:rPr>
          <w:rFonts w:hint="eastAsia"/>
          <w:color w:val="auto"/>
          <w:kern w:val="24"/>
          <w:sz w:val="24"/>
          <w:highlight w:val="none"/>
        </w:rPr>
        <w:t>》的技术要求，并按相关要求设置</w:t>
      </w:r>
      <w:r>
        <w:rPr>
          <w:rFonts w:hint="eastAsia"/>
          <w:color w:val="auto"/>
          <w:kern w:val="24"/>
          <w:sz w:val="24"/>
          <w:highlight w:val="none"/>
          <w:lang w:val="en-US" w:eastAsia="zh-CN"/>
        </w:rPr>
        <w:t>了</w:t>
      </w:r>
      <w:r>
        <w:rPr>
          <w:rFonts w:hint="eastAsia"/>
          <w:color w:val="auto"/>
          <w:kern w:val="24"/>
          <w:sz w:val="24"/>
          <w:highlight w:val="none"/>
        </w:rPr>
        <w:t>废水的特征污染物监测设备。</w:t>
      </w:r>
    </w:p>
    <w:p>
      <w:pPr>
        <w:adjustRightInd w:val="0"/>
        <w:snapToGrid w:val="0"/>
        <w:spacing w:line="360" w:lineRule="auto"/>
        <w:ind w:firstLine="600" w:firstLineChars="250"/>
        <w:rPr>
          <w:rFonts w:hint="eastAsia"/>
          <w:color w:val="auto"/>
          <w:kern w:val="24"/>
          <w:sz w:val="24"/>
          <w:highlight w:val="none"/>
        </w:rPr>
      </w:pPr>
      <w:r>
        <w:rPr>
          <w:rFonts w:hint="eastAsia"/>
          <w:color w:val="auto"/>
          <w:kern w:val="24"/>
          <w:sz w:val="24"/>
          <w:highlight w:val="none"/>
        </w:rPr>
        <w:t>3、噪声治理设施</w:t>
      </w:r>
    </w:p>
    <w:p>
      <w:pPr>
        <w:adjustRightInd w:val="0"/>
        <w:snapToGrid w:val="0"/>
        <w:spacing w:line="360" w:lineRule="auto"/>
        <w:ind w:firstLine="600" w:firstLineChars="250"/>
        <w:rPr>
          <w:rFonts w:hint="eastAsia"/>
          <w:color w:val="auto"/>
          <w:kern w:val="24"/>
          <w:sz w:val="24"/>
          <w:highlight w:val="none"/>
        </w:rPr>
      </w:pPr>
      <w:r>
        <w:rPr>
          <w:rFonts w:hint="eastAsia"/>
          <w:color w:val="auto"/>
          <w:kern w:val="24"/>
          <w:sz w:val="24"/>
          <w:highlight w:val="none"/>
        </w:rPr>
        <w:t>项目设备合理布局，经厂房隔音和距离衰减后，产生的噪声对周围环境影响较小。</w:t>
      </w:r>
    </w:p>
    <w:p>
      <w:pPr>
        <w:adjustRightInd w:val="0"/>
        <w:snapToGrid w:val="0"/>
        <w:spacing w:line="360" w:lineRule="auto"/>
        <w:ind w:firstLine="600" w:firstLineChars="250"/>
        <w:rPr>
          <w:rFonts w:hint="eastAsia"/>
          <w:color w:val="auto"/>
          <w:kern w:val="24"/>
          <w:sz w:val="24"/>
          <w:highlight w:val="none"/>
        </w:rPr>
      </w:pPr>
      <w:r>
        <w:rPr>
          <w:rFonts w:hint="eastAsia"/>
          <w:color w:val="auto"/>
          <w:kern w:val="24"/>
          <w:sz w:val="24"/>
          <w:highlight w:val="none"/>
        </w:rPr>
        <w:t>4、固废治理设施</w:t>
      </w:r>
    </w:p>
    <w:p>
      <w:pPr>
        <w:adjustRightInd w:val="0"/>
        <w:snapToGrid w:val="0"/>
        <w:spacing w:line="360" w:lineRule="auto"/>
        <w:ind w:firstLine="600" w:firstLineChars="250"/>
        <w:rPr>
          <w:color w:val="auto"/>
          <w:kern w:val="24"/>
          <w:sz w:val="24"/>
          <w:highlight w:val="none"/>
        </w:rPr>
      </w:pPr>
      <w:r>
        <w:rPr>
          <w:rFonts w:hint="eastAsia"/>
          <w:color w:val="auto"/>
          <w:kern w:val="24"/>
          <w:sz w:val="24"/>
          <w:highlight w:val="none"/>
        </w:rPr>
        <w:t>项目产生的工业固废主要为危险废物等，危险废物定期交由</w:t>
      </w:r>
      <w:r>
        <w:rPr>
          <w:rFonts w:hint="eastAsia"/>
          <w:color w:val="auto"/>
          <w:kern w:val="24"/>
          <w:sz w:val="24"/>
          <w:highlight w:val="none"/>
          <w:lang w:eastAsia="zh-CN"/>
        </w:rPr>
        <w:t>园区</w:t>
      </w:r>
      <w:r>
        <w:rPr>
          <w:rFonts w:hint="eastAsia"/>
          <w:color w:val="auto"/>
          <w:kern w:val="24"/>
          <w:sz w:val="24"/>
          <w:highlight w:val="none"/>
        </w:rPr>
        <w:t>统一委托有资质的企业处理，并能出具相关协议</w:t>
      </w:r>
      <w:r>
        <w:rPr>
          <w:color w:val="auto"/>
          <w:kern w:val="24"/>
          <w:sz w:val="24"/>
          <w:highlight w:val="none"/>
        </w:rPr>
        <w:t>。</w:t>
      </w:r>
    </w:p>
    <w:p>
      <w:pPr>
        <w:spacing w:line="360" w:lineRule="auto"/>
        <w:outlineLvl w:val="1"/>
        <w:rPr>
          <w:rFonts w:eastAsia="黑体"/>
          <w:color w:val="auto"/>
          <w:sz w:val="24"/>
          <w:highlight w:val="none"/>
        </w:rPr>
      </w:pPr>
      <w:bookmarkStart w:id="211" w:name="_Toc402449922"/>
      <w:bookmarkStart w:id="212" w:name="_Toc9176"/>
      <w:bookmarkStart w:id="213" w:name="_Toc501553153"/>
      <w:bookmarkStart w:id="214" w:name="_Toc320727999"/>
      <w:bookmarkStart w:id="215" w:name="_Toc320728000"/>
      <w:r>
        <w:rPr>
          <w:rFonts w:hint="eastAsia" w:eastAsia="黑体"/>
          <w:color w:val="auto"/>
          <w:sz w:val="24"/>
          <w:highlight w:val="none"/>
          <w:lang w:val="en-US" w:eastAsia="zh-CN"/>
        </w:rPr>
        <w:t>4.8</w:t>
      </w:r>
      <w:r>
        <w:rPr>
          <w:rFonts w:eastAsia="黑体"/>
          <w:color w:val="auto"/>
          <w:sz w:val="24"/>
          <w:highlight w:val="none"/>
        </w:rPr>
        <w:t>总量控制</w:t>
      </w:r>
      <w:bookmarkEnd w:id="211"/>
      <w:r>
        <w:rPr>
          <w:rFonts w:eastAsia="黑体"/>
          <w:color w:val="auto"/>
          <w:sz w:val="24"/>
          <w:highlight w:val="none"/>
        </w:rPr>
        <w:t>分析</w:t>
      </w:r>
      <w:bookmarkEnd w:id="212"/>
      <w:bookmarkEnd w:id="213"/>
    </w:p>
    <w:p>
      <w:pPr>
        <w:snapToGrid w:val="0"/>
        <w:spacing w:line="360" w:lineRule="auto"/>
        <w:outlineLvl w:val="2"/>
        <w:rPr>
          <w:rFonts w:eastAsia="黑体"/>
          <w:color w:val="auto"/>
          <w:kern w:val="0"/>
          <w:sz w:val="24"/>
          <w:highlight w:val="none"/>
        </w:rPr>
      </w:pPr>
      <w:r>
        <w:rPr>
          <w:rFonts w:hint="eastAsia" w:eastAsia="黑体"/>
          <w:color w:val="auto"/>
          <w:kern w:val="0"/>
          <w:sz w:val="24"/>
          <w:highlight w:val="none"/>
          <w:lang w:val="en-US" w:eastAsia="zh-CN"/>
        </w:rPr>
        <w:t>4.8</w:t>
      </w:r>
      <w:r>
        <w:rPr>
          <w:rFonts w:eastAsia="黑体"/>
          <w:color w:val="auto"/>
          <w:kern w:val="0"/>
          <w:sz w:val="24"/>
          <w:highlight w:val="none"/>
        </w:rPr>
        <w:t>.1总量控制因子及排放量分析</w:t>
      </w:r>
    </w:p>
    <w:p>
      <w:pPr>
        <w:pStyle w:val="16"/>
        <w:snapToGrid w:val="0"/>
        <w:spacing w:line="360" w:lineRule="auto"/>
        <w:ind w:left="71" w:leftChars="34" w:firstLine="480"/>
        <w:rPr>
          <w:rFonts w:ascii="Times New Roman" w:hAnsi="Times New Roman"/>
          <w:color w:val="auto"/>
          <w:sz w:val="24"/>
          <w:highlight w:val="none"/>
        </w:rPr>
      </w:pPr>
      <w:r>
        <w:rPr>
          <w:rFonts w:ascii="Times New Roman" w:hAnsi="Times New Roman"/>
          <w:color w:val="auto"/>
          <w:sz w:val="24"/>
          <w:highlight w:val="none"/>
        </w:rPr>
        <w:t>1、总量控制因子</w:t>
      </w:r>
    </w:p>
    <w:p>
      <w:pPr>
        <w:pStyle w:val="16"/>
        <w:snapToGrid w:val="0"/>
        <w:spacing w:line="360" w:lineRule="auto"/>
        <w:ind w:left="71" w:leftChars="34" w:firstLine="480"/>
        <w:rPr>
          <w:rFonts w:ascii="Times New Roman" w:hAnsi="Times New Roman"/>
          <w:color w:val="auto"/>
          <w:sz w:val="24"/>
          <w:highlight w:val="none"/>
        </w:rPr>
      </w:pPr>
      <w:r>
        <w:rPr>
          <w:rFonts w:ascii="Times New Roman" w:hAnsi="Times New Roman"/>
          <w:color w:val="auto"/>
          <w:sz w:val="24"/>
          <w:highlight w:val="none"/>
        </w:rPr>
        <w:t>结合该项目排放特征，确定总量控制因子为水污染因子：</w:t>
      </w:r>
      <w:r>
        <w:rPr>
          <w:rFonts w:hint="eastAsia" w:ascii="Times New Roman" w:hAnsi="Times New Roman"/>
          <w:color w:val="auto"/>
          <w:sz w:val="24"/>
          <w:highlight w:val="none"/>
        </w:rPr>
        <w:t>COD、氨氮、总锌、总铜、总银、</w:t>
      </w:r>
      <w:r>
        <w:rPr>
          <w:rFonts w:hint="eastAsia" w:ascii="Times New Roman" w:hAnsi="Times New Roman"/>
          <w:color w:val="auto"/>
          <w:sz w:val="24"/>
          <w:highlight w:val="none"/>
          <w:lang w:val="en-US" w:eastAsia="zh-CN"/>
        </w:rPr>
        <w:t>总镍、</w:t>
      </w:r>
      <w:r>
        <w:rPr>
          <w:rFonts w:hint="eastAsia" w:ascii="Times New Roman" w:hAnsi="Times New Roman"/>
          <w:color w:val="auto"/>
          <w:sz w:val="24"/>
          <w:highlight w:val="none"/>
        </w:rPr>
        <w:t>六价铬、总铬</w:t>
      </w:r>
      <w:r>
        <w:rPr>
          <w:rFonts w:ascii="Times New Roman" w:hAnsi="Times New Roman"/>
          <w:color w:val="auto"/>
          <w:sz w:val="24"/>
          <w:highlight w:val="none"/>
        </w:rPr>
        <w:t>。</w:t>
      </w:r>
    </w:p>
    <w:p>
      <w:pPr>
        <w:pStyle w:val="16"/>
        <w:snapToGrid w:val="0"/>
        <w:spacing w:line="360" w:lineRule="auto"/>
        <w:ind w:left="71" w:leftChars="34" w:firstLine="480"/>
        <w:rPr>
          <w:rFonts w:ascii="Times New Roman" w:hAnsi="Times New Roman"/>
          <w:color w:val="auto"/>
          <w:sz w:val="24"/>
          <w:highlight w:val="none"/>
        </w:rPr>
      </w:pPr>
      <w:r>
        <w:rPr>
          <w:rFonts w:ascii="Times New Roman" w:hAnsi="Times New Roman"/>
          <w:color w:val="auto"/>
          <w:sz w:val="24"/>
          <w:highlight w:val="none"/>
        </w:rPr>
        <w:t>大气污染因子：</w:t>
      </w:r>
      <w:r>
        <w:rPr>
          <w:rFonts w:hint="eastAsia" w:ascii="Times New Roman" w:hAnsi="Times New Roman"/>
          <w:color w:val="auto"/>
          <w:sz w:val="24"/>
          <w:highlight w:val="none"/>
        </w:rPr>
        <w:t>氮氧化物、</w:t>
      </w:r>
      <w:r>
        <w:rPr>
          <w:rFonts w:hint="eastAsia" w:ascii="Times New Roman" w:hAnsi="Times New Roman"/>
          <w:color w:val="auto"/>
          <w:sz w:val="24"/>
          <w:highlight w:val="none"/>
          <w:lang w:val="en-US" w:eastAsia="zh-CN"/>
        </w:rPr>
        <w:t>二氧化硫、</w:t>
      </w:r>
      <w:r>
        <w:rPr>
          <w:rFonts w:hint="eastAsia" w:ascii="Times New Roman" w:hAnsi="Times New Roman"/>
          <w:color w:val="auto"/>
          <w:sz w:val="24"/>
          <w:highlight w:val="none"/>
          <w:lang w:val="en-US" w:eastAsia="zh-CN"/>
        </w:rPr>
        <w:t>颗粒物、</w:t>
      </w:r>
      <w:r>
        <w:rPr>
          <w:rFonts w:ascii="Times New Roman" w:hAnsi="Times New Roman"/>
          <w:color w:val="auto"/>
          <w:sz w:val="24"/>
          <w:highlight w:val="none"/>
        </w:rPr>
        <w:t>硫酸雾、氯化氢、铬酸雾。</w:t>
      </w:r>
    </w:p>
    <w:p>
      <w:pPr>
        <w:snapToGrid w:val="0"/>
        <w:spacing w:line="360" w:lineRule="auto"/>
        <w:jc w:val="center"/>
        <w:rPr>
          <w:b/>
          <w:color w:val="auto"/>
          <w:szCs w:val="21"/>
          <w:highlight w:val="none"/>
        </w:rPr>
      </w:pPr>
      <w:r>
        <w:rPr>
          <w:rFonts w:eastAsia="黑体"/>
          <w:color w:val="auto"/>
          <w:sz w:val="24"/>
          <w:highlight w:val="none"/>
        </w:rPr>
        <w:t>表</w:t>
      </w:r>
      <w:r>
        <w:rPr>
          <w:rFonts w:hint="eastAsia" w:eastAsia="黑体"/>
          <w:color w:val="auto"/>
          <w:sz w:val="24"/>
          <w:highlight w:val="none"/>
          <w:lang w:val="en-US" w:eastAsia="zh-CN"/>
        </w:rPr>
        <w:t>4.8</w:t>
      </w:r>
      <w:r>
        <w:rPr>
          <w:rFonts w:eastAsia="黑体"/>
          <w:color w:val="auto"/>
          <w:sz w:val="24"/>
          <w:highlight w:val="none"/>
        </w:rPr>
        <w:t xml:space="preserve">-1  项目污染物排放总量建议指标列表 </w:t>
      </w:r>
      <w:r>
        <w:rPr>
          <w:b/>
          <w:color w:val="auto"/>
          <w:sz w:val="24"/>
          <w:highlight w:val="none"/>
        </w:rPr>
        <w:t xml:space="preserve">  </w:t>
      </w:r>
    </w:p>
    <w:tbl>
      <w:tblPr>
        <w:tblStyle w:val="36"/>
        <w:tblW w:w="4998" w:type="pct"/>
        <w:jc w:val="center"/>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autofit"/>
        <w:tblCellMar>
          <w:top w:w="0" w:type="dxa"/>
          <w:left w:w="108" w:type="dxa"/>
          <w:bottom w:w="0" w:type="dxa"/>
          <w:right w:w="108" w:type="dxa"/>
        </w:tblCellMar>
      </w:tblPr>
      <w:tblGrid>
        <w:gridCol w:w="711"/>
        <w:gridCol w:w="1931"/>
        <w:gridCol w:w="1268"/>
        <w:gridCol w:w="1172"/>
        <w:gridCol w:w="589"/>
        <w:gridCol w:w="1977"/>
        <w:gridCol w:w="1579"/>
      </w:tblGrid>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97" w:hRule="atLeast"/>
          <w:jc w:val="center"/>
        </w:trPr>
        <w:tc>
          <w:tcPr>
            <w:tcW w:w="385" w:type="pct"/>
            <w:vMerge w:val="restart"/>
            <w:tcBorders>
              <w:tl2br w:val="nil"/>
              <w:tr2bl w:val="nil"/>
            </w:tcBorders>
            <w:noWrap w:val="0"/>
            <w:vAlign w:val="center"/>
          </w:tcPr>
          <w:p>
            <w:pPr>
              <w:pStyle w:val="113"/>
              <w:keepNext w:val="0"/>
              <w:keepLines w:val="0"/>
              <w:pageBreakBefore w:val="0"/>
              <w:kinsoku/>
              <w:wordWrap/>
              <w:overflowPunct/>
              <w:topLinePunct w:val="0"/>
              <w:autoSpaceDE/>
              <w:autoSpaceDN/>
              <w:bidi w:val="0"/>
              <w:adjustRightInd w:val="0"/>
              <w:snapToGrid/>
              <w:spacing w:line="300" w:lineRule="exact"/>
              <w:ind w:firstLine="0" w:firstLineChars="0"/>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类别</w:t>
            </w:r>
          </w:p>
        </w:tc>
        <w:tc>
          <w:tcPr>
            <w:tcW w:w="1046" w:type="pct"/>
            <w:vMerge w:val="restart"/>
            <w:tcBorders>
              <w:tl2br w:val="nil"/>
              <w:tr2bl w:val="nil"/>
            </w:tcBorders>
            <w:noWrap w:val="0"/>
            <w:vAlign w:val="center"/>
          </w:tcPr>
          <w:p>
            <w:pPr>
              <w:pStyle w:val="113"/>
              <w:keepNext w:val="0"/>
              <w:keepLines w:val="0"/>
              <w:pageBreakBefore w:val="0"/>
              <w:kinsoku/>
              <w:wordWrap/>
              <w:overflowPunct/>
              <w:topLinePunct w:val="0"/>
              <w:autoSpaceDE/>
              <w:autoSpaceDN/>
              <w:bidi w:val="0"/>
              <w:adjustRightInd w:val="0"/>
              <w:snapToGrid/>
              <w:spacing w:line="300" w:lineRule="exact"/>
              <w:ind w:firstLine="0" w:firstLineChars="0"/>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污染物名称</w:t>
            </w:r>
          </w:p>
        </w:tc>
        <w:tc>
          <w:tcPr>
            <w:tcW w:w="1322" w:type="pct"/>
            <w:gridSpan w:val="2"/>
            <w:tcBorders>
              <w:tl2br w:val="nil"/>
              <w:tr2bl w:val="nil"/>
            </w:tcBorders>
            <w:noWrap w:val="0"/>
            <w:vAlign w:val="center"/>
          </w:tcPr>
          <w:p>
            <w:pPr>
              <w:pStyle w:val="113"/>
              <w:keepNext w:val="0"/>
              <w:keepLines w:val="0"/>
              <w:pageBreakBefore w:val="0"/>
              <w:kinsoku/>
              <w:wordWrap/>
              <w:overflowPunct/>
              <w:topLinePunct w:val="0"/>
              <w:autoSpaceDE/>
              <w:autoSpaceDN/>
              <w:bidi w:val="0"/>
              <w:adjustRightInd w:val="0"/>
              <w:snapToGrid/>
              <w:spacing w:line="300" w:lineRule="exact"/>
              <w:ind w:firstLine="0" w:firstLineChars="0"/>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项目排放量</w:t>
            </w:r>
          </w:p>
        </w:tc>
        <w:tc>
          <w:tcPr>
            <w:tcW w:w="319" w:type="pct"/>
            <w:vMerge w:val="restart"/>
            <w:tcBorders>
              <w:tl2br w:val="nil"/>
              <w:tr2bl w:val="nil"/>
            </w:tcBorders>
            <w:noWrap w:val="0"/>
            <w:vAlign w:val="center"/>
          </w:tcPr>
          <w:p>
            <w:pPr>
              <w:pStyle w:val="113"/>
              <w:keepNext w:val="0"/>
              <w:keepLines w:val="0"/>
              <w:pageBreakBefore w:val="0"/>
              <w:kinsoku/>
              <w:wordWrap/>
              <w:overflowPunct/>
              <w:topLinePunct w:val="0"/>
              <w:autoSpaceDE/>
              <w:autoSpaceDN/>
              <w:bidi w:val="0"/>
              <w:adjustRightInd w:val="0"/>
              <w:snapToGrid/>
              <w:spacing w:line="300" w:lineRule="exact"/>
              <w:ind w:firstLine="0" w:firstLineChars="0"/>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类别</w:t>
            </w:r>
          </w:p>
        </w:tc>
        <w:tc>
          <w:tcPr>
            <w:tcW w:w="1071" w:type="pct"/>
            <w:vMerge w:val="restart"/>
            <w:tcBorders>
              <w:tl2br w:val="nil"/>
              <w:tr2bl w:val="nil"/>
            </w:tcBorders>
            <w:noWrap w:val="0"/>
            <w:vAlign w:val="center"/>
          </w:tcPr>
          <w:p>
            <w:pPr>
              <w:pStyle w:val="113"/>
              <w:keepNext w:val="0"/>
              <w:keepLines w:val="0"/>
              <w:pageBreakBefore w:val="0"/>
              <w:kinsoku/>
              <w:wordWrap/>
              <w:overflowPunct/>
              <w:topLinePunct w:val="0"/>
              <w:autoSpaceDE/>
              <w:autoSpaceDN/>
              <w:bidi w:val="0"/>
              <w:adjustRightInd w:val="0"/>
              <w:snapToGrid/>
              <w:spacing w:line="300" w:lineRule="exact"/>
              <w:ind w:firstLine="0" w:firstLineChars="0"/>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污染物名称</w:t>
            </w:r>
          </w:p>
        </w:tc>
        <w:tc>
          <w:tcPr>
            <w:tcW w:w="855" w:type="pct"/>
            <w:vMerge w:val="restart"/>
            <w:tcBorders>
              <w:tl2br w:val="nil"/>
              <w:tr2bl w:val="nil"/>
            </w:tcBorders>
            <w:noWrap w:val="0"/>
            <w:vAlign w:val="center"/>
          </w:tcPr>
          <w:p>
            <w:pPr>
              <w:pStyle w:val="113"/>
              <w:keepNext w:val="0"/>
              <w:keepLines w:val="0"/>
              <w:pageBreakBefore w:val="0"/>
              <w:kinsoku/>
              <w:wordWrap/>
              <w:overflowPunct/>
              <w:topLinePunct w:val="0"/>
              <w:autoSpaceDE/>
              <w:autoSpaceDN/>
              <w:bidi w:val="0"/>
              <w:adjustRightInd w:val="0"/>
              <w:snapToGrid/>
              <w:spacing w:line="300" w:lineRule="exact"/>
              <w:ind w:firstLine="0" w:firstLineChars="0"/>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项目排放量</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97" w:hRule="atLeast"/>
          <w:jc w:val="center"/>
        </w:trPr>
        <w:tc>
          <w:tcPr>
            <w:tcW w:w="385" w:type="pct"/>
            <w:vMerge w:val="continue"/>
            <w:tcBorders>
              <w:tl2br w:val="nil"/>
              <w:tr2bl w:val="nil"/>
            </w:tcBorders>
            <w:noWrap w:val="0"/>
            <w:vAlign w:val="center"/>
          </w:tcPr>
          <w:p>
            <w:pPr>
              <w:pStyle w:val="113"/>
              <w:keepNext w:val="0"/>
              <w:keepLines w:val="0"/>
              <w:pageBreakBefore w:val="0"/>
              <w:kinsoku/>
              <w:wordWrap/>
              <w:overflowPunct/>
              <w:topLinePunct w:val="0"/>
              <w:autoSpaceDE/>
              <w:autoSpaceDN/>
              <w:bidi w:val="0"/>
              <w:adjustRightInd w:val="0"/>
              <w:snapToGrid/>
              <w:spacing w:line="300" w:lineRule="exact"/>
              <w:ind w:firstLine="0" w:firstLineChars="0"/>
              <w:jc w:val="center"/>
              <w:textAlignment w:val="auto"/>
              <w:rPr>
                <w:rFonts w:hint="default" w:ascii="Times New Roman" w:hAnsi="Times New Roman" w:cs="Times New Roman"/>
                <w:b/>
                <w:color w:val="auto"/>
                <w:sz w:val="21"/>
                <w:szCs w:val="21"/>
                <w:highlight w:val="none"/>
              </w:rPr>
            </w:pPr>
          </w:p>
        </w:tc>
        <w:tc>
          <w:tcPr>
            <w:tcW w:w="1046" w:type="pct"/>
            <w:vMerge w:val="continue"/>
            <w:tcBorders>
              <w:tl2br w:val="nil"/>
              <w:tr2bl w:val="nil"/>
            </w:tcBorders>
            <w:noWrap w:val="0"/>
            <w:vAlign w:val="center"/>
          </w:tcPr>
          <w:p>
            <w:pPr>
              <w:pStyle w:val="113"/>
              <w:keepNext w:val="0"/>
              <w:keepLines w:val="0"/>
              <w:pageBreakBefore w:val="0"/>
              <w:kinsoku/>
              <w:wordWrap/>
              <w:overflowPunct/>
              <w:topLinePunct w:val="0"/>
              <w:autoSpaceDE/>
              <w:autoSpaceDN/>
              <w:bidi w:val="0"/>
              <w:adjustRightInd w:val="0"/>
              <w:snapToGrid/>
              <w:spacing w:line="300" w:lineRule="exact"/>
              <w:ind w:firstLine="0" w:firstLineChars="0"/>
              <w:jc w:val="center"/>
              <w:textAlignment w:val="auto"/>
              <w:rPr>
                <w:rFonts w:hint="default" w:ascii="Times New Roman" w:hAnsi="Times New Roman" w:cs="Times New Roman"/>
                <w:b/>
                <w:color w:val="auto"/>
                <w:sz w:val="21"/>
                <w:szCs w:val="21"/>
                <w:highlight w:val="none"/>
              </w:rPr>
            </w:pPr>
          </w:p>
        </w:tc>
        <w:tc>
          <w:tcPr>
            <w:tcW w:w="687" w:type="pct"/>
            <w:tcBorders>
              <w:tl2br w:val="nil"/>
              <w:tr2bl w:val="nil"/>
            </w:tcBorders>
            <w:noWrap w:val="0"/>
            <w:vAlign w:val="center"/>
          </w:tcPr>
          <w:p>
            <w:pPr>
              <w:pStyle w:val="113"/>
              <w:keepNext w:val="0"/>
              <w:keepLines w:val="0"/>
              <w:pageBreakBefore w:val="0"/>
              <w:kinsoku/>
              <w:wordWrap/>
              <w:overflowPunct/>
              <w:topLinePunct w:val="0"/>
              <w:autoSpaceDE/>
              <w:autoSpaceDN/>
              <w:bidi w:val="0"/>
              <w:adjustRightInd w:val="0"/>
              <w:snapToGrid/>
              <w:spacing w:line="300" w:lineRule="exact"/>
              <w:ind w:firstLine="0" w:firstLineChars="0"/>
              <w:jc w:val="center"/>
              <w:textAlignment w:val="auto"/>
              <w:rPr>
                <w:rFonts w:hint="default" w:ascii="Times New Roman" w:hAnsi="Times New Roman" w:cs="Times New Roman"/>
                <w:b/>
                <w:color w:val="auto"/>
                <w:sz w:val="21"/>
                <w:szCs w:val="21"/>
                <w:highlight w:val="none"/>
                <w:lang w:eastAsia="zh-CN"/>
              </w:rPr>
            </w:pPr>
            <w:r>
              <w:rPr>
                <w:rFonts w:hint="default" w:ascii="Times New Roman" w:hAnsi="Times New Roman" w:cs="Times New Roman"/>
                <w:b/>
                <w:color w:val="auto"/>
                <w:sz w:val="21"/>
                <w:szCs w:val="21"/>
                <w:highlight w:val="none"/>
                <w:lang w:eastAsia="zh-CN"/>
              </w:rPr>
              <w:t>排入管网</w:t>
            </w:r>
          </w:p>
        </w:tc>
        <w:tc>
          <w:tcPr>
            <w:tcW w:w="635" w:type="pct"/>
            <w:tcBorders>
              <w:tl2br w:val="nil"/>
              <w:tr2bl w:val="nil"/>
            </w:tcBorders>
            <w:noWrap w:val="0"/>
            <w:vAlign w:val="center"/>
          </w:tcPr>
          <w:p>
            <w:pPr>
              <w:pStyle w:val="113"/>
              <w:keepNext w:val="0"/>
              <w:keepLines w:val="0"/>
              <w:pageBreakBefore w:val="0"/>
              <w:kinsoku/>
              <w:wordWrap/>
              <w:overflowPunct/>
              <w:topLinePunct w:val="0"/>
              <w:autoSpaceDE/>
              <w:autoSpaceDN/>
              <w:bidi w:val="0"/>
              <w:adjustRightInd w:val="0"/>
              <w:snapToGrid/>
              <w:spacing w:line="300" w:lineRule="exact"/>
              <w:ind w:firstLine="0" w:firstLineChars="0"/>
              <w:jc w:val="center"/>
              <w:textAlignment w:val="auto"/>
              <w:rPr>
                <w:rFonts w:hint="default" w:ascii="Times New Roman" w:hAnsi="Times New Roman" w:cs="Times New Roman"/>
                <w:b/>
                <w:color w:val="auto"/>
                <w:sz w:val="21"/>
                <w:szCs w:val="21"/>
                <w:highlight w:val="none"/>
                <w:lang w:eastAsia="zh-CN"/>
              </w:rPr>
            </w:pPr>
            <w:r>
              <w:rPr>
                <w:rFonts w:hint="default" w:ascii="Times New Roman" w:hAnsi="Times New Roman" w:cs="Times New Roman"/>
                <w:b/>
                <w:color w:val="auto"/>
                <w:sz w:val="21"/>
                <w:szCs w:val="21"/>
                <w:highlight w:val="none"/>
                <w:lang w:eastAsia="zh-CN"/>
              </w:rPr>
              <w:t>排入环境</w:t>
            </w:r>
          </w:p>
        </w:tc>
        <w:tc>
          <w:tcPr>
            <w:tcW w:w="319" w:type="pct"/>
            <w:vMerge w:val="continue"/>
            <w:tcBorders>
              <w:tl2br w:val="nil"/>
              <w:tr2bl w:val="nil"/>
            </w:tcBorders>
            <w:noWrap w:val="0"/>
            <w:vAlign w:val="center"/>
          </w:tcPr>
          <w:p>
            <w:pPr>
              <w:pStyle w:val="113"/>
              <w:keepNext w:val="0"/>
              <w:keepLines w:val="0"/>
              <w:pageBreakBefore w:val="0"/>
              <w:kinsoku/>
              <w:wordWrap/>
              <w:overflowPunct/>
              <w:topLinePunct w:val="0"/>
              <w:autoSpaceDE/>
              <w:autoSpaceDN/>
              <w:bidi w:val="0"/>
              <w:adjustRightInd w:val="0"/>
              <w:snapToGrid/>
              <w:spacing w:line="300" w:lineRule="exact"/>
              <w:ind w:firstLine="0" w:firstLineChars="0"/>
              <w:jc w:val="center"/>
              <w:textAlignment w:val="auto"/>
              <w:rPr>
                <w:rFonts w:hint="default" w:ascii="Times New Roman" w:hAnsi="Times New Roman" w:cs="Times New Roman"/>
                <w:b/>
                <w:color w:val="auto"/>
                <w:sz w:val="21"/>
                <w:szCs w:val="21"/>
                <w:highlight w:val="none"/>
              </w:rPr>
            </w:pPr>
          </w:p>
        </w:tc>
        <w:tc>
          <w:tcPr>
            <w:tcW w:w="1071" w:type="pct"/>
            <w:vMerge w:val="continue"/>
            <w:tcBorders>
              <w:tl2br w:val="nil"/>
              <w:tr2bl w:val="nil"/>
            </w:tcBorders>
            <w:noWrap w:val="0"/>
            <w:vAlign w:val="center"/>
          </w:tcPr>
          <w:p>
            <w:pPr>
              <w:pStyle w:val="113"/>
              <w:keepNext w:val="0"/>
              <w:keepLines w:val="0"/>
              <w:pageBreakBefore w:val="0"/>
              <w:kinsoku/>
              <w:wordWrap/>
              <w:overflowPunct/>
              <w:topLinePunct w:val="0"/>
              <w:autoSpaceDE/>
              <w:autoSpaceDN/>
              <w:bidi w:val="0"/>
              <w:adjustRightInd w:val="0"/>
              <w:snapToGrid/>
              <w:spacing w:line="300" w:lineRule="exact"/>
              <w:ind w:firstLine="0" w:firstLineChars="0"/>
              <w:jc w:val="center"/>
              <w:textAlignment w:val="auto"/>
              <w:rPr>
                <w:rFonts w:hint="default" w:ascii="Times New Roman" w:hAnsi="Times New Roman" w:cs="Times New Roman"/>
                <w:b/>
                <w:color w:val="auto"/>
                <w:sz w:val="21"/>
                <w:szCs w:val="21"/>
                <w:highlight w:val="none"/>
              </w:rPr>
            </w:pPr>
          </w:p>
        </w:tc>
        <w:tc>
          <w:tcPr>
            <w:tcW w:w="855" w:type="pct"/>
            <w:vMerge w:val="continue"/>
            <w:tcBorders>
              <w:tl2br w:val="nil"/>
              <w:tr2bl w:val="nil"/>
            </w:tcBorders>
            <w:noWrap w:val="0"/>
            <w:vAlign w:val="center"/>
          </w:tcPr>
          <w:p>
            <w:pPr>
              <w:pStyle w:val="113"/>
              <w:keepNext w:val="0"/>
              <w:keepLines w:val="0"/>
              <w:pageBreakBefore w:val="0"/>
              <w:kinsoku/>
              <w:wordWrap/>
              <w:overflowPunct/>
              <w:topLinePunct w:val="0"/>
              <w:autoSpaceDE/>
              <w:autoSpaceDN/>
              <w:bidi w:val="0"/>
              <w:adjustRightInd w:val="0"/>
              <w:snapToGrid/>
              <w:spacing w:line="300" w:lineRule="exact"/>
              <w:ind w:firstLine="0" w:firstLineChars="0"/>
              <w:jc w:val="center"/>
              <w:textAlignment w:val="auto"/>
              <w:rPr>
                <w:rFonts w:hint="default" w:ascii="Times New Roman" w:hAnsi="Times New Roman" w:cs="Times New Roman"/>
                <w:b/>
                <w:color w:val="auto"/>
                <w:sz w:val="21"/>
                <w:szCs w:val="21"/>
                <w:highlight w:val="none"/>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97" w:hRule="atLeast"/>
          <w:jc w:val="center"/>
        </w:trPr>
        <w:tc>
          <w:tcPr>
            <w:tcW w:w="385" w:type="pct"/>
            <w:vMerge w:val="restart"/>
            <w:tcBorders>
              <w:tl2br w:val="nil"/>
              <w:tr2bl w:val="nil"/>
            </w:tcBorders>
            <w:noWrap w:val="0"/>
            <w:vAlign w:val="center"/>
          </w:tcPr>
          <w:p>
            <w:pPr>
              <w:pStyle w:val="113"/>
              <w:keepNext w:val="0"/>
              <w:keepLines w:val="0"/>
              <w:pageBreakBefore w:val="0"/>
              <w:kinsoku/>
              <w:wordWrap/>
              <w:overflowPunct/>
              <w:topLinePunct w:val="0"/>
              <w:autoSpaceDE/>
              <w:autoSpaceDN/>
              <w:bidi w:val="0"/>
              <w:adjustRightInd w:val="0"/>
              <w:snapToGrid/>
              <w:spacing w:line="30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废水</w:t>
            </w:r>
          </w:p>
        </w:tc>
        <w:tc>
          <w:tcPr>
            <w:tcW w:w="1046" w:type="pct"/>
            <w:tcBorders>
              <w:tl2br w:val="nil"/>
              <w:tr2bl w:val="nil"/>
            </w:tcBorders>
            <w:noWrap w:val="0"/>
            <w:vAlign w:val="center"/>
          </w:tcPr>
          <w:p>
            <w:pPr>
              <w:pStyle w:val="113"/>
              <w:keepNext w:val="0"/>
              <w:keepLines w:val="0"/>
              <w:pageBreakBefore w:val="0"/>
              <w:kinsoku/>
              <w:wordWrap/>
              <w:overflowPunct/>
              <w:topLinePunct w:val="0"/>
              <w:autoSpaceDE/>
              <w:autoSpaceDN/>
              <w:bidi w:val="0"/>
              <w:adjustRightInd w:val="0"/>
              <w:snapToGrid/>
              <w:spacing w:line="30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废水量(万m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/a)</w:t>
            </w:r>
          </w:p>
        </w:tc>
        <w:tc>
          <w:tcPr>
            <w:tcW w:w="687"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spacing w:line="300" w:lineRule="exact"/>
              <w:ind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1.20735</w:t>
            </w:r>
          </w:p>
        </w:tc>
        <w:tc>
          <w:tcPr>
            <w:tcW w:w="63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spacing w:line="300" w:lineRule="exact"/>
              <w:ind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1.20735</w:t>
            </w:r>
          </w:p>
        </w:tc>
        <w:tc>
          <w:tcPr>
            <w:tcW w:w="319" w:type="pct"/>
            <w:vMerge w:val="restart"/>
            <w:tcBorders>
              <w:tl2br w:val="nil"/>
              <w:tr2bl w:val="nil"/>
            </w:tcBorders>
            <w:noWrap w:val="0"/>
            <w:vAlign w:val="center"/>
          </w:tcPr>
          <w:p>
            <w:pPr>
              <w:pStyle w:val="113"/>
              <w:keepNext w:val="0"/>
              <w:keepLines w:val="0"/>
              <w:pageBreakBefore w:val="0"/>
              <w:kinsoku/>
              <w:wordWrap/>
              <w:overflowPunct/>
              <w:topLinePunct w:val="0"/>
              <w:autoSpaceDE/>
              <w:autoSpaceDN/>
              <w:bidi w:val="0"/>
              <w:adjustRightInd w:val="0"/>
              <w:snapToGrid/>
              <w:spacing w:line="30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w:t>
            </w:r>
          </w:p>
          <w:p>
            <w:pPr>
              <w:keepNext w:val="0"/>
              <w:keepLines w:val="0"/>
              <w:pageBreakBefore w:val="0"/>
              <w:kinsoku/>
              <w:wordWrap/>
              <w:overflowPunct/>
              <w:topLinePunct w:val="0"/>
              <w:autoSpaceDE/>
              <w:autoSpaceDN/>
              <w:bidi w:val="0"/>
              <w:adjustRightInd w:val="0"/>
              <w:snapToGrid/>
              <w:spacing w:line="300" w:lineRule="exact"/>
              <w:ind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气</w:t>
            </w:r>
          </w:p>
        </w:tc>
        <w:tc>
          <w:tcPr>
            <w:tcW w:w="1071" w:type="pct"/>
            <w:tcBorders>
              <w:tl2br w:val="nil"/>
              <w:tr2bl w:val="nil"/>
            </w:tcBorders>
            <w:noWrap w:val="0"/>
            <w:vAlign w:val="center"/>
          </w:tcPr>
          <w:p>
            <w:pPr>
              <w:pStyle w:val="113"/>
              <w:keepNext w:val="0"/>
              <w:keepLines w:val="0"/>
              <w:pageBreakBefore w:val="0"/>
              <w:kinsoku/>
              <w:wordWrap/>
              <w:overflowPunct/>
              <w:topLinePunct w:val="0"/>
              <w:autoSpaceDE/>
              <w:autoSpaceDN/>
              <w:bidi w:val="0"/>
              <w:adjustRightInd w:val="0"/>
              <w:snapToGrid/>
              <w:spacing w:line="30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废气量(万m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/a)</w:t>
            </w:r>
          </w:p>
        </w:tc>
        <w:tc>
          <w:tcPr>
            <w:tcW w:w="85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spacing w:line="300" w:lineRule="exact"/>
              <w:ind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13800</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PrEx>
        <w:trPr>
          <w:cantSplit/>
          <w:trHeight w:val="397" w:hRule="atLeast"/>
          <w:jc w:val="center"/>
        </w:trPr>
        <w:tc>
          <w:tcPr>
            <w:tcW w:w="385" w:type="pct"/>
            <w:vMerge w:val="continue"/>
            <w:tcBorders>
              <w:tl2br w:val="nil"/>
              <w:tr2bl w:val="nil"/>
            </w:tcBorders>
            <w:noWrap w:val="0"/>
            <w:vAlign w:val="center"/>
          </w:tcPr>
          <w:p>
            <w:pPr>
              <w:pStyle w:val="113"/>
              <w:keepNext w:val="0"/>
              <w:keepLines w:val="0"/>
              <w:pageBreakBefore w:val="0"/>
              <w:kinsoku/>
              <w:wordWrap/>
              <w:overflowPunct/>
              <w:topLinePunct w:val="0"/>
              <w:autoSpaceDE/>
              <w:autoSpaceDN/>
              <w:bidi w:val="0"/>
              <w:adjustRightInd w:val="0"/>
              <w:snapToGrid/>
              <w:spacing w:line="300" w:lineRule="exact"/>
              <w:ind w:firstLine="0" w:firstLineChars="0"/>
              <w:jc w:val="center"/>
              <w:textAlignment w:val="auto"/>
              <w:rPr>
                <w:rFonts w:hint="default" w:ascii="Times New Roman" w:hAnsi="Times New Roman" w:cs="Times New Roman"/>
                <w:color w:val="auto"/>
                <w:sz w:val="21"/>
                <w:szCs w:val="21"/>
                <w:highlight w:val="none"/>
              </w:rPr>
            </w:pPr>
          </w:p>
        </w:tc>
        <w:tc>
          <w:tcPr>
            <w:tcW w:w="1046" w:type="pct"/>
            <w:tcBorders>
              <w:tl2br w:val="nil"/>
              <w:tr2bl w:val="nil"/>
            </w:tcBorders>
            <w:noWrap w:val="0"/>
            <w:vAlign w:val="center"/>
          </w:tcPr>
          <w:p>
            <w:pPr>
              <w:pStyle w:val="113"/>
              <w:keepNext w:val="0"/>
              <w:keepLines w:val="0"/>
              <w:pageBreakBefore w:val="0"/>
              <w:kinsoku/>
              <w:wordWrap/>
              <w:overflowPunct/>
              <w:topLinePunct w:val="0"/>
              <w:autoSpaceDE/>
              <w:autoSpaceDN/>
              <w:bidi w:val="0"/>
              <w:adjustRightInd w:val="0"/>
              <w:snapToGrid/>
              <w:spacing w:line="30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COD(t/a)</w:t>
            </w:r>
          </w:p>
        </w:tc>
        <w:tc>
          <w:tcPr>
            <w:tcW w:w="687" w:type="pct"/>
            <w:tcBorders>
              <w:tl2br w:val="nil"/>
              <w:tr2bl w:val="nil"/>
            </w:tcBorders>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2.07</w:t>
            </w:r>
          </w:p>
        </w:tc>
        <w:tc>
          <w:tcPr>
            <w:tcW w:w="63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spacing w:line="300" w:lineRule="exact"/>
              <w:ind w:firstLineChars="0"/>
              <w:jc w:val="center"/>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0.6</w:t>
            </w:r>
          </w:p>
        </w:tc>
        <w:tc>
          <w:tcPr>
            <w:tcW w:w="31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spacing w:line="300" w:lineRule="exact"/>
              <w:ind w:firstLineChars="0"/>
              <w:jc w:val="center"/>
              <w:textAlignment w:val="auto"/>
              <w:rPr>
                <w:rFonts w:hint="default" w:ascii="Times New Roman" w:hAnsi="Times New Roman" w:cs="Times New Roman"/>
                <w:color w:val="auto"/>
                <w:sz w:val="21"/>
                <w:szCs w:val="21"/>
                <w:highlight w:val="none"/>
              </w:rPr>
            </w:pPr>
          </w:p>
        </w:tc>
        <w:tc>
          <w:tcPr>
            <w:tcW w:w="1071" w:type="pct"/>
            <w:tcBorders>
              <w:tl2br w:val="nil"/>
              <w:tr2bl w:val="nil"/>
            </w:tcBorders>
            <w:noWrap w:val="0"/>
            <w:vAlign w:val="center"/>
          </w:tcPr>
          <w:p>
            <w:pPr>
              <w:jc w:val="center"/>
              <w:rPr>
                <w:rFonts w:hint="default" w:ascii="Times New Roman" w:hAnsi="Times New Roman" w:cs="Times New Roman"/>
                <w:color w:val="auto"/>
                <w:sz w:val="21"/>
                <w:szCs w:val="21"/>
                <w:highlight w:val="none"/>
              </w:rPr>
            </w:pPr>
            <w:r>
              <w:rPr>
                <w:color w:val="auto"/>
                <w:szCs w:val="21"/>
                <w:highlight w:val="none"/>
              </w:rPr>
              <w:t>硫酸雾(</w:t>
            </w:r>
            <w:r>
              <w:rPr>
                <w:rFonts w:hint="eastAsia"/>
                <w:color w:val="auto"/>
                <w:szCs w:val="21"/>
                <w:highlight w:val="none"/>
                <w:lang w:val="en-US" w:eastAsia="zh-CN"/>
              </w:rPr>
              <w:t>t</w:t>
            </w:r>
            <w:r>
              <w:rPr>
                <w:color w:val="auto"/>
                <w:szCs w:val="21"/>
                <w:highlight w:val="none"/>
              </w:rPr>
              <w:t>/a)</w:t>
            </w:r>
          </w:p>
        </w:tc>
        <w:tc>
          <w:tcPr>
            <w:tcW w:w="855"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olor w:val="auto"/>
                <w:szCs w:val="21"/>
                <w:highlight w:val="none"/>
                <w:lang w:val="en-US" w:eastAsia="zh-CN"/>
              </w:rPr>
              <w:t>0.021</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97" w:hRule="atLeast"/>
          <w:jc w:val="center"/>
        </w:trPr>
        <w:tc>
          <w:tcPr>
            <w:tcW w:w="385" w:type="pct"/>
            <w:vMerge w:val="continue"/>
            <w:tcBorders>
              <w:tl2br w:val="nil"/>
              <w:tr2bl w:val="nil"/>
            </w:tcBorders>
            <w:noWrap w:val="0"/>
            <w:vAlign w:val="center"/>
          </w:tcPr>
          <w:p>
            <w:pPr>
              <w:pStyle w:val="113"/>
              <w:keepNext w:val="0"/>
              <w:keepLines w:val="0"/>
              <w:pageBreakBefore w:val="0"/>
              <w:kinsoku/>
              <w:wordWrap/>
              <w:overflowPunct/>
              <w:topLinePunct w:val="0"/>
              <w:autoSpaceDE/>
              <w:autoSpaceDN/>
              <w:bidi w:val="0"/>
              <w:adjustRightInd w:val="0"/>
              <w:snapToGrid/>
              <w:spacing w:line="300" w:lineRule="exact"/>
              <w:ind w:firstLine="0" w:firstLineChars="0"/>
              <w:jc w:val="center"/>
              <w:textAlignment w:val="auto"/>
              <w:rPr>
                <w:rFonts w:hint="default" w:ascii="Times New Roman" w:hAnsi="Times New Roman" w:cs="Times New Roman"/>
                <w:color w:val="auto"/>
                <w:sz w:val="21"/>
                <w:szCs w:val="21"/>
                <w:highlight w:val="none"/>
              </w:rPr>
            </w:pPr>
          </w:p>
        </w:tc>
        <w:tc>
          <w:tcPr>
            <w:tcW w:w="1046" w:type="pct"/>
            <w:tcBorders>
              <w:tl2br w:val="nil"/>
              <w:tr2bl w:val="nil"/>
            </w:tcBorders>
            <w:noWrap w:val="0"/>
            <w:vAlign w:val="center"/>
          </w:tcPr>
          <w:p>
            <w:pPr>
              <w:pStyle w:val="113"/>
              <w:keepNext w:val="0"/>
              <w:keepLines w:val="0"/>
              <w:pageBreakBefore w:val="0"/>
              <w:kinsoku/>
              <w:wordWrap/>
              <w:overflowPunct/>
              <w:topLinePunct w:val="0"/>
              <w:autoSpaceDE/>
              <w:autoSpaceDN/>
              <w:bidi w:val="0"/>
              <w:adjustRightInd w:val="0"/>
              <w:snapToGrid/>
              <w:spacing w:line="30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氨氮(t/a)</w:t>
            </w:r>
          </w:p>
        </w:tc>
        <w:tc>
          <w:tcPr>
            <w:tcW w:w="687" w:type="pct"/>
            <w:tcBorders>
              <w:tl2br w:val="nil"/>
              <w:tr2bl w:val="nil"/>
            </w:tcBorders>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0.22</w:t>
            </w:r>
          </w:p>
        </w:tc>
        <w:tc>
          <w:tcPr>
            <w:tcW w:w="63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spacing w:line="300" w:lineRule="exact"/>
              <w:ind w:firstLineChars="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0.0</w:t>
            </w:r>
            <w:r>
              <w:rPr>
                <w:rFonts w:hint="eastAsia" w:ascii="Times New Roman" w:hAnsi="Times New Roman" w:cs="Times New Roman"/>
                <w:color w:val="auto"/>
                <w:sz w:val="21"/>
                <w:szCs w:val="21"/>
                <w:highlight w:val="none"/>
                <w:lang w:val="en-US" w:eastAsia="zh-CN"/>
              </w:rPr>
              <w:t>6</w:t>
            </w:r>
          </w:p>
        </w:tc>
        <w:tc>
          <w:tcPr>
            <w:tcW w:w="31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spacing w:line="300" w:lineRule="exact"/>
              <w:ind w:firstLineChars="0"/>
              <w:jc w:val="center"/>
              <w:textAlignment w:val="auto"/>
              <w:rPr>
                <w:rFonts w:hint="default" w:ascii="Times New Roman" w:hAnsi="Times New Roman" w:cs="Times New Roman"/>
                <w:color w:val="auto"/>
                <w:sz w:val="21"/>
                <w:szCs w:val="21"/>
                <w:highlight w:val="none"/>
              </w:rPr>
            </w:pPr>
          </w:p>
        </w:tc>
        <w:tc>
          <w:tcPr>
            <w:tcW w:w="1071" w:type="pct"/>
            <w:tcBorders>
              <w:tl2br w:val="nil"/>
              <w:tr2bl w:val="nil"/>
            </w:tcBorders>
            <w:noWrap w:val="0"/>
            <w:vAlign w:val="center"/>
          </w:tcPr>
          <w:p>
            <w:pPr>
              <w:jc w:val="center"/>
              <w:rPr>
                <w:rFonts w:hint="default" w:ascii="Times New Roman" w:hAnsi="Times New Roman" w:cs="Times New Roman"/>
                <w:color w:val="auto"/>
                <w:sz w:val="21"/>
                <w:szCs w:val="21"/>
                <w:highlight w:val="none"/>
              </w:rPr>
            </w:pPr>
            <w:r>
              <w:rPr>
                <w:rFonts w:hint="eastAsia"/>
                <w:color w:val="auto"/>
                <w:szCs w:val="21"/>
                <w:highlight w:val="none"/>
              </w:rPr>
              <w:t>氮氧化物</w:t>
            </w:r>
            <w:r>
              <w:rPr>
                <w:color w:val="auto"/>
                <w:szCs w:val="21"/>
                <w:highlight w:val="none"/>
              </w:rPr>
              <w:t>(</w:t>
            </w:r>
            <w:r>
              <w:rPr>
                <w:rFonts w:hint="eastAsia"/>
                <w:color w:val="auto"/>
                <w:szCs w:val="21"/>
                <w:highlight w:val="none"/>
                <w:lang w:val="en-US" w:eastAsia="zh-CN"/>
              </w:rPr>
              <w:t>t</w:t>
            </w:r>
            <w:r>
              <w:rPr>
                <w:color w:val="auto"/>
                <w:szCs w:val="21"/>
                <w:highlight w:val="none"/>
              </w:rPr>
              <w:t>/a)</w:t>
            </w:r>
          </w:p>
        </w:tc>
        <w:tc>
          <w:tcPr>
            <w:tcW w:w="855" w:type="pct"/>
            <w:tcBorders>
              <w:tl2br w:val="nil"/>
              <w:tr2bl w:val="nil"/>
            </w:tcBorders>
            <w:noWrap w:val="0"/>
            <w:vAlign w:val="center"/>
          </w:tcPr>
          <w:p>
            <w:pPr>
              <w:jc w:val="center"/>
              <w:rPr>
                <w:rFonts w:hint="default" w:ascii="Times New Roman" w:hAnsi="Times New Roman" w:cs="Times New Roman"/>
                <w:color w:val="auto"/>
                <w:sz w:val="21"/>
                <w:szCs w:val="21"/>
                <w:highlight w:val="none"/>
              </w:rPr>
            </w:pPr>
            <w:r>
              <w:rPr>
                <w:rFonts w:hint="eastAsia"/>
                <w:color w:val="auto"/>
                <w:szCs w:val="21"/>
                <w:highlight w:val="none"/>
                <w:lang w:val="en-US" w:eastAsia="zh-CN"/>
              </w:rPr>
              <w:t>0.221</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97" w:hRule="atLeast"/>
          <w:jc w:val="center"/>
        </w:trPr>
        <w:tc>
          <w:tcPr>
            <w:tcW w:w="385" w:type="pct"/>
            <w:vMerge w:val="continue"/>
            <w:tcBorders>
              <w:tl2br w:val="nil"/>
              <w:tr2bl w:val="nil"/>
            </w:tcBorders>
            <w:noWrap w:val="0"/>
            <w:vAlign w:val="center"/>
          </w:tcPr>
          <w:p>
            <w:pPr>
              <w:pStyle w:val="113"/>
              <w:keepNext w:val="0"/>
              <w:keepLines w:val="0"/>
              <w:pageBreakBefore w:val="0"/>
              <w:kinsoku/>
              <w:wordWrap/>
              <w:overflowPunct/>
              <w:topLinePunct w:val="0"/>
              <w:autoSpaceDE/>
              <w:autoSpaceDN/>
              <w:bidi w:val="0"/>
              <w:adjustRightInd w:val="0"/>
              <w:snapToGrid/>
              <w:spacing w:line="300" w:lineRule="exact"/>
              <w:ind w:firstLine="0" w:firstLineChars="0"/>
              <w:jc w:val="center"/>
              <w:textAlignment w:val="auto"/>
              <w:rPr>
                <w:rFonts w:hint="default" w:ascii="Times New Roman" w:hAnsi="Times New Roman" w:cs="Times New Roman"/>
                <w:color w:val="auto"/>
                <w:sz w:val="21"/>
                <w:szCs w:val="21"/>
                <w:highlight w:val="none"/>
              </w:rPr>
            </w:pPr>
          </w:p>
        </w:tc>
        <w:tc>
          <w:tcPr>
            <w:tcW w:w="1046" w:type="pct"/>
            <w:tcBorders>
              <w:tl2br w:val="nil"/>
              <w:tr2bl w:val="nil"/>
            </w:tcBorders>
            <w:noWrap w:val="0"/>
            <w:vAlign w:val="center"/>
          </w:tcPr>
          <w:p>
            <w:pPr>
              <w:pStyle w:val="113"/>
              <w:keepNext w:val="0"/>
              <w:keepLines w:val="0"/>
              <w:pageBreakBefore w:val="0"/>
              <w:kinsoku/>
              <w:wordWrap/>
              <w:overflowPunct/>
              <w:topLinePunct w:val="0"/>
              <w:autoSpaceDE/>
              <w:autoSpaceDN/>
              <w:bidi w:val="0"/>
              <w:adjustRightInd w:val="0"/>
              <w:snapToGrid/>
              <w:spacing w:line="30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总锌(kg/a)</w:t>
            </w:r>
          </w:p>
        </w:tc>
        <w:tc>
          <w:tcPr>
            <w:tcW w:w="687"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spacing w:line="300" w:lineRule="exact"/>
              <w:ind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2.9</w:t>
            </w:r>
          </w:p>
        </w:tc>
        <w:tc>
          <w:tcPr>
            <w:tcW w:w="63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spacing w:line="300" w:lineRule="exact"/>
              <w:ind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2.9</w:t>
            </w:r>
          </w:p>
        </w:tc>
        <w:tc>
          <w:tcPr>
            <w:tcW w:w="31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spacing w:line="300" w:lineRule="exact"/>
              <w:ind w:firstLineChars="0"/>
              <w:jc w:val="center"/>
              <w:textAlignment w:val="auto"/>
              <w:rPr>
                <w:rFonts w:hint="default" w:ascii="Times New Roman" w:hAnsi="Times New Roman" w:cs="Times New Roman"/>
                <w:color w:val="auto"/>
                <w:sz w:val="21"/>
                <w:szCs w:val="21"/>
                <w:highlight w:val="none"/>
              </w:rPr>
            </w:pPr>
          </w:p>
        </w:tc>
        <w:tc>
          <w:tcPr>
            <w:tcW w:w="1071" w:type="pct"/>
            <w:tcBorders>
              <w:tl2br w:val="nil"/>
              <w:tr2bl w:val="nil"/>
            </w:tcBorders>
            <w:noWrap w:val="0"/>
            <w:vAlign w:val="center"/>
          </w:tcPr>
          <w:p>
            <w:pPr>
              <w:pStyle w:val="44"/>
              <w:jc w:val="center"/>
              <w:rPr>
                <w:rFonts w:hint="default" w:ascii="Times New Roman" w:hAnsi="Times New Roman" w:cs="Times New Roman"/>
                <w:color w:val="auto"/>
                <w:sz w:val="21"/>
                <w:szCs w:val="21"/>
                <w:highlight w:val="none"/>
              </w:rPr>
            </w:pPr>
            <w:r>
              <w:rPr>
                <w:rFonts w:ascii="Times New Roman" w:cs="Times New Roman"/>
                <w:color w:val="auto"/>
                <w:sz w:val="21"/>
                <w:szCs w:val="21"/>
                <w:highlight w:val="none"/>
              </w:rPr>
              <w:t>氯化氢(</w:t>
            </w:r>
            <w:r>
              <w:rPr>
                <w:rFonts w:hint="eastAsia" w:ascii="Times New Roman" w:cs="Times New Roman"/>
                <w:color w:val="auto"/>
                <w:sz w:val="21"/>
                <w:szCs w:val="21"/>
                <w:highlight w:val="none"/>
                <w:lang w:val="en-US" w:eastAsia="zh-CN"/>
              </w:rPr>
              <w:t>t</w:t>
            </w:r>
            <w:r>
              <w:rPr>
                <w:rFonts w:ascii="Times New Roman" w:cs="Times New Roman"/>
                <w:color w:val="auto"/>
                <w:sz w:val="21"/>
                <w:szCs w:val="21"/>
                <w:highlight w:val="none"/>
              </w:rPr>
              <w:t>/a)</w:t>
            </w:r>
          </w:p>
        </w:tc>
        <w:tc>
          <w:tcPr>
            <w:tcW w:w="855" w:type="pct"/>
            <w:tcBorders>
              <w:tl2br w:val="nil"/>
              <w:tr2bl w:val="nil"/>
            </w:tcBorders>
            <w:noWrap w:val="0"/>
            <w:vAlign w:val="center"/>
          </w:tcPr>
          <w:p>
            <w:pPr>
              <w:jc w:val="center"/>
              <w:rPr>
                <w:rFonts w:hint="default" w:ascii="Times New Roman" w:hAnsi="Times New Roman" w:cs="Times New Roman"/>
                <w:color w:val="auto"/>
                <w:sz w:val="21"/>
                <w:szCs w:val="21"/>
                <w:highlight w:val="none"/>
              </w:rPr>
            </w:pPr>
            <w:r>
              <w:rPr>
                <w:rFonts w:hint="eastAsia"/>
                <w:color w:val="auto"/>
                <w:szCs w:val="21"/>
                <w:highlight w:val="none"/>
                <w:lang w:val="en-US" w:eastAsia="zh-CN"/>
              </w:rPr>
              <w:t>0.101</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97" w:hRule="atLeast"/>
          <w:jc w:val="center"/>
        </w:trPr>
        <w:tc>
          <w:tcPr>
            <w:tcW w:w="385" w:type="pct"/>
            <w:vMerge w:val="continue"/>
            <w:tcBorders>
              <w:tl2br w:val="nil"/>
              <w:tr2bl w:val="nil"/>
            </w:tcBorders>
            <w:noWrap w:val="0"/>
            <w:vAlign w:val="center"/>
          </w:tcPr>
          <w:p>
            <w:pPr>
              <w:pStyle w:val="113"/>
              <w:keepNext w:val="0"/>
              <w:keepLines w:val="0"/>
              <w:pageBreakBefore w:val="0"/>
              <w:kinsoku/>
              <w:wordWrap/>
              <w:overflowPunct/>
              <w:topLinePunct w:val="0"/>
              <w:autoSpaceDE/>
              <w:autoSpaceDN/>
              <w:bidi w:val="0"/>
              <w:adjustRightInd w:val="0"/>
              <w:snapToGrid/>
              <w:spacing w:line="300" w:lineRule="exact"/>
              <w:ind w:firstLine="0" w:firstLineChars="0"/>
              <w:jc w:val="center"/>
              <w:textAlignment w:val="auto"/>
              <w:rPr>
                <w:rFonts w:hint="default" w:ascii="Times New Roman" w:hAnsi="Times New Roman" w:cs="Times New Roman"/>
                <w:color w:val="auto"/>
                <w:sz w:val="21"/>
                <w:szCs w:val="21"/>
                <w:highlight w:val="none"/>
              </w:rPr>
            </w:pPr>
          </w:p>
        </w:tc>
        <w:tc>
          <w:tcPr>
            <w:tcW w:w="1046" w:type="pct"/>
            <w:tcBorders>
              <w:tl2br w:val="nil"/>
              <w:tr2bl w:val="nil"/>
            </w:tcBorders>
            <w:noWrap w:val="0"/>
            <w:vAlign w:val="center"/>
          </w:tcPr>
          <w:p>
            <w:pPr>
              <w:pStyle w:val="113"/>
              <w:keepNext w:val="0"/>
              <w:keepLines w:val="0"/>
              <w:pageBreakBefore w:val="0"/>
              <w:kinsoku/>
              <w:wordWrap/>
              <w:overflowPunct/>
              <w:topLinePunct w:val="0"/>
              <w:autoSpaceDE/>
              <w:autoSpaceDN/>
              <w:bidi w:val="0"/>
              <w:adjustRightInd w:val="0"/>
              <w:snapToGrid/>
              <w:spacing w:line="30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总铜(kg/a)</w:t>
            </w:r>
          </w:p>
        </w:tc>
        <w:tc>
          <w:tcPr>
            <w:tcW w:w="687"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spacing w:line="300" w:lineRule="exact"/>
              <w:ind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1.3</w:t>
            </w:r>
          </w:p>
        </w:tc>
        <w:tc>
          <w:tcPr>
            <w:tcW w:w="63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spacing w:line="300" w:lineRule="exact"/>
              <w:ind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r>
              <w:rPr>
                <w:rFonts w:hint="eastAsia" w:ascii="Times New Roman" w:hAnsi="Times New Roman" w:cs="Times New Roman"/>
                <w:color w:val="auto"/>
                <w:sz w:val="21"/>
                <w:szCs w:val="21"/>
                <w:highlight w:val="none"/>
                <w:lang w:val="en-US" w:eastAsia="zh-CN"/>
              </w:rPr>
              <w:t>.3</w:t>
            </w:r>
          </w:p>
        </w:tc>
        <w:tc>
          <w:tcPr>
            <w:tcW w:w="31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spacing w:line="300" w:lineRule="exact"/>
              <w:ind w:firstLineChars="0"/>
              <w:jc w:val="center"/>
              <w:textAlignment w:val="auto"/>
              <w:rPr>
                <w:rFonts w:hint="default" w:ascii="Times New Roman" w:hAnsi="Times New Roman" w:cs="Times New Roman"/>
                <w:color w:val="auto"/>
                <w:sz w:val="21"/>
                <w:szCs w:val="21"/>
                <w:highlight w:val="none"/>
              </w:rPr>
            </w:pPr>
          </w:p>
        </w:tc>
        <w:tc>
          <w:tcPr>
            <w:tcW w:w="1071" w:type="pct"/>
            <w:tcBorders>
              <w:tl2br w:val="nil"/>
              <w:tr2bl w:val="nil"/>
            </w:tcBorders>
            <w:noWrap w:val="0"/>
            <w:vAlign w:val="center"/>
          </w:tcPr>
          <w:p>
            <w:pPr>
              <w:jc w:val="center"/>
              <w:rPr>
                <w:rFonts w:hint="default" w:ascii="Times New Roman" w:hAnsi="Times New Roman" w:cs="Times New Roman"/>
                <w:color w:val="auto"/>
                <w:sz w:val="21"/>
                <w:szCs w:val="21"/>
                <w:highlight w:val="none"/>
              </w:rPr>
            </w:pPr>
            <w:r>
              <w:rPr>
                <w:color w:val="auto"/>
                <w:szCs w:val="21"/>
                <w:highlight w:val="none"/>
              </w:rPr>
              <w:t>铬酸雾(</w:t>
            </w:r>
            <w:r>
              <w:rPr>
                <w:rFonts w:hint="eastAsia"/>
                <w:color w:val="auto"/>
                <w:szCs w:val="21"/>
                <w:highlight w:val="none"/>
                <w:lang w:val="en-US" w:eastAsia="zh-CN"/>
              </w:rPr>
              <w:t>t</w:t>
            </w:r>
            <w:r>
              <w:rPr>
                <w:color w:val="auto"/>
                <w:szCs w:val="21"/>
                <w:highlight w:val="none"/>
              </w:rPr>
              <w:t>/a)</w:t>
            </w:r>
          </w:p>
        </w:tc>
        <w:tc>
          <w:tcPr>
            <w:tcW w:w="855" w:type="pct"/>
            <w:tcBorders>
              <w:tl2br w:val="nil"/>
              <w:tr2bl w:val="nil"/>
            </w:tcBorders>
            <w:noWrap w:val="0"/>
            <w:vAlign w:val="center"/>
          </w:tcPr>
          <w:p>
            <w:pPr>
              <w:jc w:val="center"/>
              <w:rPr>
                <w:rFonts w:hint="default" w:ascii="Times New Roman" w:hAnsi="Times New Roman" w:cs="Times New Roman"/>
                <w:color w:val="auto"/>
                <w:sz w:val="21"/>
                <w:szCs w:val="21"/>
                <w:highlight w:val="none"/>
              </w:rPr>
            </w:pPr>
            <w:r>
              <w:rPr>
                <w:rFonts w:hint="eastAsia"/>
                <w:color w:val="auto"/>
                <w:szCs w:val="21"/>
                <w:highlight w:val="none"/>
                <w:lang w:val="en-US" w:eastAsia="zh-CN"/>
              </w:rPr>
              <w:t>0.001</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97" w:hRule="atLeast"/>
          <w:jc w:val="center"/>
        </w:trPr>
        <w:tc>
          <w:tcPr>
            <w:tcW w:w="385" w:type="pct"/>
            <w:vMerge w:val="continue"/>
            <w:tcBorders>
              <w:tl2br w:val="nil"/>
              <w:tr2bl w:val="nil"/>
            </w:tcBorders>
            <w:noWrap w:val="0"/>
            <w:vAlign w:val="center"/>
          </w:tcPr>
          <w:p>
            <w:pPr>
              <w:pStyle w:val="113"/>
              <w:keepNext w:val="0"/>
              <w:keepLines w:val="0"/>
              <w:pageBreakBefore w:val="0"/>
              <w:kinsoku/>
              <w:wordWrap/>
              <w:overflowPunct/>
              <w:topLinePunct w:val="0"/>
              <w:autoSpaceDE/>
              <w:autoSpaceDN/>
              <w:bidi w:val="0"/>
              <w:adjustRightInd w:val="0"/>
              <w:snapToGrid/>
              <w:spacing w:line="300" w:lineRule="exact"/>
              <w:ind w:firstLine="0" w:firstLineChars="0"/>
              <w:jc w:val="center"/>
              <w:textAlignment w:val="auto"/>
              <w:rPr>
                <w:rFonts w:hint="default" w:ascii="Times New Roman" w:hAnsi="Times New Roman" w:cs="Times New Roman"/>
                <w:color w:val="auto"/>
                <w:sz w:val="21"/>
                <w:szCs w:val="21"/>
                <w:highlight w:val="none"/>
              </w:rPr>
            </w:pPr>
          </w:p>
        </w:tc>
        <w:tc>
          <w:tcPr>
            <w:tcW w:w="1046"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spacing w:line="300" w:lineRule="exact"/>
              <w:ind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总镍(kg/a)</w:t>
            </w:r>
          </w:p>
        </w:tc>
        <w:tc>
          <w:tcPr>
            <w:tcW w:w="687"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spacing w:line="300" w:lineRule="exact"/>
              <w:ind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r>
              <w:rPr>
                <w:rFonts w:hint="default" w:ascii="Times New Roman" w:hAnsi="Times New Roman" w:cs="Times New Roman"/>
                <w:color w:val="auto"/>
                <w:sz w:val="21"/>
                <w:szCs w:val="21"/>
                <w:highlight w:val="none"/>
                <w:lang w:val="en-US" w:eastAsia="zh-CN"/>
              </w:rPr>
              <w:t>05</w:t>
            </w:r>
          </w:p>
        </w:tc>
        <w:tc>
          <w:tcPr>
            <w:tcW w:w="63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spacing w:line="300" w:lineRule="exact"/>
              <w:ind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r>
              <w:rPr>
                <w:rFonts w:hint="default" w:ascii="Times New Roman" w:hAnsi="Times New Roman" w:cs="Times New Roman"/>
                <w:color w:val="auto"/>
                <w:sz w:val="21"/>
                <w:szCs w:val="21"/>
                <w:highlight w:val="none"/>
                <w:lang w:val="en-US" w:eastAsia="zh-CN"/>
              </w:rPr>
              <w:t>0</w:t>
            </w:r>
            <w:r>
              <w:rPr>
                <w:rFonts w:hint="eastAsia" w:ascii="Times New Roman" w:hAnsi="Times New Roman" w:cs="Times New Roman"/>
                <w:color w:val="auto"/>
                <w:sz w:val="21"/>
                <w:szCs w:val="21"/>
                <w:highlight w:val="none"/>
                <w:lang w:val="en-US" w:eastAsia="zh-CN"/>
              </w:rPr>
              <w:t>1</w:t>
            </w:r>
          </w:p>
        </w:tc>
        <w:tc>
          <w:tcPr>
            <w:tcW w:w="31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spacing w:line="300" w:lineRule="exact"/>
              <w:ind w:firstLineChars="0"/>
              <w:jc w:val="center"/>
              <w:textAlignment w:val="auto"/>
              <w:rPr>
                <w:rFonts w:hint="default" w:ascii="Times New Roman" w:hAnsi="Times New Roman" w:cs="Times New Roman"/>
                <w:color w:val="auto"/>
                <w:sz w:val="21"/>
                <w:szCs w:val="21"/>
                <w:highlight w:val="none"/>
              </w:rPr>
            </w:pPr>
          </w:p>
        </w:tc>
        <w:tc>
          <w:tcPr>
            <w:tcW w:w="1071" w:type="pct"/>
            <w:tcBorders>
              <w:tl2br w:val="nil"/>
              <w:tr2bl w:val="nil"/>
            </w:tcBorders>
            <w:noWrap w:val="0"/>
            <w:vAlign w:val="center"/>
          </w:tcPr>
          <w:p>
            <w:pPr>
              <w:jc w:val="center"/>
              <w:rPr>
                <w:rFonts w:hint="default" w:ascii="Times New Roman" w:hAnsi="Times New Roman" w:cs="Times New Roman"/>
                <w:color w:val="auto"/>
                <w:sz w:val="21"/>
                <w:szCs w:val="21"/>
                <w:highlight w:val="none"/>
              </w:rPr>
            </w:pPr>
            <w:r>
              <w:rPr>
                <w:rFonts w:hint="eastAsia"/>
                <w:color w:val="auto"/>
                <w:szCs w:val="21"/>
                <w:highlight w:val="none"/>
                <w:lang w:val="en-US" w:eastAsia="zh-CN"/>
              </w:rPr>
              <w:t>颗粒物</w:t>
            </w:r>
            <w:r>
              <w:rPr>
                <w:color w:val="auto"/>
                <w:szCs w:val="21"/>
                <w:highlight w:val="none"/>
              </w:rPr>
              <w:t>(</w:t>
            </w:r>
            <w:r>
              <w:rPr>
                <w:rFonts w:hint="eastAsia"/>
                <w:color w:val="auto"/>
                <w:szCs w:val="21"/>
                <w:highlight w:val="none"/>
                <w:lang w:val="en-US" w:eastAsia="zh-CN"/>
              </w:rPr>
              <w:t>t</w:t>
            </w:r>
            <w:r>
              <w:rPr>
                <w:color w:val="auto"/>
                <w:szCs w:val="21"/>
                <w:highlight w:val="none"/>
              </w:rPr>
              <w:t>/a)</w:t>
            </w:r>
          </w:p>
        </w:tc>
        <w:tc>
          <w:tcPr>
            <w:tcW w:w="855" w:type="pct"/>
            <w:tcBorders>
              <w:tl2br w:val="nil"/>
              <w:tr2bl w:val="nil"/>
            </w:tcBorders>
            <w:noWrap w:val="0"/>
            <w:vAlign w:val="center"/>
          </w:tcPr>
          <w:p>
            <w:pPr>
              <w:jc w:val="center"/>
              <w:rPr>
                <w:rFonts w:hint="default" w:ascii="Times New Roman" w:hAnsi="Times New Roman" w:cs="Times New Roman"/>
                <w:color w:val="auto"/>
                <w:sz w:val="21"/>
                <w:szCs w:val="21"/>
                <w:highlight w:val="none"/>
              </w:rPr>
            </w:pPr>
            <w:r>
              <w:rPr>
                <w:rFonts w:hint="eastAsia"/>
                <w:color w:val="auto"/>
                <w:szCs w:val="21"/>
                <w:highlight w:val="none"/>
                <w:lang w:val="en-US" w:eastAsia="zh-CN"/>
              </w:rPr>
              <w:t>0.015</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97" w:hRule="atLeast"/>
          <w:jc w:val="center"/>
        </w:trPr>
        <w:tc>
          <w:tcPr>
            <w:tcW w:w="385" w:type="pct"/>
            <w:vMerge w:val="continue"/>
            <w:tcBorders>
              <w:tl2br w:val="nil"/>
              <w:tr2bl w:val="nil"/>
            </w:tcBorders>
            <w:noWrap w:val="0"/>
            <w:vAlign w:val="center"/>
          </w:tcPr>
          <w:p>
            <w:pPr>
              <w:pStyle w:val="113"/>
              <w:keepNext w:val="0"/>
              <w:keepLines w:val="0"/>
              <w:pageBreakBefore w:val="0"/>
              <w:kinsoku/>
              <w:wordWrap/>
              <w:overflowPunct/>
              <w:topLinePunct w:val="0"/>
              <w:autoSpaceDE/>
              <w:autoSpaceDN/>
              <w:bidi w:val="0"/>
              <w:adjustRightInd w:val="0"/>
              <w:snapToGrid/>
              <w:spacing w:line="300" w:lineRule="exact"/>
              <w:ind w:firstLine="0" w:firstLineChars="0"/>
              <w:jc w:val="center"/>
              <w:textAlignment w:val="auto"/>
              <w:rPr>
                <w:rFonts w:hint="default" w:ascii="Times New Roman" w:hAnsi="Times New Roman" w:cs="Times New Roman"/>
                <w:color w:val="auto"/>
                <w:sz w:val="21"/>
                <w:szCs w:val="21"/>
                <w:highlight w:val="none"/>
              </w:rPr>
            </w:pPr>
          </w:p>
        </w:tc>
        <w:tc>
          <w:tcPr>
            <w:tcW w:w="1046"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snapToGrid w:val="0"/>
                <w:color w:val="auto"/>
                <w:kern w:val="0"/>
                <w:sz w:val="21"/>
                <w:szCs w:val="21"/>
                <w:highlight w:val="none"/>
              </w:rPr>
              <w:t>六价铬</w:t>
            </w:r>
            <w:r>
              <w:rPr>
                <w:rFonts w:hint="default" w:ascii="Times New Roman" w:hAnsi="Times New Roman" w:cs="Times New Roman"/>
                <w:color w:val="auto"/>
                <w:sz w:val="21"/>
                <w:szCs w:val="21"/>
                <w:highlight w:val="none"/>
              </w:rPr>
              <w:t>(kg/a)</w:t>
            </w:r>
          </w:p>
        </w:tc>
        <w:tc>
          <w:tcPr>
            <w:tcW w:w="68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0.</w:t>
            </w:r>
            <w:r>
              <w:rPr>
                <w:rFonts w:hint="default" w:ascii="Times New Roman" w:hAnsi="Times New Roman" w:cs="Times New Roman"/>
                <w:color w:val="auto"/>
                <w:sz w:val="21"/>
                <w:szCs w:val="21"/>
                <w:highlight w:val="none"/>
                <w:lang w:val="en-US" w:eastAsia="zh-CN"/>
              </w:rPr>
              <w:t>14</w:t>
            </w:r>
          </w:p>
        </w:tc>
        <w:tc>
          <w:tcPr>
            <w:tcW w:w="63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spacing w:line="300" w:lineRule="exact"/>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0.0</w:t>
            </w:r>
            <w:r>
              <w:rPr>
                <w:rFonts w:hint="eastAsia" w:ascii="Times New Roman" w:hAnsi="Times New Roman" w:cs="Times New Roman"/>
                <w:color w:val="auto"/>
                <w:sz w:val="21"/>
                <w:szCs w:val="21"/>
                <w:highlight w:val="none"/>
                <w:lang w:val="en-US" w:eastAsia="zh-CN"/>
              </w:rPr>
              <w:t>8</w:t>
            </w:r>
          </w:p>
        </w:tc>
        <w:tc>
          <w:tcPr>
            <w:tcW w:w="31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spacing w:line="300" w:lineRule="exact"/>
              <w:ind w:firstLineChars="0"/>
              <w:jc w:val="center"/>
              <w:textAlignment w:val="auto"/>
              <w:rPr>
                <w:rFonts w:hint="default" w:ascii="Times New Roman" w:hAnsi="Times New Roman" w:cs="Times New Roman"/>
                <w:color w:val="auto"/>
                <w:sz w:val="21"/>
                <w:szCs w:val="21"/>
                <w:highlight w:val="none"/>
              </w:rPr>
            </w:pPr>
          </w:p>
        </w:tc>
        <w:tc>
          <w:tcPr>
            <w:tcW w:w="1071" w:type="pct"/>
            <w:tcBorders>
              <w:tl2br w:val="nil"/>
              <w:tr2bl w:val="nil"/>
            </w:tcBorders>
            <w:noWrap w:val="0"/>
            <w:vAlign w:val="center"/>
          </w:tcPr>
          <w:p>
            <w:pPr>
              <w:jc w:val="center"/>
              <w:rPr>
                <w:rFonts w:hint="default" w:ascii="Times New Roman" w:hAnsi="Times New Roman" w:cs="Times New Roman"/>
                <w:color w:val="auto"/>
                <w:sz w:val="21"/>
                <w:szCs w:val="21"/>
                <w:highlight w:val="none"/>
              </w:rPr>
            </w:pPr>
            <w:r>
              <w:rPr>
                <w:rFonts w:hint="eastAsia"/>
                <w:color w:val="auto"/>
                <w:szCs w:val="21"/>
                <w:highlight w:val="none"/>
                <w:lang w:val="en-US" w:eastAsia="zh-CN"/>
              </w:rPr>
              <w:t>二氧化硫</w:t>
            </w:r>
            <w:r>
              <w:rPr>
                <w:color w:val="auto"/>
                <w:szCs w:val="21"/>
                <w:highlight w:val="none"/>
              </w:rPr>
              <w:t>(</w:t>
            </w:r>
            <w:r>
              <w:rPr>
                <w:rFonts w:hint="eastAsia"/>
                <w:color w:val="auto"/>
                <w:szCs w:val="21"/>
                <w:highlight w:val="none"/>
                <w:lang w:val="en-US" w:eastAsia="zh-CN"/>
              </w:rPr>
              <w:t>t</w:t>
            </w:r>
            <w:r>
              <w:rPr>
                <w:color w:val="auto"/>
                <w:szCs w:val="21"/>
                <w:highlight w:val="none"/>
              </w:rPr>
              <w:t>/a)</w:t>
            </w:r>
          </w:p>
        </w:tc>
        <w:tc>
          <w:tcPr>
            <w:tcW w:w="855" w:type="pct"/>
            <w:tcBorders>
              <w:tl2br w:val="nil"/>
              <w:tr2bl w:val="nil"/>
            </w:tcBorders>
            <w:noWrap w:val="0"/>
            <w:vAlign w:val="center"/>
          </w:tcPr>
          <w:p>
            <w:pPr>
              <w:jc w:val="center"/>
              <w:rPr>
                <w:rFonts w:hint="default" w:ascii="Times New Roman" w:hAnsi="Times New Roman" w:cs="Times New Roman"/>
                <w:color w:val="auto"/>
                <w:sz w:val="21"/>
                <w:szCs w:val="21"/>
                <w:highlight w:val="none"/>
              </w:rPr>
            </w:pPr>
            <w:r>
              <w:rPr>
                <w:rFonts w:hint="eastAsia"/>
                <w:color w:val="auto"/>
                <w:szCs w:val="21"/>
                <w:highlight w:val="none"/>
                <w:lang w:val="en-US" w:eastAsia="zh-CN"/>
              </w:rPr>
              <w:t>0.041</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97" w:hRule="atLeast"/>
          <w:jc w:val="center"/>
        </w:trPr>
        <w:tc>
          <w:tcPr>
            <w:tcW w:w="385" w:type="pct"/>
            <w:vMerge w:val="continue"/>
            <w:tcBorders>
              <w:tl2br w:val="nil"/>
              <w:tr2bl w:val="nil"/>
            </w:tcBorders>
            <w:noWrap w:val="0"/>
            <w:vAlign w:val="center"/>
          </w:tcPr>
          <w:p>
            <w:pPr>
              <w:pStyle w:val="113"/>
              <w:keepNext w:val="0"/>
              <w:keepLines w:val="0"/>
              <w:pageBreakBefore w:val="0"/>
              <w:kinsoku/>
              <w:wordWrap/>
              <w:overflowPunct/>
              <w:topLinePunct w:val="0"/>
              <w:autoSpaceDE/>
              <w:autoSpaceDN/>
              <w:bidi w:val="0"/>
              <w:adjustRightInd w:val="0"/>
              <w:snapToGrid/>
              <w:spacing w:line="300" w:lineRule="exact"/>
              <w:ind w:firstLine="0" w:firstLineChars="0"/>
              <w:jc w:val="center"/>
              <w:textAlignment w:val="auto"/>
              <w:rPr>
                <w:rFonts w:hint="default" w:ascii="Times New Roman" w:hAnsi="Times New Roman" w:cs="Times New Roman"/>
                <w:color w:val="auto"/>
                <w:sz w:val="21"/>
                <w:szCs w:val="21"/>
                <w:highlight w:val="none"/>
              </w:rPr>
            </w:pPr>
          </w:p>
        </w:tc>
        <w:tc>
          <w:tcPr>
            <w:tcW w:w="1046"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spacing w:line="30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snapToGrid w:val="0"/>
                <w:color w:val="auto"/>
                <w:kern w:val="0"/>
                <w:sz w:val="21"/>
                <w:szCs w:val="21"/>
                <w:highlight w:val="none"/>
              </w:rPr>
              <w:t>总铬</w:t>
            </w:r>
            <w:r>
              <w:rPr>
                <w:rFonts w:hint="default" w:ascii="Times New Roman" w:hAnsi="Times New Roman" w:cs="Times New Roman"/>
                <w:color w:val="auto"/>
                <w:sz w:val="21"/>
                <w:szCs w:val="21"/>
                <w:highlight w:val="none"/>
              </w:rPr>
              <w:t>(kg/a)</w:t>
            </w:r>
          </w:p>
        </w:tc>
        <w:tc>
          <w:tcPr>
            <w:tcW w:w="687"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0.</w:t>
            </w:r>
            <w:r>
              <w:rPr>
                <w:rFonts w:hint="default" w:ascii="Times New Roman" w:hAnsi="Times New Roman" w:cs="Times New Roman"/>
                <w:color w:val="auto"/>
                <w:sz w:val="21"/>
                <w:szCs w:val="21"/>
                <w:highlight w:val="none"/>
                <w:lang w:val="en-US" w:eastAsia="zh-CN"/>
              </w:rPr>
              <w:t>36</w:t>
            </w:r>
          </w:p>
        </w:tc>
        <w:tc>
          <w:tcPr>
            <w:tcW w:w="63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spacing w:line="30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0.</w:t>
            </w:r>
            <w:r>
              <w:rPr>
                <w:rFonts w:hint="eastAsia" w:ascii="Times New Roman" w:hAnsi="Times New Roman" w:cs="Times New Roman"/>
                <w:color w:val="auto"/>
                <w:sz w:val="21"/>
                <w:szCs w:val="21"/>
                <w:highlight w:val="none"/>
                <w:lang w:val="en-US" w:eastAsia="zh-CN"/>
              </w:rPr>
              <w:t>16</w:t>
            </w:r>
          </w:p>
        </w:tc>
        <w:tc>
          <w:tcPr>
            <w:tcW w:w="31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spacing w:line="300" w:lineRule="exact"/>
              <w:ind w:firstLineChars="0"/>
              <w:jc w:val="center"/>
              <w:textAlignment w:val="auto"/>
              <w:rPr>
                <w:rFonts w:hint="default" w:ascii="Times New Roman" w:hAnsi="Times New Roman" w:cs="Times New Roman"/>
                <w:color w:val="auto"/>
                <w:sz w:val="21"/>
                <w:szCs w:val="21"/>
                <w:highlight w:val="none"/>
              </w:rPr>
            </w:pPr>
          </w:p>
        </w:tc>
        <w:tc>
          <w:tcPr>
            <w:tcW w:w="1071"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spacing w:line="300" w:lineRule="exact"/>
              <w:ind w:firstLineChars="0"/>
              <w:jc w:val="center"/>
              <w:textAlignment w:val="auto"/>
              <w:rPr>
                <w:rFonts w:hint="default" w:ascii="Times New Roman" w:hAnsi="Times New Roman" w:cs="Times New Roman"/>
                <w:color w:val="auto"/>
                <w:sz w:val="21"/>
                <w:szCs w:val="21"/>
                <w:highlight w:val="none"/>
              </w:rPr>
            </w:pPr>
          </w:p>
        </w:tc>
        <w:tc>
          <w:tcPr>
            <w:tcW w:w="85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spacing w:line="300" w:lineRule="exact"/>
              <w:ind w:firstLineChars="0"/>
              <w:jc w:val="center"/>
              <w:textAlignment w:val="auto"/>
              <w:rPr>
                <w:rFonts w:hint="default" w:ascii="Times New Roman" w:hAnsi="Times New Roman" w:cs="Times New Roman"/>
                <w:color w:val="auto"/>
                <w:sz w:val="21"/>
                <w:szCs w:val="21"/>
                <w:highlight w:val="none"/>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97" w:hRule="atLeast"/>
          <w:jc w:val="center"/>
        </w:trPr>
        <w:tc>
          <w:tcPr>
            <w:tcW w:w="385" w:type="pct"/>
            <w:vMerge w:val="continue"/>
            <w:tcBorders>
              <w:tl2br w:val="nil"/>
              <w:tr2bl w:val="nil"/>
            </w:tcBorders>
            <w:noWrap w:val="0"/>
            <w:vAlign w:val="center"/>
          </w:tcPr>
          <w:p>
            <w:pPr>
              <w:pStyle w:val="113"/>
              <w:keepNext w:val="0"/>
              <w:keepLines w:val="0"/>
              <w:pageBreakBefore w:val="0"/>
              <w:kinsoku/>
              <w:wordWrap/>
              <w:overflowPunct/>
              <w:topLinePunct w:val="0"/>
              <w:autoSpaceDE/>
              <w:autoSpaceDN/>
              <w:bidi w:val="0"/>
              <w:adjustRightInd w:val="0"/>
              <w:snapToGrid/>
              <w:spacing w:line="300" w:lineRule="exact"/>
              <w:ind w:firstLine="0" w:firstLineChars="0"/>
              <w:jc w:val="center"/>
              <w:textAlignment w:val="auto"/>
              <w:rPr>
                <w:rFonts w:hint="default" w:ascii="Times New Roman" w:hAnsi="Times New Roman" w:cs="Times New Roman"/>
                <w:color w:val="auto"/>
                <w:sz w:val="21"/>
                <w:szCs w:val="21"/>
                <w:highlight w:val="none"/>
              </w:rPr>
            </w:pPr>
          </w:p>
        </w:tc>
        <w:tc>
          <w:tcPr>
            <w:tcW w:w="1046"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spacing w:line="300" w:lineRule="exact"/>
              <w:ind w:firstLine="0" w:firstLineChars="0"/>
              <w:jc w:val="center"/>
              <w:textAlignment w:val="auto"/>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总</w:t>
            </w:r>
            <w:r>
              <w:rPr>
                <w:rFonts w:hint="eastAsia" w:cs="Times New Roman"/>
                <w:snapToGrid w:val="0"/>
                <w:color w:val="auto"/>
                <w:kern w:val="0"/>
                <w:sz w:val="21"/>
                <w:szCs w:val="21"/>
                <w:highlight w:val="none"/>
                <w:lang w:val="en-US" w:eastAsia="zh-CN"/>
              </w:rPr>
              <w:t>银</w:t>
            </w:r>
            <w:r>
              <w:rPr>
                <w:rFonts w:hint="default" w:ascii="Times New Roman" w:hAnsi="Times New Roman" w:cs="Times New Roman"/>
                <w:color w:val="auto"/>
                <w:sz w:val="21"/>
                <w:szCs w:val="21"/>
                <w:highlight w:val="none"/>
              </w:rPr>
              <w:t>(kg/a)</w:t>
            </w:r>
          </w:p>
        </w:tc>
        <w:tc>
          <w:tcPr>
            <w:tcW w:w="687"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spacing w:line="30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2.9</w:t>
            </w:r>
          </w:p>
        </w:tc>
        <w:tc>
          <w:tcPr>
            <w:tcW w:w="63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spacing w:line="30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1.2</w:t>
            </w:r>
          </w:p>
        </w:tc>
        <w:tc>
          <w:tcPr>
            <w:tcW w:w="319"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spacing w:line="300" w:lineRule="exact"/>
              <w:ind w:firstLineChars="0"/>
              <w:jc w:val="center"/>
              <w:textAlignment w:val="auto"/>
              <w:rPr>
                <w:rFonts w:hint="default" w:ascii="Times New Roman" w:hAnsi="Times New Roman" w:cs="Times New Roman"/>
                <w:color w:val="auto"/>
                <w:sz w:val="21"/>
                <w:szCs w:val="21"/>
                <w:highlight w:val="none"/>
              </w:rPr>
            </w:pPr>
          </w:p>
        </w:tc>
        <w:tc>
          <w:tcPr>
            <w:tcW w:w="1071"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spacing w:line="300" w:lineRule="exact"/>
              <w:ind w:firstLineChars="0"/>
              <w:jc w:val="center"/>
              <w:textAlignment w:val="auto"/>
              <w:rPr>
                <w:rFonts w:hint="default" w:ascii="Times New Roman" w:hAnsi="Times New Roman" w:cs="Times New Roman"/>
                <w:color w:val="auto"/>
                <w:sz w:val="21"/>
                <w:szCs w:val="21"/>
                <w:highlight w:val="none"/>
              </w:rPr>
            </w:pPr>
          </w:p>
        </w:tc>
        <w:tc>
          <w:tcPr>
            <w:tcW w:w="85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spacing w:line="300" w:lineRule="exact"/>
              <w:ind w:firstLineChars="0"/>
              <w:jc w:val="center"/>
              <w:textAlignment w:val="auto"/>
              <w:rPr>
                <w:rFonts w:hint="default" w:ascii="Times New Roman" w:hAnsi="Times New Roman" w:cs="Times New Roman"/>
                <w:color w:val="auto"/>
                <w:sz w:val="21"/>
                <w:szCs w:val="21"/>
                <w:highlight w:val="none"/>
              </w:rPr>
            </w:pPr>
          </w:p>
        </w:tc>
      </w:tr>
      <w:bookmarkEnd w:id="214"/>
      <w:bookmarkEnd w:id="215"/>
    </w:tbl>
    <w:p>
      <w:pPr>
        <w:spacing w:line="348" w:lineRule="auto"/>
        <w:outlineLvl w:val="2"/>
        <w:rPr>
          <w:rFonts w:eastAsia="黑体"/>
          <w:color w:val="auto"/>
          <w:sz w:val="24"/>
          <w:highlight w:val="none"/>
        </w:rPr>
      </w:pPr>
      <w:r>
        <w:rPr>
          <w:rFonts w:hint="eastAsia" w:eastAsia="黑体"/>
          <w:color w:val="auto"/>
          <w:sz w:val="24"/>
          <w:highlight w:val="none"/>
          <w:lang w:val="en-US" w:eastAsia="zh-CN"/>
        </w:rPr>
        <w:t>4.8</w:t>
      </w:r>
      <w:r>
        <w:rPr>
          <w:rFonts w:eastAsia="黑体"/>
          <w:color w:val="auto"/>
          <w:sz w:val="24"/>
          <w:highlight w:val="none"/>
        </w:rPr>
        <w:t>.</w:t>
      </w:r>
      <w:r>
        <w:rPr>
          <w:rFonts w:hint="eastAsia" w:eastAsia="黑体"/>
          <w:color w:val="auto"/>
          <w:sz w:val="24"/>
          <w:highlight w:val="none"/>
          <w:lang w:val="en-US" w:eastAsia="zh-CN"/>
        </w:rPr>
        <w:t>2</w:t>
      </w:r>
      <w:r>
        <w:rPr>
          <w:rFonts w:eastAsia="黑体"/>
          <w:color w:val="auto"/>
          <w:sz w:val="24"/>
          <w:highlight w:val="none"/>
        </w:rPr>
        <w:t xml:space="preserve"> 总量指标达标分析</w:t>
      </w:r>
    </w:p>
    <w:p>
      <w:pPr>
        <w:pStyle w:val="16"/>
        <w:snapToGrid w:val="0"/>
        <w:spacing w:line="360" w:lineRule="auto"/>
        <w:ind w:left="71" w:leftChars="34" w:firstLine="480"/>
        <w:jc w:val="both"/>
        <w:rPr>
          <w:rFonts w:ascii="Times New Roman" w:hAnsi="Times New Roman"/>
          <w:color w:val="auto"/>
          <w:sz w:val="24"/>
          <w:highlight w:val="none"/>
        </w:rPr>
      </w:pPr>
      <w:r>
        <w:rPr>
          <w:rFonts w:ascii="Times New Roman" w:hAnsi="Times New Roman"/>
          <w:color w:val="auto"/>
          <w:sz w:val="24"/>
          <w:highlight w:val="none"/>
        </w:rPr>
        <w:t>该项目位于</w:t>
      </w:r>
      <w:r>
        <w:rPr>
          <w:rFonts w:hint="eastAsia" w:eastAsiaTheme="minorEastAsia"/>
          <w:color w:val="auto"/>
          <w:sz w:val="24"/>
          <w:highlight w:val="none"/>
        </w:rPr>
        <w:t>青岛经济</w:t>
      </w:r>
      <w:r>
        <w:rPr>
          <w:rFonts w:hint="eastAsia" w:ascii="Times New Roman" w:hAnsi="Times New Roman"/>
          <w:color w:val="auto"/>
          <w:sz w:val="24"/>
          <w:highlight w:val="none"/>
          <w:lang w:val="en-US" w:eastAsia="zh-CN"/>
        </w:rPr>
        <w:t>技术开发区</w:t>
      </w:r>
      <w:r>
        <w:rPr>
          <w:rFonts w:hint="eastAsia" w:eastAsiaTheme="minorEastAsia"/>
          <w:color w:val="auto"/>
          <w:sz w:val="24"/>
          <w:highlight w:val="none"/>
        </w:rPr>
        <w:t>电镀工业园</w:t>
      </w:r>
      <w:r>
        <w:rPr>
          <w:rFonts w:ascii="Times New Roman" w:hAnsi="Times New Roman"/>
          <w:color w:val="auto"/>
          <w:sz w:val="24"/>
          <w:highlight w:val="none"/>
        </w:rPr>
        <w:t>内，根据</w:t>
      </w:r>
      <w:r>
        <w:rPr>
          <w:rFonts w:hint="eastAsia" w:eastAsiaTheme="minorEastAsia"/>
          <w:color w:val="auto"/>
          <w:sz w:val="24"/>
          <w:highlight w:val="none"/>
        </w:rPr>
        <w:t>电镀工业园</w:t>
      </w:r>
      <w:r>
        <w:rPr>
          <w:rFonts w:hint="eastAsia" w:eastAsiaTheme="minorEastAsia"/>
          <w:color w:val="auto"/>
          <w:sz w:val="24"/>
          <w:highlight w:val="none"/>
          <w:lang w:val="en-US" w:eastAsia="zh-CN"/>
        </w:rPr>
        <w:t>的</w:t>
      </w:r>
      <w:r>
        <w:rPr>
          <w:rFonts w:hint="eastAsia" w:ascii="Times New Roman" w:hAnsi="Times New Roman"/>
          <w:color w:val="auto"/>
          <w:sz w:val="24"/>
          <w:highlight w:val="none"/>
          <w:lang w:val="en-US" w:eastAsia="zh-CN"/>
        </w:rPr>
        <w:t>环评批复</w:t>
      </w:r>
      <w:r>
        <w:rPr>
          <w:rFonts w:ascii="Times New Roman" w:hAnsi="Times New Roman"/>
          <w:color w:val="auto"/>
          <w:sz w:val="24"/>
          <w:highlight w:val="none"/>
        </w:rPr>
        <w:t>，</w:t>
      </w:r>
      <w:r>
        <w:rPr>
          <w:rFonts w:hint="eastAsia" w:ascii="Times New Roman" w:hAnsi="Times New Roman"/>
          <w:color w:val="auto"/>
          <w:sz w:val="24"/>
          <w:highlight w:val="none"/>
          <w:lang w:val="en-US" w:eastAsia="zh-CN"/>
        </w:rPr>
        <w:t>该项目</w:t>
      </w:r>
      <w:r>
        <w:rPr>
          <w:rFonts w:ascii="Times New Roman" w:hAnsi="Times New Roman"/>
          <w:color w:val="auto"/>
          <w:sz w:val="24"/>
          <w:highlight w:val="none"/>
        </w:rPr>
        <w:t>排放总量</w:t>
      </w:r>
      <w:r>
        <w:rPr>
          <w:rFonts w:hint="eastAsia" w:ascii="Times New Roman" w:hAnsi="Times New Roman"/>
          <w:color w:val="auto"/>
          <w:sz w:val="24"/>
          <w:highlight w:val="none"/>
          <w:lang w:val="en-US" w:eastAsia="zh-CN"/>
        </w:rPr>
        <w:t>可行分析</w:t>
      </w:r>
      <w:r>
        <w:rPr>
          <w:rFonts w:ascii="Times New Roman" w:hAnsi="Times New Roman"/>
          <w:color w:val="auto"/>
          <w:sz w:val="24"/>
          <w:highlight w:val="none"/>
        </w:rPr>
        <w:t>见下表</w:t>
      </w:r>
      <w:r>
        <w:rPr>
          <w:rFonts w:hint="eastAsia" w:ascii="Times New Roman" w:hAnsi="Times New Roman"/>
          <w:color w:val="auto"/>
          <w:sz w:val="24"/>
          <w:highlight w:val="none"/>
          <w:lang w:val="en-US" w:eastAsia="zh-CN"/>
        </w:rPr>
        <w:t>4.8</w:t>
      </w:r>
      <w:r>
        <w:rPr>
          <w:rFonts w:ascii="Times New Roman" w:hAnsi="Times New Roman"/>
          <w:color w:val="auto"/>
          <w:sz w:val="24"/>
          <w:highlight w:val="none"/>
        </w:rPr>
        <w:t>-</w:t>
      </w:r>
      <w:r>
        <w:rPr>
          <w:rFonts w:hint="eastAsia" w:ascii="Times New Roman" w:hAnsi="Times New Roman"/>
          <w:color w:val="auto"/>
          <w:sz w:val="24"/>
          <w:highlight w:val="none"/>
          <w:lang w:val="en-US" w:eastAsia="zh-CN"/>
        </w:rPr>
        <w:t>1</w:t>
      </w:r>
      <w:r>
        <w:rPr>
          <w:rFonts w:ascii="Times New Roman" w:hAnsi="Times New Roman"/>
          <w:color w:val="auto"/>
          <w:sz w:val="24"/>
          <w:highlight w:val="none"/>
        </w:rPr>
        <w:t>。</w:t>
      </w:r>
    </w:p>
    <w:p>
      <w:pPr>
        <w:snapToGrid w:val="0"/>
        <w:spacing w:line="360" w:lineRule="auto"/>
        <w:jc w:val="center"/>
        <w:rPr>
          <w:rFonts w:eastAsia="黑体"/>
          <w:color w:val="auto"/>
          <w:sz w:val="24"/>
          <w:highlight w:val="none"/>
        </w:rPr>
      </w:pPr>
      <w:r>
        <w:rPr>
          <w:rFonts w:eastAsia="黑体"/>
          <w:color w:val="auto"/>
          <w:sz w:val="24"/>
          <w:highlight w:val="none"/>
        </w:rPr>
        <w:t>表</w:t>
      </w:r>
      <w:r>
        <w:rPr>
          <w:rFonts w:hint="eastAsia" w:eastAsia="黑体"/>
          <w:color w:val="auto"/>
          <w:sz w:val="24"/>
          <w:highlight w:val="none"/>
          <w:lang w:val="en-US" w:eastAsia="zh-CN"/>
        </w:rPr>
        <w:t>4.8</w:t>
      </w:r>
      <w:r>
        <w:rPr>
          <w:rFonts w:eastAsia="黑体"/>
          <w:color w:val="auto"/>
          <w:sz w:val="24"/>
          <w:highlight w:val="none"/>
        </w:rPr>
        <w:t>-</w:t>
      </w:r>
      <w:r>
        <w:rPr>
          <w:rFonts w:hint="eastAsia" w:eastAsia="黑体"/>
          <w:color w:val="auto"/>
          <w:sz w:val="24"/>
          <w:highlight w:val="none"/>
          <w:lang w:val="en-US" w:eastAsia="zh-CN"/>
        </w:rPr>
        <w:t>1</w:t>
      </w:r>
      <w:r>
        <w:rPr>
          <w:rFonts w:eastAsia="黑体"/>
          <w:color w:val="auto"/>
          <w:sz w:val="24"/>
          <w:highlight w:val="none"/>
        </w:rPr>
        <w:t xml:space="preserve">  </w:t>
      </w:r>
      <w:r>
        <w:rPr>
          <w:rFonts w:hint="eastAsia" w:eastAsia="黑体"/>
          <w:color w:val="auto"/>
          <w:sz w:val="24"/>
          <w:highlight w:val="none"/>
          <w:lang w:val="en-US" w:eastAsia="zh-CN"/>
        </w:rPr>
        <w:t>项目园区</w:t>
      </w:r>
      <w:r>
        <w:rPr>
          <w:rFonts w:eastAsia="黑体"/>
          <w:color w:val="auto"/>
          <w:sz w:val="24"/>
          <w:highlight w:val="none"/>
        </w:rPr>
        <w:t>排放总量控制指标</w:t>
      </w:r>
      <w:r>
        <w:rPr>
          <w:rFonts w:hint="eastAsia" w:eastAsia="黑体"/>
          <w:color w:val="auto"/>
          <w:sz w:val="24"/>
          <w:highlight w:val="none"/>
          <w:lang w:val="en-US" w:eastAsia="zh-CN"/>
        </w:rPr>
        <w:t>对比</w:t>
      </w:r>
      <w:r>
        <w:rPr>
          <w:rFonts w:eastAsia="黑体"/>
          <w:color w:val="auto"/>
          <w:sz w:val="24"/>
          <w:highlight w:val="none"/>
        </w:rPr>
        <w:t>分析列表</w:t>
      </w:r>
    </w:p>
    <w:tbl>
      <w:tblPr>
        <w:tblStyle w:val="37"/>
        <w:tblW w:w="5000" w:type="pct"/>
        <w:jc w:val="center"/>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autofit"/>
        <w:tblCellMar>
          <w:top w:w="0" w:type="dxa"/>
          <w:left w:w="108" w:type="dxa"/>
          <w:bottom w:w="0" w:type="dxa"/>
          <w:right w:w="108" w:type="dxa"/>
        </w:tblCellMar>
      </w:tblPr>
      <w:tblGrid>
        <w:gridCol w:w="2306"/>
        <w:gridCol w:w="2308"/>
        <w:gridCol w:w="2308"/>
        <w:gridCol w:w="2309"/>
      </w:tblGrid>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63" w:hRule="atLeast"/>
          <w:jc w:val="center"/>
        </w:trPr>
        <w:tc>
          <w:tcPr>
            <w:tcW w:w="1249" w:type="pct"/>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b/>
                <w:bCs/>
                <w:color w:val="auto"/>
                <w:sz w:val="21"/>
                <w:szCs w:val="21"/>
                <w:highlight w:val="none"/>
                <w:vertAlign w:val="baseline"/>
                <w:lang w:val="en-US" w:eastAsia="zh-CN"/>
              </w:rPr>
            </w:pPr>
            <w:r>
              <w:rPr>
                <w:rFonts w:hint="eastAsia" w:ascii="Times New Roman" w:hAnsi="Times New Roman"/>
                <w:b/>
                <w:bCs/>
                <w:color w:val="auto"/>
                <w:sz w:val="21"/>
                <w:szCs w:val="21"/>
                <w:highlight w:val="none"/>
                <w:vertAlign w:val="baseline"/>
                <w:lang w:val="en-US" w:eastAsia="zh-CN"/>
              </w:rPr>
              <w:t>名称</w:t>
            </w:r>
          </w:p>
        </w:tc>
        <w:tc>
          <w:tcPr>
            <w:tcW w:w="1250" w:type="pct"/>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b/>
                <w:bCs/>
                <w:color w:val="auto"/>
                <w:sz w:val="21"/>
                <w:szCs w:val="21"/>
                <w:highlight w:val="none"/>
                <w:vertAlign w:val="baseline"/>
                <w:lang w:val="en-US" w:eastAsia="zh-CN"/>
              </w:rPr>
            </w:pPr>
            <w:r>
              <w:rPr>
                <w:rFonts w:ascii="Times New Roman" w:hAnsi="Times New Roman"/>
                <w:b/>
                <w:bCs/>
                <w:color w:val="auto"/>
                <w:sz w:val="21"/>
                <w:szCs w:val="21"/>
                <w:highlight w:val="none"/>
              </w:rPr>
              <w:t>一类污染物</w:t>
            </w:r>
            <w:r>
              <w:rPr>
                <w:rFonts w:hint="eastAsia" w:ascii="Times New Roman" w:hAnsi="Times New Roman"/>
                <w:b/>
                <w:bCs/>
                <w:color w:val="auto"/>
                <w:sz w:val="21"/>
                <w:szCs w:val="21"/>
                <w:highlight w:val="none"/>
                <w:lang w:val="en-US" w:eastAsia="zh-CN"/>
              </w:rPr>
              <w:t>控制量</w:t>
            </w:r>
            <w:r>
              <w:rPr>
                <w:rFonts w:ascii="Times New Roman" w:hAnsi="Times New Roman"/>
                <w:b/>
                <w:bCs/>
                <w:color w:val="auto"/>
                <w:sz w:val="21"/>
                <w:szCs w:val="21"/>
                <w:highlight w:val="none"/>
              </w:rPr>
              <w:t>(kg)</w:t>
            </w:r>
          </w:p>
        </w:tc>
        <w:tc>
          <w:tcPr>
            <w:tcW w:w="1250" w:type="pct"/>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b/>
                <w:bCs/>
                <w:color w:val="auto"/>
                <w:sz w:val="21"/>
                <w:szCs w:val="21"/>
                <w:highlight w:val="none"/>
                <w:vertAlign w:val="baseline"/>
                <w:lang w:val="en-US" w:eastAsia="zh-CN"/>
              </w:rPr>
            </w:pPr>
            <w:r>
              <w:rPr>
                <w:rFonts w:hint="eastAsia" w:ascii="Times New Roman" w:hAnsi="Times New Roman"/>
                <w:b/>
                <w:bCs/>
                <w:color w:val="auto"/>
                <w:sz w:val="21"/>
                <w:szCs w:val="21"/>
                <w:highlight w:val="none"/>
                <w:vertAlign w:val="baseline"/>
                <w:lang w:val="en-US" w:eastAsia="zh-CN"/>
              </w:rPr>
              <w:t>二类污染物(铜、锌、氰化物)控制量</w:t>
            </w:r>
            <w:r>
              <w:rPr>
                <w:rFonts w:ascii="Times New Roman" w:hAnsi="Times New Roman"/>
                <w:b/>
                <w:bCs/>
                <w:color w:val="auto"/>
                <w:sz w:val="21"/>
                <w:szCs w:val="21"/>
                <w:highlight w:val="none"/>
              </w:rPr>
              <w:t>(kg)</w:t>
            </w:r>
          </w:p>
        </w:tc>
        <w:tc>
          <w:tcPr>
            <w:tcW w:w="1250" w:type="pct"/>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b/>
                <w:bCs/>
                <w:color w:val="auto"/>
                <w:sz w:val="21"/>
                <w:szCs w:val="21"/>
                <w:highlight w:val="none"/>
                <w:vertAlign w:val="baseline"/>
                <w:lang w:val="en-US" w:eastAsia="zh-CN"/>
              </w:rPr>
            </w:pPr>
            <w:r>
              <w:rPr>
                <w:rFonts w:hint="eastAsia" w:ascii="Times New Roman" w:hAnsi="Times New Roman"/>
                <w:b/>
                <w:bCs/>
                <w:color w:val="auto"/>
                <w:sz w:val="21"/>
                <w:szCs w:val="21"/>
                <w:highlight w:val="none"/>
                <w:vertAlign w:val="baseline"/>
                <w:lang w:val="en-US" w:eastAsia="zh-CN"/>
              </w:rPr>
              <w:t>控制生产水量</w:t>
            </w:r>
            <w:r>
              <w:rPr>
                <w:rFonts w:ascii="Times New Roman" w:hAnsi="Times New Roman"/>
                <w:b/>
                <w:bCs/>
                <w:color w:val="auto"/>
                <w:sz w:val="21"/>
                <w:szCs w:val="21"/>
                <w:highlight w:val="none"/>
              </w:rPr>
              <w:t>(</w:t>
            </w:r>
            <w:r>
              <w:rPr>
                <w:rFonts w:hint="default" w:ascii="Times New Roman" w:hAnsi="Times New Roman" w:cs="Times New Roman"/>
                <w:b/>
                <w:bCs/>
                <w:color w:val="auto"/>
                <w:sz w:val="21"/>
                <w:szCs w:val="21"/>
                <w:highlight w:val="none"/>
              </w:rPr>
              <w:t>万m</w:t>
            </w:r>
            <w:r>
              <w:rPr>
                <w:rFonts w:hint="default" w:ascii="Times New Roman" w:hAnsi="Times New Roman" w:cs="Times New Roman"/>
                <w:b/>
                <w:bCs/>
                <w:color w:val="auto"/>
                <w:sz w:val="21"/>
                <w:szCs w:val="21"/>
                <w:highlight w:val="none"/>
                <w:vertAlign w:val="superscript"/>
              </w:rPr>
              <w:t>3</w:t>
            </w:r>
            <w:r>
              <w:rPr>
                <w:rFonts w:hint="default" w:ascii="Times New Roman" w:hAnsi="Times New Roman" w:cs="Times New Roman"/>
                <w:b/>
                <w:bCs/>
                <w:color w:val="auto"/>
                <w:sz w:val="21"/>
                <w:szCs w:val="21"/>
                <w:highlight w:val="none"/>
              </w:rPr>
              <w:t>/a</w:t>
            </w:r>
            <w:r>
              <w:rPr>
                <w:rFonts w:ascii="Times New Roman" w:hAnsi="Times New Roman"/>
                <w:b/>
                <w:bCs/>
                <w:color w:val="auto"/>
                <w:sz w:val="21"/>
                <w:szCs w:val="21"/>
                <w:highlight w:val="none"/>
              </w:rPr>
              <w:t>)</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63" w:hRule="atLeast"/>
          <w:jc w:val="center"/>
        </w:trPr>
        <w:tc>
          <w:tcPr>
            <w:tcW w:w="1249" w:type="pct"/>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olor w:val="auto"/>
                <w:sz w:val="21"/>
                <w:szCs w:val="21"/>
                <w:highlight w:val="none"/>
                <w:vertAlign w:val="baseline"/>
                <w:lang w:val="en-US" w:eastAsia="zh-CN"/>
              </w:rPr>
            </w:pPr>
            <w:r>
              <w:rPr>
                <w:rFonts w:hint="eastAsia" w:ascii="Times New Roman" w:hAnsi="Times New Roman"/>
                <w:color w:val="auto"/>
                <w:sz w:val="21"/>
                <w:szCs w:val="21"/>
                <w:highlight w:val="none"/>
                <w:vertAlign w:val="baseline"/>
                <w:lang w:val="en-US" w:eastAsia="zh-CN"/>
              </w:rPr>
              <w:t>园区总量指标</w:t>
            </w:r>
          </w:p>
        </w:tc>
        <w:tc>
          <w:tcPr>
            <w:tcW w:w="1250" w:type="pct"/>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olor w:val="auto"/>
                <w:sz w:val="21"/>
                <w:szCs w:val="21"/>
                <w:highlight w:val="none"/>
                <w:vertAlign w:val="baseline"/>
                <w:lang w:val="en-US" w:eastAsia="zh-CN"/>
              </w:rPr>
            </w:pPr>
            <w:r>
              <w:rPr>
                <w:rFonts w:hint="eastAsia" w:ascii="Times New Roman" w:hAnsi="Times New Roman"/>
                <w:color w:val="auto"/>
                <w:sz w:val="21"/>
                <w:szCs w:val="21"/>
                <w:highlight w:val="none"/>
                <w:vertAlign w:val="baseline"/>
                <w:lang w:val="en-US" w:eastAsia="zh-CN"/>
              </w:rPr>
              <w:t>22.56</w:t>
            </w:r>
          </w:p>
        </w:tc>
        <w:tc>
          <w:tcPr>
            <w:tcW w:w="1250" w:type="pct"/>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olor w:val="auto"/>
                <w:sz w:val="21"/>
                <w:szCs w:val="21"/>
                <w:highlight w:val="none"/>
                <w:vertAlign w:val="baseline"/>
                <w:lang w:val="en-US" w:eastAsia="zh-CN"/>
              </w:rPr>
            </w:pPr>
            <w:r>
              <w:rPr>
                <w:rFonts w:hint="eastAsia" w:ascii="Times New Roman" w:hAnsi="Times New Roman"/>
                <w:color w:val="auto"/>
                <w:sz w:val="21"/>
                <w:szCs w:val="21"/>
                <w:highlight w:val="none"/>
                <w:vertAlign w:val="baseline"/>
                <w:lang w:val="en-US" w:eastAsia="zh-CN"/>
              </w:rPr>
              <w:t>59.98</w:t>
            </w:r>
          </w:p>
        </w:tc>
        <w:tc>
          <w:tcPr>
            <w:tcW w:w="1250" w:type="pct"/>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olor w:val="auto"/>
                <w:sz w:val="21"/>
                <w:szCs w:val="21"/>
                <w:highlight w:val="none"/>
                <w:vertAlign w:val="baseline"/>
                <w:lang w:val="en-US" w:eastAsia="zh-CN"/>
              </w:rPr>
            </w:pPr>
            <w:r>
              <w:rPr>
                <w:rFonts w:hint="eastAsia" w:ascii="Times New Roman" w:hAnsi="Times New Roman"/>
                <w:color w:val="auto"/>
                <w:sz w:val="21"/>
                <w:szCs w:val="21"/>
                <w:highlight w:val="none"/>
                <w:vertAlign w:val="baseline"/>
                <w:lang w:val="en-US" w:eastAsia="zh-CN"/>
              </w:rPr>
              <w:t>10.92</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63" w:hRule="atLeast"/>
          <w:jc w:val="center"/>
        </w:trPr>
        <w:tc>
          <w:tcPr>
            <w:tcW w:w="1249" w:type="pct"/>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olor w:val="auto"/>
                <w:sz w:val="21"/>
                <w:szCs w:val="21"/>
                <w:highlight w:val="none"/>
                <w:vertAlign w:val="baseline"/>
                <w:lang w:val="en-US" w:eastAsia="zh-CN"/>
              </w:rPr>
            </w:pPr>
            <w:r>
              <w:rPr>
                <w:rFonts w:hint="eastAsia" w:ascii="Times New Roman" w:hAnsi="Times New Roman"/>
                <w:color w:val="auto"/>
                <w:sz w:val="21"/>
                <w:szCs w:val="21"/>
                <w:highlight w:val="none"/>
                <w:vertAlign w:val="baseline"/>
                <w:lang w:val="en-US" w:eastAsia="zh-CN"/>
              </w:rPr>
              <w:t>已入驻项目总量</w:t>
            </w:r>
          </w:p>
        </w:tc>
        <w:tc>
          <w:tcPr>
            <w:tcW w:w="1250" w:type="pct"/>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olor w:val="auto"/>
                <w:sz w:val="21"/>
                <w:szCs w:val="21"/>
                <w:highlight w:val="none"/>
                <w:vertAlign w:val="baseline"/>
                <w:lang w:val="en-US" w:eastAsia="zh-CN"/>
              </w:rPr>
            </w:pPr>
            <w:r>
              <w:rPr>
                <w:rFonts w:hint="eastAsia" w:ascii="Times New Roman" w:hAnsi="Times New Roman"/>
                <w:color w:val="auto"/>
                <w:sz w:val="21"/>
                <w:szCs w:val="21"/>
                <w:highlight w:val="none"/>
                <w:vertAlign w:val="baseline"/>
                <w:lang w:val="en-US" w:eastAsia="zh-CN"/>
              </w:rPr>
              <w:t>7.33</w:t>
            </w:r>
          </w:p>
        </w:tc>
        <w:tc>
          <w:tcPr>
            <w:tcW w:w="1250" w:type="pct"/>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olor w:val="auto"/>
                <w:sz w:val="21"/>
                <w:szCs w:val="21"/>
                <w:highlight w:val="none"/>
                <w:vertAlign w:val="baseline"/>
                <w:lang w:val="en-US" w:eastAsia="zh-CN"/>
              </w:rPr>
            </w:pPr>
            <w:r>
              <w:rPr>
                <w:rFonts w:hint="eastAsia" w:ascii="Times New Roman" w:hAnsi="Times New Roman"/>
                <w:color w:val="auto"/>
                <w:sz w:val="21"/>
                <w:szCs w:val="21"/>
                <w:highlight w:val="none"/>
                <w:vertAlign w:val="baseline"/>
                <w:lang w:val="en-US" w:eastAsia="zh-CN"/>
              </w:rPr>
              <w:t>21.57</w:t>
            </w:r>
          </w:p>
        </w:tc>
        <w:tc>
          <w:tcPr>
            <w:tcW w:w="1250" w:type="pct"/>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olor w:val="auto"/>
                <w:sz w:val="21"/>
                <w:szCs w:val="21"/>
                <w:highlight w:val="none"/>
                <w:vertAlign w:val="baseline"/>
                <w:lang w:val="en-US" w:eastAsia="zh-CN"/>
              </w:rPr>
            </w:pPr>
            <w:r>
              <w:rPr>
                <w:rFonts w:hint="eastAsia" w:ascii="Times New Roman" w:hAnsi="Times New Roman"/>
                <w:color w:val="auto"/>
                <w:sz w:val="21"/>
                <w:szCs w:val="21"/>
                <w:highlight w:val="none"/>
                <w:vertAlign w:val="baseline"/>
                <w:lang w:val="en-US" w:eastAsia="zh-CN"/>
              </w:rPr>
              <w:t>6.048</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63" w:hRule="atLeast"/>
          <w:jc w:val="center"/>
        </w:trPr>
        <w:tc>
          <w:tcPr>
            <w:tcW w:w="1249" w:type="pct"/>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olor w:val="auto"/>
                <w:sz w:val="21"/>
                <w:szCs w:val="21"/>
                <w:highlight w:val="none"/>
                <w:vertAlign w:val="baseline"/>
                <w:lang w:val="en-US" w:eastAsia="zh-CN"/>
              </w:rPr>
            </w:pPr>
            <w:r>
              <w:rPr>
                <w:rFonts w:hint="eastAsia" w:ascii="Times New Roman" w:hAnsi="Times New Roman"/>
                <w:color w:val="auto"/>
                <w:sz w:val="21"/>
                <w:szCs w:val="21"/>
                <w:highlight w:val="none"/>
                <w:vertAlign w:val="baseline"/>
                <w:lang w:val="en-US" w:eastAsia="zh-CN"/>
              </w:rPr>
              <w:t>余量</w:t>
            </w:r>
          </w:p>
        </w:tc>
        <w:tc>
          <w:tcPr>
            <w:tcW w:w="1250" w:type="pct"/>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olor w:val="auto"/>
                <w:sz w:val="21"/>
                <w:szCs w:val="21"/>
                <w:highlight w:val="none"/>
                <w:vertAlign w:val="baseline"/>
                <w:lang w:val="en-US" w:eastAsia="zh-CN"/>
              </w:rPr>
            </w:pPr>
            <w:r>
              <w:rPr>
                <w:rFonts w:hint="eastAsia" w:ascii="Times New Roman" w:hAnsi="Times New Roman"/>
                <w:color w:val="auto"/>
                <w:sz w:val="21"/>
                <w:szCs w:val="21"/>
                <w:highlight w:val="none"/>
                <w:vertAlign w:val="baseline"/>
                <w:lang w:val="en-US" w:eastAsia="zh-CN"/>
              </w:rPr>
              <w:t>15.23</w:t>
            </w:r>
          </w:p>
        </w:tc>
        <w:tc>
          <w:tcPr>
            <w:tcW w:w="1250" w:type="pct"/>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olor w:val="auto"/>
                <w:sz w:val="21"/>
                <w:szCs w:val="21"/>
                <w:highlight w:val="none"/>
                <w:vertAlign w:val="baseline"/>
                <w:lang w:val="en-US" w:eastAsia="zh-CN"/>
              </w:rPr>
            </w:pPr>
            <w:r>
              <w:rPr>
                <w:rFonts w:hint="eastAsia" w:ascii="Times New Roman" w:hAnsi="Times New Roman"/>
                <w:color w:val="auto"/>
                <w:sz w:val="21"/>
                <w:szCs w:val="21"/>
                <w:highlight w:val="none"/>
                <w:vertAlign w:val="baseline"/>
                <w:lang w:val="en-US" w:eastAsia="zh-CN"/>
              </w:rPr>
              <w:t>38.41</w:t>
            </w:r>
          </w:p>
        </w:tc>
        <w:tc>
          <w:tcPr>
            <w:tcW w:w="1250" w:type="pct"/>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olor w:val="auto"/>
                <w:sz w:val="21"/>
                <w:szCs w:val="21"/>
                <w:highlight w:val="none"/>
                <w:vertAlign w:val="baseline"/>
                <w:lang w:val="en-US" w:eastAsia="zh-CN"/>
              </w:rPr>
            </w:pPr>
            <w:r>
              <w:rPr>
                <w:rFonts w:hint="eastAsia" w:ascii="Times New Roman" w:hAnsi="Times New Roman"/>
                <w:color w:val="auto"/>
                <w:sz w:val="21"/>
                <w:szCs w:val="21"/>
                <w:highlight w:val="none"/>
                <w:vertAlign w:val="baseline"/>
                <w:lang w:val="en-US" w:eastAsia="zh-CN"/>
              </w:rPr>
              <w:t>4.872</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63" w:hRule="atLeast"/>
          <w:jc w:val="center"/>
        </w:trPr>
        <w:tc>
          <w:tcPr>
            <w:tcW w:w="1249" w:type="pct"/>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olor w:val="auto"/>
                <w:sz w:val="21"/>
                <w:szCs w:val="21"/>
                <w:highlight w:val="none"/>
                <w:vertAlign w:val="baseline"/>
                <w:lang w:val="en-US" w:eastAsia="zh-CN"/>
              </w:rPr>
            </w:pPr>
            <w:r>
              <w:rPr>
                <w:rFonts w:hint="eastAsia" w:ascii="Times New Roman" w:hAnsi="Times New Roman"/>
                <w:color w:val="auto"/>
                <w:sz w:val="21"/>
                <w:szCs w:val="21"/>
                <w:highlight w:val="none"/>
                <w:vertAlign w:val="baseline"/>
                <w:lang w:val="en-US" w:eastAsia="zh-CN"/>
              </w:rPr>
              <w:t>该项目总量</w:t>
            </w:r>
          </w:p>
        </w:tc>
        <w:tc>
          <w:tcPr>
            <w:tcW w:w="1250" w:type="pct"/>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olor w:val="auto"/>
                <w:sz w:val="21"/>
                <w:szCs w:val="21"/>
                <w:highlight w:val="none"/>
                <w:vertAlign w:val="baseline"/>
                <w:lang w:val="en-US" w:eastAsia="zh-CN"/>
              </w:rPr>
            </w:pPr>
            <w:r>
              <w:rPr>
                <w:rFonts w:hint="eastAsia" w:ascii="Times New Roman" w:hAnsi="Times New Roman"/>
                <w:color w:val="auto"/>
                <w:sz w:val="21"/>
                <w:szCs w:val="21"/>
                <w:highlight w:val="none"/>
                <w:vertAlign w:val="baseline"/>
                <w:lang w:val="en-US" w:eastAsia="zh-CN"/>
              </w:rPr>
              <w:t>3.45</w:t>
            </w:r>
          </w:p>
        </w:tc>
        <w:tc>
          <w:tcPr>
            <w:tcW w:w="1250" w:type="pct"/>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olor w:val="auto"/>
                <w:sz w:val="21"/>
                <w:szCs w:val="21"/>
                <w:highlight w:val="none"/>
                <w:vertAlign w:val="baseline"/>
                <w:lang w:val="en-US" w:eastAsia="zh-CN"/>
              </w:rPr>
            </w:pPr>
            <w:r>
              <w:rPr>
                <w:rFonts w:hint="eastAsia" w:ascii="Times New Roman" w:hAnsi="Times New Roman"/>
                <w:color w:val="auto"/>
                <w:sz w:val="21"/>
                <w:szCs w:val="21"/>
                <w:highlight w:val="none"/>
                <w:vertAlign w:val="baseline"/>
                <w:lang w:val="en-US" w:eastAsia="zh-CN"/>
              </w:rPr>
              <w:t>4.2</w:t>
            </w:r>
          </w:p>
        </w:tc>
        <w:tc>
          <w:tcPr>
            <w:tcW w:w="1250" w:type="pct"/>
            <w:tcBorders>
              <w:tl2br w:val="nil"/>
              <w:tr2bl w:val="nil"/>
            </w:tcBorders>
            <w:vAlign w:val="center"/>
          </w:tcPr>
          <w:p>
            <w:pPr>
              <w:pStyle w:val="1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olor w:val="auto"/>
                <w:sz w:val="21"/>
                <w:szCs w:val="21"/>
                <w:highlight w:val="none"/>
                <w:vertAlign w:val="baseline"/>
                <w:lang w:val="en-US" w:eastAsia="zh-CN"/>
              </w:rPr>
            </w:pPr>
            <w:r>
              <w:rPr>
                <w:rFonts w:hint="eastAsia" w:ascii="Times New Roman" w:hAnsi="Times New Roman"/>
                <w:color w:val="auto"/>
                <w:sz w:val="21"/>
                <w:szCs w:val="21"/>
                <w:highlight w:val="none"/>
                <w:vertAlign w:val="baseline"/>
                <w:lang w:val="en-US" w:eastAsia="zh-CN"/>
              </w:rPr>
              <w:t>1.21</w:t>
            </w:r>
          </w:p>
        </w:tc>
      </w:tr>
    </w:tbl>
    <w:p>
      <w:pPr>
        <w:pStyle w:val="16"/>
        <w:snapToGrid w:val="0"/>
        <w:spacing w:line="360" w:lineRule="auto"/>
        <w:ind w:left="0" w:leftChars="0" w:firstLine="0" w:firstLineChars="0"/>
        <w:rPr>
          <w:rFonts w:hint="eastAsia" w:ascii="Times New Roman" w:hAnsi="Times New Roman"/>
          <w:color w:val="auto"/>
          <w:sz w:val="20"/>
          <w:szCs w:val="20"/>
          <w:highlight w:val="none"/>
          <w:lang w:val="en-US" w:eastAsia="zh-CN"/>
        </w:rPr>
      </w:pPr>
      <w:r>
        <w:rPr>
          <w:rFonts w:hint="eastAsia" w:ascii="Times New Roman" w:hAnsi="Times New Roman"/>
          <w:color w:val="auto"/>
          <w:sz w:val="20"/>
          <w:szCs w:val="20"/>
          <w:highlight w:val="none"/>
          <w:lang w:val="en-US" w:eastAsia="zh-CN"/>
        </w:rPr>
        <w:t>注：表中总量指标为青岛经济技术开发区电镀工业园二期项目环境影响报告书批复中的规划总量指标。</w:t>
      </w:r>
    </w:p>
    <w:p>
      <w:pPr>
        <w:pStyle w:val="16"/>
        <w:snapToGrid w:val="0"/>
        <w:spacing w:line="360" w:lineRule="auto"/>
        <w:ind w:left="71" w:leftChars="34" w:firstLine="480"/>
        <w:rPr>
          <w:color w:val="auto"/>
          <w:highlight w:val="none"/>
        </w:rPr>
      </w:pPr>
      <w:r>
        <w:rPr>
          <w:rFonts w:hint="eastAsia" w:ascii="Times New Roman" w:hAnsi="Times New Roman"/>
          <w:color w:val="auto"/>
          <w:sz w:val="24"/>
          <w:highlight w:val="none"/>
          <w:lang w:val="en-US" w:eastAsia="zh-CN"/>
        </w:rPr>
        <w:t>根据园区二期环评批复中总量指标规划要求和《</w:t>
      </w:r>
      <w:r>
        <w:rPr>
          <w:rFonts w:hint="eastAsia" w:ascii="Times New Roman" w:hAnsi="Times New Roman"/>
          <w:color w:val="auto"/>
          <w:sz w:val="24"/>
          <w:highlight w:val="none"/>
          <w:lang w:val="en-US" w:eastAsia="zh-CN"/>
        </w:rPr>
        <w:t>关于青岛开发区电镀工业园重金属总量现状的情况说明</w:t>
      </w:r>
      <w:r>
        <w:rPr>
          <w:rFonts w:hint="eastAsia" w:ascii="Times New Roman" w:hAnsi="Times New Roman"/>
          <w:color w:val="auto"/>
          <w:sz w:val="24"/>
          <w:highlight w:val="none"/>
          <w:lang w:val="en-US" w:eastAsia="zh-CN"/>
        </w:rPr>
        <w:t>》，园区目前污染物排放量满足规划总量指标要求，该项目</w:t>
      </w:r>
      <w:r>
        <w:rPr>
          <w:rFonts w:hint="eastAsia" w:ascii="Times New Roman" w:hAnsi="Times New Roman"/>
          <w:color w:val="auto"/>
          <w:sz w:val="24"/>
          <w:highlight w:val="none"/>
          <w:lang w:val="en-US" w:eastAsia="zh-CN"/>
        </w:rPr>
        <w:t>一类污染物增加3.45kg，二类污染物增加4.2kg，废水排放量增加1.21万t/a，青</w:t>
      </w:r>
      <w:r>
        <w:rPr>
          <w:rFonts w:hint="eastAsia" w:ascii="Times New Roman" w:hAnsi="Times New Roman"/>
          <w:color w:val="auto"/>
          <w:sz w:val="24"/>
          <w:highlight w:val="none"/>
          <w:lang w:val="en-US" w:eastAsia="zh-CN"/>
        </w:rPr>
        <w:t>岛开发区电镀工业园一类污染物控制量、二类污染物（含氰化物）、生产废水排放量仍有余量，因此，该项目一类污染物排放量、二类污染物排放量、废水排放量均满足园区规划总量要求。</w:t>
      </w:r>
    </w:p>
    <w:p>
      <w:pPr>
        <w:adjustRightInd w:val="0"/>
        <w:snapToGrid w:val="0"/>
        <w:spacing w:line="360" w:lineRule="auto"/>
        <w:jc w:val="left"/>
        <w:rPr>
          <w:color w:val="auto"/>
          <w:sz w:val="24"/>
          <w:highlight w:val="none"/>
        </w:rPr>
        <w:sectPr>
          <w:pgSz w:w="11907" w:h="16840"/>
          <w:pgMar w:top="1418" w:right="1418" w:bottom="1418" w:left="1474" w:header="964" w:footer="964" w:gutter="0"/>
          <w:pgBorders>
            <w:top w:val="none" w:sz="0" w:space="0"/>
            <w:left w:val="none" w:sz="0" w:space="0"/>
            <w:bottom w:val="none" w:sz="0" w:space="0"/>
            <w:right w:val="none" w:sz="0" w:space="0"/>
          </w:pgBorders>
          <w:pgNumType w:fmt="decimal"/>
          <w:cols w:space="720" w:num="1"/>
          <w:docGrid w:linePitch="312" w:charSpace="0"/>
        </w:sectPr>
      </w:pPr>
    </w:p>
    <w:p>
      <w:pPr>
        <w:pStyle w:val="5"/>
        <w:numPr>
          <w:ilvl w:val="0"/>
          <w:numId w:val="14"/>
        </w:numPr>
        <w:tabs>
          <w:tab w:val="clear" w:pos="432"/>
        </w:tabs>
        <w:spacing w:before="0" w:after="0" w:line="360" w:lineRule="auto"/>
        <w:jc w:val="left"/>
        <w:rPr>
          <w:rFonts w:eastAsia="黑体"/>
          <w:b w:val="0"/>
          <w:color w:val="auto"/>
          <w:sz w:val="28"/>
          <w:szCs w:val="28"/>
          <w:highlight w:val="none"/>
        </w:rPr>
      </w:pPr>
      <w:bookmarkStart w:id="216" w:name="_Toc530655618"/>
      <w:bookmarkStart w:id="217" w:name="_Toc519063315"/>
      <w:bookmarkStart w:id="218" w:name="_Toc12664"/>
      <w:r>
        <w:rPr>
          <w:rFonts w:eastAsia="黑体"/>
          <w:b w:val="0"/>
          <w:color w:val="auto"/>
          <w:sz w:val="28"/>
          <w:szCs w:val="28"/>
          <w:highlight w:val="none"/>
        </w:rPr>
        <w:t>环境影响</w:t>
      </w:r>
      <w:bookmarkEnd w:id="216"/>
      <w:bookmarkEnd w:id="217"/>
      <w:r>
        <w:rPr>
          <w:rFonts w:hint="eastAsia" w:eastAsia="黑体"/>
          <w:b w:val="0"/>
          <w:color w:val="auto"/>
          <w:sz w:val="28"/>
          <w:szCs w:val="28"/>
          <w:highlight w:val="none"/>
        </w:rPr>
        <w:t>预测验证</w:t>
      </w:r>
      <w:bookmarkEnd w:id="218"/>
    </w:p>
    <w:p>
      <w:pPr>
        <w:pStyle w:val="6"/>
        <w:numPr>
          <w:ilvl w:val="0"/>
          <w:numId w:val="0"/>
        </w:numPr>
        <w:adjustRightInd w:val="0"/>
        <w:snapToGrid w:val="0"/>
        <w:spacing w:before="0" w:after="0" w:line="360" w:lineRule="auto"/>
        <w:ind w:left="576" w:hanging="576"/>
        <w:jc w:val="left"/>
        <w:rPr>
          <w:rFonts w:ascii="Times New Roman" w:hAnsi="Times New Roman"/>
          <w:b w:val="0"/>
          <w:color w:val="auto"/>
          <w:sz w:val="24"/>
          <w:szCs w:val="24"/>
          <w:highlight w:val="none"/>
        </w:rPr>
      </w:pPr>
      <w:bookmarkStart w:id="219" w:name="_Toc531246612"/>
      <w:bookmarkEnd w:id="219"/>
      <w:bookmarkStart w:id="220" w:name="_Toc530655619"/>
      <w:bookmarkEnd w:id="220"/>
      <w:bookmarkStart w:id="221" w:name="_Toc390360389"/>
      <w:bookmarkEnd w:id="221"/>
      <w:bookmarkStart w:id="222" w:name="_Toc519063316"/>
      <w:bookmarkEnd w:id="222"/>
      <w:bookmarkStart w:id="223" w:name="_Toc390360309"/>
      <w:bookmarkEnd w:id="223"/>
      <w:bookmarkStart w:id="224" w:name="_Toc391301261"/>
      <w:bookmarkEnd w:id="224"/>
      <w:bookmarkStart w:id="225" w:name="_Toc530655849"/>
      <w:bookmarkEnd w:id="225"/>
      <w:bookmarkStart w:id="226" w:name="_Toc518976441"/>
      <w:bookmarkEnd w:id="226"/>
      <w:bookmarkStart w:id="227" w:name="_Toc519063317"/>
      <w:bookmarkStart w:id="228" w:name="_Toc530655620"/>
      <w:bookmarkStart w:id="229" w:name="_Toc27153"/>
      <w:bookmarkStart w:id="230" w:name="_Toc275407588"/>
      <w:bookmarkStart w:id="231" w:name="_Toc279478982"/>
      <w:bookmarkStart w:id="232" w:name="_Toc248569129"/>
      <w:r>
        <w:rPr>
          <w:rFonts w:ascii="Times New Roman" w:hAnsi="Times New Roman"/>
          <w:b w:val="0"/>
          <w:color w:val="auto"/>
          <w:sz w:val="24"/>
          <w:szCs w:val="24"/>
          <w:highlight w:val="none"/>
        </w:rPr>
        <w:t xml:space="preserve">5.1 </w:t>
      </w:r>
      <w:r>
        <w:rPr>
          <w:rFonts w:hint="eastAsia" w:ascii="Times New Roman" w:hAnsi="Times New Roman"/>
          <w:b w:val="0"/>
          <w:color w:val="auto"/>
          <w:sz w:val="24"/>
          <w:szCs w:val="24"/>
          <w:highlight w:val="none"/>
          <w:lang w:val="en-US" w:eastAsia="zh-CN"/>
        </w:rPr>
        <w:t>大气</w:t>
      </w:r>
      <w:r>
        <w:rPr>
          <w:rFonts w:ascii="Times New Roman" w:hAnsi="Times New Roman"/>
          <w:b w:val="0"/>
          <w:color w:val="auto"/>
          <w:sz w:val="24"/>
          <w:szCs w:val="24"/>
          <w:highlight w:val="none"/>
        </w:rPr>
        <w:t>环境</w:t>
      </w:r>
      <w:bookmarkEnd w:id="227"/>
      <w:bookmarkEnd w:id="228"/>
      <w:r>
        <w:rPr>
          <w:rFonts w:hint="eastAsia" w:ascii="Times New Roman" w:hAnsi="Times New Roman"/>
          <w:b w:val="0"/>
          <w:color w:val="auto"/>
          <w:sz w:val="24"/>
          <w:szCs w:val="24"/>
          <w:highlight w:val="none"/>
        </w:rPr>
        <w:t>影响预测验证</w:t>
      </w:r>
      <w:bookmarkEnd w:id="229"/>
    </w:p>
    <w:bookmarkEnd w:id="230"/>
    <w:bookmarkEnd w:id="231"/>
    <w:bookmarkEnd w:id="232"/>
    <w:p>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2"/>
        <w:rPr>
          <w:rFonts w:hint="eastAsia" w:ascii="黑体" w:hAnsi="黑体" w:eastAsia="黑体" w:cs="黑体"/>
          <w:color w:val="auto"/>
          <w:sz w:val="24"/>
          <w:highlight w:val="none"/>
        </w:rPr>
      </w:pPr>
      <w:r>
        <w:rPr>
          <w:rFonts w:hint="eastAsia" w:ascii="黑体" w:hAnsi="黑体" w:eastAsia="黑体" w:cs="黑体"/>
          <w:color w:val="auto"/>
          <w:sz w:val="24"/>
          <w:highlight w:val="none"/>
          <w:lang w:val="en-US" w:eastAsia="zh-CN"/>
        </w:rPr>
        <w:t>5</w:t>
      </w:r>
      <w:r>
        <w:rPr>
          <w:rFonts w:hint="eastAsia" w:ascii="黑体" w:hAnsi="黑体" w:eastAsia="黑体" w:cs="黑体"/>
          <w:color w:val="auto"/>
          <w:sz w:val="24"/>
          <w:highlight w:val="none"/>
        </w:rPr>
        <w:t>.1.1 原环评报告预测结果</w:t>
      </w:r>
    </w:p>
    <w:p>
      <w:pPr>
        <w:spacing w:line="360" w:lineRule="auto"/>
        <w:ind w:firstLine="480" w:firstLineChars="200"/>
        <w:rPr>
          <w:rFonts w:hint="eastAsia"/>
          <w:color w:val="auto"/>
          <w:sz w:val="24"/>
          <w:highlight w:val="none"/>
        </w:rPr>
      </w:pPr>
      <w:r>
        <w:rPr>
          <w:rFonts w:hint="eastAsia"/>
          <w:color w:val="auto"/>
          <w:sz w:val="24"/>
          <w:highlight w:val="none"/>
        </w:rPr>
        <w:t>原环评</w:t>
      </w:r>
      <w:r>
        <w:rPr>
          <w:rFonts w:hint="eastAsia"/>
          <w:color w:val="auto"/>
          <w:sz w:val="24"/>
          <w:highlight w:val="none"/>
          <w:lang w:val="en-US" w:eastAsia="zh-CN"/>
        </w:rPr>
        <w:t>登记表</w:t>
      </w:r>
      <w:r>
        <w:rPr>
          <w:rFonts w:hint="eastAsia"/>
          <w:color w:val="auto"/>
          <w:sz w:val="24"/>
          <w:highlight w:val="none"/>
        </w:rPr>
        <w:t>未</w:t>
      </w:r>
      <w:r>
        <w:rPr>
          <w:rFonts w:hint="eastAsia"/>
          <w:color w:val="auto"/>
          <w:sz w:val="24"/>
          <w:highlight w:val="none"/>
          <w:lang w:val="en-US" w:eastAsia="zh-CN"/>
        </w:rPr>
        <w:t>对项目废气源强及</w:t>
      </w:r>
      <w:r>
        <w:rPr>
          <w:rFonts w:hint="eastAsia"/>
          <w:color w:val="auto"/>
          <w:sz w:val="24"/>
          <w:highlight w:val="none"/>
        </w:rPr>
        <w:t>影响</w:t>
      </w:r>
      <w:r>
        <w:rPr>
          <w:rFonts w:hint="eastAsia"/>
          <w:color w:val="auto"/>
          <w:sz w:val="24"/>
          <w:highlight w:val="none"/>
          <w:lang w:val="en-US" w:eastAsia="zh-CN"/>
        </w:rPr>
        <w:t>进行</w:t>
      </w:r>
      <w:r>
        <w:rPr>
          <w:rFonts w:hint="eastAsia"/>
          <w:color w:val="auto"/>
          <w:sz w:val="24"/>
          <w:highlight w:val="none"/>
        </w:rPr>
        <w:t>预测。</w:t>
      </w:r>
    </w:p>
    <w:p>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2"/>
        <w:rPr>
          <w:rFonts w:hint="eastAsia" w:ascii="黑体" w:hAnsi="黑体" w:eastAsia="黑体" w:cs="黑体"/>
          <w:color w:val="auto"/>
          <w:sz w:val="24"/>
          <w:highlight w:val="none"/>
        </w:rPr>
      </w:pPr>
      <w:r>
        <w:rPr>
          <w:rFonts w:hint="eastAsia" w:ascii="黑体" w:hAnsi="黑体" w:eastAsia="黑体" w:cs="黑体"/>
          <w:color w:val="auto"/>
          <w:sz w:val="24"/>
          <w:highlight w:val="none"/>
          <w:lang w:val="en-US" w:eastAsia="zh-CN"/>
        </w:rPr>
        <w:t>5</w:t>
      </w:r>
      <w:r>
        <w:rPr>
          <w:rFonts w:hint="eastAsia" w:ascii="黑体" w:hAnsi="黑体" w:eastAsia="黑体" w:cs="黑体"/>
          <w:color w:val="auto"/>
          <w:sz w:val="24"/>
          <w:highlight w:val="none"/>
        </w:rPr>
        <w:t>.1.2 环境影响预测验证</w:t>
      </w:r>
    </w:p>
    <w:p>
      <w:pPr>
        <w:spacing w:line="360" w:lineRule="auto"/>
        <w:ind w:firstLine="480" w:firstLineChars="200"/>
        <w:rPr>
          <w:rFonts w:hint="eastAsia"/>
          <w:color w:val="auto"/>
          <w:sz w:val="24"/>
          <w:highlight w:val="none"/>
        </w:rPr>
      </w:pPr>
      <w:r>
        <w:rPr>
          <w:rFonts w:hint="eastAsia"/>
          <w:color w:val="auto"/>
          <w:sz w:val="24"/>
          <w:highlight w:val="none"/>
        </w:rPr>
        <w:t>本次评价在生产线</w:t>
      </w:r>
      <w:r>
        <w:rPr>
          <w:rFonts w:hint="eastAsia"/>
          <w:color w:val="auto"/>
          <w:sz w:val="24"/>
          <w:highlight w:val="none"/>
          <w:lang w:val="en-US" w:eastAsia="zh-CN"/>
        </w:rPr>
        <w:t>正常</w:t>
      </w:r>
      <w:r>
        <w:rPr>
          <w:rFonts w:hint="eastAsia"/>
          <w:color w:val="auto"/>
          <w:sz w:val="24"/>
          <w:highlight w:val="none"/>
        </w:rPr>
        <w:t>运行的情况下，在近距离敏感目标（东盐滩、</w:t>
      </w:r>
      <w:r>
        <w:rPr>
          <w:rFonts w:hint="eastAsia"/>
          <w:color w:val="auto"/>
          <w:sz w:val="24"/>
          <w:highlight w:val="none"/>
          <w:lang w:val="en-US" w:eastAsia="zh-CN"/>
        </w:rPr>
        <w:t>国融大厦</w:t>
      </w:r>
      <w:r>
        <w:rPr>
          <w:rFonts w:hint="eastAsia"/>
          <w:color w:val="auto"/>
          <w:sz w:val="24"/>
          <w:highlight w:val="none"/>
        </w:rPr>
        <w:t>）</w:t>
      </w:r>
      <w:r>
        <w:rPr>
          <w:rFonts w:hint="eastAsia"/>
          <w:color w:val="auto"/>
          <w:sz w:val="24"/>
          <w:highlight w:val="none"/>
          <w:lang w:val="en-US" w:eastAsia="zh-CN"/>
        </w:rPr>
        <w:t>两</w:t>
      </w:r>
      <w:r>
        <w:rPr>
          <w:rFonts w:hint="eastAsia"/>
          <w:color w:val="auto"/>
          <w:sz w:val="24"/>
          <w:highlight w:val="none"/>
        </w:rPr>
        <w:t>个点位的环境空气质量进行了现状监测，监测结果显示：SO</w:t>
      </w:r>
      <w:r>
        <w:rPr>
          <w:rFonts w:hint="eastAsia"/>
          <w:color w:val="auto"/>
          <w:sz w:val="24"/>
          <w:highlight w:val="none"/>
          <w:vertAlign w:val="subscript"/>
        </w:rPr>
        <w:t>2</w:t>
      </w:r>
      <w:r>
        <w:rPr>
          <w:rFonts w:hint="eastAsia"/>
          <w:color w:val="auto"/>
          <w:sz w:val="24"/>
          <w:highlight w:val="none"/>
        </w:rPr>
        <w:t>、NO</w:t>
      </w:r>
      <w:r>
        <w:rPr>
          <w:rFonts w:hint="eastAsia"/>
          <w:color w:val="auto"/>
          <w:sz w:val="24"/>
          <w:highlight w:val="none"/>
          <w:vertAlign w:val="subscript"/>
        </w:rPr>
        <w:t>2</w:t>
      </w:r>
      <w:r>
        <w:rPr>
          <w:rFonts w:hint="eastAsia"/>
          <w:color w:val="auto"/>
          <w:sz w:val="24"/>
          <w:highlight w:val="none"/>
        </w:rPr>
        <w:t>的小时浓度、日均浓度及PM</w:t>
      </w:r>
      <w:r>
        <w:rPr>
          <w:rFonts w:hint="eastAsia"/>
          <w:color w:val="auto"/>
          <w:sz w:val="24"/>
          <w:highlight w:val="none"/>
          <w:vertAlign w:val="subscript"/>
        </w:rPr>
        <w:t>2.5</w:t>
      </w:r>
      <w:r>
        <w:rPr>
          <w:rFonts w:hint="eastAsia"/>
          <w:color w:val="auto"/>
          <w:sz w:val="24"/>
          <w:highlight w:val="none"/>
        </w:rPr>
        <w:t>、PM</w:t>
      </w:r>
      <w:r>
        <w:rPr>
          <w:rFonts w:hint="eastAsia"/>
          <w:color w:val="auto"/>
          <w:sz w:val="24"/>
          <w:highlight w:val="none"/>
          <w:vertAlign w:val="subscript"/>
        </w:rPr>
        <w:t>10</w:t>
      </w:r>
      <w:r>
        <w:rPr>
          <w:rFonts w:hint="eastAsia"/>
          <w:color w:val="auto"/>
          <w:sz w:val="24"/>
          <w:highlight w:val="none"/>
        </w:rPr>
        <w:t>的日均浓度均满足《环境空气质量标准》(GB3095-2012)中二级标准要求。各监测点的</w:t>
      </w:r>
      <w:r>
        <w:rPr>
          <w:color w:val="auto"/>
          <w:sz w:val="24"/>
          <w:highlight w:val="none"/>
        </w:rPr>
        <w:t>氯化氢</w:t>
      </w:r>
      <w:r>
        <w:rPr>
          <w:rFonts w:hint="eastAsia"/>
          <w:color w:val="auto"/>
          <w:sz w:val="24"/>
          <w:highlight w:val="none"/>
        </w:rPr>
        <w:t>、硫</w:t>
      </w:r>
      <w:r>
        <w:rPr>
          <w:rFonts w:hint="eastAsia"/>
          <w:color w:val="auto"/>
          <w:sz w:val="24"/>
          <w:highlight w:val="none"/>
        </w:rPr>
        <w:t>酸</w:t>
      </w:r>
      <w:r>
        <w:rPr>
          <w:rFonts w:hint="eastAsia"/>
          <w:color w:val="auto"/>
          <w:sz w:val="24"/>
          <w:highlight w:val="none"/>
          <w:lang w:eastAsia="zh-CN"/>
        </w:rPr>
        <w:t>、氨</w:t>
      </w:r>
      <w:r>
        <w:rPr>
          <w:rFonts w:hint="eastAsia"/>
          <w:color w:val="auto"/>
          <w:sz w:val="24"/>
          <w:highlight w:val="none"/>
        </w:rPr>
        <w:t>的小时浓度满足《环境影响评价技术导则 大气环境》（HJ2.2-2018）附录D相关参考限值，铬酸雾一次浓度满足《工业企业设计卫生标准》(TJ36-79)表1居住区“六价铬”标准。</w:t>
      </w:r>
    </w:p>
    <w:p>
      <w:pPr>
        <w:spacing w:line="360" w:lineRule="auto"/>
        <w:ind w:firstLine="480" w:firstLineChars="200"/>
        <w:rPr>
          <w:rFonts w:hint="eastAsia"/>
          <w:color w:val="auto"/>
          <w:sz w:val="24"/>
          <w:highlight w:val="none"/>
        </w:rPr>
      </w:pPr>
      <w:r>
        <w:rPr>
          <w:rFonts w:hint="eastAsia"/>
          <w:color w:val="auto"/>
          <w:sz w:val="24"/>
          <w:highlight w:val="none"/>
        </w:rPr>
        <w:t>1、有组织废气排放</w:t>
      </w:r>
    </w:p>
    <w:p>
      <w:pPr>
        <w:spacing w:line="360" w:lineRule="auto"/>
        <w:ind w:firstLine="480" w:firstLineChars="200"/>
        <w:rPr>
          <w:rFonts w:hint="eastAsia"/>
          <w:color w:val="auto"/>
          <w:sz w:val="24"/>
          <w:highlight w:val="none"/>
        </w:rPr>
      </w:pPr>
      <w:r>
        <w:rPr>
          <w:rFonts w:hint="eastAsia"/>
          <w:color w:val="auto"/>
          <w:sz w:val="24"/>
          <w:highlight w:val="none"/>
          <w:lang w:val="en-US" w:eastAsia="zh-CN"/>
        </w:rPr>
        <w:t>根据后评价期间的</w:t>
      </w:r>
      <w:r>
        <w:rPr>
          <w:rFonts w:hint="eastAsia"/>
          <w:color w:val="auto"/>
          <w:sz w:val="24"/>
          <w:highlight w:val="none"/>
        </w:rPr>
        <w:t>监测(青</w:t>
      </w:r>
      <w:r>
        <w:rPr>
          <w:rFonts w:hint="eastAsia"/>
          <w:color w:val="auto"/>
          <w:sz w:val="24"/>
          <w:highlight w:val="none"/>
          <w:lang w:val="en-US" w:eastAsia="zh-CN"/>
        </w:rPr>
        <w:t>[</w:t>
      </w:r>
      <w:r>
        <w:rPr>
          <w:rFonts w:hint="eastAsia"/>
          <w:color w:val="auto"/>
          <w:sz w:val="24"/>
          <w:highlight w:val="none"/>
        </w:rPr>
        <w:t>皓</w:t>
      </w:r>
      <w:r>
        <w:rPr>
          <w:rFonts w:hint="eastAsia"/>
          <w:color w:val="auto"/>
          <w:sz w:val="24"/>
          <w:highlight w:val="none"/>
          <w:lang w:val="en-US" w:eastAsia="zh-CN"/>
        </w:rPr>
        <w:t>]WT1901283G</w:t>
      </w:r>
      <w:r>
        <w:rPr>
          <w:rFonts w:hint="eastAsia"/>
          <w:color w:val="auto"/>
          <w:sz w:val="24"/>
          <w:highlight w:val="none"/>
          <w:lang w:eastAsia="zh-CN"/>
        </w:rPr>
        <w:t>、</w:t>
      </w:r>
      <w:r>
        <w:rPr>
          <w:rFonts w:hint="eastAsia"/>
          <w:color w:val="auto"/>
          <w:sz w:val="24"/>
          <w:highlight w:val="none"/>
        </w:rPr>
        <w:t>青</w:t>
      </w:r>
      <w:r>
        <w:rPr>
          <w:rFonts w:hint="eastAsia"/>
          <w:color w:val="auto"/>
          <w:sz w:val="24"/>
          <w:highlight w:val="none"/>
          <w:lang w:val="en-US" w:eastAsia="zh-CN"/>
        </w:rPr>
        <w:t>[</w:t>
      </w:r>
      <w:r>
        <w:rPr>
          <w:rFonts w:hint="eastAsia"/>
          <w:color w:val="auto"/>
          <w:sz w:val="24"/>
          <w:highlight w:val="none"/>
        </w:rPr>
        <w:t>皓</w:t>
      </w:r>
      <w:r>
        <w:rPr>
          <w:rFonts w:hint="eastAsia"/>
          <w:color w:val="auto"/>
          <w:sz w:val="24"/>
          <w:highlight w:val="none"/>
          <w:lang w:val="en-US" w:eastAsia="zh-CN"/>
        </w:rPr>
        <w:t>]</w:t>
      </w:r>
      <w:r>
        <w:rPr>
          <w:rFonts w:hint="eastAsia"/>
          <w:color w:val="auto"/>
          <w:sz w:val="24"/>
          <w:highlight w:val="none"/>
          <w:lang w:eastAsia="zh-CN"/>
        </w:rPr>
        <w:t>WT1901343</w:t>
      </w:r>
      <w:r>
        <w:rPr>
          <w:rFonts w:hint="eastAsia"/>
          <w:color w:val="auto"/>
          <w:sz w:val="24"/>
          <w:highlight w:val="none"/>
        </w:rPr>
        <w:t>)，</w:t>
      </w:r>
      <w:r>
        <w:rPr>
          <w:color w:val="auto"/>
          <w:sz w:val="24"/>
          <w:highlight w:val="none"/>
        </w:rPr>
        <w:t>项目</w:t>
      </w:r>
      <w:r>
        <w:rPr>
          <w:rFonts w:hint="default" w:ascii="Times New Roman" w:hAnsi="Times New Roman" w:cs="Times New Roman"/>
          <w:color w:val="auto"/>
          <w:sz w:val="24"/>
          <w:highlight w:val="none"/>
        </w:rPr>
        <w:t>硫酸雾、氯化氢</w:t>
      </w:r>
      <w:r>
        <w:rPr>
          <w:rFonts w:hint="eastAsia" w:ascii="Times New Roman" w:hAnsi="Times New Roman" w:cs="Times New Roman"/>
          <w:color w:val="auto"/>
          <w:sz w:val="24"/>
          <w:highlight w:val="none"/>
          <w:lang w:val="en-US" w:eastAsia="zh-CN"/>
        </w:rPr>
        <w:t>和铬酸</w:t>
      </w:r>
      <w:r>
        <w:rPr>
          <w:rFonts w:hint="default" w:ascii="Times New Roman" w:hAnsi="Times New Roman" w:cs="Times New Roman"/>
          <w:color w:val="auto"/>
          <w:sz w:val="24"/>
          <w:highlight w:val="none"/>
          <w:lang w:val="en-US" w:eastAsia="zh-CN"/>
        </w:rPr>
        <w:t>雾</w:t>
      </w:r>
      <w:r>
        <w:rPr>
          <w:color w:val="auto"/>
          <w:sz w:val="24"/>
          <w:highlight w:val="none"/>
        </w:rPr>
        <w:t>基准气量排放浓度均满足《电镀污染物排放标准》(GB21900-2008)表5中硫酸雾(30mg/m</w:t>
      </w:r>
      <w:r>
        <w:rPr>
          <w:color w:val="auto"/>
          <w:sz w:val="24"/>
          <w:highlight w:val="none"/>
          <w:vertAlign w:val="superscript"/>
        </w:rPr>
        <w:t>3</w:t>
      </w:r>
      <w:r>
        <w:rPr>
          <w:color w:val="auto"/>
          <w:sz w:val="24"/>
          <w:highlight w:val="none"/>
        </w:rPr>
        <w:t>)、</w:t>
      </w:r>
      <w:r>
        <w:rPr>
          <w:rFonts w:hint="eastAsia"/>
          <w:color w:val="auto"/>
          <w:sz w:val="24"/>
          <w:highlight w:val="none"/>
        </w:rPr>
        <w:t>氮氧化物</w:t>
      </w:r>
      <w:r>
        <w:rPr>
          <w:color w:val="auto"/>
          <w:sz w:val="24"/>
          <w:highlight w:val="none"/>
        </w:rPr>
        <w:t>(</w:t>
      </w:r>
      <w:r>
        <w:rPr>
          <w:rFonts w:hint="eastAsia"/>
          <w:color w:val="auto"/>
          <w:sz w:val="24"/>
          <w:highlight w:val="none"/>
        </w:rPr>
        <w:t>20</w:t>
      </w:r>
      <w:r>
        <w:rPr>
          <w:color w:val="auto"/>
          <w:sz w:val="24"/>
          <w:highlight w:val="none"/>
        </w:rPr>
        <w:t>0mg/m</w:t>
      </w:r>
      <w:r>
        <w:rPr>
          <w:color w:val="auto"/>
          <w:sz w:val="24"/>
          <w:highlight w:val="none"/>
          <w:vertAlign w:val="superscript"/>
        </w:rPr>
        <w:t>3</w:t>
      </w:r>
      <w:r>
        <w:rPr>
          <w:color w:val="auto"/>
          <w:sz w:val="24"/>
          <w:highlight w:val="none"/>
        </w:rPr>
        <w:t>)、氯化氢(30mg/m</w:t>
      </w:r>
      <w:r>
        <w:rPr>
          <w:color w:val="auto"/>
          <w:sz w:val="24"/>
          <w:highlight w:val="none"/>
          <w:vertAlign w:val="superscript"/>
        </w:rPr>
        <w:t>3</w:t>
      </w:r>
      <w:r>
        <w:rPr>
          <w:color w:val="auto"/>
          <w:sz w:val="24"/>
          <w:highlight w:val="none"/>
        </w:rPr>
        <w:t>)</w:t>
      </w:r>
      <w:r>
        <w:rPr>
          <w:rFonts w:hint="eastAsia"/>
          <w:color w:val="auto"/>
          <w:sz w:val="24"/>
          <w:highlight w:val="none"/>
          <w:lang w:eastAsia="zh-CN"/>
        </w:rPr>
        <w:t>、铬酸雾</w:t>
      </w:r>
      <w:r>
        <w:rPr>
          <w:rFonts w:hint="eastAsia"/>
          <w:color w:val="auto"/>
          <w:sz w:val="24"/>
          <w:highlight w:val="none"/>
          <w:lang w:val="en-US" w:eastAsia="zh-CN"/>
        </w:rPr>
        <w:t>(</w:t>
      </w:r>
      <w:r>
        <w:rPr>
          <w:color w:val="auto"/>
          <w:sz w:val="24"/>
          <w:highlight w:val="none"/>
        </w:rPr>
        <w:t>0.05mg/m</w:t>
      </w:r>
      <w:r>
        <w:rPr>
          <w:color w:val="auto"/>
          <w:sz w:val="24"/>
          <w:highlight w:val="none"/>
          <w:vertAlign w:val="superscript"/>
        </w:rPr>
        <w:t>3</w:t>
      </w:r>
      <w:r>
        <w:rPr>
          <w:color w:val="auto"/>
          <w:sz w:val="24"/>
          <w:highlight w:val="none"/>
        </w:rPr>
        <w:t>)排放限值要求。</w:t>
      </w:r>
      <w:r>
        <w:rPr>
          <w:rFonts w:hint="default" w:ascii="Times New Roman" w:hAnsi="Times New Roman" w:cs="Times New Roman"/>
          <w:color w:val="auto"/>
          <w:sz w:val="24"/>
          <w:highlight w:val="none"/>
          <w:lang w:val="en-US" w:eastAsia="zh-CN"/>
        </w:rPr>
        <w:t>氮氧化</w:t>
      </w:r>
      <w:r>
        <w:rPr>
          <w:rFonts w:hint="default" w:ascii="Times New Roman" w:hAnsi="Times New Roman" w:cs="Times New Roman"/>
          <w:color w:val="auto"/>
          <w:sz w:val="24"/>
          <w:highlight w:val="none"/>
          <w:lang w:val="en-US" w:eastAsia="zh-CN"/>
        </w:rPr>
        <w:t>物</w:t>
      </w:r>
      <w:r>
        <w:rPr>
          <w:rFonts w:hint="default" w:ascii="Times New Roman" w:hAnsi="Times New Roman" w:cs="Times New Roman"/>
          <w:color w:val="auto"/>
          <w:sz w:val="24"/>
          <w:highlight w:val="none"/>
        </w:rPr>
        <w:t>排放浓度</w:t>
      </w:r>
      <w:r>
        <w:rPr>
          <w:rFonts w:hint="eastAsia" w:cs="Times New Roman"/>
          <w:color w:val="auto"/>
          <w:sz w:val="24"/>
          <w:highlight w:val="none"/>
          <w:lang w:val="en-US" w:eastAsia="zh-CN"/>
        </w:rPr>
        <w:t>满足</w:t>
      </w:r>
      <w:r>
        <w:rPr>
          <w:rFonts w:hint="default" w:ascii="Times New Roman" w:hAnsi="Times New Roman" w:cs="Times New Roman"/>
          <w:color w:val="auto"/>
          <w:sz w:val="24"/>
          <w:highlight w:val="none"/>
        </w:rPr>
        <w:t>《区域性大气污染物综合排放标准》(DB37/2376-2019)表1中“重点控制区”的排放浓度限值</w:t>
      </w:r>
      <w:r>
        <w:rPr>
          <w:color w:val="auto"/>
          <w:sz w:val="24"/>
          <w:highlight w:val="none"/>
        </w:rPr>
        <w:t>(</w:t>
      </w:r>
      <w:r>
        <w:rPr>
          <w:rFonts w:hint="eastAsia"/>
          <w:color w:val="auto"/>
          <w:sz w:val="24"/>
          <w:highlight w:val="none"/>
          <w:lang w:val="en-US" w:eastAsia="zh-CN"/>
        </w:rPr>
        <w:t>1</w:t>
      </w:r>
      <w:r>
        <w:rPr>
          <w:rFonts w:hint="eastAsia"/>
          <w:color w:val="auto"/>
          <w:sz w:val="24"/>
          <w:highlight w:val="none"/>
        </w:rPr>
        <w:t>0</w:t>
      </w:r>
      <w:r>
        <w:rPr>
          <w:color w:val="auto"/>
          <w:sz w:val="24"/>
          <w:highlight w:val="none"/>
        </w:rPr>
        <w:t>0mg/m</w:t>
      </w:r>
      <w:r>
        <w:rPr>
          <w:color w:val="auto"/>
          <w:sz w:val="24"/>
          <w:highlight w:val="none"/>
          <w:vertAlign w:val="superscript"/>
        </w:rPr>
        <w:t>3</w:t>
      </w:r>
      <w:r>
        <w:rPr>
          <w:color w:val="auto"/>
          <w:sz w:val="24"/>
          <w:highlight w:val="none"/>
        </w:rPr>
        <w:t>)</w:t>
      </w:r>
      <w:r>
        <w:rPr>
          <w:rFonts w:hint="eastAsia"/>
          <w:color w:val="auto"/>
          <w:sz w:val="24"/>
          <w:highlight w:val="none"/>
        </w:rPr>
        <w:t>。</w:t>
      </w:r>
      <w:r>
        <w:rPr>
          <w:color w:val="auto"/>
          <w:sz w:val="24"/>
          <w:highlight w:val="none"/>
        </w:rPr>
        <w:t>项目</w:t>
      </w:r>
      <w:r>
        <w:rPr>
          <w:rFonts w:hint="eastAsia"/>
          <w:color w:val="auto"/>
          <w:sz w:val="24"/>
          <w:highlight w:val="none"/>
        </w:rPr>
        <w:t>甲基磺酸雾</w:t>
      </w:r>
      <w:r>
        <w:rPr>
          <w:color w:val="auto"/>
          <w:sz w:val="24"/>
          <w:highlight w:val="none"/>
        </w:rPr>
        <w:t>基准气量排放浓度满足《电镀污染物排放标准》(GB21900-2008)表5</w:t>
      </w:r>
      <w:r>
        <w:rPr>
          <w:color w:val="auto"/>
          <w:sz w:val="24"/>
          <w:highlight w:val="none"/>
        </w:rPr>
        <w:t>中排放限值要求</w:t>
      </w:r>
      <w:r>
        <w:rPr>
          <w:rFonts w:hint="eastAsia"/>
          <w:color w:val="auto"/>
          <w:sz w:val="24"/>
          <w:highlight w:val="none"/>
          <w:lang w:val="en-US" w:eastAsia="zh-CN"/>
        </w:rPr>
        <w:t>(参照硫酸雾</w:t>
      </w:r>
      <w:r>
        <w:rPr>
          <w:color w:val="auto"/>
          <w:sz w:val="24"/>
          <w:highlight w:val="none"/>
        </w:rPr>
        <w:t>(30mg/m</w:t>
      </w:r>
      <w:r>
        <w:rPr>
          <w:color w:val="auto"/>
          <w:sz w:val="24"/>
          <w:highlight w:val="none"/>
          <w:vertAlign w:val="superscript"/>
        </w:rPr>
        <w:t>3</w:t>
      </w:r>
      <w:r>
        <w:rPr>
          <w:color w:val="auto"/>
          <w:sz w:val="24"/>
          <w:highlight w:val="none"/>
        </w:rPr>
        <w:t>)</w:t>
      </w:r>
      <w:r>
        <w:rPr>
          <w:rFonts w:hint="eastAsia"/>
          <w:color w:val="auto"/>
          <w:sz w:val="24"/>
          <w:highlight w:val="none"/>
          <w:lang w:val="en-US" w:eastAsia="zh-CN"/>
        </w:rPr>
        <w:t>)</w:t>
      </w:r>
      <w:r>
        <w:rPr>
          <w:color w:val="auto"/>
          <w:sz w:val="24"/>
          <w:highlight w:val="none"/>
        </w:rPr>
        <w:t>。</w:t>
      </w:r>
      <w:r>
        <w:rPr>
          <w:rFonts w:hint="eastAsia"/>
          <w:color w:val="auto"/>
          <w:sz w:val="24"/>
          <w:highlight w:val="none"/>
          <w:lang w:val="en-US" w:eastAsia="zh-CN"/>
        </w:rPr>
        <w:t>氨</w:t>
      </w:r>
      <w:r>
        <w:rPr>
          <w:rFonts w:hint="eastAsia" w:hAnsi="宋体"/>
          <w:color w:val="auto"/>
          <w:sz w:val="24"/>
          <w:highlight w:val="none"/>
          <w:lang w:eastAsia="zh-CN"/>
        </w:rPr>
        <w:t>有组织</w:t>
      </w:r>
      <w:r>
        <w:rPr>
          <w:rFonts w:hint="eastAsia"/>
          <w:color w:val="auto"/>
          <w:sz w:val="24"/>
          <w:highlight w:val="none"/>
        </w:rPr>
        <w:t>排放速率</w:t>
      </w:r>
      <w:r>
        <w:rPr>
          <w:rFonts w:hint="eastAsia" w:hAnsi="宋体"/>
          <w:bCs/>
          <w:color w:val="auto"/>
          <w:kern w:val="0"/>
          <w:sz w:val="24"/>
          <w:highlight w:val="none"/>
        </w:rPr>
        <w:t>可以满足</w:t>
      </w:r>
      <w:r>
        <w:rPr>
          <w:rFonts w:hint="eastAsia"/>
          <w:color w:val="auto"/>
          <w:sz w:val="24"/>
          <w:highlight w:val="none"/>
        </w:rPr>
        <w:t>《恶臭污染物排放标准》(GB14554-93)</w:t>
      </w:r>
      <w:r>
        <w:rPr>
          <w:rFonts w:hint="eastAsia"/>
          <w:color w:val="auto"/>
          <w:sz w:val="24"/>
          <w:highlight w:val="none"/>
          <w:lang w:eastAsia="zh-CN"/>
        </w:rPr>
        <w:t>表</w:t>
      </w:r>
      <w:r>
        <w:rPr>
          <w:rFonts w:hint="eastAsia"/>
          <w:color w:val="auto"/>
          <w:sz w:val="24"/>
          <w:highlight w:val="none"/>
          <w:lang w:val="en-US" w:eastAsia="zh-CN"/>
        </w:rPr>
        <w:t>2排放标准限值</w:t>
      </w:r>
      <w:r>
        <w:rPr>
          <w:rFonts w:hint="eastAsia" w:hAnsi="宋体"/>
          <w:bCs/>
          <w:color w:val="auto"/>
          <w:kern w:val="0"/>
          <w:sz w:val="24"/>
          <w:highlight w:val="none"/>
        </w:rPr>
        <w:t>要求</w:t>
      </w:r>
      <w:r>
        <w:rPr>
          <w:rFonts w:hint="eastAsia" w:hAnsi="宋体"/>
          <w:bCs/>
          <w:color w:val="auto"/>
          <w:kern w:val="0"/>
          <w:sz w:val="24"/>
          <w:highlight w:val="none"/>
          <w:lang w:eastAsia="zh-CN"/>
        </w:rPr>
        <w:t>(</w:t>
      </w:r>
      <w:r>
        <w:rPr>
          <w:rFonts w:hint="eastAsia" w:hAnsi="宋体"/>
          <w:bCs/>
          <w:color w:val="auto"/>
          <w:kern w:val="0"/>
          <w:sz w:val="24"/>
          <w:highlight w:val="none"/>
        </w:rPr>
        <w:t xml:space="preserve">15m排气筒 </w:t>
      </w:r>
      <w:r>
        <w:rPr>
          <w:rFonts w:hint="eastAsia" w:hAnsi="宋体"/>
          <w:bCs/>
          <w:color w:val="auto"/>
          <w:kern w:val="0"/>
          <w:sz w:val="24"/>
          <w:highlight w:val="none"/>
          <w:lang w:val="en-US" w:eastAsia="zh-CN"/>
        </w:rPr>
        <w:t>4.9</w:t>
      </w:r>
      <w:r>
        <w:rPr>
          <w:rFonts w:hint="eastAsia" w:hAnsi="宋体"/>
          <w:bCs/>
          <w:color w:val="auto"/>
          <w:kern w:val="0"/>
          <w:sz w:val="24"/>
          <w:highlight w:val="none"/>
        </w:rPr>
        <w:t>kg/h</w:t>
      </w:r>
      <w:r>
        <w:rPr>
          <w:rFonts w:hint="eastAsia" w:hAnsi="宋体"/>
          <w:bCs/>
          <w:color w:val="auto"/>
          <w:kern w:val="0"/>
          <w:sz w:val="24"/>
          <w:highlight w:val="none"/>
          <w:lang w:eastAsia="zh-CN"/>
        </w:rPr>
        <w:t>)。</w:t>
      </w:r>
      <w:r>
        <w:rPr>
          <w:rFonts w:hint="default" w:ascii="Times New Roman" w:hAnsi="Times New Roman" w:cs="Times New Roman"/>
          <w:color w:val="auto"/>
          <w:sz w:val="24"/>
          <w:szCs w:val="24"/>
          <w:highlight w:val="none"/>
          <w:lang w:val="en-US" w:eastAsia="zh-CN"/>
        </w:rPr>
        <w:t>锅炉</w:t>
      </w:r>
      <w:r>
        <w:rPr>
          <w:rFonts w:hint="eastAsia" w:ascii="Times New Roman" w:hAnsi="Times New Roman" w:cs="Times New Roman"/>
          <w:color w:val="auto"/>
          <w:sz w:val="24"/>
          <w:szCs w:val="24"/>
          <w:highlight w:val="none"/>
          <w:lang w:val="en-US" w:eastAsia="zh-CN"/>
        </w:rPr>
        <w:t>废气</w:t>
      </w:r>
      <w:r>
        <w:rPr>
          <w:rFonts w:hint="default" w:ascii="Times New Roman" w:hAnsi="Times New Roman" w:cs="Times New Roman"/>
          <w:color w:val="auto"/>
          <w:sz w:val="24"/>
          <w:szCs w:val="24"/>
          <w:highlight w:val="none"/>
          <w:lang w:val="en-US" w:eastAsia="zh-CN"/>
        </w:rPr>
        <w:t>能够满足</w:t>
      </w:r>
      <w:r>
        <w:rPr>
          <w:rFonts w:hint="default" w:ascii="Times New Roman" w:hAnsi="Times New Roman" w:cs="Times New Roman"/>
          <w:color w:val="auto"/>
          <w:sz w:val="24"/>
          <w:highlight w:val="none"/>
        </w:rPr>
        <w:t>《山东省锅炉大气污染物排放标准》</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DB37/2374-2018</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表2“重点控制区”浓度限值</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pacing w:val="8"/>
          <w:sz w:val="24"/>
          <w:szCs w:val="24"/>
          <w:highlight w:val="none"/>
          <w:lang w:val="en-US" w:eastAsia="zh-CN"/>
        </w:rPr>
        <w:t>SO</w:t>
      </w:r>
      <w:r>
        <w:rPr>
          <w:rFonts w:hint="default" w:ascii="Times New Roman" w:hAnsi="Times New Roman" w:cs="Times New Roman"/>
          <w:color w:val="auto"/>
          <w:spacing w:val="8"/>
          <w:sz w:val="24"/>
          <w:szCs w:val="24"/>
          <w:highlight w:val="none"/>
          <w:vertAlign w:val="subscript"/>
          <w:lang w:val="en-US" w:eastAsia="zh-CN"/>
        </w:rPr>
        <w:t>2</w:t>
      </w:r>
      <w:r>
        <w:rPr>
          <w:rFonts w:hint="default" w:ascii="Times New Roman" w:hAnsi="Times New Roman" w:cs="Times New Roman"/>
          <w:color w:val="auto"/>
          <w:spacing w:val="8"/>
          <w:sz w:val="24"/>
          <w:szCs w:val="24"/>
          <w:highlight w:val="none"/>
          <w:lang w:val="en-US" w:eastAsia="zh-CN"/>
        </w:rPr>
        <w:t>50mg/m</w:t>
      </w:r>
      <w:r>
        <w:rPr>
          <w:rFonts w:hint="default" w:ascii="Times New Roman" w:hAnsi="Times New Roman" w:cs="Times New Roman"/>
          <w:color w:val="auto"/>
          <w:spacing w:val="8"/>
          <w:sz w:val="24"/>
          <w:szCs w:val="24"/>
          <w:highlight w:val="none"/>
          <w:vertAlign w:val="superscript"/>
          <w:lang w:val="en-US" w:eastAsia="zh-CN"/>
        </w:rPr>
        <w:t>3</w:t>
      </w:r>
      <w:r>
        <w:rPr>
          <w:rFonts w:hint="default" w:ascii="Times New Roman" w:hAnsi="Times New Roman" w:cs="Times New Roman"/>
          <w:color w:val="auto"/>
          <w:spacing w:val="8"/>
          <w:sz w:val="24"/>
          <w:szCs w:val="24"/>
          <w:highlight w:val="none"/>
          <w:lang w:val="en-US" w:eastAsia="zh-CN"/>
        </w:rPr>
        <w:t>、NO</w:t>
      </w:r>
      <w:r>
        <w:rPr>
          <w:rFonts w:hint="default" w:ascii="Times New Roman" w:hAnsi="Times New Roman" w:cs="Times New Roman"/>
          <w:color w:val="auto"/>
          <w:spacing w:val="8"/>
          <w:sz w:val="24"/>
          <w:szCs w:val="24"/>
          <w:highlight w:val="none"/>
          <w:vertAlign w:val="subscript"/>
          <w:lang w:val="en-US" w:eastAsia="zh-CN"/>
        </w:rPr>
        <w:t>x</w:t>
      </w:r>
      <w:r>
        <w:rPr>
          <w:rFonts w:hint="eastAsia" w:ascii="Times New Roman" w:hAnsi="Times New Roman" w:cs="Times New Roman"/>
          <w:color w:val="auto"/>
          <w:spacing w:val="8"/>
          <w:sz w:val="24"/>
          <w:szCs w:val="24"/>
          <w:highlight w:val="none"/>
          <w:vertAlign w:val="baseline"/>
          <w:lang w:val="en-US" w:eastAsia="zh-CN"/>
        </w:rPr>
        <w:t>1</w:t>
      </w:r>
      <w:r>
        <w:rPr>
          <w:rFonts w:hint="default" w:ascii="Times New Roman" w:hAnsi="Times New Roman" w:cs="Times New Roman"/>
          <w:color w:val="auto"/>
          <w:spacing w:val="8"/>
          <w:sz w:val="24"/>
          <w:szCs w:val="24"/>
          <w:highlight w:val="none"/>
          <w:vertAlign w:val="baseline"/>
          <w:lang w:val="en-US" w:eastAsia="zh-CN"/>
        </w:rPr>
        <w:t>0</w:t>
      </w:r>
      <w:r>
        <w:rPr>
          <w:rFonts w:hint="default" w:ascii="Times New Roman" w:hAnsi="Times New Roman" w:cs="Times New Roman"/>
          <w:color w:val="auto"/>
          <w:spacing w:val="8"/>
          <w:sz w:val="24"/>
          <w:szCs w:val="24"/>
          <w:highlight w:val="none"/>
          <w:lang w:val="en-US" w:eastAsia="zh-CN"/>
        </w:rPr>
        <w:t>0mg/m</w:t>
      </w:r>
      <w:r>
        <w:rPr>
          <w:rFonts w:hint="default" w:ascii="Times New Roman" w:hAnsi="Times New Roman" w:cs="Times New Roman"/>
          <w:color w:val="auto"/>
          <w:spacing w:val="8"/>
          <w:sz w:val="24"/>
          <w:szCs w:val="24"/>
          <w:highlight w:val="none"/>
          <w:vertAlign w:val="superscript"/>
          <w:lang w:val="en-US" w:eastAsia="zh-CN"/>
        </w:rPr>
        <w:t>3</w:t>
      </w:r>
      <w:r>
        <w:rPr>
          <w:rFonts w:hint="default" w:ascii="Times New Roman" w:hAnsi="Times New Roman" w:cs="Times New Roman"/>
          <w:color w:val="auto"/>
          <w:spacing w:val="8"/>
          <w:sz w:val="24"/>
          <w:szCs w:val="24"/>
          <w:highlight w:val="none"/>
          <w:lang w:val="en-US" w:eastAsia="zh-CN"/>
        </w:rPr>
        <w:t>、烟尘10mg/m</w:t>
      </w:r>
      <w:r>
        <w:rPr>
          <w:rFonts w:hint="default" w:ascii="Times New Roman" w:hAnsi="Times New Roman" w:cs="Times New Roman"/>
          <w:color w:val="auto"/>
          <w:spacing w:val="8"/>
          <w:sz w:val="24"/>
          <w:szCs w:val="24"/>
          <w:highlight w:val="none"/>
          <w:vertAlign w:val="superscript"/>
          <w:lang w:val="en-US" w:eastAsia="zh-CN"/>
        </w:rPr>
        <w:t>3</w:t>
      </w:r>
      <w:r>
        <w:rPr>
          <w:rFonts w:hint="default" w:ascii="Times New Roman" w:hAnsi="Times New Roman" w:cs="Times New Roman"/>
          <w:color w:val="auto"/>
          <w:spacing w:val="8"/>
          <w:sz w:val="24"/>
          <w:szCs w:val="24"/>
          <w:highlight w:val="none"/>
          <w:lang w:val="en-US" w:eastAsia="zh-CN"/>
        </w:rPr>
        <w:t>)的要求。</w:t>
      </w:r>
    </w:p>
    <w:p>
      <w:pPr>
        <w:spacing w:line="360" w:lineRule="auto"/>
        <w:ind w:firstLine="480" w:firstLineChars="200"/>
        <w:rPr>
          <w:rFonts w:hint="eastAsia"/>
          <w:color w:val="auto"/>
          <w:sz w:val="24"/>
          <w:highlight w:val="none"/>
        </w:rPr>
      </w:pPr>
      <w:r>
        <w:rPr>
          <w:rFonts w:hint="eastAsia"/>
          <w:color w:val="auto"/>
          <w:sz w:val="24"/>
          <w:highlight w:val="none"/>
        </w:rPr>
        <w:t>2、无组织废气排放</w:t>
      </w:r>
    </w:p>
    <w:p>
      <w:pPr>
        <w:spacing w:line="360" w:lineRule="auto"/>
        <w:ind w:firstLine="480" w:firstLineChars="200"/>
        <w:rPr>
          <w:rFonts w:hint="eastAsia"/>
          <w:color w:val="auto"/>
          <w:sz w:val="24"/>
          <w:highlight w:val="none"/>
        </w:rPr>
      </w:pPr>
      <w:r>
        <w:rPr>
          <w:rFonts w:hint="eastAsia"/>
          <w:color w:val="auto"/>
          <w:sz w:val="24"/>
          <w:highlight w:val="none"/>
          <w:lang w:val="en-US" w:eastAsia="zh-CN"/>
        </w:rPr>
        <w:t>根据</w:t>
      </w:r>
      <w:r>
        <w:rPr>
          <w:rFonts w:hint="eastAsia"/>
          <w:color w:val="auto"/>
          <w:sz w:val="24"/>
          <w:highlight w:val="none"/>
        </w:rPr>
        <w:t>本次后评价期间</w:t>
      </w:r>
      <w:r>
        <w:rPr>
          <w:rFonts w:hint="eastAsia"/>
          <w:color w:val="auto"/>
          <w:sz w:val="24"/>
          <w:highlight w:val="none"/>
          <w:lang w:val="en-US" w:eastAsia="zh-CN"/>
        </w:rPr>
        <w:t>进行的</w:t>
      </w:r>
      <w:r>
        <w:rPr>
          <w:rFonts w:hint="eastAsia"/>
          <w:color w:val="auto"/>
          <w:sz w:val="24"/>
          <w:highlight w:val="none"/>
        </w:rPr>
        <w:t>监测，</w:t>
      </w:r>
      <w:r>
        <w:rPr>
          <w:color w:val="auto"/>
          <w:kern w:val="0"/>
          <w:sz w:val="24"/>
          <w:highlight w:val="none"/>
        </w:rPr>
        <w:t>项目</w:t>
      </w:r>
      <w:r>
        <w:rPr>
          <w:rFonts w:hint="eastAsia"/>
          <w:color w:val="auto"/>
          <w:sz w:val="24"/>
          <w:highlight w:val="none"/>
        </w:rPr>
        <w:t>无组织排放的硫酸雾、氮氧化物、铬酸雾、氯化氢厂界浓度满足</w:t>
      </w:r>
      <w:r>
        <w:rPr>
          <w:color w:val="auto"/>
          <w:sz w:val="24"/>
          <w:highlight w:val="none"/>
        </w:rPr>
        <w:t>《大气污染物综合排放标准》(GB16297-1996)表2中</w:t>
      </w:r>
      <w:r>
        <w:rPr>
          <w:rFonts w:hint="eastAsia"/>
          <w:color w:val="auto"/>
          <w:sz w:val="24"/>
          <w:highlight w:val="none"/>
        </w:rPr>
        <w:t>无组织监控浓度限值</w:t>
      </w:r>
      <w:r>
        <w:rPr>
          <w:color w:val="auto"/>
          <w:sz w:val="24"/>
          <w:highlight w:val="none"/>
        </w:rPr>
        <w:t>。</w:t>
      </w:r>
      <w:r>
        <w:rPr>
          <w:rFonts w:hint="eastAsia"/>
          <w:color w:val="auto"/>
          <w:sz w:val="24"/>
          <w:highlight w:val="none"/>
          <w:lang w:eastAsia="zh-CN"/>
        </w:rPr>
        <w:t>氨</w:t>
      </w:r>
      <w:r>
        <w:rPr>
          <w:rFonts w:hint="eastAsia"/>
          <w:color w:val="auto"/>
          <w:sz w:val="24"/>
          <w:highlight w:val="none"/>
        </w:rPr>
        <w:t>厂界浓度满足</w:t>
      </w:r>
      <w:r>
        <w:rPr>
          <w:rFonts w:hint="eastAsia"/>
          <w:color w:val="auto"/>
          <w:sz w:val="24"/>
          <w:highlight w:val="none"/>
        </w:rPr>
        <w:t>《恶臭污染物排放标准》(GB14554-93)表1厂界二级</w:t>
      </w:r>
      <w:r>
        <w:rPr>
          <w:rFonts w:hint="eastAsia"/>
          <w:color w:val="auto"/>
          <w:sz w:val="24"/>
          <w:highlight w:val="none"/>
          <w:lang w:val="en-US" w:eastAsia="zh-CN"/>
        </w:rPr>
        <w:t>标准</w:t>
      </w:r>
      <w:r>
        <w:rPr>
          <w:rFonts w:hint="eastAsia"/>
          <w:color w:val="auto"/>
          <w:sz w:val="24"/>
          <w:highlight w:val="none"/>
        </w:rPr>
        <w:t>限值</w:t>
      </w:r>
      <w:r>
        <w:rPr>
          <w:rFonts w:hint="eastAsia"/>
          <w:color w:val="auto"/>
          <w:sz w:val="24"/>
          <w:highlight w:val="none"/>
          <w:lang w:eastAsia="zh-CN"/>
        </w:rPr>
        <w:t>。</w:t>
      </w:r>
    </w:p>
    <w:p>
      <w:pPr>
        <w:spacing w:line="360" w:lineRule="auto"/>
        <w:ind w:firstLine="480" w:firstLineChars="200"/>
        <w:rPr>
          <w:color w:val="auto"/>
          <w:sz w:val="24"/>
          <w:highlight w:val="none"/>
        </w:rPr>
      </w:pPr>
      <w:r>
        <w:rPr>
          <w:color w:val="auto"/>
          <w:sz w:val="24"/>
          <w:highlight w:val="none"/>
        </w:rPr>
        <w:t>综上所述，项目大气污染物均达到相应的排放标准，</w:t>
      </w:r>
      <w:r>
        <w:rPr>
          <w:rFonts w:hint="eastAsia"/>
          <w:color w:val="auto"/>
          <w:sz w:val="24"/>
          <w:highlight w:val="none"/>
        </w:rPr>
        <w:t>未对周围环境空气质量造成明显不利影响。</w:t>
      </w:r>
    </w:p>
    <w:p>
      <w:pPr>
        <w:pStyle w:val="6"/>
        <w:numPr>
          <w:ilvl w:val="1"/>
          <w:numId w:val="0"/>
        </w:numPr>
        <w:adjustRightInd w:val="0"/>
        <w:snapToGrid w:val="0"/>
        <w:spacing w:before="0" w:after="0" w:line="360" w:lineRule="auto"/>
        <w:ind w:leftChars="0"/>
        <w:jc w:val="left"/>
        <w:rPr>
          <w:b w:val="0"/>
          <w:color w:val="auto"/>
          <w:sz w:val="24"/>
          <w:szCs w:val="24"/>
          <w:highlight w:val="none"/>
        </w:rPr>
      </w:pPr>
      <w:bookmarkStart w:id="233" w:name="_Toc530655621"/>
      <w:bookmarkStart w:id="234" w:name="_Toc519063318"/>
      <w:bookmarkStart w:id="235" w:name="_Toc27721"/>
      <w:bookmarkStart w:id="236" w:name="_Toc275407590"/>
      <w:bookmarkStart w:id="237" w:name="_Toc279478984"/>
      <w:bookmarkStart w:id="238" w:name="_Toc248569131"/>
      <w:r>
        <w:rPr>
          <w:rFonts w:hint="eastAsia"/>
          <w:b w:val="0"/>
          <w:color w:val="auto"/>
          <w:sz w:val="24"/>
          <w:szCs w:val="24"/>
          <w:highlight w:val="none"/>
          <w:lang w:val="en-US" w:eastAsia="zh-CN"/>
        </w:rPr>
        <w:t xml:space="preserve">5.2 </w:t>
      </w:r>
      <w:r>
        <w:rPr>
          <w:rFonts w:hint="eastAsia"/>
          <w:b w:val="0"/>
          <w:color w:val="auto"/>
          <w:sz w:val="24"/>
          <w:szCs w:val="24"/>
          <w:highlight w:val="none"/>
        </w:rPr>
        <w:t>水环境</w:t>
      </w:r>
      <w:bookmarkEnd w:id="233"/>
      <w:bookmarkEnd w:id="234"/>
      <w:r>
        <w:rPr>
          <w:rFonts w:hint="eastAsia" w:ascii="Times New Roman" w:hAnsi="Times New Roman"/>
          <w:b w:val="0"/>
          <w:color w:val="auto"/>
          <w:sz w:val="24"/>
          <w:szCs w:val="24"/>
          <w:highlight w:val="none"/>
        </w:rPr>
        <w:t>影响预测验证</w:t>
      </w:r>
      <w:bookmarkEnd w:id="235"/>
    </w:p>
    <w:bookmarkEnd w:id="236"/>
    <w:bookmarkEnd w:id="237"/>
    <w:bookmarkEnd w:id="238"/>
    <w:p>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2"/>
        <w:rPr>
          <w:rFonts w:hint="default" w:ascii="黑体" w:hAnsi="黑体" w:eastAsia="黑体" w:cs="黑体"/>
          <w:color w:val="auto"/>
          <w:sz w:val="24"/>
          <w:highlight w:val="none"/>
          <w:lang w:val="en-US" w:eastAsia="zh-CN"/>
        </w:rPr>
      </w:pPr>
      <w:r>
        <w:rPr>
          <w:rFonts w:hint="eastAsia" w:ascii="黑体" w:hAnsi="黑体" w:eastAsia="黑体" w:cs="黑体"/>
          <w:color w:val="auto"/>
          <w:sz w:val="24"/>
          <w:highlight w:val="none"/>
          <w:lang w:val="en-US" w:eastAsia="zh-CN"/>
        </w:rPr>
        <w:t>5.2.1原环评报告预测结果</w:t>
      </w:r>
    </w:p>
    <w:p>
      <w:pPr>
        <w:spacing w:line="360" w:lineRule="auto"/>
        <w:ind w:firstLine="480" w:firstLineChars="200"/>
        <w:rPr>
          <w:rFonts w:hint="eastAsia"/>
          <w:color w:val="auto"/>
          <w:sz w:val="24"/>
          <w:highlight w:val="none"/>
        </w:rPr>
      </w:pPr>
      <w:r>
        <w:rPr>
          <w:rFonts w:hint="eastAsia"/>
          <w:color w:val="auto"/>
          <w:sz w:val="24"/>
          <w:highlight w:val="none"/>
        </w:rPr>
        <w:t>原环评</w:t>
      </w:r>
      <w:r>
        <w:rPr>
          <w:rFonts w:hint="eastAsia"/>
          <w:color w:val="auto"/>
          <w:sz w:val="24"/>
          <w:highlight w:val="none"/>
          <w:lang w:val="en-US" w:eastAsia="zh-CN"/>
        </w:rPr>
        <w:t>登记表</w:t>
      </w:r>
      <w:r>
        <w:rPr>
          <w:rFonts w:hint="eastAsia"/>
          <w:color w:val="auto"/>
          <w:sz w:val="24"/>
          <w:highlight w:val="none"/>
        </w:rPr>
        <w:t>未</w:t>
      </w:r>
      <w:r>
        <w:rPr>
          <w:rFonts w:hint="eastAsia"/>
          <w:color w:val="auto"/>
          <w:sz w:val="24"/>
          <w:highlight w:val="none"/>
          <w:lang w:val="en-US" w:eastAsia="zh-CN"/>
        </w:rPr>
        <w:t>对项目废水源强及</w:t>
      </w:r>
      <w:r>
        <w:rPr>
          <w:rFonts w:hint="eastAsia"/>
          <w:color w:val="auto"/>
          <w:sz w:val="24"/>
          <w:highlight w:val="none"/>
        </w:rPr>
        <w:t>影响</w:t>
      </w:r>
      <w:r>
        <w:rPr>
          <w:rFonts w:hint="eastAsia"/>
          <w:color w:val="auto"/>
          <w:sz w:val="24"/>
          <w:highlight w:val="none"/>
          <w:lang w:val="en-US" w:eastAsia="zh-CN"/>
        </w:rPr>
        <w:t>进行</w:t>
      </w:r>
      <w:r>
        <w:rPr>
          <w:rFonts w:hint="eastAsia"/>
          <w:color w:val="auto"/>
          <w:sz w:val="24"/>
          <w:highlight w:val="none"/>
        </w:rPr>
        <w:t>预测。</w:t>
      </w:r>
    </w:p>
    <w:p>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2"/>
        <w:rPr>
          <w:rFonts w:hint="default" w:ascii="黑体" w:hAnsi="黑体" w:eastAsia="黑体" w:cs="黑体"/>
          <w:color w:val="auto"/>
          <w:sz w:val="24"/>
          <w:highlight w:val="none"/>
          <w:lang w:val="en-US" w:eastAsia="zh-CN"/>
        </w:rPr>
      </w:pPr>
      <w:r>
        <w:rPr>
          <w:rFonts w:hint="eastAsia" w:ascii="黑体" w:hAnsi="黑体" w:eastAsia="黑体" w:cs="黑体"/>
          <w:color w:val="auto"/>
          <w:sz w:val="24"/>
          <w:highlight w:val="none"/>
          <w:lang w:val="en-US" w:eastAsia="zh-CN"/>
        </w:rPr>
        <w:t>5.2.2地表水环境影响预测结果</w:t>
      </w:r>
    </w:p>
    <w:p>
      <w:pPr>
        <w:snapToGrid w:val="0"/>
        <w:spacing w:line="360" w:lineRule="auto"/>
        <w:ind w:firstLine="480" w:firstLineChars="200"/>
        <w:rPr>
          <w:color w:val="auto"/>
          <w:sz w:val="24"/>
          <w:highlight w:val="none"/>
        </w:rPr>
      </w:pPr>
      <w:r>
        <w:rPr>
          <w:rFonts w:hint="eastAsia"/>
          <w:color w:val="auto"/>
          <w:sz w:val="24"/>
          <w:highlight w:val="none"/>
        </w:rPr>
        <w:t>根据项目工程分析，项目</w:t>
      </w:r>
      <w:r>
        <w:rPr>
          <w:color w:val="auto"/>
          <w:sz w:val="24"/>
          <w:szCs w:val="24"/>
          <w:highlight w:val="none"/>
        </w:rPr>
        <w:t>生</w:t>
      </w:r>
      <w:r>
        <w:rPr>
          <w:rFonts w:hint="default" w:ascii="Times New Roman" w:hAnsi="Times New Roman" w:cs="Times New Roman"/>
          <w:color w:val="auto"/>
          <w:sz w:val="24"/>
          <w:szCs w:val="24"/>
          <w:highlight w:val="none"/>
        </w:rPr>
        <w:t>产废水产生量</w:t>
      </w:r>
      <w:r>
        <w:rPr>
          <w:rFonts w:hint="eastAsia" w:cs="Times New Roman"/>
          <w:color w:val="auto"/>
          <w:sz w:val="24"/>
          <w:szCs w:val="24"/>
          <w:highlight w:val="none"/>
          <w:lang w:val="en-US" w:eastAsia="zh-CN"/>
        </w:rPr>
        <w:t>11436</w:t>
      </w:r>
      <w:r>
        <w:rPr>
          <w:rFonts w:hint="default" w:ascii="Times New Roman" w:hAnsi="Times New Roman" w:cs="Times New Roman"/>
          <w:color w:val="auto"/>
          <w:sz w:val="24"/>
          <w:szCs w:val="24"/>
          <w:highlight w:val="none"/>
        </w:rPr>
        <w:t>m³/a，其中综合废水约</w:t>
      </w:r>
      <w:r>
        <w:rPr>
          <w:rFonts w:hint="eastAsia" w:cs="Times New Roman"/>
          <w:color w:val="auto"/>
          <w:sz w:val="24"/>
          <w:szCs w:val="24"/>
          <w:highlight w:val="none"/>
          <w:lang w:val="en-US" w:eastAsia="zh-CN"/>
        </w:rPr>
        <w:t>9573</w:t>
      </w:r>
      <w:r>
        <w:rPr>
          <w:rFonts w:hint="default" w:ascii="Times New Roman" w:hAnsi="Times New Roman" w:cs="Times New Roman"/>
          <w:color w:val="auto"/>
          <w:sz w:val="24"/>
          <w:szCs w:val="24"/>
          <w:highlight w:val="none"/>
        </w:rPr>
        <w:t>m³/a、含镍废水</w:t>
      </w:r>
      <w:r>
        <w:rPr>
          <w:rFonts w:hint="eastAsia" w:cs="Times New Roman"/>
          <w:color w:val="auto"/>
          <w:sz w:val="24"/>
          <w:szCs w:val="24"/>
          <w:highlight w:val="none"/>
          <w:lang w:val="en-US" w:eastAsia="zh-CN"/>
        </w:rPr>
        <w:t>257</w:t>
      </w:r>
      <w:r>
        <w:rPr>
          <w:rFonts w:hint="default" w:ascii="Times New Roman" w:hAnsi="Times New Roman" w:cs="Times New Roman"/>
          <w:color w:val="auto"/>
          <w:sz w:val="24"/>
          <w:szCs w:val="24"/>
          <w:highlight w:val="none"/>
        </w:rPr>
        <w:t>m³/a、含铬废水约1</w:t>
      </w:r>
      <w:r>
        <w:rPr>
          <w:rFonts w:hint="default" w:ascii="Times New Roman" w:hAnsi="Times New Roman" w:cs="Times New Roman"/>
          <w:color w:val="auto"/>
          <w:sz w:val="24"/>
          <w:szCs w:val="24"/>
          <w:highlight w:val="none"/>
          <w:lang w:val="en-US" w:eastAsia="zh-CN"/>
        </w:rPr>
        <w:t>564</w:t>
      </w:r>
      <w:r>
        <w:rPr>
          <w:rFonts w:hint="default" w:ascii="Times New Roman" w:hAnsi="Times New Roman" w:cs="Times New Roman"/>
          <w:color w:val="auto"/>
          <w:sz w:val="24"/>
          <w:szCs w:val="24"/>
          <w:highlight w:val="none"/>
        </w:rPr>
        <w:t>m³/a</w:t>
      </w:r>
      <w:r>
        <w:rPr>
          <w:rFonts w:hint="eastAsia" w:ascii="Times New Roman" w:hAnsi="Times New Roman" w:cs="Times New Roman"/>
          <w:color w:val="auto"/>
          <w:sz w:val="24"/>
          <w:szCs w:val="24"/>
          <w:highlight w:val="none"/>
          <w:lang w:eastAsia="zh-CN"/>
        </w:rPr>
        <w:t>、</w:t>
      </w:r>
      <w:r>
        <w:rPr>
          <w:rFonts w:hint="eastAsia"/>
          <w:color w:val="auto"/>
          <w:sz w:val="24"/>
          <w:highlight w:val="none"/>
        </w:rPr>
        <w:t>锅炉排污水</w:t>
      </w:r>
      <w:r>
        <w:rPr>
          <w:rFonts w:hint="eastAsia"/>
          <w:color w:val="auto"/>
          <w:sz w:val="24"/>
          <w:highlight w:val="none"/>
          <w:lang w:val="en-US" w:eastAsia="zh-CN"/>
        </w:rPr>
        <w:t>42</w:t>
      </w:r>
      <w:r>
        <w:rPr>
          <w:color w:val="auto"/>
          <w:sz w:val="24"/>
          <w:highlight w:val="none"/>
        </w:rPr>
        <w:t>m</w:t>
      </w:r>
      <w:r>
        <w:rPr>
          <w:color w:val="auto"/>
          <w:sz w:val="24"/>
          <w:highlight w:val="none"/>
          <w:vertAlign w:val="superscript"/>
        </w:rPr>
        <w:t>3</w:t>
      </w:r>
      <w:r>
        <w:rPr>
          <w:color w:val="auto"/>
          <w:sz w:val="24"/>
          <w:highlight w:val="none"/>
        </w:rPr>
        <w:t>/a</w:t>
      </w:r>
      <w:r>
        <w:rPr>
          <w:rFonts w:hint="eastAsia"/>
          <w:color w:val="auto"/>
          <w:sz w:val="24"/>
          <w:highlight w:val="none"/>
          <w:lang w:eastAsia="zh-CN"/>
        </w:rPr>
        <w:t>，</w:t>
      </w:r>
      <w:r>
        <w:rPr>
          <w:color w:val="auto"/>
          <w:sz w:val="24"/>
          <w:highlight w:val="none"/>
        </w:rPr>
        <w:t>生活污水年排放量为</w:t>
      </w:r>
      <w:r>
        <w:rPr>
          <w:rFonts w:hint="eastAsia"/>
          <w:color w:val="auto"/>
          <w:sz w:val="24"/>
          <w:highlight w:val="none"/>
          <w:lang w:val="en-US" w:eastAsia="zh-CN"/>
        </w:rPr>
        <w:t>637.</w:t>
      </w:r>
      <w:r>
        <w:rPr>
          <w:color w:val="auto"/>
          <w:sz w:val="24"/>
          <w:highlight w:val="none"/>
        </w:rPr>
        <w:t>5t/a</w:t>
      </w:r>
      <w:r>
        <w:rPr>
          <w:rFonts w:hint="default" w:ascii="Times New Roman" w:hAnsi="Times New Roman" w:cs="Times New Roman"/>
          <w:color w:val="auto"/>
          <w:sz w:val="24"/>
          <w:szCs w:val="24"/>
          <w:highlight w:val="none"/>
        </w:rPr>
        <w:t>。</w:t>
      </w:r>
    </w:p>
    <w:p>
      <w:pPr>
        <w:snapToGrid w:val="0"/>
        <w:spacing w:line="360" w:lineRule="auto"/>
        <w:ind w:firstLine="480" w:firstLineChars="200"/>
        <w:rPr>
          <w:color w:val="auto"/>
          <w:sz w:val="24"/>
          <w:highlight w:val="none"/>
        </w:rPr>
      </w:pPr>
      <w:r>
        <w:rPr>
          <w:rFonts w:hint="eastAsia"/>
          <w:color w:val="auto"/>
          <w:sz w:val="24"/>
          <w:highlight w:val="none"/>
        </w:rPr>
        <w:t>1、生产废水</w:t>
      </w:r>
    </w:p>
    <w:p>
      <w:pPr>
        <w:snapToGrid w:val="0"/>
        <w:spacing w:line="360" w:lineRule="auto"/>
        <w:ind w:firstLine="480" w:firstLineChars="200"/>
        <w:rPr>
          <w:color w:val="auto"/>
          <w:sz w:val="24"/>
          <w:highlight w:val="none"/>
        </w:rPr>
      </w:pPr>
      <w:r>
        <w:rPr>
          <w:rFonts w:hint="eastAsia"/>
          <w:color w:val="auto"/>
          <w:sz w:val="24"/>
          <w:highlight w:val="none"/>
        </w:rPr>
        <w:t>根据项目监测</w:t>
      </w:r>
      <w:r>
        <w:rPr>
          <w:rFonts w:hint="eastAsia"/>
          <w:color w:val="auto"/>
          <w:sz w:val="24"/>
          <w:highlight w:val="none"/>
          <w:lang w:val="en-US" w:eastAsia="zh-CN"/>
        </w:rPr>
        <w:t>报告</w:t>
      </w:r>
      <w:r>
        <w:rPr>
          <w:rFonts w:hint="eastAsia"/>
          <w:color w:val="auto"/>
          <w:sz w:val="24"/>
          <w:highlight w:val="none"/>
        </w:rPr>
        <w:t>(</w:t>
      </w:r>
      <w:r>
        <w:rPr>
          <w:rFonts w:hint="eastAsia"/>
          <w:color w:val="auto"/>
          <w:sz w:val="24"/>
          <w:highlight w:val="none"/>
        </w:rPr>
        <w:t>青</w:t>
      </w:r>
      <w:r>
        <w:rPr>
          <w:rFonts w:hint="eastAsia"/>
          <w:color w:val="auto"/>
          <w:sz w:val="24"/>
          <w:highlight w:val="none"/>
          <w:lang w:val="en-US" w:eastAsia="zh-CN"/>
        </w:rPr>
        <w:t>[</w:t>
      </w:r>
      <w:r>
        <w:rPr>
          <w:rFonts w:hint="eastAsia"/>
          <w:color w:val="auto"/>
          <w:sz w:val="24"/>
          <w:highlight w:val="none"/>
        </w:rPr>
        <w:t>皓</w:t>
      </w:r>
      <w:r>
        <w:rPr>
          <w:rFonts w:hint="eastAsia"/>
          <w:color w:val="auto"/>
          <w:sz w:val="24"/>
          <w:highlight w:val="none"/>
          <w:lang w:val="en-US" w:eastAsia="zh-CN"/>
        </w:rPr>
        <w:t>]WT1901283G</w:t>
      </w:r>
      <w:r>
        <w:rPr>
          <w:rFonts w:hint="eastAsia"/>
          <w:color w:val="auto"/>
          <w:sz w:val="24"/>
          <w:highlight w:val="none"/>
          <w:lang w:eastAsia="zh-CN"/>
        </w:rPr>
        <w:t>、</w:t>
      </w:r>
      <w:r>
        <w:rPr>
          <w:rFonts w:hint="eastAsia"/>
          <w:color w:val="auto"/>
          <w:sz w:val="24"/>
          <w:highlight w:val="none"/>
        </w:rPr>
        <w:t>青</w:t>
      </w:r>
      <w:r>
        <w:rPr>
          <w:rFonts w:hint="eastAsia"/>
          <w:color w:val="auto"/>
          <w:sz w:val="24"/>
          <w:highlight w:val="none"/>
          <w:lang w:val="en-US" w:eastAsia="zh-CN"/>
        </w:rPr>
        <w:t>[</w:t>
      </w:r>
      <w:r>
        <w:rPr>
          <w:rFonts w:hint="eastAsia"/>
          <w:color w:val="auto"/>
          <w:sz w:val="24"/>
          <w:highlight w:val="none"/>
        </w:rPr>
        <w:t>皓</w:t>
      </w:r>
      <w:r>
        <w:rPr>
          <w:rFonts w:hint="eastAsia"/>
          <w:color w:val="auto"/>
          <w:sz w:val="24"/>
          <w:highlight w:val="none"/>
          <w:lang w:val="en-US" w:eastAsia="zh-CN"/>
        </w:rPr>
        <w:t>]</w:t>
      </w:r>
      <w:r>
        <w:rPr>
          <w:rFonts w:hint="eastAsia"/>
          <w:color w:val="auto"/>
          <w:sz w:val="24"/>
          <w:highlight w:val="none"/>
          <w:lang w:eastAsia="zh-CN"/>
        </w:rPr>
        <w:t>WT1901343</w:t>
      </w:r>
      <w:r>
        <w:rPr>
          <w:rFonts w:hint="eastAsia"/>
          <w:color w:val="auto"/>
          <w:sz w:val="24"/>
          <w:highlight w:val="none"/>
        </w:rPr>
        <w:t>)，该项目正常生产期间，园区</w:t>
      </w:r>
      <w:r>
        <w:rPr>
          <w:color w:val="auto"/>
          <w:sz w:val="24"/>
          <w:highlight w:val="none"/>
        </w:rPr>
        <w:t>污水处理站</w:t>
      </w:r>
      <w:r>
        <w:rPr>
          <w:rFonts w:hint="eastAsia"/>
          <w:color w:val="auto"/>
          <w:sz w:val="24"/>
          <w:highlight w:val="none"/>
        </w:rPr>
        <w:t>出水</w:t>
      </w:r>
      <w:r>
        <w:rPr>
          <w:rFonts w:hint="eastAsia"/>
          <w:color w:val="auto"/>
          <w:sz w:val="24"/>
          <w:highlight w:val="none"/>
        </w:rPr>
        <w:t>铬</w:t>
      </w:r>
      <w:r>
        <w:rPr>
          <w:rFonts w:hint="eastAsia"/>
          <w:color w:val="auto"/>
          <w:sz w:val="24"/>
          <w:highlight w:val="none"/>
          <w:lang w:eastAsia="zh-CN"/>
        </w:rPr>
        <w:t>(</w:t>
      </w:r>
      <w:r>
        <w:rPr>
          <w:rFonts w:hint="eastAsia"/>
          <w:color w:val="auto"/>
          <w:sz w:val="24"/>
          <w:highlight w:val="none"/>
        </w:rPr>
        <w:t>六价</w:t>
      </w:r>
      <w:r>
        <w:rPr>
          <w:rFonts w:hint="eastAsia"/>
          <w:color w:val="auto"/>
          <w:sz w:val="24"/>
          <w:highlight w:val="none"/>
          <w:lang w:eastAsia="zh-CN"/>
        </w:rPr>
        <w:t>)</w:t>
      </w:r>
      <w:r>
        <w:rPr>
          <w:rFonts w:hint="eastAsia"/>
          <w:color w:val="auto"/>
          <w:sz w:val="24"/>
          <w:highlight w:val="none"/>
        </w:rPr>
        <w:t>、总铬、总镍</w:t>
      </w:r>
      <w:r>
        <w:rPr>
          <w:rFonts w:hint="eastAsia"/>
          <w:color w:val="auto"/>
          <w:sz w:val="24"/>
          <w:highlight w:val="none"/>
        </w:rPr>
        <w:t>、总银、总锡</w:t>
      </w:r>
      <w:r>
        <w:rPr>
          <w:rFonts w:hint="eastAsia"/>
          <w:color w:val="auto"/>
          <w:sz w:val="24"/>
          <w:highlight w:val="none"/>
          <w:lang w:val="en-US" w:eastAsia="zh-CN"/>
        </w:rPr>
        <w:t>满足</w:t>
      </w:r>
      <w:r>
        <w:rPr>
          <w:rFonts w:hint="eastAsia"/>
          <w:color w:val="auto"/>
          <w:sz w:val="24"/>
          <w:highlight w:val="none"/>
        </w:rPr>
        <w:t>《</w:t>
      </w:r>
      <w:r>
        <w:rPr>
          <w:rFonts w:hint="eastAsia"/>
          <w:color w:val="auto"/>
          <w:sz w:val="24"/>
          <w:highlight w:val="none"/>
        </w:rPr>
        <w:t>电镀污染物排放标准》(GB21900-2008)表2标准。</w:t>
      </w:r>
      <w:r>
        <w:rPr>
          <w:rFonts w:hint="eastAsia"/>
          <w:color w:val="auto"/>
          <w:kern w:val="0"/>
          <w:sz w:val="24"/>
          <w:highlight w:val="none"/>
          <w:lang w:val="en-US" w:eastAsia="zh-CN"/>
        </w:rPr>
        <w:t>其他</w:t>
      </w:r>
      <w:r>
        <w:rPr>
          <w:rFonts w:hint="eastAsia"/>
          <w:color w:val="auto"/>
          <w:sz w:val="24"/>
          <w:highlight w:val="none"/>
        </w:rPr>
        <w:t>污染物排放</w:t>
      </w:r>
      <w:r>
        <w:rPr>
          <w:rFonts w:hint="eastAsia"/>
          <w:color w:val="auto"/>
          <w:sz w:val="24"/>
          <w:highlight w:val="none"/>
          <w:lang w:val="en-US" w:eastAsia="zh-CN"/>
        </w:rPr>
        <w:t>均满足</w:t>
      </w:r>
      <w:r>
        <w:rPr>
          <w:rFonts w:hint="eastAsia"/>
          <w:color w:val="auto"/>
          <w:sz w:val="24"/>
          <w:highlight w:val="none"/>
        </w:rPr>
        <w:t>《污水排入城镇下水道水质标准》(GB/T31962-2015)表1中B级标准限值要求</w:t>
      </w:r>
      <w:r>
        <w:rPr>
          <w:rFonts w:hint="eastAsia"/>
          <w:color w:val="auto"/>
          <w:sz w:val="24"/>
          <w:highlight w:val="none"/>
        </w:rPr>
        <w:t>。</w:t>
      </w:r>
      <w:r>
        <w:rPr>
          <w:rFonts w:hint="eastAsia"/>
          <w:color w:val="auto"/>
          <w:kern w:val="0"/>
          <w:sz w:val="24"/>
          <w:highlight w:val="none"/>
          <w:lang w:val="en-US" w:eastAsia="zh-CN"/>
        </w:rPr>
        <w:t>处理后的废水经</w:t>
      </w:r>
      <w:r>
        <w:rPr>
          <w:color w:val="auto"/>
          <w:kern w:val="0"/>
          <w:sz w:val="24"/>
          <w:highlight w:val="none"/>
        </w:rPr>
        <w:t>市政污水管网排入</w:t>
      </w:r>
      <w:r>
        <w:rPr>
          <w:rFonts w:hint="eastAsia"/>
          <w:color w:val="auto"/>
          <w:sz w:val="24"/>
          <w:highlight w:val="none"/>
          <w:lang w:eastAsia="zh-CN"/>
        </w:rPr>
        <w:t>镰湾河水质净化厂</w:t>
      </w:r>
      <w:r>
        <w:rPr>
          <w:rFonts w:hint="eastAsia"/>
          <w:color w:val="auto"/>
          <w:sz w:val="24"/>
          <w:highlight w:val="none"/>
          <w:lang w:val="en-US" w:eastAsia="zh-CN"/>
        </w:rPr>
        <w:t>进一步处理，出水水质满足</w:t>
      </w:r>
      <w:r>
        <w:rPr>
          <w:color w:val="auto"/>
          <w:sz w:val="24"/>
          <w:szCs w:val="24"/>
          <w:highlight w:val="none"/>
        </w:rPr>
        <w:t>《城镇污水处理厂污染物排放标准》（GB18918-2002）一级</w:t>
      </w:r>
      <w:r>
        <w:rPr>
          <w:rFonts w:hint="eastAsia"/>
          <w:color w:val="auto"/>
          <w:sz w:val="24"/>
          <w:szCs w:val="24"/>
          <w:highlight w:val="none"/>
        </w:rPr>
        <w:t>A</w:t>
      </w:r>
      <w:r>
        <w:rPr>
          <w:color w:val="auto"/>
          <w:sz w:val="24"/>
          <w:szCs w:val="24"/>
          <w:highlight w:val="none"/>
        </w:rPr>
        <w:t>类</w:t>
      </w:r>
      <w:r>
        <w:rPr>
          <w:rFonts w:hint="eastAsia"/>
          <w:color w:val="auto"/>
          <w:sz w:val="24"/>
          <w:szCs w:val="24"/>
          <w:highlight w:val="none"/>
        </w:rPr>
        <w:t>标准</w:t>
      </w:r>
      <w:r>
        <w:rPr>
          <w:color w:val="auto"/>
          <w:kern w:val="0"/>
          <w:sz w:val="24"/>
          <w:highlight w:val="none"/>
        </w:rPr>
        <w:t>。</w:t>
      </w:r>
    </w:p>
    <w:p>
      <w:pPr>
        <w:snapToGrid w:val="0"/>
        <w:spacing w:line="360" w:lineRule="auto"/>
        <w:ind w:firstLine="480" w:firstLineChars="200"/>
        <w:rPr>
          <w:color w:val="auto"/>
          <w:sz w:val="24"/>
          <w:highlight w:val="none"/>
        </w:rPr>
      </w:pPr>
      <w:r>
        <w:rPr>
          <w:rFonts w:hint="eastAsia"/>
          <w:color w:val="auto"/>
          <w:sz w:val="24"/>
          <w:highlight w:val="none"/>
        </w:rPr>
        <w:t>2、生活污水</w:t>
      </w:r>
    </w:p>
    <w:p>
      <w:pPr>
        <w:snapToGrid w:val="0"/>
        <w:spacing w:line="360" w:lineRule="auto"/>
        <w:ind w:firstLine="480" w:firstLineChars="200"/>
        <w:rPr>
          <w:rFonts w:hint="eastAsia"/>
          <w:color w:val="auto"/>
          <w:sz w:val="24"/>
          <w:highlight w:val="none"/>
        </w:rPr>
      </w:pPr>
      <w:r>
        <w:rPr>
          <w:color w:val="auto"/>
          <w:sz w:val="24"/>
          <w:highlight w:val="none"/>
        </w:rPr>
        <w:t>项目生活污水满足</w:t>
      </w:r>
      <w:r>
        <w:rPr>
          <w:rFonts w:hint="eastAsia"/>
          <w:color w:val="auto"/>
          <w:sz w:val="24"/>
          <w:highlight w:val="none"/>
        </w:rPr>
        <w:t>《污水排入城镇下水道水质标准》(GB/T31962-2015)表1中B级标准限值要求，</w:t>
      </w:r>
      <w:r>
        <w:rPr>
          <w:rFonts w:hint="eastAsia"/>
          <w:color w:val="auto"/>
          <w:sz w:val="24"/>
          <w:highlight w:val="none"/>
          <w:lang w:val="en-US" w:eastAsia="zh-CN"/>
        </w:rPr>
        <w:t>与处理后的生产废水一同</w:t>
      </w:r>
      <w:r>
        <w:rPr>
          <w:rFonts w:hint="eastAsia"/>
          <w:color w:val="auto"/>
          <w:sz w:val="24"/>
          <w:highlight w:val="none"/>
        </w:rPr>
        <w:t>进入城市污水管网，排入</w:t>
      </w:r>
      <w:r>
        <w:rPr>
          <w:rFonts w:hint="eastAsia"/>
          <w:color w:val="auto"/>
          <w:sz w:val="24"/>
          <w:highlight w:val="none"/>
          <w:lang w:eastAsia="zh-CN"/>
        </w:rPr>
        <w:t>镰湾河水质净化厂</w:t>
      </w:r>
      <w:r>
        <w:rPr>
          <w:rFonts w:hint="eastAsia"/>
          <w:color w:val="auto"/>
          <w:sz w:val="24"/>
          <w:highlight w:val="none"/>
        </w:rPr>
        <w:t>。</w:t>
      </w:r>
    </w:p>
    <w:p>
      <w:pPr>
        <w:pStyle w:val="6"/>
        <w:numPr>
          <w:ilvl w:val="1"/>
          <w:numId w:val="0"/>
        </w:numPr>
        <w:adjustRightInd w:val="0"/>
        <w:snapToGrid w:val="0"/>
        <w:spacing w:before="0" w:after="0" w:line="360" w:lineRule="auto"/>
        <w:ind w:leftChars="0"/>
        <w:jc w:val="left"/>
        <w:rPr>
          <w:rFonts w:hint="eastAsia"/>
          <w:b w:val="0"/>
          <w:color w:val="auto"/>
          <w:sz w:val="24"/>
          <w:szCs w:val="24"/>
          <w:highlight w:val="none"/>
        </w:rPr>
      </w:pPr>
      <w:bookmarkStart w:id="239" w:name="_Toc12359"/>
      <w:r>
        <w:rPr>
          <w:rFonts w:hint="eastAsia"/>
          <w:b w:val="0"/>
          <w:color w:val="auto"/>
          <w:sz w:val="24"/>
          <w:szCs w:val="24"/>
          <w:highlight w:val="none"/>
          <w:lang w:val="en-US" w:eastAsia="zh-CN"/>
        </w:rPr>
        <w:t>5</w:t>
      </w:r>
      <w:r>
        <w:rPr>
          <w:rFonts w:hint="eastAsia"/>
          <w:b w:val="0"/>
          <w:color w:val="auto"/>
          <w:sz w:val="24"/>
          <w:szCs w:val="24"/>
          <w:highlight w:val="none"/>
        </w:rPr>
        <w:t>.3.地下水影响预测验证</w:t>
      </w:r>
      <w:bookmarkEnd w:id="239"/>
    </w:p>
    <w:p>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2"/>
        <w:rPr>
          <w:rFonts w:hint="eastAsia" w:ascii="黑体" w:hAnsi="黑体" w:eastAsia="黑体" w:cs="黑体"/>
          <w:color w:val="auto"/>
          <w:sz w:val="24"/>
          <w:highlight w:val="none"/>
          <w:lang w:val="en-US" w:eastAsia="zh-CN"/>
        </w:rPr>
      </w:pPr>
      <w:r>
        <w:rPr>
          <w:rFonts w:hint="eastAsia" w:ascii="黑体" w:hAnsi="黑体" w:eastAsia="黑体" w:cs="黑体"/>
          <w:color w:val="auto"/>
          <w:sz w:val="24"/>
          <w:highlight w:val="none"/>
          <w:lang w:val="en-US" w:eastAsia="zh-CN"/>
        </w:rPr>
        <w:t>5.3.1原环评报告预测结果</w:t>
      </w:r>
    </w:p>
    <w:p>
      <w:pPr>
        <w:spacing w:line="360" w:lineRule="auto"/>
        <w:ind w:firstLine="480" w:firstLineChars="200"/>
        <w:rPr>
          <w:rFonts w:hint="eastAsia"/>
          <w:color w:val="auto"/>
          <w:sz w:val="24"/>
          <w:highlight w:val="none"/>
        </w:rPr>
      </w:pPr>
      <w:r>
        <w:rPr>
          <w:rFonts w:hint="eastAsia"/>
          <w:color w:val="auto"/>
          <w:sz w:val="24"/>
          <w:highlight w:val="none"/>
        </w:rPr>
        <w:t>原环评</w:t>
      </w:r>
      <w:r>
        <w:rPr>
          <w:rFonts w:hint="eastAsia"/>
          <w:color w:val="auto"/>
          <w:sz w:val="24"/>
          <w:highlight w:val="none"/>
          <w:lang w:val="en-US" w:eastAsia="zh-CN"/>
        </w:rPr>
        <w:t>登记表</w:t>
      </w:r>
      <w:r>
        <w:rPr>
          <w:rFonts w:hint="eastAsia"/>
          <w:color w:val="auto"/>
          <w:sz w:val="24"/>
          <w:highlight w:val="none"/>
        </w:rPr>
        <w:t>未</w:t>
      </w:r>
      <w:r>
        <w:rPr>
          <w:rFonts w:hint="eastAsia"/>
          <w:color w:val="auto"/>
          <w:sz w:val="24"/>
          <w:highlight w:val="none"/>
          <w:lang w:val="en-US" w:eastAsia="zh-CN"/>
        </w:rPr>
        <w:t>对项目的地下水环境</w:t>
      </w:r>
      <w:r>
        <w:rPr>
          <w:rFonts w:hint="eastAsia"/>
          <w:color w:val="auto"/>
          <w:sz w:val="24"/>
          <w:highlight w:val="none"/>
        </w:rPr>
        <w:t>影响</w:t>
      </w:r>
      <w:r>
        <w:rPr>
          <w:rFonts w:hint="eastAsia"/>
          <w:color w:val="auto"/>
          <w:sz w:val="24"/>
          <w:highlight w:val="none"/>
          <w:lang w:val="en-US" w:eastAsia="zh-CN"/>
        </w:rPr>
        <w:t>进行</w:t>
      </w:r>
      <w:r>
        <w:rPr>
          <w:rFonts w:hint="eastAsia"/>
          <w:color w:val="auto"/>
          <w:sz w:val="24"/>
          <w:highlight w:val="none"/>
        </w:rPr>
        <w:t>预测。</w:t>
      </w:r>
    </w:p>
    <w:p>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2"/>
        <w:rPr>
          <w:rFonts w:hint="eastAsia" w:ascii="黑体" w:hAnsi="黑体" w:eastAsia="黑体" w:cs="黑体"/>
          <w:color w:val="auto"/>
          <w:sz w:val="24"/>
          <w:highlight w:val="none"/>
          <w:lang w:val="en-US" w:eastAsia="zh-CN"/>
        </w:rPr>
      </w:pPr>
      <w:r>
        <w:rPr>
          <w:rFonts w:hint="eastAsia" w:ascii="黑体" w:hAnsi="黑体" w:eastAsia="黑体" w:cs="黑体"/>
          <w:color w:val="auto"/>
          <w:sz w:val="24"/>
          <w:highlight w:val="none"/>
          <w:lang w:val="en-US" w:eastAsia="zh-CN"/>
        </w:rPr>
        <w:t>5.3.2 地下水影响验证结果</w:t>
      </w:r>
    </w:p>
    <w:p>
      <w:pPr>
        <w:snapToGrid w:val="0"/>
        <w:spacing w:line="360" w:lineRule="auto"/>
        <w:ind w:firstLine="480" w:firstLineChars="200"/>
        <w:rPr>
          <w:rFonts w:hint="eastAsia"/>
          <w:color w:val="auto"/>
          <w:sz w:val="24"/>
          <w:highlight w:val="none"/>
        </w:rPr>
      </w:pPr>
      <w:r>
        <w:rPr>
          <w:rFonts w:hint="eastAsia"/>
          <w:color w:val="auto"/>
          <w:sz w:val="24"/>
          <w:highlight w:val="none"/>
          <w:lang w:val="en-US" w:eastAsia="zh-CN"/>
        </w:rPr>
        <w:t>项目采取了个分区防渗措施，</w:t>
      </w:r>
      <w:r>
        <w:rPr>
          <w:rFonts w:hint="eastAsia"/>
          <w:color w:val="auto"/>
          <w:sz w:val="24"/>
          <w:highlight w:val="none"/>
        </w:rPr>
        <w:t>根据区域地下水监测结果，与</w:t>
      </w:r>
      <w:r>
        <w:rPr>
          <w:rFonts w:hint="eastAsia"/>
          <w:color w:val="auto"/>
          <w:sz w:val="24"/>
          <w:highlight w:val="none"/>
          <w:lang w:val="en-US" w:eastAsia="zh-CN"/>
        </w:rPr>
        <w:t>项目</w:t>
      </w:r>
      <w:r>
        <w:rPr>
          <w:rFonts w:hint="eastAsia"/>
          <w:color w:val="auto"/>
          <w:sz w:val="24"/>
          <w:highlight w:val="none"/>
        </w:rPr>
        <w:t>有关的重金属（铬、镍</w:t>
      </w:r>
      <w:r>
        <w:rPr>
          <w:rFonts w:hint="eastAsia"/>
          <w:color w:val="auto"/>
          <w:sz w:val="24"/>
          <w:highlight w:val="none"/>
          <w:lang w:eastAsia="zh-CN"/>
        </w:rPr>
        <w:t>、</w:t>
      </w:r>
      <w:r>
        <w:rPr>
          <w:rFonts w:hint="eastAsia"/>
          <w:color w:val="auto"/>
          <w:sz w:val="24"/>
          <w:highlight w:val="none"/>
          <w:lang w:val="en-US" w:eastAsia="zh-CN"/>
        </w:rPr>
        <w:t>铜、锌、锡、银</w:t>
      </w:r>
      <w:r>
        <w:rPr>
          <w:rFonts w:hint="eastAsia"/>
          <w:color w:val="auto"/>
          <w:sz w:val="24"/>
          <w:highlight w:val="none"/>
        </w:rPr>
        <w:t>）满足《地下水环境质量标准》</w:t>
      </w:r>
      <w:r>
        <w:rPr>
          <w:rFonts w:hint="eastAsia"/>
          <w:color w:val="auto"/>
          <w:sz w:val="24"/>
          <w:highlight w:val="none"/>
          <w:lang w:val="en-US" w:eastAsia="zh-CN"/>
        </w:rPr>
        <w:t>(</w:t>
      </w:r>
      <w:r>
        <w:rPr>
          <w:rFonts w:hint="eastAsia"/>
          <w:color w:val="auto"/>
          <w:sz w:val="24"/>
          <w:highlight w:val="none"/>
        </w:rPr>
        <w:t>GB14848-201</w:t>
      </w:r>
      <w:r>
        <w:rPr>
          <w:rFonts w:hint="eastAsia"/>
          <w:color w:val="auto"/>
          <w:sz w:val="24"/>
          <w:szCs w:val="24"/>
          <w:highlight w:val="none"/>
        </w:rPr>
        <w:t>7</w:t>
      </w:r>
      <w:r>
        <w:rPr>
          <w:rFonts w:hint="eastAsia"/>
          <w:color w:val="auto"/>
          <w:sz w:val="24"/>
          <w:szCs w:val="24"/>
          <w:highlight w:val="none"/>
          <w:lang w:val="en-US" w:eastAsia="zh-CN"/>
        </w:rPr>
        <w:t>)</w:t>
      </w:r>
      <w:r>
        <w:rPr>
          <w:rFonts w:hint="eastAsia"/>
          <w:color w:val="auto"/>
          <w:sz w:val="24"/>
          <w:szCs w:val="24"/>
          <w:highlight w:val="none"/>
          <w:lang w:val="en-US" w:eastAsia="zh-CN"/>
        </w:rPr>
        <w:fldChar w:fldCharType="begin"/>
      </w:r>
      <w:r>
        <w:rPr>
          <w:rFonts w:hint="eastAsia"/>
          <w:color w:val="auto"/>
          <w:sz w:val="24"/>
          <w:szCs w:val="24"/>
          <w:highlight w:val="none"/>
          <w:lang w:val="en-US" w:eastAsia="zh-CN"/>
        </w:rPr>
        <w:instrText xml:space="preserve"> = 4 \* ROMAN \* MERGEFORMAT </w:instrText>
      </w:r>
      <w:r>
        <w:rPr>
          <w:rFonts w:hint="eastAsia"/>
          <w:color w:val="auto"/>
          <w:sz w:val="24"/>
          <w:szCs w:val="24"/>
          <w:highlight w:val="none"/>
          <w:lang w:val="en-US" w:eastAsia="zh-CN"/>
        </w:rPr>
        <w:fldChar w:fldCharType="separate"/>
      </w:r>
      <w:r>
        <w:rPr>
          <w:color w:val="auto"/>
          <w:sz w:val="24"/>
          <w:szCs w:val="24"/>
          <w:highlight w:val="none"/>
        </w:rPr>
        <w:t>IV</w:t>
      </w:r>
      <w:r>
        <w:rPr>
          <w:rFonts w:hint="eastAsia"/>
          <w:color w:val="auto"/>
          <w:sz w:val="24"/>
          <w:szCs w:val="24"/>
          <w:highlight w:val="none"/>
          <w:lang w:val="en-US" w:eastAsia="zh-CN"/>
        </w:rPr>
        <w:fldChar w:fldCharType="end"/>
      </w:r>
      <w:r>
        <w:rPr>
          <w:rFonts w:hint="eastAsia"/>
          <w:color w:val="auto"/>
          <w:sz w:val="24"/>
          <w:highlight w:val="none"/>
        </w:rPr>
        <w:t>类标准。建设单位应定期对各区域防渗层进行进行检修，确保防渗措施有效。</w:t>
      </w:r>
    </w:p>
    <w:p>
      <w:pPr>
        <w:snapToGrid w:val="0"/>
        <w:spacing w:line="360" w:lineRule="auto"/>
        <w:ind w:firstLine="480" w:firstLineChars="200"/>
        <w:rPr>
          <w:rFonts w:hint="eastAsia"/>
          <w:color w:val="auto"/>
          <w:sz w:val="24"/>
          <w:highlight w:val="none"/>
        </w:rPr>
      </w:pPr>
      <w:r>
        <w:rPr>
          <w:rFonts w:hint="eastAsia"/>
          <w:color w:val="auto"/>
          <w:sz w:val="24"/>
          <w:highlight w:val="none"/>
        </w:rPr>
        <w:t>综上，</w:t>
      </w:r>
      <w:r>
        <w:rPr>
          <w:rFonts w:hint="eastAsia"/>
          <w:color w:val="auto"/>
          <w:sz w:val="24"/>
          <w:highlight w:val="none"/>
          <w:lang w:val="en-US" w:eastAsia="zh-CN"/>
        </w:rPr>
        <w:t>项目各</w:t>
      </w:r>
      <w:r>
        <w:rPr>
          <w:rFonts w:hint="eastAsia"/>
          <w:color w:val="auto"/>
          <w:sz w:val="24"/>
          <w:highlight w:val="none"/>
        </w:rPr>
        <w:t>生产线的运营，未对地下水造成不利影响。</w:t>
      </w:r>
    </w:p>
    <w:p>
      <w:pPr>
        <w:pStyle w:val="6"/>
        <w:numPr>
          <w:ilvl w:val="1"/>
          <w:numId w:val="0"/>
        </w:numPr>
        <w:adjustRightInd w:val="0"/>
        <w:snapToGrid w:val="0"/>
        <w:spacing w:before="0" w:after="0" w:line="360" w:lineRule="auto"/>
        <w:ind w:leftChars="0"/>
        <w:jc w:val="left"/>
        <w:rPr>
          <w:rFonts w:hint="eastAsia"/>
          <w:b w:val="0"/>
          <w:color w:val="auto"/>
          <w:sz w:val="24"/>
          <w:szCs w:val="24"/>
          <w:highlight w:val="none"/>
        </w:rPr>
      </w:pPr>
      <w:bookmarkStart w:id="240" w:name="_Toc530655622"/>
      <w:bookmarkStart w:id="241" w:name="_Toc519063319"/>
      <w:bookmarkStart w:id="242" w:name="_Toc22609"/>
      <w:r>
        <w:rPr>
          <w:rFonts w:hint="eastAsia"/>
          <w:b w:val="0"/>
          <w:color w:val="auto"/>
          <w:sz w:val="24"/>
          <w:szCs w:val="24"/>
          <w:highlight w:val="none"/>
          <w:lang w:val="en-US" w:eastAsia="zh-CN"/>
        </w:rPr>
        <w:t xml:space="preserve">5.4 </w:t>
      </w:r>
      <w:r>
        <w:rPr>
          <w:rFonts w:hint="eastAsia"/>
          <w:b w:val="0"/>
          <w:color w:val="auto"/>
          <w:sz w:val="24"/>
          <w:szCs w:val="24"/>
          <w:highlight w:val="none"/>
        </w:rPr>
        <w:t>噪声</w:t>
      </w:r>
      <w:bookmarkEnd w:id="240"/>
      <w:bookmarkEnd w:id="241"/>
      <w:r>
        <w:rPr>
          <w:rFonts w:hint="eastAsia"/>
          <w:b w:val="0"/>
          <w:color w:val="auto"/>
          <w:sz w:val="24"/>
          <w:szCs w:val="24"/>
          <w:highlight w:val="none"/>
        </w:rPr>
        <w:t>影响预测验证</w:t>
      </w:r>
      <w:bookmarkEnd w:id="242"/>
    </w:p>
    <w:p>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2"/>
        <w:rPr>
          <w:rFonts w:hint="eastAsia" w:ascii="黑体" w:hAnsi="黑体" w:eastAsia="黑体" w:cs="黑体"/>
          <w:color w:val="auto"/>
          <w:sz w:val="24"/>
          <w:highlight w:val="none"/>
          <w:lang w:val="en-US" w:eastAsia="zh-CN"/>
        </w:rPr>
      </w:pPr>
      <w:r>
        <w:rPr>
          <w:rFonts w:hint="eastAsia" w:ascii="黑体" w:hAnsi="黑体" w:eastAsia="黑体" w:cs="黑体"/>
          <w:color w:val="auto"/>
          <w:sz w:val="24"/>
          <w:highlight w:val="none"/>
          <w:lang w:val="en-US" w:eastAsia="zh-CN"/>
        </w:rPr>
        <w:t>5.4.1原环评报告预测结果</w:t>
      </w:r>
    </w:p>
    <w:p>
      <w:pPr>
        <w:spacing w:line="360" w:lineRule="auto"/>
        <w:ind w:firstLine="480" w:firstLineChars="200"/>
        <w:rPr>
          <w:rFonts w:hint="eastAsia"/>
          <w:color w:val="auto"/>
          <w:sz w:val="24"/>
          <w:highlight w:val="none"/>
        </w:rPr>
      </w:pPr>
      <w:r>
        <w:rPr>
          <w:rFonts w:hint="eastAsia"/>
          <w:color w:val="auto"/>
          <w:sz w:val="24"/>
          <w:highlight w:val="none"/>
        </w:rPr>
        <w:t>原环评</w:t>
      </w:r>
      <w:r>
        <w:rPr>
          <w:rFonts w:hint="eastAsia"/>
          <w:color w:val="auto"/>
          <w:sz w:val="24"/>
          <w:highlight w:val="none"/>
          <w:lang w:val="en-US" w:eastAsia="zh-CN"/>
        </w:rPr>
        <w:t>登记表</w:t>
      </w:r>
      <w:r>
        <w:rPr>
          <w:rFonts w:hint="eastAsia"/>
          <w:color w:val="auto"/>
          <w:sz w:val="24"/>
          <w:highlight w:val="none"/>
        </w:rPr>
        <w:t>未</w:t>
      </w:r>
      <w:r>
        <w:rPr>
          <w:rFonts w:hint="eastAsia"/>
          <w:color w:val="auto"/>
          <w:sz w:val="24"/>
          <w:highlight w:val="none"/>
          <w:lang w:val="en-US" w:eastAsia="zh-CN"/>
        </w:rPr>
        <w:t>对项目的噪声</w:t>
      </w:r>
      <w:r>
        <w:rPr>
          <w:rFonts w:hint="eastAsia"/>
          <w:color w:val="auto"/>
          <w:sz w:val="24"/>
          <w:highlight w:val="none"/>
        </w:rPr>
        <w:t>影响</w:t>
      </w:r>
      <w:r>
        <w:rPr>
          <w:rFonts w:hint="eastAsia"/>
          <w:color w:val="auto"/>
          <w:sz w:val="24"/>
          <w:highlight w:val="none"/>
          <w:lang w:val="en-US" w:eastAsia="zh-CN"/>
        </w:rPr>
        <w:t>进行</w:t>
      </w:r>
      <w:r>
        <w:rPr>
          <w:rFonts w:hint="eastAsia"/>
          <w:color w:val="auto"/>
          <w:sz w:val="24"/>
          <w:highlight w:val="none"/>
        </w:rPr>
        <w:t>预测。</w:t>
      </w:r>
    </w:p>
    <w:p>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2"/>
        <w:rPr>
          <w:rFonts w:hint="eastAsia"/>
          <w:color w:val="auto"/>
          <w:highlight w:val="none"/>
        </w:rPr>
      </w:pPr>
      <w:r>
        <w:rPr>
          <w:rFonts w:hint="eastAsia" w:ascii="黑体" w:hAnsi="黑体" w:eastAsia="黑体" w:cs="黑体"/>
          <w:color w:val="auto"/>
          <w:sz w:val="24"/>
          <w:highlight w:val="none"/>
          <w:lang w:val="en-US" w:eastAsia="zh-CN"/>
        </w:rPr>
        <w:t>5.4.2 噪声影响验证结果</w:t>
      </w:r>
    </w:p>
    <w:p>
      <w:pPr>
        <w:snapToGrid w:val="0"/>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本次后评价期间，厂界监测昼间最大值为59.7dB(A)，夜间最大值为48.6dB(A)，均满足《工业企业厂界噪声标准》(GB12348-90)3类区标准要求。</w:t>
      </w:r>
      <w:bookmarkStart w:id="243" w:name="_Toc349802151"/>
      <w:bookmarkStart w:id="244" w:name="_Toc364837836"/>
    </w:p>
    <w:bookmarkEnd w:id="243"/>
    <w:bookmarkEnd w:id="244"/>
    <w:p>
      <w:pPr>
        <w:pStyle w:val="6"/>
        <w:numPr>
          <w:ilvl w:val="1"/>
          <w:numId w:val="0"/>
        </w:numPr>
        <w:adjustRightInd w:val="0"/>
        <w:snapToGrid w:val="0"/>
        <w:spacing w:before="0" w:after="0" w:line="360" w:lineRule="auto"/>
        <w:ind w:leftChars="0"/>
        <w:jc w:val="left"/>
        <w:rPr>
          <w:rFonts w:hint="eastAsia"/>
          <w:b w:val="0"/>
          <w:color w:val="auto"/>
          <w:sz w:val="24"/>
          <w:szCs w:val="24"/>
          <w:highlight w:val="none"/>
        </w:rPr>
      </w:pPr>
      <w:bookmarkStart w:id="245" w:name="_Toc519063320"/>
      <w:bookmarkStart w:id="246" w:name="_Toc530655623"/>
      <w:bookmarkStart w:id="247" w:name="_Toc18520"/>
      <w:r>
        <w:rPr>
          <w:rFonts w:hint="eastAsia"/>
          <w:b w:val="0"/>
          <w:color w:val="auto"/>
          <w:sz w:val="24"/>
          <w:szCs w:val="24"/>
          <w:highlight w:val="none"/>
        </w:rPr>
        <w:t>5.</w:t>
      </w:r>
      <w:r>
        <w:rPr>
          <w:rFonts w:hint="eastAsia"/>
          <w:b w:val="0"/>
          <w:color w:val="auto"/>
          <w:sz w:val="24"/>
          <w:szCs w:val="24"/>
          <w:highlight w:val="none"/>
          <w:lang w:val="en-US" w:eastAsia="zh-CN"/>
        </w:rPr>
        <w:t>5</w:t>
      </w:r>
      <w:r>
        <w:rPr>
          <w:rFonts w:hint="eastAsia"/>
          <w:b w:val="0"/>
          <w:color w:val="auto"/>
          <w:sz w:val="24"/>
          <w:szCs w:val="24"/>
          <w:highlight w:val="none"/>
        </w:rPr>
        <w:t xml:space="preserve"> 固体废物</w:t>
      </w:r>
      <w:bookmarkEnd w:id="245"/>
      <w:bookmarkEnd w:id="246"/>
      <w:r>
        <w:rPr>
          <w:rFonts w:hint="eastAsia"/>
          <w:b w:val="0"/>
          <w:color w:val="auto"/>
          <w:sz w:val="24"/>
          <w:szCs w:val="24"/>
          <w:highlight w:val="none"/>
        </w:rPr>
        <w:t>影响预测验证</w:t>
      </w:r>
      <w:bookmarkEnd w:id="247"/>
    </w:p>
    <w:p>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2"/>
        <w:rPr>
          <w:rFonts w:hint="eastAsia" w:ascii="黑体" w:hAnsi="黑体" w:eastAsia="黑体" w:cs="黑体"/>
          <w:color w:val="auto"/>
          <w:sz w:val="24"/>
          <w:highlight w:val="none"/>
          <w:lang w:val="en-US" w:eastAsia="zh-CN"/>
        </w:rPr>
      </w:pPr>
      <w:r>
        <w:rPr>
          <w:rFonts w:hint="eastAsia" w:ascii="黑体" w:hAnsi="黑体" w:eastAsia="黑体" w:cs="黑体"/>
          <w:color w:val="auto"/>
          <w:sz w:val="24"/>
          <w:highlight w:val="none"/>
          <w:lang w:val="en-US" w:eastAsia="zh-CN"/>
        </w:rPr>
        <w:t>5.5.1原环评报告预测结果</w:t>
      </w:r>
    </w:p>
    <w:p>
      <w:pPr>
        <w:spacing w:line="360" w:lineRule="auto"/>
        <w:ind w:firstLine="480" w:firstLineChars="200"/>
        <w:rPr>
          <w:rFonts w:hint="eastAsia"/>
          <w:color w:val="auto"/>
          <w:sz w:val="24"/>
          <w:highlight w:val="none"/>
        </w:rPr>
      </w:pPr>
      <w:r>
        <w:rPr>
          <w:rFonts w:hint="eastAsia"/>
          <w:color w:val="auto"/>
          <w:sz w:val="24"/>
          <w:highlight w:val="none"/>
        </w:rPr>
        <w:t>原环评</w:t>
      </w:r>
      <w:r>
        <w:rPr>
          <w:rFonts w:hint="eastAsia"/>
          <w:color w:val="auto"/>
          <w:sz w:val="24"/>
          <w:highlight w:val="none"/>
          <w:lang w:val="en-US" w:eastAsia="zh-CN"/>
        </w:rPr>
        <w:t>登记表</w:t>
      </w:r>
      <w:r>
        <w:rPr>
          <w:rFonts w:hint="eastAsia"/>
          <w:color w:val="auto"/>
          <w:sz w:val="24"/>
          <w:highlight w:val="none"/>
        </w:rPr>
        <w:t>未</w:t>
      </w:r>
      <w:r>
        <w:rPr>
          <w:rFonts w:hint="eastAsia"/>
          <w:color w:val="auto"/>
          <w:sz w:val="24"/>
          <w:highlight w:val="none"/>
          <w:lang w:val="en-US" w:eastAsia="zh-CN"/>
        </w:rPr>
        <w:t>对项目的噪声</w:t>
      </w:r>
      <w:r>
        <w:rPr>
          <w:rFonts w:hint="eastAsia"/>
          <w:color w:val="auto"/>
          <w:sz w:val="24"/>
          <w:highlight w:val="none"/>
        </w:rPr>
        <w:t>影响</w:t>
      </w:r>
      <w:r>
        <w:rPr>
          <w:rFonts w:hint="eastAsia"/>
          <w:color w:val="auto"/>
          <w:sz w:val="24"/>
          <w:highlight w:val="none"/>
          <w:lang w:val="en-US" w:eastAsia="zh-CN"/>
        </w:rPr>
        <w:t>进行</w:t>
      </w:r>
      <w:r>
        <w:rPr>
          <w:rFonts w:hint="eastAsia"/>
          <w:color w:val="auto"/>
          <w:sz w:val="24"/>
          <w:highlight w:val="none"/>
        </w:rPr>
        <w:t>预测。</w:t>
      </w:r>
    </w:p>
    <w:p>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2"/>
        <w:rPr>
          <w:rFonts w:hint="eastAsia"/>
          <w:color w:val="auto"/>
          <w:highlight w:val="none"/>
        </w:rPr>
      </w:pPr>
      <w:r>
        <w:rPr>
          <w:rFonts w:hint="eastAsia" w:ascii="黑体" w:hAnsi="黑体" w:eastAsia="黑体" w:cs="黑体"/>
          <w:color w:val="auto"/>
          <w:sz w:val="24"/>
          <w:highlight w:val="none"/>
          <w:lang w:val="en-US" w:eastAsia="zh-CN"/>
        </w:rPr>
        <w:t>5.5.2 固废影响验证结果</w:t>
      </w:r>
    </w:p>
    <w:p>
      <w:pPr>
        <w:spacing w:line="360" w:lineRule="auto"/>
        <w:ind w:firstLine="480"/>
        <w:jc w:val="left"/>
        <w:rPr>
          <w:bCs/>
          <w:color w:val="auto"/>
          <w:sz w:val="24"/>
          <w:highlight w:val="none"/>
        </w:rPr>
      </w:pPr>
      <w:r>
        <w:rPr>
          <w:rFonts w:hint="eastAsia"/>
          <w:bCs/>
          <w:color w:val="auto"/>
          <w:sz w:val="24"/>
          <w:highlight w:val="none"/>
        </w:rPr>
        <w:t>项目危险废物主要包括</w:t>
      </w:r>
      <w:r>
        <w:rPr>
          <w:rFonts w:hint="eastAsia"/>
          <w:bCs/>
          <w:color w:val="auto"/>
          <w:sz w:val="24"/>
          <w:highlight w:val="none"/>
          <w:lang w:val="en-US" w:eastAsia="zh-CN"/>
        </w:rPr>
        <w:t>废酸碱液</w:t>
      </w:r>
      <w:r>
        <w:rPr>
          <w:rFonts w:hint="eastAsia"/>
          <w:bCs/>
          <w:color w:val="auto"/>
          <w:sz w:val="24"/>
          <w:highlight w:val="none"/>
        </w:rPr>
        <w:t>、各类废过滤芯/滤渣、废化工原料包装，由</w:t>
      </w:r>
      <w:r>
        <w:rPr>
          <w:rFonts w:hint="eastAsia"/>
          <w:bCs/>
          <w:color w:val="auto"/>
          <w:sz w:val="24"/>
          <w:highlight w:val="none"/>
          <w:lang w:eastAsia="zh-CN"/>
        </w:rPr>
        <w:t>园区</w:t>
      </w:r>
      <w:r>
        <w:rPr>
          <w:rFonts w:hint="eastAsia"/>
          <w:bCs/>
          <w:color w:val="auto"/>
          <w:sz w:val="24"/>
          <w:highlight w:val="none"/>
        </w:rPr>
        <w:t>统一委托有资质单位处理。</w:t>
      </w:r>
      <w:r>
        <w:rPr>
          <w:rFonts w:hint="eastAsia"/>
          <w:bCs/>
          <w:color w:val="auto"/>
          <w:sz w:val="24"/>
          <w:highlight w:val="none"/>
          <w:lang w:val="en-US" w:eastAsia="zh-CN"/>
        </w:rPr>
        <w:t>废胶外售综合利用。</w:t>
      </w:r>
      <w:r>
        <w:rPr>
          <w:rFonts w:hint="eastAsia"/>
          <w:bCs/>
          <w:color w:val="auto"/>
          <w:sz w:val="24"/>
          <w:highlight w:val="none"/>
        </w:rPr>
        <w:t>生活垃圾由环卫部门统一收集，运往垃圾填埋场填埋处置。各类固废分类处置，对周围环境影响较小。</w:t>
      </w:r>
    </w:p>
    <w:p>
      <w:pPr>
        <w:spacing w:line="360" w:lineRule="auto"/>
        <w:ind w:firstLine="480"/>
        <w:jc w:val="left"/>
        <w:rPr>
          <w:rFonts w:hint="eastAsia"/>
          <w:bCs/>
          <w:color w:val="auto"/>
          <w:sz w:val="24"/>
          <w:highlight w:val="none"/>
        </w:rPr>
      </w:pPr>
      <w:r>
        <w:rPr>
          <w:rFonts w:hint="eastAsia"/>
          <w:bCs/>
          <w:color w:val="auto"/>
          <w:sz w:val="24"/>
          <w:highlight w:val="none"/>
        </w:rPr>
        <w:t>危险废物委托处置严格遵守《危险废物收集 贮存 运输技术规范》(HJ2025-2012)、《危险废物转移联单管理办法》、《危险化学品安全管理条例》(国务院令第591号)等有关规定，严格遵循危险废物贮存、运输、处置中的一系列操作规程，依法执行危险废物的五联单制度。园区建立内部危险废物管理机制和流程，并建立连续、详实、客观的危险废物管理及转移台账。</w:t>
      </w:r>
    </w:p>
    <w:p>
      <w:pPr>
        <w:spacing w:line="360" w:lineRule="auto"/>
        <w:ind w:firstLine="480"/>
        <w:jc w:val="left"/>
        <w:rPr>
          <w:rFonts w:hint="eastAsia"/>
          <w:color w:val="auto"/>
          <w:highlight w:val="none"/>
        </w:rPr>
      </w:pPr>
      <w:r>
        <w:rPr>
          <w:rFonts w:hint="eastAsia"/>
          <w:bCs/>
          <w:color w:val="auto"/>
          <w:sz w:val="24"/>
          <w:highlight w:val="none"/>
          <w:lang w:val="en-US" w:eastAsia="zh-CN"/>
        </w:rPr>
        <w:t>综上，项目固体废物有合理的去向，未对周边环境造成不利影响。</w:t>
      </w:r>
    </w:p>
    <w:p>
      <w:pPr>
        <w:pStyle w:val="6"/>
        <w:numPr>
          <w:ilvl w:val="1"/>
          <w:numId w:val="0"/>
        </w:numPr>
        <w:adjustRightInd w:val="0"/>
        <w:snapToGrid w:val="0"/>
        <w:spacing w:before="0" w:after="0" w:line="360" w:lineRule="auto"/>
        <w:ind w:leftChars="0"/>
        <w:jc w:val="left"/>
        <w:rPr>
          <w:rFonts w:hint="eastAsia"/>
          <w:b w:val="0"/>
          <w:color w:val="auto"/>
          <w:sz w:val="24"/>
          <w:szCs w:val="24"/>
          <w:highlight w:val="none"/>
          <w:lang w:val="en-US" w:eastAsia="zh-CN"/>
        </w:rPr>
      </w:pPr>
      <w:bookmarkStart w:id="248" w:name="_Toc13120"/>
      <w:r>
        <w:rPr>
          <w:rFonts w:hint="eastAsia"/>
          <w:b w:val="0"/>
          <w:color w:val="auto"/>
          <w:sz w:val="24"/>
          <w:szCs w:val="24"/>
          <w:highlight w:val="none"/>
          <w:lang w:val="en-US" w:eastAsia="zh-CN"/>
        </w:rPr>
        <w:t>5.6.环境风险分析验证</w:t>
      </w:r>
      <w:bookmarkEnd w:id="248"/>
    </w:p>
    <w:p>
      <w:pPr>
        <w:spacing w:line="360" w:lineRule="auto"/>
        <w:ind w:firstLine="480"/>
        <w:jc w:val="left"/>
        <w:rPr>
          <w:rFonts w:hint="eastAsia"/>
          <w:bCs/>
          <w:color w:val="auto"/>
          <w:sz w:val="24"/>
          <w:highlight w:val="none"/>
          <w:lang w:val="en-US" w:eastAsia="zh-CN"/>
        </w:rPr>
      </w:pPr>
      <w:r>
        <w:rPr>
          <w:rFonts w:hint="eastAsia"/>
          <w:bCs/>
          <w:color w:val="auto"/>
          <w:sz w:val="24"/>
          <w:highlight w:val="none"/>
          <w:lang w:val="en-US" w:eastAsia="zh-CN"/>
        </w:rPr>
        <w:t>项目涉及的危险物质储存量较低，危险物质泄漏概率降低。根据第4.5章节分析，建设单位已采取了环境风险防范措施。</w:t>
      </w:r>
    </w:p>
    <w:p>
      <w:pPr>
        <w:spacing w:line="360" w:lineRule="auto"/>
        <w:ind w:firstLine="480"/>
        <w:jc w:val="left"/>
        <w:rPr>
          <w:rFonts w:hint="eastAsia"/>
          <w:bCs/>
          <w:color w:val="auto"/>
          <w:sz w:val="24"/>
          <w:highlight w:val="none"/>
          <w:lang w:val="en-US" w:eastAsia="zh-CN"/>
        </w:rPr>
      </w:pPr>
      <w:r>
        <w:rPr>
          <w:rFonts w:hint="eastAsia"/>
          <w:bCs/>
          <w:color w:val="auto"/>
          <w:sz w:val="24"/>
          <w:highlight w:val="none"/>
          <w:lang w:val="en-US" w:eastAsia="zh-CN"/>
        </w:rPr>
        <w:t>根据调查，项目运行多年来未发生环境风险事故，在加强管理的情况下，环境风险可防控。</w:t>
      </w:r>
    </w:p>
    <w:p>
      <w:pPr>
        <w:spacing w:line="360" w:lineRule="auto"/>
        <w:ind w:firstLine="480"/>
        <w:jc w:val="left"/>
        <w:rPr>
          <w:rFonts w:hint="eastAsia"/>
          <w:bCs/>
          <w:color w:val="auto"/>
          <w:sz w:val="24"/>
          <w:highlight w:val="none"/>
          <w:lang w:val="en-US" w:eastAsia="zh-CN"/>
        </w:rPr>
      </w:pPr>
      <w:r>
        <w:rPr>
          <w:rFonts w:hint="eastAsia"/>
          <w:bCs/>
          <w:color w:val="auto"/>
          <w:sz w:val="24"/>
          <w:highlight w:val="none"/>
          <w:lang w:val="en-US" w:eastAsia="zh-CN"/>
        </w:rPr>
        <w:t>综上分析，本项目现行的废水、废气、噪声、固废及环境风险处理措施较可行、有效，能够满足国家和地方相关法律、法规和标准的要求。</w:t>
      </w:r>
    </w:p>
    <w:p>
      <w:pPr>
        <w:rPr>
          <w:rFonts w:hint="eastAsia"/>
          <w:bCs/>
          <w:color w:val="auto"/>
          <w:sz w:val="24"/>
          <w:highlight w:val="none"/>
        </w:rPr>
      </w:pPr>
    </w:p>
    <w:p>
      <w:pPr>
        <w:pStyle w:val="2"/>
        <w:rPr>
          <w:color w:val="auto"/>
          <w:highlight w:val="none"/>
        </w:rPr>
        <w:sectPr>
          <w:pgSz w:w="11907" w:h="16840"/>
          <w:pgMar w:top="1418" w:right="1418" w:bottom="1418" w:left="1474" w:header="964" w:footer="964" w:gutter="0"/>
          <w:pgBorders>
            <w:top w:val="none" w:sz="0" w:space="0"/>
            <w:left w:val="none" w:sz="0" w:space="0"/>
            <w:bottom w:val="none" w:sz="0" w:space="0"/>
            <w:right w:val="none" w:sz="0" w:space="0"/>
          </w:pgBorders>
          <w:pgNumType w:fmt="decimal"/>
          <w:cols w:space="720" w:num="1"/>
          <w:docGrid w:linePitch="312" w:charSpace="0"/>
        </w:sectPr>
      </w:pPr>
    </w:p>
    <w:p>
      <w:pPr>
        <w:pStyle w:val="5"/>
        <w:numPr>
          <w:ilvl w:val="0"/>
          <w:numId w:val="0"/>
        </w:numPr>
        <w:tabs>
          <w:tab w:val="clear" w:pos="432"/>
        </w:tabs>
        <w:spacing w:before="0" w:after="0" w:line="360" w:lineRule="auto"/>
        <w:ind w:leftChars="0"/>
        <w:jc w:val="left"/>
        <w:rPr>
          <w:color w:val="auto"/>
          <w:highlight w:val="none"/>
          <w:lang w:val="zh-CN"/>
        </w:rPr>
      </w:pPr>
      <w:bookmarkStart w:id="249" w:name="_Toc391301270"/>
      <w:bookmarkStart w:id="250" w:name="_Toc306032816"/>
      <w:bookmarkStart w:id="251" w:name="_Toc530655624"/>
      <w:bookmarkStart w:id="252" w:name="_Toc519063321"/>
      <w:bookmarkStart w:id="253" w:name="_Toc10048"/>
      <w:r>
        <w:rPr>
          <w:rFonts w:hint="eastAsia" w:eastAsia="黑体"/>
          <w:b w:val="0"/>
          <w:color w:val="auto"/>
          <w:sz w:val="28"/>
          <w:szCs w:val="28"/>
          <w:highlight w:val="none"/>
          <w:lang w:val="en-US" w:eastAsia="zh-CN"/>
        </w:rPr>
        <w:t>6</w:t>
      </w:r>
      <w:r>
        <w:rPr>
          <w:rFonts w:eastAsia="黑体"/>
          <w:b w:val="0"/>
          <w:color w:val="auto"/>
          <w:sz w:val="28"/>
          <w:szCs w:val="28"/>
          <w:highlight w:val="none"/>
        </w:rPr>
        <w:t>环</w:t>
      </w:r>
      <w:bookmarkEnd w:id="249"/>
      <w:bookmarkEnd w:id="250"/>
      <w:r>
        <w:rPr>
          <w:rFonts w:eastAsia="黑体"/>
          <w:b w:val="0"/>
          <w:color w:val="auto"/>
          <w:sz w:val="28"/>
          <w:szCs w:val="28"/>
          <w:highlight w:val="none"/>
        </w:rPr>
        <w:t>境保护</w:t>
      </w:r>
      <w:r>
        <w:rPr>
          <w:rFonts w:hint="eastAsia" w:eastAsia="黑体"/>
          <w:b w:val="0"/>
          <w:color w:val="auto"/>
          <w:sz w:val="28"/>
          <w:szCs w:val="28"/>
          <w:highlight w:val="none"/>
        </w:rPr>
        <w:t>补救</w:t>
      </w:r>
      <w:r>
        <w:rPr>
          <w:rFonts w:eastAsia="黑体"/>
          <w:b w:val="0"/>
          <w:color w:val="auto"/>
          <w:sz w:val="28"/>
          <w:szCs w:val="28"/>
          <w:highlight w:val="none"/>
        </w:rPr>
        <w:t>方案和改进</w:t>
      </w:r>
      <w:bookmarkEnd w:id="251"/>
      <w:bookmarkEnd w:id="252"/>
      <w:r>
        <w:rPr>
          <w:rFonts w:hint="eastAsia" w:eastAsia="黑体"/>
          <w:b w:val="0"/>
          <w:color w:val="auto"/>
          <w:sz w:val="28"/>
          <w:szCs w:val="28"/>
          <w:highlight w:val="none"/>
        </w:rPr>
        <w:t>情况</w:t>
      </w:r>
      <w:bookmarkEnd w:id="253"/>
      <w:bookmarkStart w:id="254" w:name="_Toc390360319"/>
      <w:bookmarkEnd w:id="254"/>
      <w:bookmarkStart w:id="255" w:name="_Toc519063322"/>
      <w:bookmarkEnd w:id="255"/>
      <w:bookmarkStart w:id="256" w:name="_Toc518976447"/>
      <w:bookmarkEnd w:id="256"/>
      <w:bookmarkStart w:id="257" w:name="_Toc390360399"/>
      <w:bookmarkEnd w:id="257"/>
      <w:bookmarkStart w:id="258" w:name="_Toc391301271"/>
      <w:bookmarkEnd w:id="258"/>
      <w:bookmarkStart w:id="259" w:name="_Toc530655855"/>
      <w:bookmarkEnd w:id="259"/>
      <w:bookmarkStart w:id="260" w:name="_Toc519063269"/>
      <w:bookmarkEnd w:id="260"/>
      <w:bookmarkStart w:id="261" w:name="_Toc530655625"/>
      <w:bookmarkEnd w:id="261"/>
      <w:bookmarkStart w:id="262" w:name="_Toc531246618"/>
      <w:bookmarkEnd w:id="262"/>
      <w:bookmarkStart w:id="263" w:name="_Toc306032817"/>
      <w:bookmarkStart w:id="264" w:name="_Toc175458036"/>
      <w:bookmarkStart w:id="265" w:name="_Toc177805143"/>
      <w:bookmarkStart w:id="266" w:name="_Toc194824941"/>
    </w:p>
    <w:bookmarkEnd w:id="263"/>
    <w:bookmarkEnd w:id="264"/>
    <w:bookmarkEnd w:id="265"/>
    <w:bookmarkEnd w:id="266"/>
    <w:p>
      <w:pPr>
        <w:pStyle w:val="6"/>
        <w:numPr>
          <w:ilvl w:val="0"/>
          <w:numId w:val="0"/>
        </w:numPr>
        <w:adjustRightInd w:val="0"/>
        <w:snapToGrid w:val="0"/>
        <w:spacing w:before="0" w:after="0" w:line="360" w:lineRule="auto"/>
        <w:jc w:val="left"/>
        <w:rPr>
          <w:rFonts w:hint="eastAsia"/>
          <w:b w:val="0"/>
          <w:color w:val="auto"/>
          <w:sz w:val="24"/>
          <w:szCs w:val="24"/>
          <w:highlight w:val="none"/>
        </w:rPr>
      </w:pPr>
      <w:bookmarkStart w:id="267" w:name="_Toc530655626"/>
      <w:bookmarkStart w:id="268" w:name="_Toc15369"/>
      <w:bookmarkStart w:id="269" w:name="_Toc519063323"/>
      <w:r>
        <w:rPr>
          <w:rFonts w:hint="eastAsia"/>
          <w:b w:val="0"/>
          <w:color w:val="auto"/>
          <w:sz w:val="24"/>
          <w:szCs w:val="24"/>
          <w:highlight w:val="none"/>
        </w:rPr>
        <w:t>6.1 环境保护补救方案</w:t>
      </w:r>
      <w:bookmarkEnd w:id="267"/>
      <w:bookmarkEnd w:id="268"/>
      <w:bookmarkEnd w:id="269"/>
    </w:p>
    <w:p>
      <w:pPr>
        <w:adjustRightInd w:val="0"/>
        <w:snapToGrid w:val="0"/>
        <w:spacing w:line="360" w:lineRule="auto"/>
        <w:ind w:firstLine="480" w:firstLineChars="200"/>
        <w:rPr>
          <w:rFonts w:hint="eastAsia"/>
          <w:snapToGrid w:val="0"/>
          <w:color w:val="auto"/>
          <w:sz w:val="24"/>
          <w:highlight w:val="none"/>
          <w:lang w:val="en-US" w:eastAsia="zh-CN"/>
        </w:rPr>
      </w:pPr>
      <w:r>
        <w:rPr>
          <w:rFonts w:hint="eastAsia"/>
          <w:snapToGrid w:val="0"/>
          <w:color w:val="auto"/>
          <w:sz w:val="24"/>
          <w:highlight w:val="none"/>
        </w:rPr>
        <w:t>根据项目现场实地踏勘，</w:t>
      </w:r>
      <w:r>
        <w:rPr>
          <w:rFonts w:hint="eastAsia"/>
          <w:snapToGrid w:val="0"/>
          <w:color w:val="auto"/>
          <w:sz w:val="24"/>
          <w:highlight w:val="none"/>
          <w:lang w:val="en-US" w:eastAsia="zh-CN"/>
        </w:rPr>
        <w:t>目前项目各环保设施均已按照环保要求逐项落实，且已建环保设施运行正常。</w:t>
      </w:r>
    </w:p>
    <w:p>
      <w:pPr>
        <w:adjustRightInd w:val="0"/>
        <w:snapToGrid w:val="0"/>
        <w:spacing w:line="360" w:lineRule="auto"/>
        <w:ind w:firstLine="480" w:firstLineChars="200"/>
        <w:rPr>
          <w:snapToGrid w:val="0"/>
          <w:color w:val="auto"/>
          <w:sz w:val="24"/>
          <w:highlight w:val="none"/>
        </w:rPr>
      </w:pPr>
      <w:r>
        <w:rPr>
          <w:rFonts w:hint="eastAsia"/>
          <w:snapToGrid w:val="0"/>
          <w:color w:val="auto"/>
          <w:sz w:val="24"/>
          <w:highlight w:val="none"/>
          <w:lang w:val="en-US" w:eastAsia="zh-CN"/>
        </w:rPr>
        <w:t>根据执行情况回顾，项目基本按照原环评、环保竣工验收中要求落实了污染物治理及防范措施的建设。</w:t>
      </w:r>
      <w:r>
        <w:rPr>
          <w:rFonts w:hint="eastAsia"/>
          <w:snapToGrid w:val="0"/>
          <w:color w:val="auto"/>
          <w:sz w:val="24"/>
          <w:highlight w:val="none"/>
        </w:rPr>
        <w:t>项目在正式投产运营后未对周围环境产生持久性、累积性和不确定性影响</w:t>
      </w:r>
      <w:r>
        <w:rPr>
          <w:snapToGrid w:val="0"/>
          <w:color w:val="auto"/>
          <w:sz w:val="24"/>
          <w:highlight w:val="none"/>
        </w:rPr>
        <w:t>。</w:t>
      </w:r>
    </w:p>
    <w:p>
      <w:pPr>
        <w:pStyle w:val="6"/>
        <w:numPr>
          <w:ilvl w:val="0"/>
          <w:numId w:val="0"/>
        </w:numPr>
        <w:adjustRightInd w:val="0"/>
        <w:snapToGrid w:val="0"/>
        <w:spacing w:before="0" w:after="0" w:line="360" w:lineRule="auto"/>
        <w:jc w:val="left"/>
        <w:rPr>
          <w:b w:val="0"/>
          <w:color w:val="auto"/>
          <w:sz w:val="24"/>
          <w:szCs w:val="24"/>
          <w:highlight w:val="none"/>
        </w:rPr>
      </w:pPr>
      <w:bookmarkStart w:id="270" w:name="_Toc15998"/>
      <w:bookmarkStart w:id="271" w:name="_Toc177805291"/>
      <w:bookmarkStart w:id="272" w:name="_Toc178060068"/>
      <w:bookmarkStart w:id="273" w:name="_Toc306032820"/>
      <w:bookmarkStart w:id="274" w:name="_Toc175458083"/>
      <w:bookmarkStart w:id="275" w:name="_Toc182646303"/>
      <w:bookmarkStart w:id="276" w:name="_Toc194825072"/>
      <w:bookmarkStart w:id="277" w:name="_Toc177801656"/>
      <w:bookmarkStart w:id="278" w:name="_Toc184006205"/>
      <w:bookmarkStart w:id="279" w:name="_Toc176775998"/>
      <w:bookmarkStart w:id="280" w:name="_Toc194824987"/>
      <w:bookmarkStart w:id="281" w:name="_Toc209854609"/>
      <w:bookmarkStart w:id="282" w:name="_Toc175480225"/>
      <w:bookmarkStart w:id="283" w:name="_Toc175478446"/>
      <w:bookmarkStart w:id="284" w:name="_Toc177805198"/>
      <w:bookmarkStart w:id="285" w:name="_Toc199153165"/>
      <w:r>
        <w:rPr>
          <w:rFonts w:hint="eastAsia"/>
          <w:b w:val="0"/>
          <w:color w:val="auto"/>
          <w:sz w:val="24"/>
          <w:szCs w:val="24"/>
          <w:highlight w:val="none"/>
        </w:rPr>
        <w:t>6.2</w:t>
      </w:r>
      <w:r>
        <w:rPr>
          <w:rFonts w:hint="eastAsia"/>
          <w:b w:val="0"/>
          <w:color w:val="auto"/>
          <w:sz w:val="24"/>
          <w:szCs w:val="24"/>
          <w:highlight w:val="none"/>
          <w:lang w:val="en-US" w:eastAsia="zh-CN"/>
        </w:rPr>
        <w:t xml:space="preserve"> </w:t>
      </w:r>
      <w:r>
        <w:rPr>
          <w:rFonts w:hint="eastAsia"/>
          <w:b w:val="0"/>
          <w:color w:val="auto"/>
          <w:sz w:val="24"/>
          <w:szCs w:val="24"/>
          <w:highlight w:val="none"/>
        </w:rPr>
        <w:t>环保改进措施</w:t>
      </w:r>
      <w:bookmarkEnd w:id="270"/>
    </w:p>
    <w:p>
      <w:pPr>
        <w:adjustRightInd w:val="0"/>
        <w:snapToGrid w:val="0"/>
        <w:spacing w:line="360" w:lineRule="auto"/>
        <w:ind w:firstLine="480" w:firstLineChars="200"/>
        <w:rPr>
          <w:snapToGrid w:val="0"/>
          <w:color w:val="auto"/>
          <w:sz w:val="24"/>
          <w:highlight w:val="none"/>
        </w:rPr>
      </w:pPr>
      <w:r>
        <w:rPr>
          <w:rFonts w:hint="eastAsia"/>
          <w:snapToGrid w:val="0"/>
          <w:color w:val="auto"/>
          <w:sz w:val="24"/>
          <w:highlight w:val="none"/>
          <w:lang w:val="en-US" w:eastAsia="zh-CN"/>
        </w:rPr>
        <w:t>由于项目建设较早，根据评价期间对现有企业及区域情况调查结果，发现尚存在的主要环境问题</w:t>
      </w:r>
      <w:r>
        <w:rPr>
          <w:rFonts w:hint="eastAsia"/>
          <w:snapToGrid w:val="0"/>
          <w:color w:val="auto"/>
          <w:sz w:val="24"/>
          <w:highlight w:val="none"/>
        </w:rPr>
        <w:t>，具体</w:t>
      </w:r>
      <w:r>
        <w:rPr>
          <w:rFonts w:hint="eastAsia"/>
          <w:snapToGrid w:val="0"/>
          <w:color w:val="auto"/>
          <w:sz w:val="24"/>
          <w:highlight w:val="none"/>
          <w:lang w:val="en-US" w:eastAsia="zh-CN"/>
        </w:rPr>
        <w:t>环保问题及整改</w:t>
      </w:r>
      <w:r>
        <w:rPr>
          <w:rFonts w:hint="eastAsia"/>
          <w:snapToGrid w:val="0"/>
          <w:color w:val="auto"/>
          <w:sz w:val="24"/>
          <w:highlight w:val="none"/>
        </w:rPr>
        <w:t>措施如下：</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黑体" w:hAnsi="黑体" w:eastAsia="黑体" w:cs="黑体"/>
          <w:b/>
          <w:bCs/>
          <w:snapToGrid w:val="0"/>
          <w:color w:val="auto"/>
          <w:sz w:val="24"/>
          <w:highlight w:val="none"/>
        </w:rPr>
      </w:pPr>
      <w:r>
        <w:rPr>
          <w:rFonts w:hint="eastAsia" w:ascii="黑体" w:hAnsi="黑体" w:eastAsia="黑体" w:cs="黑体"/>
          <w:snapToGrid w:val="0"/>
          <w:color w:val="auto"/>
          <w:sz w:val="24"/>
          <w:highlight w:val="none"/>
        </w:rPr>
        <w:t>表</w:t>
      </w:r>
      <w:r>
        <w:rPr>
          <w:rFonts w:hint="eastAsia" w:ascii="黑体" w:hAnsi="黑体" w:eastAsia="黑体" w:cs="黑体"/>
          <w:snapToGrid w:val="0"/>
          <w:color w:val="auto"/>
          <w:sz w:val="24"/>
          <w:highlight w:val="none"/>
          <w:lang w:val="en-US" w:eastAsia="zh-CN"/>
        </w:rPr>
        <w:t>6</w:t>
      </w:r>
      <w:r>
        <w:rPr>
          <w:rFonts w:hint="eastAsia" w:ascii="黑体" w:hAnsi="黑体" w:eastAsia="黑体" w:cs="黑体"/>
          <w:snapToGrid w:val="0"/>
          <w:color w:val="auto"/>
          <w:sz w:val="24"/>
          <w:highlight w:val="none"/>
        </w:rPr>
        <w:t xml:space="preserve">.2-1 </w:t>
      </w:r>
      <w:r>
        <w:rPr>
          <w:rFonts w:hint="eastAsia" w:ascii="黑体" w:hAnsi="黑体" w:eastAsia="黑体" w:cs="黑体"/>
          <w:snapToGrid w:val="0"/>
          <w:color w:val="auto"/>
          <w:sz w:val="24"/>
          <w:highlight w:val="none"/>
          <w:lang w:val="en-US" w:eastAsia="zh-CN"/>
        </w:rPr>
        <w:t xml:space="preserve"> </w:t>
      </w:r>
      <w:r>
        <w:rPr>
          <w:rFonts w:hint="eastAsia" w:ascii="黑体" w:hAnsi="黑体" w:eastAsia="黑体" w:cs="黑体"/>
          <w:snapToGrid w:val="0"/>
          <w:color w:val="auto"/>
          <w:sz w:val="24"/>
          <w:highlight w:val="none"/>
        </w:rPr>
        <w:t>项目改进措施一览表</w:t>
      </w:r>
    </w:p>
    <w:tbl>
      <w:tblPr>
        <w:tblStyle w:val="37"/>
        <w:tblW w:w="9231" w:type="dxa"/>
        <w:tblInd w:w="0" w:type="dxa"/>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641"/>
        <w:gridCol w:w="3788"/>
        <w:gridCol w:w="3417"/>
        <w:gridCol w:w="1385"/>
      </w:tblGrid>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62" w:hRule="atLeast"/>
        </w:trPr>
        <w:tc>
          <w:tcPr>
            <w:tcW w:w="6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eastAsia="宋体"/>
                <w:b/>
                <w:bCs/>
                <w:snapToGrid w:val="0"/>
                <w:color w:val="auto"/>
                <w:sz w:val="21"/>
                <w:szCs w:val="21"/>
                <w:highlight w:val="none"/>
                <w:vertAlign w:val="baseline"/>
                <w:lang w:eastAsia="zh-CN"/>
              </w:rPr>
            </w:pPr>
            <w:r>
              <w:rPr>
                <w:rFonts w:hint="eastAsia"/>
                <w:b/>
                <w:bCs/>
                <w:snapToGrid w:val="0"/>
                <w:color w:val="auto"/>
                <w:sz w:val="21"/>
                <w:szCs w:val="21"/>
                <w:highlight w:val="none"/>
                <w:vertAlign w:val="baseline"/>
                <w:lang w:eastAsia="zh-CN"/>
              </w:rPr>
              <w:t>序号</w:t>
            </w:r>
          </w:p>
        </w:tc>
        <w:tc>
          <w:tcPr>
            <w:tcW w:w="378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b/>
                <w:bCs/>
                <w:snapToGrid w:val="0"/>
                <w:color w:val="auto"/>
                <w:sz w:val="21"/>
                <w:szCs w:val="21"/>
                <w:highlight w:val="none"/>
                <w:vertAlign w:val="baseline"/>
              </w:rPr>
            </w:pPr>
            <w:r>
              <w:rPr>
                <w:rFonts w:hint="eastAsia"/>
                <w:b/>
                <w:bCs/>
                <w:snapToGrid w:val="0"/>
                <w:color w:val="auto"/>
                <w:sz w:val="21"/>
                <w:szCs w:val="21"/>
                <w:highlight w:val="none"/>
                <w:vertAlign w:val="baseline"/>
                <w:lang w:val="en-US" w:eastAsia="zh-CN"/>
              </w:rPr>
              <w:t>问题</w:t>
            </w:r>
          </w:p>
        </w:tc>
        <w:tc>
          <w:tcPr>
            <w:tcW w:w="3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eastAsia="宋体"/>
                <w:b/>
                <w:bCs/>
                <w:snapToGrid w:val="0"/>
                <w:color w:val="auto"/>
                <w:sz w:val="21"/>
                <w:szCs w:val="21"/>
                <w:highlight w:val="none"/>
                <w:vertAlign w:val="baseline"/>
                <w:lang w:eastAsia="zh-CN"/>
              </w:rPr>
            </w:pPr>
            <w:r>
              <w:rPr>
                <w:rFonts w:hint="eastAsia"/>
                <w:b/>
                <w:bCs/>
                <w:snapToGrid w:val="0"/>
                <w:color w:val="auto"/>
                <w:sz w:val="21"/>
                <w:szCs w:val="21"/>
                <w:highlight w:val="none"/>
                <w:vertAlign w:val="baseline"/>
                <w:lang w:eastAsia="zh-CN"/>
              </w:rPr>
              <w:t>改进措施</w:t>
            </w:r>
          </w:p>
        </w:tc>
        <w:tc>
          <w:tcPr>
            <w:tcW w:w="13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eastAsia="宋体"/>
                <w:b/>
                <w:bCs/>
                <w:snapToGrid w:val="0"/>
                <w:color w:val="auto"/>
                <w:sz w:val="21"/>
                <w:szCs w:val="21"/>
                <w:highlight w:val="none"/>
                <w:vertAlign w:val="baseline"/>
                <w:lang w:eastAsia="zh-CN"/>
              </w:rPr>
            </w:pPr>
            <w:r>
              <w:rPr>
                <w:rFonts w:hint="eastAsia"/>
                <w:b/>
                <w:bCs/>
                <w:snapToGrid w:val="0"/>
                <w:color w:val="auto"/>
                <w:sz w:val="21"/>
                <w:szCs w:val="21"/>
                <w:highlight w:val="none"/>
                <w:vertAlign w:val="baseline"/>
                <w:lang w:eastAsia="zh-CN"/>
              </w:rPr>
              <w:t>完成时间</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869" w:hRule="atLeast"/>
        </w:trPr>
        <w:tc>
          <w:tcPr>
            <w:tcW w:w="6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eastAsia="宋体"/>
                <w:snapToGrid w:val="0"/>
                <w:color w:val="auto"/>
                <w:sz w:val="21"/>
                <w:szCs w:val="21"/>
                <w:highlight w:val="none"/>
                <w:vertAlign w:val="baseline"/>
                <w:lang w:val="en-US" w:eastAsia="zh-CN"/>
              </w:rPr>
            </w:pPr>
            <w:r>
              <w:rPr>
                <w:rFonts w:hint="eastAsia"/>
                <w:snapToGrid w:val="0"/>
                <w:color w:val="auto"/>
                <w:sz w:val="21"/>
                <w:szCs w:val="21"/>
                <w:highlight w:val="none"/>
                <w:vertAlign w:val="baseline"/>
                <w:lang w:val="en-US" w:eastAsia="zh-CN"/>
              </w:rPr>
              <w:t>1</w:t>
            </w:r>
          </w:p>
        </w:tc>
        <w:tc>
          <w:tcPr>
            <w:tcW w:w="378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outlineLvl w:val="9"/>
              <w:rPr>
                <w:rFonts w:hint="eastAsia" w:eastAsia="宋体"/>
                <w:snapToGrid w:val="0"/>
                <w:color w:val="auto"/>
                <w:sz w:val="21"/>
                <w:szCs w:val="21"/>
                <w:highlight w:val="none"/>
                <w:vertAlign w:val="baseline"/>
                <w:lang w:val="en-US" w:eastAsia="zh-CN"/>
              </w:rPr>
            </w:pPr>
            <w:r>
              <w:rPr>
                <w:rFonts w:hint="eastAsia"/>
                <w:snapToGrid w:val="0"/>
                <w:color w:val="auto"/>
                <w:sz w:val="21"/>
                <w:szCs w:val="21"/>
                <w:highlight w:val="none"/>
                <w:lang w:val="en-US" w:eastAsia="zh-CN"/>
              </w:rPr>
              <w:t>1#</w:t>
            </w:r>
            <w:r>
              <w:rPr>
                <w:rFonts w:hint="eastAsia"/>
                <w:color w:val="auto"/>
                <w:highlight w:val="none"/>
                <w:lang w:val="en-US" w:eastAsia="zh-CN"/>
              </w:rPr>
              <w:t>部分</w:t>
            </w:r>
            <w:r>
              <w:rPr>
                <w:rFonts w:hint="eastAsia"/>
                <w:color w:val="auto"/>
                <w:highlight w:val="none"/>
              </w:rPr>
              <w:t>酸洗槽工位</w:t>
            </w:r>
            <w:r>
              <w:rPr>
                <w:rFonts w:hint="eastAsia"/>
                <w:color w:val="auto"/>
                <w:highlight w:val="none"/>
                <w:lang w:val="en-US" w:eastAsia="zh-CN"/>
              </w:rPr>
              <w:t>仅有一侧安装软帘，密封性不够，</w:t>
            </w:r>
            <w:r>
              <w:rPr>
                <w:rFonts w:hint="eastAsia"/>
                <w:color w:val="auto"/>
                <w:highlight w:val="none"/>
              </w:rPr>
              <w:t>废气收集率较低</w:t>
            </w:r>
            <w:r>
              <w:rPr>
                <w:rFonts w:hint="eastAsia"/>
                <w:snapToGrid w:val="0"/>
                <w:color w:val="auto"/>
                <w:sz w:val="21"/>
                <w:szCs w:val="21"/>
                <w:highlight w:val="none"/>
                <w:lang w:val="en-US" w:eastAsia="zh-CN"/>
              </w:rPr>
              <w:t>。</w:t>
            </w:r>
          </w:p>
        </w:tc>
        <w:tc>
          <w:tcPr>
            <w:tcW w:w="3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outlineLvl w:val="9"/>
              <w:rPr>
                <w:rFonts w:hint="eastAsia" w:eastAsia="宋体"/>
                <w:snapToGrid w:val="0"/>
                <w:color w:val="auto"/>
                <w:sz w:val="21"/>
                <w:szCs w:val="21"/>
                <w:highlight w:val="none"/>
                <w:vertAlign w:val="baseline"/>
                <w:lang w:eastAsia="zh-CN"/>
              </w:rPr>
            </w:pPr>
            <w:r>
              <w:rPr>
                <w:rFonts w:hint="eastAsia"/>
                <w:snapToGrid w:val="0"/>
                <w:color w:val="auto"/>
                <w:sz w:val="21"/>
                <w:szCs w:val="21"/>
                <w:highlight w:val="none"/>
                <w:lang w:val="en-US" w:eastAsia="zh-CN"/>
              </w:rPr>
              <w:t>1#车间计划</w:t>
            </w:r>
            <w:r>
              <w:rPr>
                <w:rFonts w:hint="eastAsia"/>
                <w:snapToGrid w:val="0"/>
                <w:color w:val="auto"/>
                <w:sz w:val="21"/>
                <w:szCs w:val="21"/>
                <w:highlight w:val="none"/>
                <w:vertAlign w:val="baseline"/>
              </w:rPr>
              <w:t>酸洗槽</w:t>
            </w:r>
            <w:r>
              <w:rPr>
                <w:rFonts w:hint="eastAsia"/>
                <w:snapToGrid w:val="0"/>
                <w:color w:val="auto"/>
                <w:sz w:val="21"/>
                <w:szCs w:val="21"/>
                <w:highlight w:val="none"/>
                <w:vertAlign w:val="baseline"/>
                <w:lang w:val="en-US" w:eastAsia="zh-CN"/>
              </w:rPr>
              <w:t>工位</w:t>
            </w:r>
            <w:r>
              <w:rPr>
                <w:rFonts w:hint="eastAsia" w:ascii="宋体" w:hAnsi="宋体" w:cs="宋体"/>
                <w:color w:val="auto"/>
                <w:szCs w:val="21"/>
                <w:highlight w:val="none"/>
                <w:lang w:val="en-US" w:eastAsia="zh-CN"/>
              </w:rPr>
              <w:t>采用房中房，将酸洗槽密闭起来</w:t>
            </w:r>
            <w:r>
              <w:rPr>
                <w:rFonts w:hint="eastAsia"/>
                <w:snapToGrid w:val="0"/>
                <w:color w:val="auto"/>
                <w:sz w:val="21"/>
                <w:szCs w:val="21"/>
                <w:highlight w:val="none"/>
                <w:vertAlign w:val="baseline"/>
                <w:lang w:eastAsia="zh-CN"/>
              </w:rPr>
              <w:t>。</w:t>
            </w:r>
          </w:p>
        </w:tc>
        <w:tc>
          <w:tcPr>
            <w:tcW w:w="13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eastAsia="宋体"/>
                <w:snapToGrid w:val="0"/>
                <w:color w:val="auto"/>
                <w:sz w:val="21"/>
                <w:szCs w:val="21"/>
                <w:highlight w:val="none"/>
                <w:vertAlign w:val="baseline"/>
                <w:lang w:val="en-US" w:eastAsia="zh-CN"/>
              </w:rPr>
            </w:pPr>
            <w:r>
              <w:rPr>
                <w:rFonts w:hint="eastAsia"/>
                <w:snapToGrid w:val="0"/>
                <w:color w:val="auto"/>
                <w:sz w:val="21"/>
                <w:szCs w:val="21"/>
                <w:highlight w:val="none"/>
                <w:vertAlign w:val="baseline"/>
                <w:lang w:val="en-US" w:eastAsia="zh-CN"/>
              </w:rPr>
              <w:t>已完成</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212" w:hRule="atLeast"/>
        </w:trPr>
        <w:tc>
          <w:tcPr>
            <w:tcW w:w="6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snapToGrid w:val="0"/>
                <w:color w:val="auto"/>
                <w:sz w:val="21"/>
                <w:szCs w:val="21"/>
                <w:highlight w:val="none"/>
                <w:vertAlign w:val="baseline"/>
                <w:lang w:val="en-US" w:eastAsia="zh-CN"/>
              </w:rPr>
            </w:pPr>
            <w:r>
              <w:rPr>
                <w:rFonts w:hint="eastAsia"/>
                <w:snapToGrid w:val="0"/>
                <w:color w:val="auto"/>
                <w:sz w:val="21"/>
                <w:szCs w:val="21"/>
                <w:highlight w:val="none"/>
                <w:vertAlign w:val="baseline"/>
                <w:lang w:val="en-US" w:eastAsia="zh-CN"/>
              </w:rPr>
              <w:t>2</w:t>
            </w:r>
          </w:p>
        </w:tc>
        <w:tc>
          <w:tcPr>
            <w:tcW w:w="378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outlineLvl w:val="9"/>
              <w:rPr>
                <w:rFonts w:hint="eastAsia"/>
                <w:snapToGrid w:val="0"/>
                <w:color w:val="auto"/>
                <w:sz w:val="21"/>
                <w:szCs w:val="21"/>
                <w:highlight w:val="none"/>
                <w:lang w:val="en-US" w:eastAsia="zh-CN"/>
              </w:rPr>
            </w:pPr>
            <w:r>
              <w:rPr>
                <w:rFonts w:hint="eastAsia"/>
                <w:snapToGrid w:val="0"/>
                <w:color w:val="auto"/>
                <w:sz w:val="21"/>
                <w:szCs w:val="21"/>
                <w:highlight w:val="none"/>
                <w:lang w:val="en-US" w:eastAsia="zh-CN"/>
              </w:rPr>
              <w:t>2#车间</w:t>
            </w:r>
            <w:r>
              <w:rPr>
                <w:rFonts w:hint="eastAsia"/>
                <w:color w:val="auto"/>
                <w:highlight w:val="none"/>
              </w:rPr>
              <w:t>酸洗槽所在工位废气收集装置</w:t>
            </w:r>
            <w:r>
              <w:rPr>
                <w:rFonts w:hint="eastAsia"/>
                <w:color w:val="auto"/>
                <w:highlight w:val="none"/>
                <w:lang w:val="en-US" w:eastAsia="zh-CN"/>
              </w:rPr>
              <w:t>仅</w:t>
            </w:r>
            <w:r>
              <w:rPr>
                <w:rFonts w:hint="eastAsia"/>
                <w:color w:val="auto"/>
                <w:highlight w:val="none"/>
              </w:rPr>
              <w:t>为侧吸式或者两侧带孔方形管道进行收集，</w:t>
            </w:r>
            <w:r>
              <w:rPr>
                <w:rFonts w:hint="eastAsia"/>
                <w:color w:val="auto"/>
                <w:highlight w:val="none"/>
                <w:lang w:val="en-US" w:eastAsia="zh-CN"/>
              </w:rPr>
              <w:t>顶吸式收集设施距离酸洗槽太远，</w:t>
            </w:r>
            <w:r>
              <w:rPr>
                <w:rFonts w:hint="eastAsia"/>
                <w:color w:val="auto"/>
                <w:highlight w:val="none"/>
              </w:rPr>
              <w:t>废气收集率较低</w:t>
            </w:r>
            <w:r>
              <w:rPr>
                <w:rFonts w:hint="eastAsia"/>
                <w:snapToGrid w:val="0"/>
                <w:color w:val="auto"/>
                <w:sz w:val="21"/>
                <w:szCs w:val="21"/>
                <w:highlight w:val="none"/>
                <w:lang w:val="en-US" w:eastAsia="zh-CN"/>
              </w:rPr>
              <w:t>。</w:t>
            </w:r>
          </w:p>
        </w:tc>
        <w:tc>
          <w:tcPr>
            <w:tcW w:w="3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outlineLvl w:val="9"/>
              <w:rPr>
                <w:rFonts w:hint="eastAsia"/>
                <w:snapToGrid w:val="0"/>
                <w:color w:val="auto"/>
                <w:sz w:val="21"/>
                <w:szCs w:val="21"/>
                <w:highlight w:val="none"/>
                <w:lang w:val="en-US" w:eastAsia="zh-CN"/>
              </w:rPr>
            </w:pPr>
            <w:r>
              <w:rPr>
                <w:rFonts w:hint="eastAsia"/>
                <w:snapToGrid w:val="0"/>
                <w:color w:val="auto"/>
                <w:sz w:val="21"/>
                <w:szCs w:val="21"/>
                <w:highlight w:val="none"/>
                <w:lang w:val="en-US" w:eastAsia="zh-CN"/>
              </w:rPr>
              <w:t>2#车间</w:t>
            </w:r>
            <w:r>
              <w:rPr>
                <w:rFonts w:hint="eastAsia"/>
                <w:snapToGrid w:val="0"/>
                <w:color w:val="auto"/>
                <w:sz w:val="21"/>
                <w:szCs w:val="21"/>
                <w:highlight w:val="none"/>
                <w:vertAlign w:val="baseline"/>
              </w:rPr>
              <w:t>酸洗槽两侧设</w:t>
            </w:r>
            <w:r>
              <w:rPr>
                <w:rFonts w:hint="eastAsia"/>
                <w:snapToGrid w:val="0"/>
                <w:color w:val="auto"/>
                <w:sz w:val="21"/>
                <w:szCs w:val="21"/>
                <w:highlight w:val="none"/>
                <w:vertAlign w:val="baseline"/>
              </w:rPr>
              <w:t>置软帘，</w:t>
            </w:r>
            <w:r>
              <w:rPr>
                <w:rFonts w:hint="eastAsia"/>
                <w:snapToGrid w:val="0"/>
                <w:color w:val="auto"/>
                <w:sz w:val="21"/>
                <w:szCs w:val="21"/>
                <w:highlight w:val="none"/>
                <w:vertAlign w:val="baseline"/>
                <w:lang w:val="en-US" w:eastAsia="zh-CN"/>
              </w:rPr>
              <w:t>提高废气收集效率</w:t>
            </w:r>
            <w:r>
              <w:rPr>
                <w:rFonts w:hint="eastAsia"/>
                <w:snapToGrid w:val="0"/>
                <w:color w:val="auto"/>
                <w:sz w:val="21"/>
                <w:szCs w:val="21"/>
                <w:highlight w:val="none"/>
                <w:vertAlign w:val="baseline"/>
                <w:lang w:eastAsia="zh-CN"/>
              </w:rPr>
              <w:t>。</w:t>
            </w:r>
          </w:p>
        </w:tc>
        <w:tc>
          <w:tcPr>
            <w:tcW w:w="13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snapToGrid w:val="0"/>
                <w:color w:val="auto"/>
                <w:sz w:val="21"/>
                <w:szCs w:val="21"/>
                <w:highlight w:val="none"/>
                <w:vertAlign w:val="baseline"/>
                <w:lang w:val="en-US" w:eastAsia="zh-CN"/>
              </w:rPr>
            </w:pPr>
            <w:r>
              <w:rPr>
                <w:rFonts w:hint="eastAsia"/>
                <w:snapToGrid w:val="0"/>
                <w:color w:val="auto"/>
                <w:sz w:val="21"/>
                <w:szCs w:val="21"/>
                <w:highlight w:val="none"/>
                <w:vertAlign w:val="baseline"/>
                <w:lang w:val="en-US" w:eastAsia="zh-CN"/>
              </w:rPr>
              <w:t>2019年12月</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684" w:hRule="atLeast"/>
        </w:trPr>
        <w:tc>
          <w:tcPr>
            <w:tcW w:w="6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eastAsia="宋体"/>
                <w:snapToGrid w:val="0"/>
                <w:color w:val="auto"/>
                <w:sz w:val="21"/>
                <w:szCs w:val="21"/>
                <w:highlight w:val="none"/>
                <w:vertAlign w:val="baseline"/>
                <w:lang w:val="en-US" w:eastAsia="zh-CN"/>
              </w:rPr>
            </w:pPr>
            <w:r>
              <w:rPr>
                <w:rFonts w:hint="eastAsia"/>
                <w:snapToGrid w:val="0"/>
                <w:color w:val="auto"/>
                <w:sz w:val="21"/>
                <w:szCs w:val="21"/>
                <w:highlight w:val="none"/>
                <w:vertAlign w:val="baseline"/>
                <w:lang w:val="en-US" w:eastAsia="zh-CN"/>
              </w:rPr>
              <w:t>3</w:t>
            </w:r>
          </w:p>
        </w:tc>
        <w:tc>
          <w:tcPr>
            <w:tcW w:w="378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outlineLvl w:val="9"/>
              <w:rPr>
                <w:rFonts w:hint="eastAsia" w:eastAsia="宋体"/>
                <w:snapToGrid w:val="0"/>
                <w:color w:val="auto"/>
                <w:sz w:val="21"/>
                <w:szCs w:val="21"/>
                <w:highlight w:val="none"/>
                <w:vertAlign w:val="baseline"/>
                <w:lang w:eastAsia="zh-CN"/>
              </w:rPr>
            </w:pPr>
            <w:r>
              <w:rPr>
                <w:rFonts w:hint="eastAsia"/>
                <w:snapToGrid w:val="0"/>
                <w:color w:val="auto"/>
                <w:sz w:val="21"/>
                <w:szCs w:val="21"/>
                <w:highlight w:val="none"/>
                <w:lang w:val="en-US" w:eastAsia="zh-CN"/>
              </w:rPr>
              <w:t>4#废气感应启动装置不灵敏，废气不能及时有效收集</w:t>
            </w:r>
            <w:r>
              <w:rPr>
                <w:rFonts w:hint="eastAsia"/>
                <w:snapToGrid w:val="0"/>
                <w:color w:val="auto"/>
                <w:sz w:val="21"/>
                <w:szCs w:val="21"/>
                <w:highlight w:val="none"/>
                <w:lang w:eastAsia="zh-CN"/>
              </w:rPr>
              <w:t>。</w:t>
            </w:r>
          </w:p>
        </w:tc>
        <w:tc>
          <w:tcPr>
            <w:tcW w:w="3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outlineLvl w:val="9"/>
              <w:rPr>
                <w:rFonts w:hint="eastAsia" w:eastAsia="宋体"/>
                <w:snapToGrid w:val="0"/>
                <w:color w:val="auto"/>
                <w:sz w:val="21"/>
                <w:szCs w:val="21"/>
                <w:highlight w:val="none"/>
                <w:vertAlign w:val="baseline"/>
                <w:lang w:eastAsia="zh-CN"/>
              </w:rPr>
            </w:pPr>
            <w:r>
              <w:rPr>
                <w:rFonts w:hint="eastAsia"/>
                <w:snapToGrid w:val="0"/>
                <w:color w:val="auto"/>
                <w:sz w:val="21"/>
                <w:szCs w:val="21"/>
                <w:highlight w:val="none"/>
                <w:vertAlign w:val="baseline"/>
                <w:lang w:val="en-US" w:eastAsia="zh-CN"/>
              </w:rPr>
              <w:t>4#车间更换灵敏度更高的废气感应器，保证废气的及时收集，改善车间环境</w:t>
            </w:r>
            <w:r>
              <w:rPr>
                <w:rFonts w:hint="eastAsia"/>
                <w:snapToGrid w:val="0"/>
                <w:color w:val="auto"/>
                <w:sz w:val="21"/>
                <w:szCs w:val="21"/>
                <w:highlight w:val="none"/>
                <w:vertAlign w:val="baseline"/>
                <w:lang w:eastAsia="zh-CN"/>
              </w:rPr>
              <w:t>。</w:t>
            </w:r>
          </w:p>
        </w:tc>
        <w:tc>
          <w:tcPr>
            <w:tcW w:w="13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snapToGrid w:val="0"/>
                <w:color w:val="auto"/>
                <w:sz w:val="21"/>
                <w:szCs w:val="21"/>
                <w:highlight w:val="none"/>
                <w:vertAlign w:val="baseline"/>
              </w:rPr>
            </w:pPr>
            <w:r>
              <w:rPr>
                <w:rFonts w:hint="eastAsia"/>
                <w:snapToGrid w:val="0"/>
                <w:color w:val="auto"/>
                <w:sz w:val="21"/>
                <w:szCs w:val="21"/>
                <w:highlight w:val="none"/>
                <w:vertAlign w:val="baseline"/>
                <w:lang w:val="en-US" w:eastAsia="zh-CN"/>
              </w:rPr>
              <w:t>2019年12月</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928" w:hRule="atLeast"/>
        </w:trPr>
        <w:tc>
          <w:tcPr>
            <w:tcW w:w="6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eastAsia="宋体"/>
                <w:snapToGrid w:val="0"/>
                <w:color w:val="auto"/>
                <w:sz w:val="21"/>
                <w:szCs w:val="21"/>
                <w:highlight w:val="none"/>
                <w:vertAlign w:val="baseline"/>
                <w:lang w:val="en-US" w:eastAsia="zh-CN"/>
              </w:rPr>
            </w:pPr>
            <w:r>
              <w:rPr>
                <w:rFonts w:hint="eastAsia"/>
                <w:snapToGrid w:val="0"/>
                <w:color w:val="auto"/>
                <w:sz w:val="21"/>
                <w:szCs w:val="21"/>
                <w:highlight w:val="none"/>
                <w:vertAlign w:val="baseline"/>
                <w:lang w:val="en-US" w:eastAsia="zh-CN"/>
              </w:rPr>
              <w:t>4</w:t>
            </w:r>
          </w:p>
        </w:tc>
        <w:tc>
          <w:tcPr>
            <w:tcW w:w="378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outlineLvl w:val="9"/>
              <w:rPr>
                <w:rFonts w:hint="eastAsia" w:eastAsia="宋体"/>
                <w:snapToGrid w:val="0"/>
                <w:color w:val="auto"/>
                <w:sz w:val="21"/>
                <w:szCs w:val="21"/>
                <w:highlight w:val="none"/>
                <w:vertAlign w:val="baseline"/>
                <w:lang w:eastAsia="zh-CN"/>
              </w:rPr>
            </w:pPr>
            <w:r>
              <w:rPr>
                <w:rFonts w:hint="eastAsia"/>
                <w:snapToGrid w:val="0"/>
                <w:color w:val="auto"/>
                <w:sz w:val="21"/>
                <w:szCs w:val="21"/>
                <w:highlight w:val="none"/>
                <w:lang w:val="en-US" w:eastAsia="zh-CN"/>
              </w:rPr>
              <w:t>4#车间因临时检测锅炉燃烧热值，烟气未从设置的排气筒排出</w:t>
            </w:r>
            <w:r>
              <w:rPr>
                <w:rFonts w:hint="eastAsia"/>
                <w:snapToGrid w:val="0"/>
                <w:color w:val="auto"/>
                <w:sz w:val="21"/>
                <w:szCs w:val="21"/>
                <w:highlight w:val="none"/>
                <w:lang w:eastAsia="zh-CN"/>
              </w:rPr>
              <w:t>。</w:t>
            </w:r>
          </w:p>
        </w:tc>
        <w:tc>
          <w:tcPr>
            <w:tcW w:w="3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outlineLvl w:val="9"/>
              <w:rPr>
                <w:rFonts w:hint="eastAsia" w:eastAsia="宋体"/>
                <w:snapToGrid w:val="0"/>
                <w:color w:val="auto"/>
                <w:sz w:val="21"/>
                <w:szCs w:val="21"/>
                <w:highlight w:val="none"/>
                <w:vertAlign w:val="baseline"/>
                <w:lang w:eastAsia="zh-CN"/>
              </w:rPr>
            </w:pPr>
            <w:r>
              <w:rPr>
                <w:rFonts w:hint="eastAsia"/>
                <w:snapToGrid w:val="0"/>
                <w:color w:val="auto"/>
                <w:sz w:val="21"/>
                <w:szCs w:val="21"/>
                <w:highlight w:val="none"/>
                <w:lang w:val="en-US" w:eastAsia="zh-CN"/>
              </w:rPr>
              <w:t>4#车间锅炉燃烧烟气通过已建的排气筒P4-1排出</w:t>
            </w:r>
            <w:r>
              <w:rPr>
                <w:rFonts w:hint="eastAsia"/>
                <w:snapToGrid w:val="0"/>
                <w:color w:val="auto"/>
                <w:sz w:val="21"/>
                <w:szCs w:val="21"/>
                <w:highlight w:val="none"/>
                <w:lang w:eastAsia="zh-CN"/>
              </w:rPr>
              <w:t>。</w:t>
            </w:r>
          </w:p>
        </w:tc>
        <w:tc>
          <w:tcPr>
            <w:tcW w:w="13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snapToGrid w:val="0"/>
                <w:color w:val="auto"/>
                <w:sz w:val="21"/>
                <w:szCs w:val="21"/>
                <w:highlight w:val="none"/>
                <w:vertAlign w:val="baseline"/>
              </w:rPr>
            </w:pPr>
            <w:r>
              <w:rPr>
                <w:rFonts w:hint="eastAsia"/>
                <w:snapToGrid w:val="0"/>
                <w:color w:val="auto"/>
                <w:sz w:val="21"/>
                <w:szCs w:val="21"/>
                <w:highlight w:val="none"/>
                <w:vertAlign w:val="baseline"/>
                <w:lang w:val="en-US" w:eastAsia="zh-CN"/>
              </w:rPr>
              <w:t>已完成</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928" w:hRule="atLeast"/>
        </w:trPr>
        <w:tc>
          <w:tcPr>
            <w:tcW w:w="6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snapToGrid w:val="0"/>
                <w:color w:val="auto"/>
                <w:sz w:val="21"/>
                <w:szCs w:val="21"/>
                <w:highlight w:val="none"/>
                <w:vertAlign w:val="baseline"/>
                <w:lang w:val="en-US" w:eastAsia="zh-CN"/>
              </w:rPr>
            </w:pPr>
            <w:r>
              <w:rPr>
                <w:rFonts w:hint="eastAsia"/>
                <w:snapToGrid w:val="0"/>
                <w:color w:val="auto"/>
                <w:sz w:val="21"/>
                <w:szCs w:val="21"/>
                <w:highlight w:val="none"/>
                <w:vertAlign w:val="baseline"/>
                <w:lang w:val="en-US" w:eastAsia="zh-CN"/>
              </w:rPr>
              <w:t>5</w:t>
            </w:r>
          </w:p>
        </w:tc>
        <w:tc>
          <w:tcPr>
            <w:tcW w:w="378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outlineLvl w:val="9"/>
              <w:rPr>
                <w:rFonts w:hint="eastAsia"/>
                <w:snapToGrid w:val="0"/>
                <w:color w:val="auto"/>
                <w:sz w:val="21"/>
                <w:szCs w:val="21"/>
                <w:highlight w:val="none"/>
                <w:lang w:val="en-US" w:eastAsia="zh-CN"/>
              </w:rPr>
            </w:pPr>
            <w:r>
              <w:rPr>
                <w:rFonts w:hint="eastAsia"/>
                <w:snapToGrid w:val="0"/>
                <w:color w:val="auto"/>
                <w:sz w:val="21"/>
                <w:szCs w:val="21"/>
                <w:highlight w:val="none"/>
                <w:lang w:val="en-US" w:eastAsia="zh-CN"/>
              </w:rPr>
              <w:t>项目未编制突发环境事件应急预案。</w:t>
            </w:r>
          </w:p>
        </w:tc>
        <w:tc>
          <w:tcPr>
            <w:tcW w:w="34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outlineLvl w:val="9"/>
              <w:rPr>
                <w:rFonts w:hint="eastAsia"/>
                <w:snapToGrid w:val="0"/>
                <w:color w:val="auto"/>
                <w:sz w:val="21"/>
                <w:szCs w:val="21"/>
                <w:highlight w:val="none"/>
                <w:lang w:val="en-US" w:eastAsia="zh-CN"/>
              </w:rPr>
            </w:pPr>
            <w:r>
              <w:rPr>
                <w:rFonts w:hint="eastAsia"/>
                <w:snapToGrid w:val="0"/>
                <w:color w:val="auto"/>
                <w:sz w:val="21"/>
                <w:szCs w:val="21"/>
                <w:highlight w:val="none"/>
                <w:lang w:val="en-US" w:eastAsia="zh-CN"/>
              </w:rPr>
              <w:t>应尽快编制突发环境事件应急预案，报送环保主管部门进行备案。</w:t>
            </w:r>
          </w:p>
        </w:tc>
        <w:tc>
          <w:tcPr>
            <w:tcW w:w="13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snapToGrid w:val="0"/>
                <w:color w:val="auto"/>
                <w:sz w:val="21"/>
                <w:szCs w:val="21"/>
                <w:highlight w:val="none"/>
                <w:vertAlign w:val="baseline"/>
                <w:lang w:val="en-US" w:eastAsia="zh-CN"/>
              </w:rPr>
            </w:pPr>
            <w:r>
              <w:rPr>
                <w:rFonts w:hint="eastAsia"/>
                <w:snapToGrid w:val="0"/>
                <w:color w:val="auto"/>
                <w:sz w:val="21"/>
                <w:szCs w:val="21"/>
                <w:highlight w:val="none"/>
                <w:vertAlign w:val="baseline"/>
                <w:lang w:val="en-US" w:eastAsia="zh-CN"/>
              </w:rPr>
              <w:t>2019年12月</w:t>
            </w:r>
          </w:p>
        </w:tc>
      </w:tr>
    </w:tbl>
    <w:p>
      <w:pPr>
        <w:adjustRightInd w:val="0"/>
        <w:snapToGrid w:val="0"/>
        <w:spacing w:line="360" w:lineRule="auto"/>
        <w:ind w:firstLine="480" w:firstLineChars="200"/>
        <w:rPr>
          <w:snapToGrid w:val="0"/>
          <w:color w:val="auto"/>
          <w:sz w:val="24"/>
          <w:highlight w:val="none"/>
        </w:rPr>
      </w:pPr>
    </w:p>
    <w:p>
      <w:pPr>
        <w:adjustRightInd w:val="0"/>
        <w:snapToGrid w:val="0"/>
        <w:spacing w:line="360" w:lineRule="auto"/>
        <w:ind w:firstLine="480" w:firstLineChars="200"/>
        <w:rPr>
          <w:snapToGrid w:val="0"/>
          <w:color w:val="auto"/>
          <w:sz w:val="24"/>
          <w:highlight w:val="none"/>
        </w:rPr>
        <w:sectPr>
          <w:pgSz w:w="11907" w:h="16840"/>
          <w:pgMar w:top="1418" w:right="1418" w:bottom="1418" w:left="1474" w:header="964" w:footer="964" w:gutter="0"/>
          <w:pgBorders>
            <w:top w:val="none" w:sz="0" w:space="0"/>
            <w:left w:val="none" w:sz="0" w:space="0"/>
            <w:bottom w:val="none" w:sz="0" w:space="0"/>
            <w:right w:val="none" w:sz="0" w:space="0"/>
          </w:pgBorders>
          <w:pgNumType w:fmt="decimal"/>
          <w:cols w:space="720" w:num="1"/>
          <w:docGrid w:linePitch="312" w:charSpace="0"/>
        </w:sectPr>
      </w:pPr>
    </w:p>
    <w:p>
      <w:pPr>
        <w:pStyle w:val="5"/>
        <w:pageBreakBefore w:val="0"/>
        <w:widowControl w:val="0"/>
        <w:tabs>
          <w:tab w:val="clear" w:pos="432"/>
        </w:tabs>
        <w:kinsoku/>
        <w:wordWrap/>
        <w:overflowPunct/>
        <w:topLinePunct w:val="0"/>
        <w:autoSpaceDE/>
        <w:autoSpaceDN/>
        <w:bidi w:val="0"/>
        <w:adjustRightInd w:val="0"/>
        <w:snapToGrid w:val="0"/>
        <w:spacing w:before="0" w:after="0" w:line="360" w:lineRule="auto"/>
        <w:ind w:left="0" w:firstLine="0"/>
        <w:jc w:val="left"/>
        <w:textAlignment w:val="auto"/>
        <w:rPr>
          <w:rFonts w:hint="eastAsia"/>
          <w:b w:val="0"/>
          <w:color w:val="auto"/>
          <w:sz w:val="24"/>
          <w:szCs w:val="24"/>
          <w:highlight w:val="none"/>
          <w:lang w:val="en-US" w:eastAsia="zh-CN"/>
        </w:rPr>
      </w:pPr>
      <w:bookmarkStart w:id="286" w:name="_Toc31524"/>
      <w:bookmarkStart w:id="287" w:name="_Toc530655628"/>
      <w:bookmarkStart w:id="288" w:name="_Toc519063325"/>
      <w:bookmarkStart w:id="289" w:name="_Toc391301274"/>
      <w:r>
        <w:rPr>
          <w:rFonts w:hint="eastAsia" w:eastAsia="黑体"/>
          <w:b w:val="0"/>
          <w:color w:val="auto"/>
          <w:sz w:val="28"/>
          <w:szCs w:val="24"/>
          <w:highlight w:val="none"/>
        </w:rPr>
        <w:t>7</w:t>
      </w:r>
      <w:r>
        <w:rPr>
          <w:rFonts w:eastAsia="黑体"/>
          <w:b w:val="0"/>
          <w:color w:val="auto"/>
          <w:sz w:val="28"/>
          <w:szCs w:val="24"/>
          <w:highlight w:val="none"/>
        </w:rPr>
        <w:t>环境影响后评价结论</w:t>
      </w:r>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Start w:id="290" w:name="_Toc390360323"/>
      <w:bookmarkEnd w:id="290"/>
      <w:bookmarkStart w:id="291" w:name="_Toc531246622"/>
      <w:bookmarkEnd w:id="291"/>
      <w:bookmarkStart w:id="292" w:name="_Toc391301275"/>
      <w:bookmarkEnd w:id="292"/>
      <w:bookmarkStart w:id="293" w:name="_Toc519063326"/>
      <w:bookmarkEnd w:id="293"/>
      <w:bookmarkStart w:id="294" w:name="_Toc390360403"/>
      <w:bookmarkEnd w:id="294"/>
      <w:bookmarkStart w:id="295" w:name="_Toc530655859"/>
      <w:bookmarkEnd w:id="295"/>
      <w:bookmarkStart w:id="296" w:name="_Toc519063273"/>
      <w:bookmarkEnd w:id="296"/>
      <w:bookmarkStart w:id="297" w:name="_Toc518976451"/>
      <w:bookmarkEnd w:id="297"/>
      <w:bookmarkStart w:id="298" w:name="_Toc530655629"/>
      <w:bookmarkEnd w:id="298"/>
      <w:bookmarkStart w:id="299" w:name="_Toc519063327"/>
      <w:bookmarkStart w:id="300" w:name="_Toc530655630"/>
    </w:p>
    <w:p>
      <w:pPr>
        <w:pStyle w:val="6"/>
        <w:pageBreakBefore w:val="0"/>
        <w:widowControl w:val="0"/>
        <w:numPr>
          <w:ilvl w:val="0"/>
          <w:numId w:val="0"/>
        </w:numPr>
        <w:kinsoku/>
        <w:wordWrap/>
        <w:overflowPunct/>
        <w:topLinePunct w:val="0"/>
        <w:autoSpaceDE/>
        <w:autoSpaceDN/>
        <w:bidi w:val="0"/>
        <w:adjustRightInd w:val="0"/>
        <w:snapToGrid w:val="0"/>
        <w:spacing w:before="0" w:after="0" w:line="360" w:lineRule="auto"/>
        <w:jc w:val="left"/>
        <w:textAlignment w:val="auto"/>
        <w:rPr>
          <w:rFonts w:eastAsia="黑体"/>
          <w:b w:val="0"/>
          <w:color w:val="auto"/>
          <w:sz w:val="24"/>
          <w:szCs w:val="24"/>
          <w:highlight w:val="none"/>
        </w:rPr>
      </w:pPr>
      <w:bookmarkStart w:id="301" w:name="_Toc9687"/>
      <w:r>
        <w:rPr>
          <w:rFonts w:hint="eastAsia"/>
          <w:b w:val="0"/>
          <w:color w:val="auto"/>
          <w:sz w:val="24"/>
          <w:szCs w:val="24"/>
          <w:highlight w:val="none"/>
          <w:lang w:val="en-US" w:eastAsia="zh-CN"/>
        </w:rPr>
        <w:t xml:space="preserve">7.1 </w:t>
      </w:r>
      <w:bookmarkEnd w:id="299"/>
      <w:bookmarkEnd w:id="300"/>
      <w:r>
        <w:rPr>
          <w:rFonts w:eastAsia="黑体"/>
          <w:b w:val="0"/>
          <w:color w:val="auto"/>
          <w:sz w:val="24"/>
          <w:szCs w:val="24"/>
          <w:highlight w:val="none"/>
        </w:rPr>
        <w:t>项目概况</w:t>
      </w:r>
      <w:bookmarkEnd w:id="301"/>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eastAsiaTheme="minorEastAsia"/>
          <w:color w:val="auto"/>
          <w:sz w:val="24"/>
          <w:highlight w:val="none"/>
          <w:lang w:eastAsia="zh-CN"/>
        </w:rPr>
      </w:pPr>
      <w:r>
        <w:rPr>
          <w:rFonts w:hint="eastAsia" w:eastAsiaTheme="minorEastAsia"/>
          <w:color w:val="auto"/>
          <w:sz w:val="24"/>
          <w:highlight w:val="none"/>
        </w:rPr>
        <w:t>青岛源润宏防腐精饰科技有限公司</w:t>
      </w:r>
      <w:r>
        <w:rPr>
          <w:rFonts w:hint="eastAsia" w:eastAsiaTheme="minorEastAsia"/>
          <w:color w:val="auto"/>
          <w:sz w:val="24"/>
          <w:highlight w:val="none"/>
          <w:lang w:eastAsia="zh-CN"/>
        </w:rPr>
        <w:t>(前身为青岛古田防腐精饰科技有限公司，于</w:t>
      </w:r>
      <w:r>
        <w:rPr>
          <w:rFonts w:hint="eastAsia" w:eastAsiaTheme="minorEastAsia"/>
          <w:color w:val="auto"/>
          <w:sz w:val="24"/>
          <w:highlight w:val="none"/>
          <w:lang w:val="en-US" w:eastAsia="zh-CN"/>
        </w:rPr>
        <w:t>2018年8月变更为</w:t>
      </w:r>
      <w:r>
        <w:rPr>
          <w:rFonts w:hint="eastAsia" w:eastAsiaTheme="minorEastAsia"/>
          <w:color w:val="auto"/>
          <w:sz w:val="24"/>
          <w:highlight w:val="none"/>
        </w:rPr>
        <w:t>青岛源润宏防腐精饰科技有限公司</w:t>
      </w:r>
      <w:r>
        <w:rPr>
          <w:rFonts w:hint="eastAsia" w:eastAsiaTheme="minorEastAsia"/>
          <w:color w:val="auto"/>
          <w:sz w:val="24"/>
          <w:highlight w:val="none"/>
          <w:lang w:eastAsia="zh-CN"/>
        </w:rPr>
        <w:t>)</w:t>
      </w:r>
      <w:r>
        <w:rPr>
          <w:rFonts w:hint="eastAsia" w:eastAsiaTheme="minorEastAsia"/>
          <w:color w:val="auto"/>
          <w:sz w:val="24"/>
          <w:highlight w:val="none"/>
        </w:rPr>
        <w:t>是一家专业从事</w:t>
      </w:r>
      <w:r>
        <w:rPr>
          <w:rFonts w:hint="eastAsia" w:eastAsiaTheme="minorEastAsia"/>
          <w:color w:val="auto"/>
          <w:sz w:val="24"/>
          <w:highlight w:val="none"/>
          <w:lang w:eastAsia="zh-CN"/>
        </w:rPr>
        <w:t>金属制品表面处理</w:t>
      </w:r>
      <w:r>
        <w:rPr>
          <w:rFonts w:hint="eastAsia" w:eastAsiaTheme="minorEastAsia"/>
          <w:color w:val="auto"/>
          <w:sz w:val="24"/>
          <w:highlight w:val="none"/>
        </w:rPr>
        <w:t>生产的企业，厂址位于</w:t>
      </w:r>
      <w:r>
        <w:rPr>
          <w:rFonts w:hint="eastAsia" w:eastAsiaTheme="minorEastAsia"/>
          <w:color w:val="auto"/>
          <w:sz w:val="24"/>
          <w:highlight w:val="none"/>
          <w:lang w:eastAsia="zh-CN"/>
        </w:rPr>
        <w:t>青岛西海岸新区</w:t>
      </w:r>
      <w:r>
        <w:rPr>
          <w:rFonts w:hint="eastAsia" w:eastAsiaTheme="minorEastAsia"/>
          <w:color w:val="auto"/>
          <w:sz w:val="24"/>
          <w:highlight w:val="none"/>
        </w:rPr>
        <w:t>黄河东路139号青岛经济技术开发区电镀工业园内，租赁青岛经济技术开发区电镀工业园</w:t>
      </w:r>
      <w:r>
        <w:rPr>
          <w:rFonts w:hint="eastAsia" w:eastAsiaTheme="minorEastAsia"/>
          <w:color w:val="auto"/>
          <w:sz w:val="24"/>
          <w:highlight w:val="none"/>
          <w:lang w:val="en-US" w:eastAsia="zh-CN"/>
        </w:rPr>
        <w:t>1</w:t>
      </w:r>
      <w:r>
        <w:rPr>
          <w:rFonts w:hint="eastAsia" w:eastAsiaTheme="minorEastAsia"/>
          <w:color w:val="auto"/>
          <w:sz w:val="24"/>
          <w:highlight w:val="none"/>
        </w:rPr>
        <w:t>#</w:t>
      </w:r>
      <w:r>
        <w:rPr>
          <w:rFonts w:hint="eastAsia" w:eastAsiaTheme="minorEastAsia"/>
          <w:color w:val="auto"/>
          <w:sz w:val="24"/>
          <w:highlight w:val="none"/>
          <w:lang w:eastAsia="zh-CN"/>
        </w:rPr>
        <w:t>楼</w:t>
      </w:r>
      <w:r>
        <w:rPr>
          <w:rFonts w:hint="eastAsia" w:eastAsiaTheme="minorEastAsia"/>
          <w:color w:val="auto"/>
          <w:sz w:val="24"/>
          <w:highlight w:val="none"/>
          <w:lang w:val="en-US" w:eastAsia="zh-CN"/>
        </w:rPr>
        <w:t>3处车间、3#楼2处车间</w:t>
      </w:r>
      <w:r>
        <w:rPr>
          <w:rFonts w:hint="eastAsia" w:eastAsiaTheme="minorEastAsia"/>
          <w:color w:val="auto"/>
          <w:sz w:val="24"/>
          <w:highlight w:val="none"/>
        </w:rPr>
        <w:t>和4#</w:t>
      </w:r>
      <w:r>
        <w:rPr>
          <w:rFonts w:hint="eastAsia" w:eastAsiaTheme="minorEastAsia"/>
          <w:color w:val="auto"/>
          <w:sz w:val="24"/>
          <w:highlight w:val="none"/>
          <w:lang w:eastAsia="zh-CN"/>
        </w:rPr>
        <w:t>楼</w:t>
      </w:r>
      <w:r>
        <w:rPr>
          <w:rFonts w:hint="eastAsia" w:eastAsiaTheme="minorEastAsia"/>
          <w:color w:val="auto"/>
          <w:sz w:val="24"/>
          <w:highlight w:val="none"/>
          <w:lang w:val="en-US" w:eastAsia="zh-CN"/>
        </w:rPr>
        <w:t>1处车间共</w:t>
      </w:r>
      <w:r>
        <w:rPr>
          <w:rFonts w:hint="eastAsia" w:eastAsiaTheme="minorEastAsia"/>
          <w:color w:val="auto"/>
          <w:sz w:val="24"/>
          <w:highlight w:val="none"/>
          <w:lang w:eastAsia="zh-CN"/>
        </w:rPr>
        <w:t>六</w:t>
      </w:r>
      <w:r>
        <w:rPr>
          <w:rFonts w:hint="eastAsia" w:eastAsiaTheme="minorEastAsia"/>
          <w:color w:val="auto"/>
          <w:sz w:val="24"/>
          <w:highlight w:val="none"/>
        </w:rPr>
        <w:t>个车间进行生产。公</w:t>
      </w:r>
      <w:r>
        <w:rPr>
          <w:rFonts w:hint="eastAsia" w:eastAsiaTheme="minorEastAsia"/>
          <w:color w:val="auto"/>
          <w:sz w:val="24"/>
          <w:highlight w:val="none"/>
        </w:rPr>
        <w:t>司主要产品为镀锌</w:t>
      </w:r>
      <w:r>
        <w:rPr>
          <w:rFonts w:hint="eastAsia" w:eastAsiaTheme="minorEastAsia"/>
          <w:color w:val="auto"/>
          <w:sz w:val="24"/>
          <w:highlight w:val="none"/>
          <w:lang w:eastAsia="zh-CN"/>
        </w:rPr>
        <w:t>、镀铜、镀铬、镀镍、镀锡、镀银</w:t>
      </w:r>
      <w:r>
        <w:rPr>
          <w:rFonts w:hint="eastAsia" w:eastAsiaTheme="minorEastAsia"/>
          <w:color w:val="auto"/>
          <w:sz w:val="24"/>
          <w:highlight w:val="none"/>
          <w:lang w:val="en-US" w:eastAsia="zh-CN"/>
        </w:rPr>
        <w:t>表面处理</w:t>
      </w:r>
      <w:r>
        <w:rPr>
          <w:rFonts w:hint="eastAsia" w:eastAsiaTheme="minorEastAsia"/>
          <w:color w:val="auto"/>
          <w:sz w:val="24"/>
          <w:highlight w:val="none"/>
        </w:rPr>
        <w:t>件，生产规模为</w:t>
      </w:r>
      <w:r>
        <w:rPr>
          <w:rFonts w:hint="eastAsia" w:eastAsiaTheme="minorEastAsia"/>
          <w:color w:val="auto"/>
          <w:sz w:val="24"/>
          <w:highlight w:val="none"/>
          <w:lang w:eastAsia="zh-CN"/>
        </w:rPr>
        <w:t>镀锌</w:t>
      </w:r>
      <w:r>
        <w:rPr>
          <w:rFonts w:hint="eastAsia" w:eastAsiaTheme="minorEastAsia"/>
          <w:color w:val="auto"/>
          <w:sz w:val="24"/>
          <w:highlight w:val="none"/>
          <w:lang w:val="en-US" w:eastAsia="zh-CN"/>
        </w:rPr>
        <w:t>1000t/a、镀铜、铬、镍6</w:t>
      </w:r>
      <w:r>
        <w:rPr>
          <w:rFonts w:hint="eastAsia" w:eastAsiaTheme="minorEastAsia"/>
          <w:color w:val="auto"/>
          <w:sz w:val="24"/>
          <w:highlight w:val="none"/>
        </w:rPr>
        <w:t>万m</w:t>
      </w:r>
      <w:r>
        <w:rPr>
          <w:rFonts w:hint="eastAsia" w:eastAsiaTheme="minorEastAsia"/>
          <w:color w:val="auto"/>
          <w:sz w:val="24"/>
          <w:highlight w:val="none"/>
          <w:vertAlign w:val="superscript"/>
        </w:rPr>
        <w:t>2</w:t>
      </w:r>
      <w:r>
        <w:rPr>
          <w:rFonts w:hint="eastAsia" w:eastAsiaTheme="minorEastAsia"/>
          <w:color w:val="auto"/>
          <w:sz w:val="24"/>
          <w:highlight w:val="none"/>
        </w:rPr>
        <w:t>/a</w:t>
      </w:r>
      <w:r>
        <w:rPr>
          <w:rFonts w:hint="eastAsia" w:eastAsiaTheme="minorEastAsia"/>
          <w:color w:val="auto"/>
          <w:sz w:val="24"/>
          <w:highlight w:val="none"/>
          <w:lang w:eastAsia="zh-CN"/>
        </w:rPr>
        <w:t>、特殊材料电镀</w:t>
      </w:r>
      <w:r>
        <w:rPr>
          <w:rFonts w:hint="eastAsia" w:eastAsiaTheme="minorEastAsia"/>
          <w:color w:val="auto"/>
          <w:sz w:val="24"/>
          <w:highlight w:val="none"/>
          <w:lang w:val="en-US" w:eastAsia="zh-CN"/>
        </w:rPr>
        <w:t>1</w:t>
      </w:r>
      <w:r>
        <w:rPr>
          <w:rFonts w:hint="eastAsia" w:eastAsiaTheme="minorEastAsia"/>
          <w:color w:val="auto"/>
          <w:sz w:val="24"/>
          <w:highlight w:val="none"/>
        </w:rPr>
        <w:t>万m</w:t>
      </w:r>
      <w:r>
        <w:rPr>
          <w:rFonts w:hint="eastAsia" w:eastAsiaTheme="minorEastAsia"/>
          <w:color w:val="auto"/>
          <w:sz w:val="24"/>
          <w:highlight w:val="none"/>
          <w:vertAlign w:val="superscript"/>
        </w:rPr>
        <w:t>2</w:t>
      </w:r>
      <w:r>
        <w:rPr>
          <w:rFonts w:hint="eastAsia" w:eastAsiaTheme="minorEastAsia"/>
          <w:color w:val="auto"/>
          <w:sz w:val="24"/>
          <w:highlight w:val="none"/>
        </w:rPr>
        <w:t>/a</w:t>
      </w:r>
      <w:r>
        <w:rPr>
          <w:rFonts w:hint="eastAsia" w:eastAsiaTheme="minorEastAsia"/>
          <w:color w:val="auto"/>
          <w:sz w:val="24"/>
          <w:highlight w:val="none"/>
          <w:lang w:eastAsia="zh-CN"/>
        </w:rPr>
        <w:t>(镀银、锡)。</w:t>
      </w:r>
      <w:r>
        <w:rPr>
          <w:rFonts w:eastAsiaTheme="minorEastAsia"/>
          <w:color w:val="auto"/>
          <w:sz w:val="24"/>
          <w:highlight w:val="none"/>
        </w:rPr>
        <w:t>按照已取得环评批复的项目</w:t>
      </w:r>
      <w:r>
        <w:rPr>
          <w:rFonts w:hint="eastAsia" w:eastAsiaTheme="minorEastAsia"/>
          <w:color w:val="auto"/>
          <w:sz w:val="24"/>
          <w:highlight w:val="none"/>
        </w:rPr>
        <w:t>及</w:t>
      </w:r>
      <w:r>
        <w:rPr>
          <w:rFonts w:hint="eastAsia" w:eastAsiaTheme="minorEastAsia"/>
          <w:color w:val="auto"/>
          <w:sz w:val="24"/>
          <w:highlight w:val="none"/>
          <w:lang w:val="en-US" w:eastAsia="zh-CN"/>
        </w:rPr>
        <w:t>实际</w:t>
      </w:r>
      <w:r>
        <w:rPr>
          <w:rFonts w:eastAsiaTheme="minorEastAsia"/>
          <w:color w:val="auto"/>
          <w:sz w:val="24"/>
          <w:highlight w:val="none"/>
        </w:rPr>
        <w:t>生产情况</w:t>
      </w:r>
      <w:r>
        <w:rPr>
          <w:rFonts w:hint="eastAsia" w:eastAsiaTheme="minorEastAsia"/>
          <w:color w:val="auto"/>
          <w:sz w:val="24"/>
          <w:highlight w:val="none"/>
        </w:rPr>
        <w:t>，</w:t>
      </w:r>
      <w:r>
        <w:rPr>
          <w:rFonts w:hint="eastAsia" w:eastAsiaTheme="minorEastAsia"/>
          <w:color w:val="auto"/>
          <w:sz w:val="24"/>
          <w:highlight w:val="none"/>
          <w:lang w:val="en-US" w:eastAsia="zh-CN"/>
        </w:rPr>
        <w:t>项目产能未变。</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eastAsiaTheme="minorEastAsia"/>
          <w:color w:val="auto"/>
          <w:sz w:val="24"/>
          <w:highlight w:val="none"/>
        </w:rPr>
      </w:pPr>
      <w:r>
        <w:rPr>
          <w:rFonts w:hint="eastAsia" w:eastAsiaTheme="minorEastAsia"/>
          <w:color w:val="auto"/>
          <w:sz w:val="24"/>
          <w:highlight w:val="none"/>
          <w:lang w:val="en-US" w:eastAsia="zh-CN"/>
        </w:rPr>
        <w:t>2002年9月25日，</w:t>
      </w:r>
      <w:r>
        <w:rPr>
          <w:rFonts w:hint="eastAsia" w:eastAsiaTheme="minorEastAsia"/>
          <w:color w:val="auto"/>
          <w:sz w:val="24"/>
          <w:highlight w:val="none"/>
        </w:rPr>
        <w:t>青岛源润宏防腐精饰科技有限公司</w:t>
      </w:r>
      <w:r>
        <w:rPr>
          <w:rFonts w:hint="eastAsia" w:eastAsiaTheme="minorEastAsia"/>
          <w:color w:val="auto"/>
          <w:sz w:val="24"/>
          <w:highlight w:val="none"/>
          <w:lang w:val="en-US" w:eastAsia="zh-CN"/>
        </w:rPr>
        <w:t>电镀项目</w:t>
      </w:r>
      <w:r>
        <w:rPr>
          <w:rFonts w:hint="eastAsia" w:eastAsiaTheme="minorEastAsia"/>
          <w:color w:val="auto"/>
          <w:sz w:val="24"/>
          <w:highlight w:val="none"/>
        </w:rPr>
        <w:t>取得青岛市环境保护局</w:t>
      </w:r>
      <w:r>
        <w:rPr>
          <w:rFonts w:hint="eastAsia" w:eastAsiaTheme="minorEastAsia"/>
          <w:color w:val="auto"/>
          <w:sz w:val="24"/>
          <w:highlight w:val="none"/>
          <w:lang w:eastAsia="zh-CN"/>
        </w:rPr>
        <w:t>黄岛分局</w:t>
      </w:r>
      <w:r>
        <w:rPr>
          <w:rFonts w:hint="eastAsia" w:eastAsiaTheme="minorEastAsia"/>
          <w:color w:val="auto"/>
          <w:sz w:val="24"/>
          <w:highlight w:val="none"/>
        </w:rPr>
        <w:t>关于</w:t>
      </w:r>
      <w:r>
        <w:rPr>
          <w:rFonts w:hint="eastAsia" w:eastAsiaTheme="minorEastAsia"/>
          <w:color w:val="auto"/>
          <w:sz w:val="24"/>
          <w:highlight w:val="none"/>
          <w:lang w:eastAsia="zh-CN"/>
        </w:rPr>
        <w:t>该</w:t>
      </w:r>
      <w:r>
        <w:rPr>
          <w:rFonts w:hint="eastAsia" w:eastAsiaTheme="minorEastAsia"/>
          <w:color w:val="auto"/>
          <w:sz w:val="24"/>
          <w:highlight w:val="none"/>
        </w:rPr>
        <w:t>建设项目环境影响</w:t>
      </w:r>
      <w:r>
        <w:rPr>
          <w:rFonts w:hint="eastAsia" w:eastAsiaTheme="minorEastAsia"/>
          <w:color w:val="auto"/>
          <w:sz w:val="24"/>
          <w:highlight w:val="none"/>
          <w:lang w:eastAsia="zh-CN"/>
        </w:rPr>
        <w:t>登记表</w:t>
      </w:r>
      <w:r>
        <w:rPr>
          <w:rFonts w:hint="eastAsia" w:eastAsiaTheme="minorEastAsia"/>
          <w:color w:val="auto"/>
          <w:sz w:val="24"/>
          <w:highlight w:val="none"/>
        </w:rPr>
        <w:t>的</w:t>
      </w:r>
      <w:r>
        <w:rPr>
          <w:rFonts w:hint="eastAsia" w:eastAsiaTheme="minorEastAsia"/>
          <w:color w:val="auto"/>
          <w:sz w:val="24"/>
          <w:highlight w:val="none"/>
          <w:lang w:eastAsia="zh-CN"/>
        </w:rPr>
        <w:t>审查意见</w:t>
      </w:r>
      <w:r>
        <w:rPr>
          <w:rFonts w:hint="eastAsia" w:eastAsiaTheme="minorEastAsia"/>
          <w:color w:val="auto"/>
          <w:sz w:val="24"/>
          <w:highlight w:val="none"/>
        </w:rPr>
        <w:t>，并于200</w:t>
      </w:r>
      <w:r>
        <w:rPr>
          <w:rFonts w:hint="eastAsia" w:eastAsiaTheme="minorEastAsia"/>
          <w:color w:val="auto"/>
          <w:sz w:val="24"/>
          <w:highlight w:val="none"/>
          <w:lang w:val="en-US" w:eastAsia="zh-CN"/>
        </w:rPr>
        <w:t>8</w:t>
      </w:r>
      <w:r>
        <w:rPr>
          <w:rFonts w:hint="eastAsia" w:eastAsiaTheme="minorEastAsia"/>
          <w:color w:val="auto"/>
          <w:sz w:val="24"/>
          <w:highlight w:val="none"/>
        </w:rPr>
        <w:t>年</w:t>
      </w:r>
      <w:r>
        <w:rPr>
          <w:rFonts w:hint="eastAsia" w:eastAsiaTheme="minorEastAsia"/>
          <w:color w:val="auto"/>
          <w:sz w:val="24"/>
          <w:highlight w:val="none"/>
          <w:lang w:val="en-US" w:eastAsia="zh-CN"/>
        </w:rPr>
        <w:t>5</w:t>
      </w:r>
      <w:r>
        <w:rPr>
          <w:rFonts w:hint="eastAsia" w:eastAsiaTheme="minorEastAsia"/>
          <w:color w:val="auto"/>
          <w:sz w:val="24"/>
          <w:highlight w:val="none"/>
        </w:rPr>
        <w:t>月</w:t>
      </w:r>
      <w:r>
        <w:rPr>
          <w:rFonts w:hint="eastAsia" w:eastAsiaTheme="minorEastAsia"/>
          <w:color w:val="auto"/>
          <w:sz w:val="24"/>
          <w:highlight w:val="none"/>
          <w:lang w:eastAsia="zh-CN"/>
        </w:rPr>
        <w:t>取得</w:t>
      </w:r>
      <w:r>
        <w:rPr>
          <w:rFonts w:hint="eastAsia" w:eastAsiaTheme="minorEastAsia"/>
          <w:color w:val="auto"/>
          <w:sz w:val="24"/>
          <w:highlight w:val="none"/>
        </w:rPr>
        <w:t>由青岛市环境保护局</w:t>
      </w:r>
      <w:r>
        <w:rPr>
          <w:rFonts w:hint="eastAsia" w:eastAsiaTheme="minorEastAsia"/>
          <w:color w:val="auto"/>
          <w:sz w:val="24"/>
          <w:highlight w:val="none"/>
          <w:lang w:eastAsia="zh-CN"/>
        </w:rPr>
        <w:t>黄岛分局</w:t>
      </w:r>
      <w:r>
        <w:rPr>
          <w:rFonts w:hint="eastAsia" w:eastAsiaTheme="minorEastAsia"/>
          <w:color w:val="auto"/>
          <w:sz w:val="24"/>
          <w:highlight w:val="none"/>
        </w:rPr>
        <w:t>进行</w:t>
      </w:r>
      <w:r>
        <w:rPr>
          <w:rFonts w:hint="eastAsia" w:eastAsiaTheme="minorEastAsia"/>
          <w:color w:val="auto"/>
          <w:sz w:val="24"/>
          <w:highlight w:val="none"/>
          <w:lang w:eastAsia="zh-CN"/>
        </w:rPr>
        <w:t>的建设项目竣工环境保护</w:t>
      </w:r>
      <w:r>
        <w:rPr>
          <w:rFonts w:hint="eastAsia" w:eastAsiaTheme="minorEastAsia"/>
          <w:color w:val="auto"/>
          <w:sz w:val="24"/>
          <w:highlight w:val="none"/>
        </w:rPr>
        <w:t>验收</w:t>
      </w:r>
      <w:r>
        <w:rPr>
          <w:rFonts w:hint="eastAsia" w:eastAsiaTheme="minorEastAsia"/>
          <w:color w:val="auto"/>
          <w:sz w:val="24"/>
          <w:highlight w:val="none"/>
          <w:lang w:eastAsia="zh-CN"/>
        </w:rPr>
        <w:t>报告</w:t>
      </w:r>
      <w:r>
        <w:rPr>
          <w:rFonts w:hint="eastAsia" w:eastAsiaTheme="minorEastAsia"/>
          <w:color w:val="auto"/>
          <w:sz w:val="24"/>
          <w:highlight w:val="none"/>
        </w:rPr>
        <w:t>(青环验200</w:t>
      </w:r>
      <w:r>
        <w:rPr>
          <w:rFonts w:hint="eastAsia" w:eastAsiaTheme="minorEastAsia"/>
          <w:color w:val="auto"/>
          <w:sz w:val="24"/>
          <w:highlight w:val="none"/>
          <w:lang w:val="en-US" w:eastAsia="zh-CN"/>
        </w:rPr>
        <w:t>8</w:t>
      </w:r>
      <w:r>
        <w:rPr>
          <w:rFonts w:hint="eastAsia" w:eastAsiaTheme="minorEastAsia"/>
          <w:color w:val="auto"/>
          <w:sz w:val="24"/>
          <w:highlight w:val="none"/>
        </w:rPr>
        <w:t>-</w:t>
      </w:r>
      <w:r>
        <w:rPr>
          <w:rFonts w:hint="eastAsia" w:eastAsiaTheme="minorEastAsia"/>
          <w:color w:val="auto"/>
          <w:sz w:val="24"/>
          <w:highlight w:val="none"/>
          <w:lang w:val="en-US" w:eastAsia="zh-CN"/>
        </w:rPr>
        <w:t>108</w:t>
      </w:r>
      <w:r>
        <w:rPr>
          <w:rFonts w:hint="eastAsia" w:eastAsiaTheme="minorEastAsia"/>
          <w:color w:val="auto"/>
          <w:sz w:val="24"/>
          <w:highlight w:val="none"/>
        </w:rPr>
        <w:t>)。</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Ansi="宋体"/>
          <w:color w:val="auto"/>
          <w:sz w:val="24"/>
          <w:highlight w:val="none"/>
        </w:rPr>
      </w:pPr>
      <w:r>
        <w:rPr>
          <w:rFonts w:hint="eastAsia"/>
          <w:color w:val="auto"/>
          <w:sz w:val="24"/>
          <w:highlight w:val="none"/>
        </w:rPr>
        <w:t>青岛源润宏防腐精饰科技有限公司</w:t>
      </w:r>
      <w:r>
        <w:rPr>
          <w:rFonts w:hint="eastAsia"/>
          <w:color w:val="auto"/>
          <w:sz w:val="24"/>
          <w:highlight w:val="none"/>
          <w:lang w:eastAsia="zh-CN"/>
        </w:rPr>
        <w:t>原有的项目环评登记表编制时，原辅材料、生产设备、产品叙述不清楚，污染源强核算和防治措施</w:t>
      </w:r>
      <w:r>
        <w:rPr>
          <w:rFonts w:hint="eastAsia"/>
          <w:color w:val="auto"/>
          <w:sz w:val="24"/>
          <w:highlight w:val="none"/>
          <w:lang w:val="en-US" w:eastAsia="zh-CN"/>
        </w:rPr>
        <w:t>未进行</w:t>
      </w:r>
      <w:r>
        <w:rPr>
          <w:rFonts w:hint="eastAsia"/>
          <w:color w:val="auto"/>
          <w:sz w:val="24"/>
          <w:highlight w:val="none"/>
          <w:lang w:eastAsia="zh-CN"/>
        </w:rPr>
        <w:t>编制</w:t>
      </w:r>
      <w:r>
        <w:rPr>
          <w:rFonts w:hint="eastAsia"/>
          <w:color w:val="auto"/>
          <w:sz w:val="24"/>
          <w:highlight w:val="none"/>
        </w:rPr>
        <w:t>。</w:t>
      </w:r>
      <w:r>
        <w:rPr>
          <w:rFonts w:hint="eastAsia"/>
          <w:color w:val="auto"/>
          <w:sz w:val="24"/>
          <w:highlight w:val="none"/>
          <w:lang w:eastAsia="zh-CN"/>
        </w:rPr>
        <w:t>为配合环保主管部门管理，方便企业执行排污许可制度，</w:t>
      </w:r>
      <w:r>
        <w:rPr>
          <w:rFonts w:hint="eastAsia" w:hAnsi="宋体"/>
          <w:color w:val="auto"/>
          <w:sz w:val="24"/>
          <w:highlight w:val="none"/>
        </w:rPr>
        <w:t>根据《建设项目环境影响后评价管理办法(试行)》，建设单位委托我单位</w:t>
      </w:r>
      <w:r>
        <w:rPr>
          <w:rFonts w:hint="eastAsia"/>
          <w:color w:val="auto"/>
          <w:sz w:val="24"/>
          <w:highlight w:val="none"/>
        </w:rPr>
        <w:t>承担该项目的环境影响后评价工作。</w:t>
      </w:r>
    </w:p>
    <w:p>
      <w:pPr>
        <w:pStyle w:val="6"/>
        <w:pageBreakBefore w:val="0"/>
        <w:widowControl w:val="0"/>
        <w:numPr>
          <w:ilvl w:val="1"/>
          <w:numId w:val="0"/>
        </w:numPr>
        <w:kinsoku/>
        <w:wordWrap/>
        <w:overflowPunct/>
        <w:topLinePunct w:val="0"/>
        <w:autoSpaceDE/>
        <w:autoSpaceDN/>
        <w:bidi w:val="0"/>
        <w:adjustRightInd w:val="0"/>
        <w:snapToGrid w:val="0"/>
        <w:spacing w:before="0" w:after="0" w:line="360" w:lineRule="auto"/>
        <w:jc w:val="left"/>
        <w:textAlignment w:val="auto"/>
        <w:rPr>
          <w:b w:val="0"/>
          <w:color w:val="auto"/>
          <w:sz w:val="24"/>
          <w:szCs w:val="24"/>
          <w:highlight w:val="none"/>
        </w:rPr>
      </w:pPr>
      <w:bookmarkStart w:id="302" w:name="_Toc519063328"/>
      <w:bookmarkStart w:id="303" w:name="_Toc530655631"/>
      <w:bookmarkStart w:id="304" w:name="_Toc15804"/>
      <w:r>
        <w:rPr>
          <w:rFonts w:hint="eastAsia"/>
          <w:b w:val="0"/>
          <w:color w:val="auto"/>
          <w:sz w:val="24"/>
          <w:szCs w:val="24"/>
          <w:highlight w:val="none"/>
          <w:lang w:val="en-US" w:eastAsia="zh-CN"/>
        </w:rPr>
        <w:t xml:space="preserve">7.2 </w:t>
      </w:r>
      <w:r>
        <w:rPr>
          <w:rFonts w:hint="eastAsia"/>
          <w:b w:val="0"/>
          <w:color w:val="auto"/>
          <w:sz w:val="24"/>
          <w:szCs w:val="24"/>
          <w:highlight w:val="none"/>
        </w:rPr>
        <w:t>项目工程评价</w:t>
      </w:r>
      <w:bookmarkEnd w:id="302"/>
      <w:bookmarkEnd w:id="303"/>
      <w:bookmarkEnd w:id="304"/>
    </w:p>
    <w:p>
      <w:pPr>
        <w:pStyle w:val="87"/>
        <w:pageBreakBefore w:val="0"/>
        <w:widowControl w:val="0"/>
        <w:kinsoku/>
        <w:wordWrap/>
        <w:overflowPunct/>
        <w:topLinePunct w:val="0"/>
        <w:autoSpaceDE/>
        <w:autoSpaceDN/>
        <w:bidi w:val="0"/>
        <w:adjustRightInd w:val="0"/>
        <w:snapToGrid w:val="0"/>
        <w:spacing w:beforeLines="0" w:afterLines="0"/>
        <w:ind w:firstLine="0" w:firstLineChars="0"/>
        <w:textAlignment w:val="auto"/>
        <w:outlineLvl w:val="2"/>
        <w:rPr>
          <w:rFonts w:eastAsia="黑体"/>
          <w:color w:val="auto"/>
          <w:highlight w:val="none"/>
        </w:rPr>
      </w:pPr>
      <w:r>
        <w:rPr>
          <w:rFonts w:eastAsia="黑体"/>
          <w:color w:val="auto"/>
          <w:highlight w:val="none"/>
        </w:rPr>
        <w:t>7.2.1</w:t>
      </w:r>
      <w:r>
        <w:rPr>
          <w:rFonts w:hAnsi="黑体" w:eastAsia="黑体"/>
          <w:color w:val="auto"/>
          <w:highlight w:val="none"/>
        </w:rPr>
        <w:t>废气</w:t>
      </w:r>
    </w:p>
    <w:p>
      <w:pPr>
        <w:pStyle w:val="87"/>
        <w:pageBreakBefore w:val="0"/>
        <w:widowControl w:val="0"/>
        <w:kinsoku/>
        <w:wordWrap/>
        <w:overflowPunct/>
        <w:topLinePunct w:val="0"/>
        <w:autoSpaceDE/>
        <w:autoSpaceDN/>
        <w:bidi w:val="0"/>
        <w:adjustRightInd w:val="0"/>
        <w:snapToGrid w:val="0"/>
        <w:spacing w:beforeLines="0" w:afterLines="0"/>
        <w:textAlignment w:val="auto"/>
        <w:rPr>
          <w:color w:val="auto"/>
          <w:highlight w:val="none"/>
        </w:rPr>
      </w:pPr>
      <w:r>
        <w:rPr>
          <w:rFonts w:hint="eastAsia"/>
          <w:color w:val="auto"/>
          <w:highlight w:val="none"/>
        </w:rPr>
        <w:t>1、有组织废气</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highlight w:val="none"/>
          <w:lang w:eastAsia="zh-CN"/>
        </w:rPr>
      </w:pPr>
      <w:r>
        <w:rPr>
          <w:rFonts w:hint="eastAsia"/>
          <w:color w:val="auto"/>
          <w:sz w:val="24"/>
          <w:highlight w:val="none"/>
        </w:rPr>
        <w:t>工艺废气主要为酸洗、活化去油、镀酸铜、粗化、敏化、抛光、镀锡</w:t>
      </w:r>
      <w:r>
        <w:rPr>
          <w:rFonts w:hint="eastAsia"/>
          <w:color w:val="auto"/>
          <w:sz w:val="24"/>
          <w:highlight w:val="none"/>
          <w:lang w:eastAsia="zh-CN"/>
        </w:rPr>
        <w:t>、</w:t>
      </w:r>
      <w:r>
        <w:rPr>
          <w:rFonts w:hint="eastAsia"/>
          <w:color w:val="auto"/>
          <w:sz w:val="24"/>
          <w:highlight w:val="none"/>
          <w:lang w:val="en-US" w:eastAsia="zh-CN"/>
        </w:rPr>
        <w:t>镀铬、镀银</w:t>
      </w:r>
      <w:r>
        <w:rPr>
          <w:rFonts w:hint="eastAsia"/>
          <w:color w:val="auto"/>
          <w:sz w:val="24"/>
          <w:highlight w:val="none"/>
        </w:rPr>
        <w:t>工序产生的废气</w:t>
      </w:r>
      <w:r>
        <w:rPr>
          <w:rFonts w:hint="eastAsia"/>
          <w:color w:val="auto"/>
          <w:sz w:val="24"/>
          <w:highlight w:val="none"/>
          <w:lang w:val="en-US" w:eastAsia="zh-CN"/>
        </w:rPr>
        <w:t>及4#车间1台锅炉废气</w:t>
      </w:r>
      <w:r>
        <w:rPr>
          <w:rFonts w:hint="eastAsia"/>
          <w:color w:val="auto"/>
          <w:sz w:val="24"/>
          <w:highlight w:val="none"/>
          <w:lang w:eastAsia="zh-CN"/>
        </w:rPr>
        <w:t>。</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highlight w:val="none"/>
        </w:rPr>
      </w:pPr>
      <w:r>
        <w:rPr>
          <w:rFonts w:hint="eastAsia"/>
          <w:color w:val="auto"/>
          <w:sz w:val="24"/>
          <w:highlight w:val="none"/>
        </w:rPr>
        <w:t>1#车间酸洗、抛光废气(硫酸雾、氮氧化物、氯化氢、甲基磺酸雾)</w:t>
      </w:r>
      <w:r>
        <w:rPr>
          <w:rFonts w:hint="eastAsia"/>
          <w:color w:val="auto"/>
          <w:sz w:val="24"/>
          <w:highlight w:val="none"/>
          <w:lang w:val="en-US" w:eastAsia="zh-CN"/>
        </w:rPr>
        <w:t>经</w:t>
      </w:r>
      <w:r>
        <w:rPr>
          <w:rFonts w:hint="eastAsia"/>
          <w:color w:val="auto"/>
          <w:sz w:val="24"/>
          <w:highlight w:val="none"/>
        </w:rPr>
        <w:t>集气罩、侧吸孔收集通过酸雾净化塔处理后经过1根18m高排气筒P1排放</w:t>
      </w:r>
      <w:r>
        <w:rPr>
          <w:rFonts w:hint="eastAsia"/>
          <w:color w:val="auto"/>
          <w:sz w:val="24"/>
          <w:highlight w:val="none"/>
          <w:lang w:eastAsia="zh-CN"/>
        </w:rPr>
        <w:t>；</w:t>
      </w:r>
      <w:r>
        <w:rPr>
          <w:rFonts w:hint="eastAsia"/>
          <w:color w:val="auto"/>
          <w:sz w:val="24"/>
          <w:highlight w:val="none"/>
          <w:lang w:val="en-US" w:eastAsia="zh-CN"/>
        </w:rPr>
        <w:t>2</w:t>
      </w:r>
      <w:r>
        <w:rPr>
          <w:rFonts w:hint="eastAsia"/>
          <w:color w:val="auto"/>
          <w:sz w:val="24"/>
          <w:highlight w:val="none"/>
          <w:lang w:eastAsia="zh-CN"/>
        </w:rPr>
        <w:t>#车间酸洗废气(氯化氢、少量碱雾)经集气罩、侧吸孔收集通过酸雾净化塔处理后经过1根18m高排气筒P2排放；</w:t>
      </w:r>
      <w:r>
        <w:rPr>
          <w:rFonts w:hint="eastAsia"/>
          <w:color w:val="auto"/>
          <w:sz w:val="24"/>
          <w:highlight w:val="none"/>
          <w:lang w:val="en-US" w:eastAsia="zh-CN"/>
        </w:rPr>
        <w:t>3</w:t>
      </w:r>
      <w:r>
        <w:rPr>
          <w:rFonts w:hint="eastAsia"/>
          <w:color w:val="auto"/>
          <w:sz w:val="24"/>
          <w:highlight w:val="none"/>
          <w:lang w:eastAsia="zh-CN"/>
        </w:rPr>
        <w:t>#车间酸洗、镀铜、镀铬废气(氯化氢、硫酸雾、铬酸雾)经集气罩、侧吸孔收集通过铬酸雾废气净化塔处理后经过1根18m高排气筒P3排放；</w:t>
      </w:r>
      <w:r>
        <w:rPr>
          <w:rFonts w:hint="eastAsia"/>
          <w:color w:val="auto"/>
          <w:sz w:val="24"/>
          <w:highlight w:val="none"/>
          <w:lang w:val="en-US" w:eastAsia="zh-CN"/>
        </w:rPr>
        <w:t>4</w:t>
      </w:r>
      <w:r>
        <w:rPr>
          <w:rFonts w:hint="eastAsia"/>
          <w:color w:val="auto"/>
          <w:sz w:val="24"/>
          <w:highlight w:val="none"/>
          <w:lang w:eastAsia="zh-CN"/>
        </w:rPr>
        <w:t>#车间酸洗、电解废气(氯化氢、硫酸雾)经集气罩、侧吸孔收集通过酸雾净化塔处理后经过1根25m高排气筒P4-2排放；</w:t>
      </w:r>
      <w:r>
        <w:rPr>
          <w:rFonts w:hint="eastAsia"/>
          <w:color w:val="auto"/>
          <w:sz w:val="24"/>
          <w:highlight w:val="none"/>
          <w:lang w:val="en-US" w:eastAsia="zh-CN"/>
        </w:rPr>
        <w:t>5</w:t>
      </w:r>
      <w:r>
        <w:rPr>
          <w:rFonts w:hint="eastAsia"/>
          <w:color w:val="auto"/>
          <w:sz w:val="24"/>
          <w:highlight w:val="none"/>
          <w:lang w:eastAsia="zh-CN"/>
        </w:rPr>
        <w:t>#车间镀银、粗化、敏化废气(铬酸雾、氯化氢、氨)经集气罩、侧吸孔收集通过铬酸雾废气净化器+二级喷淋处理后经过1根25m高排气筒P5排放；</w:t>
      </w:r>
      <w:r>
        <w:rPr>
          <w:rFonts w:hint="eastAsia"/>
          <w:color w:val="auto"/>
          <w:sz w:val="24"/>
          <w:highlight w:val="none"/>
          <w:lang w:val="en-US" w:eastAsia="zh-CN"/>
        </w:rPr>
        <w:t>6</w:t>
      </w:r>
      <w:r>
        <w:rPr>
          <w:rFonts w:hint="eastAsia"/>
          <w:color w:val="auto"/>
          <w:sz w:val="24"/>
          <w:highlight w:val="none"/>
          <w:lang w:eastAsia="zh-CN"/>
        </w:rPr>
        <w:t>#车间酸洗废气(氯化氢、少量碱雾)经集气罩、侧吸孔收集通过酸雾净化塔处理后经过1根25m高排气筒P6排放</w:t>
      </w:r>
      <w:r>
        <w:rPr>
          <w:rFonts w:hint="eastAsia"/>
          <w:color w:val="auto"/>
          <w:sz w:val="24"/>
          <w:highlight w:val="none"/>
        </w:rPr>
        <w:t>。</w:t>
      </w:r>
      <w:r>
        <w:rPr>
          <w:rFonts w:hint="default" w:ascii="Times New Roman" w:hAnsi="Times New Roman" w:cs="Times New Roman"/>
          <w:color w:val="auto"/>
          <w:sz w:val="24"/>
          <w:highlight w:val="none"/>
        </w:rPr>
        <w:t>硫酸雾、氯化氢</w:t>
      </w:r>
      <w:r>
        <w:rPr>
          <w:rFonts w:hint="eastAsia" w:ascii="Times New Roman" w:hAnsi="Times New Roman" w:cs="Times New Roman"/>
          <w:color w:val="auto"/>
          <w:sz w:val="24"/>
          <w:highlight w:val="none"/>
          <w:lang w:val="en-US" w:eastAsia="zh-CN"/>
        </w:rPr>
        <w:t>和铬酸</w:t>
      </w:r>
      <w:r>
        <w:rPr>
          <w:rFonts w:hint="default" w:ascii="Times New Roman" w:hAnsi="Times New Roman" w:cs="Times New Roman"/>
          <w:color w:val="auto"/>
          <w:sz w:val="24"/>
          <w:highlight w:val="none"/>
          <w:lang w:val="en-US" w:eastAsia="zh-CN"/>
        </w:rPr>
        <w:t>雾</w:t>
      </w:r>
      <w:r>
        <w:rPr>
          <w:color w:val="auto"/>
          <w:sz w:val="24"/>
          <w:highlight w:val="none"/>
        </w:rPr>
        <w:t>基准气量排放浓度均满足《电镀污染物排放标准》(GB21900-2008)表5中硫酸雾(30mg/m</w:t>
      </w:r>
      <w:r>
        <w:rPr>
          <w:color w:val="auto"/>
          <w:sz w:val="24"/>
          <w:highlight w:val="none"/>
          <w:vertAlign w:val="superscript"/>
        </w:rPr>
        <w:t>3</w:t>
      </w:r>
      <w:r>
        <w:rPr>
          <w:color w:val="auto"/>
          <w:sz w:val="24"/>
          <w:highlight w:val="none"/>
        </w:rPr>
        <w:t>)、氯化氢(30mg/m</w:t>
      </w:r>
      <w:r>
        <w:rPr>
          <w:color w:val="auto"/>
          <w:sz w:val="24"/>
          <w:highlight w:val="none"/>
          <w:vertAlign w:val="superscript"/>
        </w:rPr>
        <w:t>3</w:t>
      </w:r>
      <w:r>
        <w:rPr>
          <w:color w:val="auto"/>
          <w:sz w:val="24"/>
          <w:highlight w:val="none"/>
        </w:rPr>
        <w:t>)</w:t>
      </w:r>
      <w:r>
        <w:rPr>
          <w:rFonts w:hint="eastAsia"/>
          <w:color w:val="auto"/>
          <w:sz w:val="24"/>
          <w:highlight w:val="none"/>
          <w:lang w:eastAsia="zh-CN"/>
        </w:rPr>
        <w:t>、铬酸雾</w:t>
      </w:r>
      <w:r>
        <w:rPr>
          <w:rFonts w:hint="eastAsia"/>
          <w:color w:val="auto"/>
          <w:sz w:val="24"/>
          <w:highlight w:val="none"/>
          <w:lang w:val="en-US" w:eastAsia="zh-CN"/>
        </w:rPr>
        <w:t>(</w:t>
      </w:r>
      <w:r>
        <w:rPr>
          <w:color w:val="auto"/>
          <w:sz w:val="24"/>
          <w:highlight w:val="none"/>
        </w:rPr>
        <w:t>0.05mg/m</w:t>
      </w:r>
      <w:r>
        <w:rPr>
          <w:color w:val="auto"/>
          <w:sz w:val="24"/>
          <w:highlight w:val="none"/>
          <w:vertAlign w:val="superscript"/>
        </w:rPr>
        <w:t>3</w:t>
      </w:r>
      <w:r>
        <w:rPr>
          <w:color w:val="auto"/>
          <w:sz w:val="24"/>
          <w:highlight w:val="none"/>
        </w:rPr>
        <w:t>)排放限值要求</w:t>
      </w:r>
      <w:r>
        <w:rPr>
          <w:color w:val="auto"/>
          <w:sz w:val="24"/>
          <w:highlight w:val="none"/>
        </w:rPr>
        <w:t>。</w:t>
      </w:r>
      <w:r>
        <w:rPr>
          <w:rFonts w:hint="eastAsia"/>
          <w:color w:val="auto"/>
          <w:sz w:val="24"/>
          <w:szCs w:val="24"/>
          <w:highlight w:val="none"/>
          <w:lang w:val="en-US" w:eastAsia="zh-CN"/>
        </w:rPr>
        <w:t>氮氧化物</w:t>
      </w:r>
      <w:r>
        <w:rPr>
          <w:rFonts w:hint="default" w:ascii="Times New Roman" w:hAnsi="Times New Roman" w:cs="Times New Roman"/>
          <w:color w:val="auto"/>
          <w:sz w:val="24"/>
          <w:highlight w:val="none"/>
        </w:rPr>
        <w:t>排放浓度</w:t>
      </w:r>
      <w:r>
        <w:rPr>
          <w:rFonts w:hint="eastAsia" w:cs="Times New Roman"/>
          <w:color w:val="auto"/>
          <w:sz w:val="24"/>
          <w:highlight w:val="none"/>
          <w:lang w:val="en-US" w:eastAsia="zh-CN"/>
        </w:rPr>
        <w:t>满足</w:t>
      </w:r>
      <w:r>
        <w:rPr>
          <w:rFonts w:hint="default" w:ascii="Times New Roman" w:hAnsi="Times New Roman" w:cs="Times New Roman"/>
          <w:color w:val="auto"/>
          <w:sz w:val="24"/>
          <w:highlight w:val="none"/>
        </w:rPr>
        <w:t>《区域性大气污染物综合排放标准》(DB37/2376-2019)表1中“重点控制区”的排放浓度限值</w:t>
      </w:r>
      <w:r>
        <w:rPr>
          <w:color w:val="auto"/>
          <w:sz w:val="24"/>
          <w:highlight w:val="none"/>
        </w:rPr>
        <w:t>(</w:t>
      </w:r>
      <w:r>
        <w:rPr>
          <w:rFonts w:hint="eastAsia"/>
          <w:color w:val="auto"/>
          <w:sz w:val="24"/>
          <w:highlight w:val="none"/>
          <w:lang w:val="en-US" w:eastAsia="zh-CN"/>
        </w:rPr>
        <w:t>10</w:t>
      </w:r>
      <w:r>
        <w:rPr>
          <w:color w:val="auto"/>
          <w:sz w:val="24"/>
          <w:highlight w:val="none"/>
        </w:rPr>
        <w:t>0mg/m</w:t>
      </w:r>
      <w:r>
        <w:rPr>
          <w:color w:val="auto"/>
          <w:sz w:val="24"/>
          <w:highlight w:val="none"/>
          <w:vertAlign w:val="superscript"/>
        </w:rPr>
        <w:t>3</w:t>
      </w:r>
      <w:r>
        <w:rPr>
          <w:color w:val="auto"/>
          <w:sz w:val="24"/>
          <w:highlight w:val="none"/>
        </w:rPr>
        <w:t>)</w:t>
      </w:r>
      <w:r>
        <w:rPr>
          <w:rFonts w:hint="eastAsia" w:cs="Times New Roman"/>
          <w:color w:val="auto"/>
          <w:sz w:val="24"/>
          <w:highlight w:val="none"/>
          <w:lang w:eastAsia="zh-CN"/>
        </w:rPr>
        <w:t>。</w:t>
      </w:r>
      <w:r>
        <w:rPr>
          <w:color w:val="auto"/>
          <w:sz w:val="24"/>
          <w:highlight w:val="none"/>
        </w:rPr>
        <w:t>项目</w:t>
      </w:r>
      <w:r>
        <w:rPr>
          <w:rFonts w:hint="eastAsia"/>
          <w:color w:val="auto"/>
          <w:sz w:val="24"/>
          <w:highlight w:val="none"/>
        </w:rPr>
        <w:t>甲基磺酸雾</w:t>
      </w:r>
      <w:r>
        <w:rPr>
          <w:color w:val="auto"/>
          <w:sz w:val="24"/>
          <w:highlight w:val="none"/>
        </w:rPr>
        <w:t>基准气量排放浓度满足《电镀污染物排放标准》(GB21900-2008)表5中排放限值要求</w:t>
      </w:r>
      <w:r>
        <w:rPr>
          <w:rFonts w:hint="eastAsia"/>
          <w:color w:val="auto"/>
          <w:sz w:val="24"/>
          <w:highlight w:val="none"/>
          <w:lang w:val="en-US" w:eastAsia="zh-CN"/>
        </w:rPr>
        <w:t>(参照硫酸雾</w:t>
      </w:r>
      <w:r>
        <w:rPr>
          <w:color w:val="auto"/>
          <w:sz w:val="24"/>
          <w:highlight w:val="none"/>
        </w:rPr>
        <w:t>(30mg/m</w:t>
      </w:r>
      <w:r>
        <w:rPr>
          <w:color w:val="auto"/>
          <w:sz w:val="24"/>
          <w:highlight w:val="none"/>
          <w:vertAlign w:val="superscript"/>
        </w:rPr>
        <w:t>3</w:t>
      </w:r>
      <w:r>
        <w:rPr>
          <w:color w:val="auto"/>
          <w:sz w:val="24"/>
          <w:highlight w:val="none"/>
        </w:rPr>
        <w:t>)</w:t>
      </w:r>
      <w:r>
        <w:rPr>
          <w:rFonts w:hint="eastAsia"/>
          <w:color w:val="auto"/>
          <w:sz w:val="24"/>
          <w:highlight w:val="none"/>
          <w:lang w:val="en-US" w:eastAsia="zh-CN"/>
        </w:rPr>
        <w:t>)</w:t>
      </w:r>
      <w:r>
        <w:rPr>
          <w:rFonts w:hint="eastAsia"/>
          <w:color w:val="auto"/>
          <w:sz w:val="24"/>
          <w:highlight w:val="none"/>
        </w:rPr>
        <w:t>。</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highlight w:val="none"/>
        </w:rPr>
      </w:pPr>
      <w:r>
        <w:rPr>
          <w:rFonts w:hint="eastAsia"/>
          <w:color w:val="auto"/>
          <w:sz w:val="24"/>
          <w:highlight w:val="none"/>
        </w:rPr>
        <w:t>4#车间天然气锅炉废气经收集后经过1根15m高排气筒P4-1排放</w:t>
      </w:r>
      <w:r>
        <w:rPr>
          <w:rFonts w:hint="eastAsia"/>
          <w:color w:val="auto"/>
          <w:sz w:val="24"/>
          <w:highlight w:val="none"/>
          <w:lang w:eastAsia="zh-CN"/>
        </w:rPr>
        <w:t>，</w:t>
      </w:r>
      <w:r>
        <w:rPr>
          <w:rFonts w:hint="eastAsia"/>
          <w:color w:val="auto"/>
          <w:sz w:val="24"/>
          <w:highlight w:val="none"/>
        </w:rPr>
        <w:t>烟尘、二氧化硫、氮氧化物的排放浓度均满足</w:t>
      </w:r>
      <w:r>
        <w:rPr>
          <w:rFonts w:hint="default" w:ascii="Times New Roman" w:hAnsi="Times New Roman" w:cs="Times New Roman"/>
          <w:color w:val="auto"/>
          <w:sz w:val="24"/>
          <w:highlight w:val="none"/>
        </w:rPr>
        <w:t>《山东省锅炉大气污染物排放标准》</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DB37/2374-2018</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表2“重点控制区”浓度限值</w:t>
      </w:r>
      <w:r>
        <w:rPr>
          <w:rFonts w:hint="eastAsia" w:cs="Times New Roman"/>
          <w:color w:val="auto"/>
          <w:sz w:val="24"/>
          <w:highlight w:val="none"/>
          <w:lang w:val="en-US" w:eastAsia="zh-CN"/>
        </w:rPr>
        <w:t>要求</w:t>
      </w:r>
      <w:r>
        <w:rPr>
          <w:rFonts w:hint="eastAsia"/>
          <w:color w:val="auto"/>
          <w:sz w:val="24"/>
          <w:highlight w:val="none"/>
          <w:lang w:eastAsia="zh-CN"/>
        </w:rPr>
        <w:t>。</w:t>
      </w:r>
    </w:p>
    <w:p>
      <w:pPr>
        <w:pStyle w:val="87"/>
        <w:pageBreakBefore w:val="0"/>
        <w:widowControl w:val="0"/>
        <w:kinsoku/>
        <w:wordWrap/>
        <w:overflowPunct/>
        <w:topLinePunct w:val="0"/>
        <w:autoSpaceDE/>
        <w:autoSpaceDN/>
        <w:bidi w:val="0"/>
        <w:adjustRightInd w:val="0"/>
        <w:snapToGrid w:val="0"/>
        <w:spacing w:beforeLines="0" w:afterLines="0"/>
        <w:textAlignment w:val="auto"/>
        <w:rPr>
          <w:color w:val="auto"/>
          <w:highlight w:val="none"/>
        </w:rPr>
      </w:pPr>
      <w:r>
        <w:rPr>
          <w:color w:val="auto"/>
          <w:highlight w:val="none"/>
        </w:rPr>
        <w:t>2</w:t>
      </w:r>
      <w:r>
        <w:rPr>
          <w:rFonts w:hint="eastAsia"/>
          <w:color w:val="auto"/>
          <w:highlight w:val="none"/>
        </w:rPr>
        <w:t>、无组织废气</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项目</w:t>
      </w:r>
      <w:r>
        <w:rPr>
          <w:rFonts w:hint="eastAsia"/>
          <w:color w:val="auto"/>
          <w:sz w:val="24"/>
          <w:highlight w:val="none"/>
        </w:rPr>
        <w:t>硫酸雾、氮氧化物、铬酸雾、氯化氢厂界浓度满足</w:t>
      </w:r>
      <w:r>
        <w:rPr>
          <w:color w:val="auto"/>
          <w:sz w:val="24"/>
          <w:highlight w:val="none"/>
        </w:rPr>
        <w:t>《大气污染物综合排放标准》(GB16297-1996)表2中</w:t>
      </w:r>
      <w:r>
        <w:rPr>
          <w:rFonts w:hint="eastAsia"/>
          <w:color w:val="auto"/>
          <w:sz w:val="24"/>
          <w:highlight w:val="none"/>
        </w:rPr>
        <w:t>无组织监控浓度限值</w:t>
      </w:r>
      <w:r>
        <w:rPr>
          <w:color w:val="auto"/>
          <w:sz w:val="24"/>
          <w:highlight w:val="none"/>
        </w:rPr>
        <w:t>。</w:t>
      </w:r>
      <w:r>
        <w:rPr>
          <w:rFonts w:hint="eastAsia"/>
          <w:color w:val="auto"/>
          <w:sz w:val="24"/>
          <w:highlight w:val="none"/>
          <w:lang w:eastAsia="zh-CN"/>
        </w:rPr>
        <w:t>氨</w:t>
      </w:r>
      <w:r>
        <w:rPr>
          <w:rFonts w:hint="eastAsia"/>
          <w:color w:val="auto"/>
          <w:sz w:val="24"/>
          <w:highlight w:val="none"/>
        </w:rPr>
        <w:t>厂界浓度满足</w:t>
      </w:r>
      <w:r>
        <w:rPr>
          <w:rFonts w:hint="eastAsia"/>
          <w:color w:val="auto"/>
          <w:sz w:val="24"/>
          <w:highlight w:val="none"/>
        </w:rPr>
        <w:t>《恶臭污染物排放标准》(GB14554-93)表1厂界二级</w:t>
      </w:r>
      <w:r>
        <w:rPr>
          <w:rFonts w:hint="eastAsia"/>
          <w:color w:val="auto"/>
          <w:sz w:val="24"/>
          <w:highlight w:val="none"/>
          <w:lang w:val="en-US" w:eastAsia="zh-CN"/>
        </w:rPr>
        <w:t>标准</w:t>
      </w:r>
      <w:r>
        <w:rPr>
          <w:rFonts w:hint="eastAsia"/>
          <w:color w:val="auto"/>
          <w:sz w:val="24"/>
          <w:highlight w:val="none"/>
        </w:rPr>
        <w:t>限值</w:t>
      </w:r>
      <w:r>
        <w:rPr>
          <w:rFonts w:hint="eastAsia"/>
          <w:color w:val="auto"/>
          <w:sz w:val="24"/>
          <w:highlight w:val="none"/>
          <w:lang w:eastAsia="zh-CN"/>
        </w:rPr>
        <w:t>。</w:t>
      </w:r>
    </w:p>
    <w:p>
      <w:pPr>
        <w:pStyle w:val="87"/>
        <w:pageBreakBefore w:val="0"/>
        <w:widowControl w:val="0"/>
        <w:kinsoku/>
        <w:wordWrap/>
        <w:overflowPunct/>
        <w:topLinePunct w:val="0"/>
        <w:autoSpaceDE/>
        <w:autoSpaceDN/>
        <w:bidi w:val="0"/>
        <w:adjustRightInd w:val="0"/>
        <w:snapToGrid w:val="0"/>
        <w:spacing w:beforeLines="0" w:afterLines="0"/>
        <w:ind w:firstLine="0" w:firstLineChars="0"/>
        <w:textAlignment w:val="auto"/>
        <w:outlineLvl w:val="2"/>
        <w:rPr>
          <w:rFonts w:eastAsia="黑体"/>
          <w:color w:val="auto"/>
          <w:highlight w:val="none"/>
        </w:rPr>
      </w:pPr>
      <w:r>
        <w:rPr>
          <w:rFonts w:hint="eastAsia" w:eastAsia="黑体"/>
          <w:color w:val="auto"/>
          <w:highlight w:val="none"/>
        </w:rPr>
        <w:t>7</w:t>
      </w:r>
      <w:r>
        <w:rPr>
          <w:rFonts w:eastAsia="黑体"/>
          <w:color w:val="auto"/>
          <w:highlight w:val="none"/>
        </w:rPr>
        <w:t>.2.2</w:t>
      </w:r>
      <w:r>
        <w:rPr>
          <w:rFonts w:hint="eastAsia" w:eastAsia="黑体"/>
          <w:color w:val="auto"/>
          <w:highlight w:val="none"/>
        </w:rPr>
        <w:t>废水</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lang w:val="en-US" w:eastAsia="zh-CN"/>
        </w:rPr>
        <w:t>项目废水</w:t>
      </w:r>
      <w:r>
        <w:rPr>
          <w:rFonts w:hint="eastAsia"/>
          <w:color w:val="auto"/>
          <w:sz w:val="24"/>
          <w:highlight w:val="none"/>
        </w:rPr>
        <w:t>主要为生产废水和生活污水。生产废水包括综合废</w:t>
      </w:r>
      <w:r>
        <w:rPr>
          <w:rFonts w:hint="eastAsia"/>
          <w:color w:val="auto"/>
          <w:sz w:val="24"/>
          <w:highlight w:val="none"/>
        </w:rPr>
        <w:t>水</w:t>
      </w:r>
      <w:r>
        <w:rPr>
          <w:rFonts w:hint="eastAsia"/>
          <w:color w:val="auto"/>
          <w:sz w:val="24"/>
          <w:highlight w:val="none"/>
          <w:lang w:val="en-US" w:eastAsia="zh-CN"/>
        </w:rPr>
        <w:t>9573</w:t>
      </w:r>
      <w:r>
        <w:rPr>
          <w:rFonts w:hint="eastAsia"/>
          <w:color w:val="auto"/>
          <w:sz w:val="24"/>
          <w:highlight w:val="none"/>
        </w:rPr>
        <w:t>t/a、含</w:t>
      </w:r>
      <w:r>
        <w:rPr>
          <w:rFonts w:hint="eastAsia"/>
          <w:color w:val="auto"/>
          <w:sz w:val="24"/>
          <w:highlight w:val="none"/>
        </w:rPr>
        <w:t>铬废水</w:t>
      </w:r>
      <w:r>
        <w:rPr>
          <w:rFonts w:hint="eastAsia"/>
          <w:color w:val="auto"/>
          <w:sz w:val="24"/>
          <w:highlight w:val="none"/>
          <w:lang w:val="en-US" w:eastAsia="zh-CN"/>
        </w:rPr>
        <w:t>1564</w:t>
      </w:r>
      <w:r>
        <w:rPr>
          <w:rFonts w:hint="eastAsia"/>
          <w:color w:val="auto"/>
          <w:sz w:val="24"/>
          <w:highlight w:val="none"/>
        </w:rPr>
        <w:t>t/a</w:t>
      </w:r>
      <w:r>
        <w:rPr>
          <w:rFonts w:hint="eastAsia"/>
          <w:color w:val="auto"/>
          <w:sz w:val="24"/>
          <w:highlight w:val="none"/>
          <w:lang w:eastAsia="zh-CN"/>
        </w:rPr>
        <w:t>、</w:t>
      </w:r>
      <w:r>
        <w:rPr>
          <w:rFonts w:hint="eastAsia"/>
          <w:color w:val="auto"/>
          <w:sz w:val="24"/>
          <w:highlight w:val="none"/>
          <w:lang w:val="en-US" w:eastAsia="zh-CN"/>
        </w:rPr>
        <w:t>含镍废水257</w:t>
      </w:r>
      <w:r>
        <w:rPr>
          <w:rFonts w:hint="eastAsia"/>
          <w:color w:val="auto"/>
          <w:sz w:val="24"/>
          <w:highlight w:val="none"/>
        </w:rPr>
        <w:t>t/a</w:t>
      </w:r>
      <w:r>
        <w:rPr>
          <w:rFonts w:hint="eastAsia"/>
          <w:color w:val="auto"/>
          <w:sz w:val="24"/>
          <w:highlight w:val="none"/>
          <w:lang w:eastAsia="zh-CN"/>
        </w:rPr>
        <w:t>、</w:t>
      </w:r>
      <w:r>
        <w:rPr>
          <w:rFonts w:hint="eastAsia"/>
          <w:color w:val="auto"/>
          <w:sz w:val="24"/>
          <w:highlight w:val="none"/>
          <w:lang w:val="en-US" w:eastAsia="zh-CN"/>
        </w:rPr>
        <w:t>其他废物42t/a</w:t>
      </w:r>
      <w:r>
        <w:rPr>
          <w:rFonts w:hint="eastAsia"/>
          <w:color w:val="auto"/>
          <w:sz w:val="24"/>
          <w:highlight w:val="none"/>
        </w:rPr>
        <w:t>，分别经各自专用管道排入园区污水处理站处理。监测结果表明，</w:t>
      </w:r>
      <w:r>
        <w:rPr>
          <w:color w:val="auto"/>
          <w:sz w:val="24"/>
          <w:highlight w:val="none"/>
        </w:rPr>
        <w:t>本项目依托</w:t>
      </w:r>
      <w:r>
        <w:rPr>
          <w:rFonts w:hint="eastAsia"/>
          <w:color w:val="auto"/>
          <w:sz w:val="24"/>
          <w:highlight w:val="none"/>
          <w:lang w:val="en-US" w:eastAsia="zh-CN"/>
        </w:rPr>
        <w:t>园区</w:t>
      </w:r>
      <w:r>
        <w:rPr>
          <w:color w:val="auto"/>
          <w:sz w:val="24"/>
          <w:highlight w:val="none"/>
        </w:rPr>
        <w:t>污水站可行，废水经污水站处理后，</w:t>
      </w:r>
      <w:r>
        <w:rPr>
          <w:rFonts w:hint="eastAsia"/>
          <w:color w:val="auto"/>
          <w:sz w:val="24"/>
          <w:highlight w:val="none"/>
        </w:rPr>
        <w:t>铬</w:t>
      </w:r>
      <w:r>
        <w:rPr>
          <w:rFonts w:hint="eastAsia"/>
          <w:color w:val="auto"/>
          <w:sz w:val="24"/>
          <w:highlight w:val="none"/>
          <w:lang w:eastAsia="zh-CN"/>
        </w:rPr>
        <w:t>(</w:t>
      </w:r>
      <w:r>
        <w:rPr>
          <w:rFonts w:hint="eastAsia"/>
          <w:color w:val="auto"/>
          <w:sz w:val="24"/>
          <w:highlight w:val="none"/>
        </w:rPr>
        <w:t>六价</w:t>
      </w:r>
      <w:r>
        <w:rPr>
          <w:rFonts w:hint="eastAsia"/>
          <w:color w:val="auto"/>
          <w:sz w:val="24"/>
          <w:highlight w:val="none"/>
          <w:lang w:eastAsia="zh-CN"/>
        </w:rPr>
        <w:t>)</w:t>
      </w:r>
      <w:r>
        <w:rPr>
          <w:rFonts w:hint="eastAsia"/>
          <w:color w:val="auto"/>
          <w:sz w:val="24"/>
          <w:highlight w:val="none"/>
        </w:rPr>
        <w:t>、总铬、总镍、总银、总锡</w:t>
      </w:r>
      <w:r>
        <w:rPr>
          <w:color w:val="auto"/>
          <w:sz w:val="24"/>
          <w:highlight w:val="none"/>
        </w:rPr>
        <w:t>可实现单元出水口</w:t>
      </w:r>
      <w:r>
        <w:rPr>
          <w:rFonts w:hint="eastAsia"/>
          <w:color w:val="auto"/>
          <w:sz w:val="24"/>
          <w:highlight w:val="none"/>
          <w:lang w:val="en-US" w:eastAsia="zh-CN"/>
        </w:rPr>
        <w:t>满足</w:t>
      </w:r>
      <w:r>
        <w:rPr>
          <w:rFonts w:hint="eastAsia"/>
          <w:color w:val="auto"/>
          <w:sz w:val="24"/>
          <w:highlight w:val="none"/>
        </w:rPr>
        <w:t>《电镀污染物排放标准》(GB21900-2008)表2标准</w:t>
      </w:r>
      <w:r>
        <w:rPr>
          <w:rFonts w:hint="eastAsia"/>
          <w:color w:val="auto"/>
          <w:sz w:val="24"/>
          <w:highlight w:val="none"/>
          <w:lang w:eastAsia="zh-CN"/>
        </w:rPr>
        <w:t>；</w:t>
      </w:r>
      <w:r>
        <w:rPr>
          <w:color w:val="auto"/>
          <w:sz w:val="24"/>
          <w:highlight w:val="none"/>
        </w:rPr>
        <w:t>其他污染物</w:t>
      </w:r>
      <w:r>
        <w:rPr>
          <w:rFonts w:hint="eastAsia"/>
          <w:color w:val="auto"/>
          <w:sz w:val="24"/>
          <w:highlight w:val="none"/>
          <w:lang w:val="en-US" w:eastAsia="zh-CN"/>
        </w:rPr>
        <w:t>满足</w:t>
      </w:r>
      <w:r>
        <w:rPr>
          <w:rFonts w:hint="eastAsia"/>
          <w:color w:val="auto"/>
          <w:sz w:val="24"/>
          <w:highlight w:val="none"/>
        </w:rPr>
        <w:t>《污水排入城镇下水道水质标准》(GB/T31962-2015)表1中B级标准限值</w:t>
      </w:r>
      <w:r>
        <w:rPr>
          <w:color w:val="auto"/>
          <w:sz w:val="24"/>
          <w:highlight w:val="none"/>
        </w:rPr>
        <w:t>，</w:t>
      </w:r>
      <w:r>
        <w:rPr>
          <w:color w:val="auto"/>
          <w:kern w:val="0"/>
          <w:sz w:val="24"/>
          <w:szCs w:val="28"/>
          <w:highlight w:val="none"/>
        </w:rPr>
        <w:t>与生活污水一并通过城市污水管道排入</w:t>
      </w:r>
      <w:r>
        <w:rPr>
          <w:rFonts w:hint="eastAsia"/>
          <w:bCs/>
          <w:color w:val="auto"/>
          <w:sz w:val="24"/>
          <w:highlight w:val="none"/>
          <w:lang w:eastAsia="zh-CN"/>
        </w:rPr>
        <w:t>镰湾河水质净化厂</w:t>
      </w:r>
      <w:r>
        <w:rPr>
          <w:rFonts w:hint="eastAsia"/>
          <w:color w:val="auto"/>
          <w:sz w:val="24"/>
          <w:highlight w:val="none"/>
        </w:rPr>
        <w:t>。</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color w:val="auto"/>
          <w:sz w:val="24"/>
          <w:highlight w:val="none"/>
        </w:rPr>
        <w:t>危险废物暂存间和生产车间地面进行了硬化、防渗处理，对地下水环境影响较小。</w:t>
      </w:r>
    </w:p>
    <w:p>
      <w:pPr>
        <w:pStyle w:val="87"/>
        <w:pageBreakBefore w:val="0"/>
        <w:widowControl w:val="0"/>
        <w:kinsoku/>
        <w:wordWrap/>
        <w:overflowPunct/>
        <w:topLinePunct w:val="0"/>
        <w:autoSpaceDE/>
        <w:autoSpaceDN/>
        <w:bidi w:val="0"/>
        <w:adjustRightInd w:val="0"/>
        <w:snapToGrid w:val="0"/>
        <w:spacing w:beforeLines="0" w:afterLines="0"/>
        <w:ind w:firstLine="0" w:firstLineChars="0"/>
        <w:textAlignment w:val="auto"/>
        <w:outlineLvl w:val="2"/>
        <w:rPr>
          <w:rFonts w:eastAsia="黑体"/>
          <w:color w:val="auto"/>
          <w:highlight w:val="none"/>
        </w:rPr>
      </w:pPr>
      <w:r>
        <w:rPr>
          <w:rFonts w:hint="eastAsia" w:eastAsia="黑体"/>
          <w:color w:val="auto"/>
          <w:highlight w:val="none"/>
        </w:rPr>
        <w:t>7</w:t>
      </w:r>
      <w:r>
        <w:rPr>
          <w:rFonts w:eastAsia="黑体"/>
          <w:color w:val="auto"/>
          <w:highlight w:val="none"/>
        </w:rPr>
        <w:t>.2.3</w:t>
      </w:r>
      <w:r>
        <w:rPr>
          <w:rFonts w:hint="eastAsia" w:eastAsia="黑体"/>
          <w:color w:val="auto"/>
          <w:highlight w:val="none"/>
        </w:rPr>
        <w:t>噪声</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Ansi="宋体"/>
          <w:color w:val="auto"/>
          <w:sz w:val="24"/>
          <w:highlight w:val="none"/>
        </w:rPr>
      </w:pPr>
      <w:r>
        <w:rPr>
          <w:rFonts w:hint="eastAsia" w:hAnsi="宋体"/>
          <w:color w:val="auto"/>
          <w:sz w:val="24"/>
          <w:highlight w:val="none"/>
        </w:rPr>
        <w:t>201</w:t>
      </w:r>
      <w:r>
        <w:rPr>
          <w:rFonts w:hint="eastAsia" w:hAnsi="宋体"/>
          <w:color w:val="auto"/>
          <w:sz w:val="24"/>
          <w:highlight w:val="none"/>
          <w:lang w:val="en-US" w:eastAsia="zh-CN"/>
        </w:rPr>
        <w:t>9</w:t>
      </w:r>
      <w:r>
        <w:rPr>
          <w:rFonts w:hint="eastAsia" w:hAnsi="宋体"/>
          <w:color w:val="auto"/>
          <w:sz w:val="24"/>
          <w:highlight w:val="none"/>
        </w:rPr>
        <w:t>年9月14日监测结果表明，厂界</w:t>
      </w:r>
      <w:r>
        <w:rPr>
          <w:rFonts w:hAnsi="宋体"/>
          <w:color w:val="auto"/>
          <w:sz w:val="24"/>
          <w:highlight w:val="none"/>
        </w:rPr>
        <w:t>噪声</w:t>
      </w:r>
      <w:r>
        <w:rPr>
          <w:rFonts w:hint="eastAsia" w:hAnsi="宋体"/>
          <w:color w:val="auto"/>
          <w:sz w:val="24"/>
          <w:highlight w:val="none"/>
        </w:rPr>
        <w:t>均可满足</w:t>
      </w:r>
      <w:r>
        <w:rPr>
          <w:color w:val="auto"/>
          <w:sz w:val="24"/>
          <w:highlight w:val="none"/>
        </w:rPr>
        <w:t>《工业企业厂界环境噪声排放标准》</w:t>
      </w:r>
      <w:r>
        <w:rPr>
          <w:rFonts w:hint="eastAsia"/>
          <w:color w:val="auto"/>
          <w:sz w:val="24"/>
          <w:highlight w:val="none"/>
        </w:rPr>
        <w:t>(</w:t>
      </w:r>
      <w:r>
        <w:rPr>
          <w:color w:val="auto"/>
          <w:sz w:val="24"/>
          <w:highlight w:val="none"/>
        </w:rPr>
        <w:t>GB12348-2008</w:t>
      </w:r>
      <w:r>
        <w:rPr>
          <w:rFonts w:hint="eastAsia"/>
          <w:color w:val="auto"/>
          <w:sz w:val="24"/>
          <w:highlight w:val="none"/>
        </w:rPr>
        <w:t>)3</w:t>
      </w:r>
      <w:r>
        <w:rPr>
          <w:rFonts w:hAnsi="宋体"/>
          <w:color w:val="auto"/>
          <w:sz w:val="24"/>
          <w:highlight w:val="none"/>
        </w:rPr>
        <w:t>类标准</w:t>
      </w:r>
      <w:r>
        <w:rPr>
          <w:rFonts w:hint="eastAsia" w:hAnsi="宋体"/>
          <w:color w:val="auto"/>
          <w:sz w:val="24"/>
          <w:highlight w:val="none"/>
        </w:rPr>
        <w:t>。</w:t>
      </w:r>
    </w:p>
    <w:p>
      <w:pPr>
        <w:pStyle w:val="87"/>
        <w:pageBreakBefore w:val="0"/>
        <w:widowControl w:val="0"/>
        <w:kinsoku/>
        <w:wordWrap/>
        <w:overflowPunct/>
        <w:topLinePunct w:val="0"/>
        <w:autoSpaceDE/>
        <w:autoSpaceDN/>
        <w:bidi w:val="0"/>
        <w:adjustRightInd w:val="0"/>
        <w:snapToGrid w:val="0"/>
        <w:spacing w:beforeLines="0" w:afterLines="0"/>
        <w:ind w:firstLine="0" w:firstLineChars="0"/>
        <w:textAlignment w:val="auto"/>
        <w:outlineLvl w:val="2"/>
        <w:rPr>
          <w:rFonts w:eastAsia="黑体"/>
          <w:color w:val="auto"/>
          <w:highlight w:val="none"/>
        </w:rPr>
      </w:pPr>
      <w:r>
        <w:rPr>
          <w:rFonts w:hint="eastAsia" w:eastAsia="黑体"/>
          <w:color w:val="auto"/>
          <w:highlight w:val="none"/>
        </w:rPr>
        <w:t>7</w:t>
      </w:r>
      <w:r>
        <w:rPr>
          <w:rFonts w:eastAsia="黑体"/>
          <w:color w:val="auto"/>
          <w:highlight w:val="none"/>
        </w:rPr>
        <w:t>.2.</w:t>
      </w:r>
      <w:r>
        <w:rPr>
          <w:rFonts w:hint="eastAsia" w:eastAsia="黑体"/>
          <w:color w:val="auto"/>
          <w:highlight w:val="none"/>
        </w:rPr>
        <w:t>4 固废</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highlight w:val="none"/>
          <w:lang w:eastAsia="zh-CN"/>
        </w:rPr>
      </w:pPr>
      <w:r>
        <w:rPr>
          <w:rFonts w:hint="eastAsia"/>
          <w:color w:val="auto"/>
          <w:sz w:val="24"/>
          <w:highlight w:val="none"/>
        </w:rPr>
        <w:t>项目生产过程中产生的固废为</w:t>
      </w:r>
      <w:r>
        <w:rPr>
          <w:rFonts w:hint="eastAsia"/>
          <w:color w:val="auto"/>
          <w:sz w:val="24"/>
          <w:highlight w:val="none"/>
          <w:lang w:val="en-US" w:eastAsia="zh-CN"/>
        </w:rPr>
        <w:t>一般固废、危险废物及生活垃圾</w:t>
      </w:r>
      <w:r>
        <w:rPr>
          <w:rFonts w:hint="eastAsia"/>
          <w:color w:val="auto"/>
          <w:sz w:val="24"/>
          <w:highlight w:val="none"/>
          <w:lang w:eastAsia="zh-CN"/>
        </w:rPr>
        <w:t>。</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highlight w:val="none"/>
        </w:rPr>
      </w:pPr>
      <w:r>
        <w:rPr>
          <w:rFonts w:hint="eastAsia"/>
          <w:color w:val="auto"/>
          <w:sz w:val="24"/>
          <w:highlight w:val="none"/>
          <w:lang w:val="en-US" w:eastAsia="zh-CN"/>
        </w:rPr>
        <w:t>危险废物</w:t>
      </w:r>
      <w:r>
        <w:rPr>
          <w:rFonts w:hint="eastAsia"/>
          <w:color w:val="auto"/>
          <w:sz w:val="24"/>
          <w:highlight w:val="none"/>
        </w:rPr>
        <w:t>主要包括各类废液、废过滤芯/滤渣、废化工原料包装等，公司已与</w:t>
      </w:r>
      <w:r>
        <w:rPr>
          <w:rFonts w:hint="eastAsia"/>
          <w:color w:val="auto"/>
          <w:sz w:val="24"/>
          <w:highlight w:val="none"/>
          <w:lang w:eastAsia="zh-CN"/>
        </w:rPr>
        <w:t>电镀工业园</w:t>
      </w:r>
      <w:r>
        <w:rPr>
          <w:rFonts w:hint="eastAsia"/>
          <w:color w:val="auto"/>
          <w:sz w:val="24"/>
          <w:highlight w:val="none"/>
        </w:rPr>
        <w:t>签订《危险废物代为处置协议》。</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highlight w:val="none"/>
        </w:rPr>
      </w:pPr>
      <w:r>
        <w:rPr>
          <w:rFonts w:hint="eastAsia"/>
          <w:bCs/>
          <w:color w:val="auto"/>
          <w:sz w:val="24"/>
          <w:highlight w:val="none"/>
          <w:lang w:val="en-US" w:eastAsia="zh-CN"/>
        </w:rPr>
        <w:t>废胶皮外售综合利用，</w:t>
      </w:r>
      <w:r>
        <w:rPr>
          <w:rFonts w:hint="eastAsia"/>
          <w:color w:val="auto"/>
          <w:sz w:val="24"/>
          <w:highlight w:val="none"/>
        </w:rPr>
        <w:t>生活垃圾由环卫部门集中收集后填埋处理。</w:t>
      </w:r>
    </w:p>
    <w:p>
      <w:pPr>
        <w:pStyle w:val="87"/>
        <w:pageBreakBefore w:val="0"/>
        <w:widowControl w:val="0"/>
        <w:kinsoku/>
        <w:wordWrap/>
        <w:overflowPunct/>
        <w:topLinePunct w:val="0"/>
        <w:autoSpaceDE/>
        <w:autoSpaceDN/>
        <w:bidi w:val="0"/>
        <w:adjustRightInd w:val="0"/>
        <w:snapToGrid w:val="0"/>
        <w:spacing w:beforeLines="0" w:afterLines="0"/>
        <w:textAlignment w:val="auto"/>
        <w:rPr>
          <w:color w:val="auto"/>
          <w:highlight w:val="none"/>
        </w:rPr>
      </w:pPr>
      <w:r>
        <w:rPr>
          <w:rFonts w:hint="eastAsia"/>
          <w:color w:val="auto"/>
          <w:highlight w:val="none"/>
        </w:rPr>
        <w:t>项目固体废物均得到妥善处置、不外排，对环境影响较小。</w:t>
      </w:r>
    </w:p>
    <w:p>
      <w:pPr>
        <w:pStyle w:val="6"/>
        <w:pageBreakBefore w:val="0"/>
        <w:widowControl w:val="0"/>
        <w:numPr>
          <w:ilvl w:val="1"/>
          <w:numId w:val="0"/>
        </w:numPr>
        <w:tabs>
          <w:tab w:val="clear" w:pos="432"/>
        </w:tabs>
        <w:kinsoku/>
        <w:wordWrap/>
        <w:overflowPunct/>
        <w:topLinePunct w:val="0"/>
        <w:autoSpaceDE/>
        <w:autoSpaceDN/>
        <w:bidi w:val="0"/>
        <w:adjustRightInd w:val="0"/>
        <w:snapToGrid w:val="0"/>
        <w:spacing w:before="0" w:after="0" w:line="360" w:lineRule="auto"/>
        <w:jc w:val="left"/>
        <w:textAlignment w:val="auto"/>
        <w:rPr>
          <w:b w:val="0"/>
          <w:color w:val="auto"/>
          <w:sz w:val="24"/>
          <w:szCs w:val="24"/>
          <w:highlight w:val="none"/>
        </w:rPr>
      </w:pPr>
      <w:bookmarkStart w:id="305" w:name="_Toc519063329"/>
      <w:bookmarkStart w:id="306" w:name="_Toc16450"/>
      <w:bookmarkStart w:id="307" w:name="_Toc530655632"/>
      <w:r>
        <w:rPr>
          <w:rFonts w:hint="eastAsia"/>
          <w:b w:val="0"/>
          <w:color w:val="auto"/>
          <w:sz w:val="24"/>
          <w:szCs w:val="24"/>
          <w:highlight w:val="none"/>
          <w:lang w:val="en-US" w:eastAsia="zh-CN"/>
        </w:rPr>
        <w:t xml:space="preserve">7.3 </w:t>
      </w:r>
      <w:r>
        <w:rPr>
          <w:rFonts w:hint="eastAsia"/>
          <w:b w:val="0"/>
          <w:color w:val="auto"/>
          <w:sz w:val="24"/>
          <w:szCs w:val="24"/>
          <w:highlight w:val="none"/>
        </w:rPr>
        <w:t>区域环境变化</w:t>
      </w:r>
      <w:bookmarkEnd w:id="305"/>
      <w:bookmarkEnd w:id="306"/>
      <w:bookmarkEnd w:id="307"/>
    </w:p>
    <w:p>
      <w:pPr>
        <w:pStyle w:val="87"/>
        <w:pageBreakBefore w:val="0"/>
        <w:widowControl w:val="0"/>
        <w:kinsoku/>
        <w:wordWrap/>
        <w:overflowPunct/>
        <w:topLinePunct w:val="0"/>
        <w:autoSpaceDE/>
        <w:autoSpaceDN/>
        <w:bidi w:val="0"/>
        <w:adjustRightInd w:val="0"/>
        <w:snapToGrid w:val="0"/>
        <w:spacing w:beforeLines="0" w:afterLines="0"/>
        <w:ind w:firstLine="0" w:firstLineChars="0"/>
        <w:textAlignment w:val="auto"/>
        <w:outlineLvl w:val="2"/>
        <w:rPr>
          <w:rFonts w:eastAsia="黑体"/>
          <w:color w:val="auto"/>
          <w:highlight w:val="none"/>
        </w:rPr>
      </w:pPr>
      <w:r>
        <w:rPr>
          <w:rFonts w:hint="eastAsia" w:eastAsia="黑体"/>
          <w:color w:val="auto"/>
          <w:highlight w:val="none"/>
        </w:rPr>
        <w:t>7</w:t>
      </w:r>
      <w:r>
        <w:rPr>
          <w:rFonts w:eastAsia="黑体"/>
          <w:color w:val="auto"/>
          <w:highlight w:val="none"/>
        </w:rPr>
        <w:t>.3.1</w:t>
      </w:r>
      <w:r>
        <w:rPr>
          <w:rFonts w:hint="eastAsia" w:eastAsia="黑体"/>
          <w:color w:val="auto"/>
          <w:highlight w:val="none"/>
        </w:rPr>
        <w:t>环境敏感目标及污染源变化</w:t>
      </w:r>
    </w:p>
    <w:p>
      <w:pPr>
        <w:pStyle w:val="87"/>
        <w:pageBreakBefore w:val="0"/>
        <w:widowControl w:val="0"/>
        <w:kinsoku/>
        <w:wordWrap/>
        <w:overflowPunct/>
        <w:topLinePunct w:val="0"/>
        <w:autoSpaceDE/>
        <w:autoSpaceDN/>
        <w:bidi w:val="0"/>
        <w:adjustRightInd w:val="0"/>
        <w:snapToGrid w:val="0"/>
        <w:spacing w:beforeLines="0" w:afterLines="0"/>
        <w:textAlignment w:val="auto"/>
        <w:rPr>
          <w:color w:val="auto"/>
          <w:highlight w:val="none"/>
        </w:rPr>
      </w:pPr>
      <w:r>
        <w:rPr>
          <w:rFonts w:hint="eastAsia"/>
          <w:color w:val="auto"/>
          <w:highlight w:val="none"/>
        </w:rPr>
        <w:t>受项目影</w:t>
      </w:r>
      <w:r>
        <w:rPr>
          <w:rFonts w:hint="eastAsia"/>
          <w:color w:val="auto"/>
          <w:highlight w:val="none"/>
        </w:rPr>
        <w:t>响人数变动</w:t>
      </w:r>
      <w:r>
        <w:rPr>
          <w:rFonts w:hint="eastAsia"/>
          <w:color w:val="auto"/>
          <w:highlight w:val="none"/>
          <w:lang w:eastAsia="zh-CN"/>
        </w:rPr>
        <w:t>较小</w:t>
      </w:r>
      <w:r>
        <w:rPr>
          <w:rFonts w:hint="eastAsia"/>
          <w:color w:val="auto"/>
          <w:highlight w:val="none"/>
        </w:rPr>
        <w:t>，源于正常的</w:t>
      </w:r>
      <w:r>
        <w:rPr>
          <w:rFonts w:hint="eastAsia"/>
          <w:color w:val="auto"/>
          <w:highlight w:val="none"/>
        </w:rPr>
        <w:t>城镇人口流动。</w:t>
      </w:r>
    </w:p>
    <w:p>
      <w:pPr>
        <w:pStyle w:val="87"/>
        <w:pageBreakBefore w:val="0"/>
        <w:widowControl w:val="0"/>
        <w:kinsoku/>
        <w:wordWrap/>
        <w:overflowPunct/>
        <w:topLinePunct w:val="0"/>
        <w:autoSpaceDE/>
        <w:autoSpaceDN/>
        <w:bidi w:val="0"/>
        <w:adjustRightInd w:val="0"/>
        <w:snapToGrid w:val="0"/>
        <w:spacing w:beforeLines="0" w:afterLines="0"/>
        <w:ind w:firstLine="0" w:firstLineChars="0"/>
        <w:textAlignment w:val="auto"/>
        <w:outlineLvl w:val="2"/>
        <w:rPr>
          <w:rFonts w:eastAsia="黑体"/>
          <w:color w:val="auto"/>
          <w:highlight w:val="none"/>
        </w:rPr>
      </w:pPr>
      <w:r>
        <w:rPr>
          <w:rFonts w:hint="eastAsia" w:eastAsia="黑体"/>
          <w:color w:val="auto"/>
          <w:highlight w:val="none"/>
        </w:rPr>
        <w:t>7</w:t>
      </w:r>
      <w:r>
        <w:rPr>
          <w:rFonts w:eastAsia="黑体"/>
          <w:color w:val="auto"/>
          <w:highlight w:val="none"/>
        </w:rPr>
        <w:t>.3.2</w:t>
      </w:r>
      <w:r>
        <w:rPr>
          <w:rFonts w:hint="eastAsia" w:eastAsia="黑体"/>
          <w:color w:val="auto"/>
          <w:highlight w:val="none"/>
        </w:rPr>
        <w:t>区域污染源变化</w:t>
      </w:r>
    </w:p>
    <w:p>
      <w:pPr>
        <w:pStyle w:val="87"/>
        <w:pageBreakBefore w:val="0"/>
        <w:widowControl w:val="0"/>
        <w:kinsoku/>
        <w:wordWrap/>
        <w:overflowPunct/>
        <w:topLinePunct w:val="0"/>
        <w:autoSpaceDE/>
        <w:autoSpaceDN/>
        <w:bidi w:val="0"/>
        <w:adjustRightInd w:val="0"/>
        <w:snapToGrid w:val="0"/>
        <w:spacing w:beforeLines="0" w:afterLines="0"/>
        <w:textAlignment w:val="auto"/>
        <w:rPr>
          <w:color w:val="auto"/>
          <w:highlight w:val="none"/>
        </w:rPr>
      </w:pPr>
      <w:r>
        <w:rPr>
          <w:rFonts w:hint="eastAsia"/>
          <w:color w:val="auto"/>
          <w:highlight w:val="none"/>
        </w:rPr>
        <w:t>与项目建设期相比，项目周边污染源增加</w:t>
      </w:r>
      <w:r>
        <w:rPr>
          <w:rFonts w:hint="eastAsia"/>
          <w:color w:val="auto"/>
          <w:highlight w:val="none"/>
          <w:lang w:val="en-US" w:eastAsia="zh-CN"/>
        </w:rPr>
        <w:t>了新的工业企业</w:t>
      </w:r>
      <w:r>
        <w:rPr>
          <w:rFonts w:hint="eastAsia"/>
          <w:color w:val="auto"/>
          <w:highlight w:val="none"/>
        </w:rPr>
        <w:t>。</w:t>
      </w:r>
    </w:p>
    <w:p>
      <w:pPr>
        <w:pStyle w:val="87"/>
        <w:pageBreakBefore w:val="0"/>
        <w:widowControl w:val="0"/>
        <w:kinsoku/>
        <w:wordWrap/>
        <w:overflowPunct/>
        <w:topLinePunct w:val="0"/>
        <w:autoSpaceDE/>
        <w:autoSpaceDN/>
        <w:bidi w:val="0"/>
        <w:adjustRightInd w:val="0"/>
        <w:snapToGrid w:val="0"/>
        <w:spacing w:beforeLines="0" w:afterLines="0"/>
        <w:ind w:firstLine="0" w:firstLineChars="0"/>
        <w:textAlignment w:val="auto"/>
        <w:outlineLvl w:val="2"/>
        <w:rPr>
          <w:rFonts w:eastAsia="黑体"/>
          <w:color w:val="auto"/>
          <w:highlight w:val="none"/>
        </w:rPr>
      </w:pPr>
      <w:r>
        <w:rPr>
          <w:rFonts w:hint="eastAsia" w:eastAsia="黑体"/>
          <w:color w:val="auto"/>
          <w:highlight w:val="none"/>
          <w:lang w:val="en-US" w:eastAsia="zh-CN"/>
        </w:rPr>
        <w:t>7</w:t>
      </w:r>
      <w:r>
        <w:rPr>
          <w:rFonts w:eastAsia="黑体"/>
          <w:color w:val="auto"/>
          <w:highlight w:val="none"/>
        </w:rPr>
        <w:t>.3.3</w:t>
      </w:r>
      <w:r>
        <w:rPr>
          <w:rFonts w:hint="eastAsia" w:eastAsia="黑体"/>
          <w:color w:val="auto"/>
          <w:highlight w:val="none"/>
        </w:rPr>
        <w:t>环境质量现状及变化趋势</w:t>
      </w:r>
    </w:p>
    <w:p>
      <w:pPr>
        <w:pStyle w:val="87"/>
        <w:pageBreakBefore w:val="0"/>
        <w:widowControl w:val="0"/>
        <w:kinsoku/>
        <w:wordWrap/>
        <w:overflowPunct/>
        <w:topLinePunct w:val="0"/>
        <w:autoSpaceDE/>
        <w:autoSpaceDN/>
        <w:bidi w:val="0"/>
        <w:adjustRightInd w:val="0"/>
        <w:snapToGrid w:val="0"/>
        <w:spacing w:beforeLines="0" w:afterLines="0"/>
        <w:textAlignment w:val="auto"/>
        <w:rPr>
          <w:color w:val="auto"/>
          <w:highlight w:val="none"/>
        </w:rPr>
      </w:pPr>
      <w:r>
        <w:rPr>
          <w:rFonts w:hint="eastAsia"/>
          <w:color w:val="auto"/>
          <w:highlight w:val="none"/>
        </w:rPr>
        <w:t>1、环境空气质量</w:t>
      </w:r>
    </w:p>
    <w:p>
      <w:pPr>
        <w:pStyle w:val="87"/>
        <w:pageBreakBefore w:val="0"/>
        <w:widowControl w:val="0"/>
        <w:kinsoku/>
        <w:wordWrap/>
        <w:overflowPunct/>
        <w:topLinePunct w:val="0"/>
        <w:autoSpaceDE/>
        <w:autoSpaceDN/>
        <w:bidi w:val="0"/>
        <w:adjustRightInd w:val="0"/>
        <w:snapToGrid w:val="0"/>
        <w:spacing w:beforeLines="0" w:afterLines="0"/>
        <w:textAlignment w:val="auto"/>
        <w:rPr>
          <w:color w:val="auto"/>
          <w:highlight w:val="none"/>
        </w:rPr>
      </w:pPr>
      <w:r>
        <w:rPr>
          <w:rFonts w:hint="eastAsia"/>
          <w:color w:val="auto"/>
          <w:highlight w:val="none"/>
        </w:rPr>
        <w:t>(1)环境空气质量现状</w:t>
      </w:r>
    </w:p>
    <w:p>
      <w:pPr>
        <w:pStyle w:val="87"/>
        <w:pageBreakBefore w:val="0"/>
        <w:widowControl w:val="0"/>
        <w:kinsoku/>
        <w:wordWrap/>
        <w:overflowPunct/>
        <w:topLinePunct w:val="0"/>
        <w:autoSpaceDE/>
        <w:autoSpaceDN/>
        <w:bidi w:val="0"/>
        <w:adjustRightInd w:val="0"/>
        <w:snapToGrid w:val="0"/>
        <w:spacing w:beforeLines="0" w:afterLines="0"/>
        <w:textAlignment w:val="auto"/>
        <w:rPr>
          <w:color w:val="auto"/>
          <w:highlight w:val="none"/>
        </w:rPr>
      </w:pPr>
      <w:r>
        <w:rPr>
          <w:rFonts w:hint="eastAsia"/>
          <w:color w:val="auto"/>
          <w:sz w:val="24"/>
          <w:highlight w:val="none"/>
        </w:rPr>
        <w:t>各监测点SO</w:t>
      </w:r>
      <w:r>
        <w:rPr>
          <w:rFonts w:hint="eastAsia"/>
          <w:color w:val="auto"/>
          <w:sz w:val="24"/>
          <w:highlight w:val="none"/>
          <w:vertAlign w:val="subscript"/>
        </w:rPr>
        <w:t>2</w:t>
      </w:r>
      <w:r>
        <w:rPr>
          <w:rFonts w:hint="eastAsia"/>
          <w:color w:val="auto"/>
          <w:sz w:val="24"/>
          <w:highlight w:val="none"/>
        </w:rPr>
        <w:t>、NO</w:t>
      </w:r>
      <w:r>
        <w:rPr>
          <w:rFonts w:hint="eastAsia"/>
          <w:color w:val="auto"/>
          <w:sz w:val="24"/>
          <w:highlight w:val="none"/>
          <w:vertAlign w:val="subscript"/>
          <w:lang w:val="en-US" w:eastAsia="zh-CN"/>
        </w:rPr>
        <w:t>x</w:t>
      </w:r>
      <w:r>
        <w:rPr>
          <w:rFonts w:hint="eastAsia"/>
          <w:color w:val="auto"/>
          <w:sz w:val="24"/>
          <w:highlight w:val="none"/>
        </w:rPr>
        <w:t>的小时浓度、日均浓度及PM</w:t>
      </w:r>
      <w:r>
        <w:rPr>
          <w:rFonts w:hint="eastAsia"/>
          <w:color w:val="auto"/>
          <w:sz w:val="24"/>
          <w:highlight w:val="none"/>
          <w:vertAlign w:val="subscript"/>
        </w:rPr>
        <w:t>2.5</w:t>
      </w:r>
      <w:r>
        <w:rPr>
          <w:rFonts w:hint="eastAsia"/>
          <w:color w:val="auto"/>
          <w:sz w:val="24"/>
          <w:highlight w:val="none"/>
        </w:rPr>
        <w:t>、PM</w:t>
      </w:r>
      <w:r>
        <w:rPr>
          <w:rFonts w:hint="eastAsia"/>
          <w:color w:val="auto"/>
          <w:sz w:val="24"/>
          <w:highlight w:val="none"/>
          <w:vertAlign w:val="subscript"/>
        </w:rPr>
        <w:t>10</w:t>
      </w:r>
      <w:r>
        <w:rPr>
          <w:rFonts w:hint="eastAsia"/>
          <w:color w:val="auto"/>
          <w:sz w:val="24"/>
          <w:highlight w:val="none"/>
        </w:rPr>
        <w:t>的日均浓度均满足《环境空气质量标准》(GB3095-2012)中二级标准要求</w:t>
      </w:r>
      <w:r>
        <w:rPr>
          <w:rFonts w:hint="eastAsia"/>
          <w:color w:val="auto"/>
          <w:sz w:val="24"/>
          <w:highlight w:val="none"/>
          <w:lang w:eastAsia="zh-CN"/>
        </w:rPr>
        <w:t>，</w:t>
      </w:r>
      <w:r>
        <w:rPr>
          <w:color w:val="auto"/>
          <w:sz w:val="24"/>
          <w:highlight w:val="none"/>
        </w:rPr>
        <w:t>氯化氢</w:t>
      </w:r>
      <w:r>
        <w:rPr>
          <w:rFonts w:hint="eastAsia"/>
          <w:color w:val="auto"/>
          <w:sz w:val="24"/>
          <w:highlight w:val="none"/>
        </w:rPr>
        <w:t>、</w:t>
      </w:r>
      <w:r>
        <w:rPr>
          <w:rFonts w:hint="eastAsia"/>
          <w:color w:val="auto"/>
          <w:sz w:val="24"/>
          <w:highlight w:val="none"/>
        </w:rPr>
        <w:t>硫酸</w:t>
      </w:r>
      <w:r>
        <w:rPr>
          <w:rFonts w:hint="eastAsia"/>
          <w:color w:val="auto"/>
          <w:sz w:val="24"/>
          <w:highlight w:val="none"/>
          <w:lang w:eastAsia="zh-CN"/>
        </w:rPr>
        <w:t>、氨满足</w:t>
      </w:r>
      <w:r>
        <w:rPr>
          <w:rFonts w:hint="eastAsia"/>
          <w:color w:val="auto"/>
          <w:sz w:val="24"/>
          <w:highlight w:val="none"/>
        </w:rPr>
        <w:t>《环境影响评价技术导则 大气环境》</w:t>
      </w:r>
      <w:r>
        <w:rPr>
          <w:rFonts w:hint="eastAsia"/>
          <w:color w:val="auto"/>
          <w:sz w:val="24"/>
          <w:highlight w:val="none"/>
          <w:lang w:eastAsia="zh-CN"/>
        </w:rPr>
        <w:t>(</w:t>
      </w:r>
      <w:r>
        <w:rPr>
          <w:rFonts w:hint="eastAsia"/>
          <w:color w:val="auto"/>
          <w:sz w:val="24"/>
          <w:highlight w:val="none"/>
        </w:rPr>
        <w:t>HJ2.2-2018</w:t>
      </w:r>
      <w:r>
        <w:rPr>
          <w:rFonts w:hint="eastAsia"/>
          <w:color w:val="auto"/>
          <w:sz w:val="24"/>
          <w:highlight w:val="none"/>
          <w:lang w:eastAsia="zh-CN"/>
        </w:rPr>
        <w:t>)</w:t>
      </w:r>
      <w:r>
        <w:rPr>
          <w:rFonts w:hint="eastAsia"/>
          <w:color w:val="auto"/>
          <w:sz w:val="24"/>
          <w:highlight w:val="none"/>
        </w:rPr>
        <w:t>附录D中参考值</w:t>
      </w:r>
      <w:r>
        <w:rPr>
          <w:rFonts w:hint="eastAsia"/>
          <w:color w:val="auto"/>
          <w:sz w:val="24"/>
          <w:highlight w:val="none"/>
          <w:lang w:eastAsia="zh-CN"/>
        </w:rPr>
        <w:t>。</w:t>
      </w:r>
      <w:r>
        <w:rPr>
          <w:rFonts w:hint="eastAsia"/>
          <w:color w:val="auto"/>
          <w:sz w:val="24"/>
          <w:highlight w:val="none"/>
        </w:rPr>
        <w:t>各监测点的铬</w:t>
      </w:r>
      <w:r>
        <w:rPr>
          <w:rFonts w:hint="eastAsia"/>
          <w:color w:val="auto"/>
          <w:sz w:val="24"/>
          <w:highlight w:val="none"/>
          <w:lang w:eastAsia="zh-CN"/>
        </w:rPr>
        <w:t>(</w:t>
      </w:r>
      <w:r>
        <w:rPr>
          <w:rFonts w:hint="eastAsia"/>
          <w:color w:val="auto"/>
          <w:sz w:val="24"/>
          <w:highlight w:val="none"/>
        </w:rPr>
        <w:t>六价</w:t>
      </w:r>
      <w:r>
        <w:rPr>
          <w:rFonts w:hint="eastAsia"/>
          <w:color w:val="auto"/>
          <w:sz w:val="24"/>
          <w:highlight w:val="none"/>
          <w:lang w:eastAsia="zh-CN"/>
        </w:rPr>
        <w:t>)</w:t>
      </w:r>
      <w:r>
        <w:rPr>
          <w:rFonts w:hint="eastAsia"/>
          <w:color w:val="auto"/>
          <w:sz w:val="24"/>
          <w:highlight w:val="none"/>
        </w:rPr>
        <w:t>一次浓度满足《工业企业设计卫生标准》(TJ36-79)表1居住区标准</w:t>
      </w:r>
      <w:r>
        <w:rPr>
          <w:color w:val="auto"/>
          <w:highlight w:val="none"/>
          <w:lang w:val="zh-CN"/>
        </w:rPr>
        <w:t>。</w:t>
      </w:r>
    </w:p>
    <w:p>
      <w:pPr>
        <w:pStyle w:val="87"/>
        <w:pageBreakBefore w:val="0"/>
        <w:widowControl w:val="0"/>
        <w:kinsoku/>
        <w:wordWrap/>
        <w:overflowPunct/>
        <w:topLinePunct w:val="0"/>
        <w:autoSpaceDE/>
        <w:autoSpaceDN/>
        <w:bidi w:val="0"/>
        <w:adjustRightInd w:val="0"/>
        <w:snapToGrid w:val="0"/>
        <w:spacing w:beforeLines="0" w:afterLines="0"/>
        <w:textAlignment w:val="auto"/>
        <w:rPr>
          <w:color w:val="auto"/>
          <w:highlight w:val="none"/>
        </w:rPr>
      </w:pPr>
      <w:r>
        <w:rPr>
          <w:rFonts w:hint="eastAsia"/>
          <w:color w:val="auto"/>
          <w:highlight w:val="none"/>
        </w:rPr>
        <w:t>(2)环境空气质量变化趋势</w:t>
      </w:r>
    </w:p>
    <w:p>
      <w:pPr>
        <w:pStyle w:val="22"/>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color w:val="auto"/>
          <w:sz w:val="24"/>
          <w:highlight w:val="none"/>
        </w:rPr>
      </w:pPr>
      <w:r>
        <w:rPr>
          <w:rFonts w:hint="eastAsia"/>
          <w:color w:val="auto"/>
          <w:sz w:val="24"/>
          <w:highlight w:val="none"/>
        </w:rPr>
        <w:t>根据对比200</w:t>
      </w:r>
      <w:r>
        <w:rPr>
          <w:rFonts w:hint="eastAsia"/>
          <w:color w:val="auto"/>
          <w:sz w:val="24"/>
          <w:highlight w:val="none"/>
          <w:lang w:val="en-US" w:eastAsia="zh-CN"/>
        </w:rPr>
        <w:t>3</w:t>
      </w:r>
      <w:r>
        <w:rPr>
          <w:rFonts w:hint="eastAsia"/>
          <w:color w:val="auto"/>
          <w:sz w:val="24"/>
          <w:highlight w:val="none"/>
        </w:rPr>
        <w:t>年</w:t>
      </w:r>
      <w:r>
        <w:rPr>
          <w:rFonts w:hint="eastAsia"/>
          <w:color w:val="auto"/>
          <w:sz w:val="24"/>
          <w:highlight w:val="none"/>
          <w:lang w:eastAsia="zh-CN"/>
        </w:rPr>
        <w:t>、</w:t>
      </w:r>
      <w:r>
        <w:rPr>
          <w:rFonts w:hint="eastAsia"/>
          <w:color w:val="auto"/>
          <w:sz w:val="24"/>
          <w:highlight w:val="none"/>
          <w:lang w:val="en-US" w:eastAsia="zh-CN"/>
        </w:rPr>
        <w:t>2012年、2013年</w:t>
      </w:r>
      <w:r>
        <w:rPr>
          <w:rFonts w:hint="eastAsia"/>
          <w:color w:val="auto"/>
          <w:sz w:val="24"/>
          <w:highlight w:val="none"/>
        </w:rPr>
        <w:t>数据和201</w:t>
      </w:r>
      <w:r>
        <w:rPr>
          <w:rFonts w:hint="eastAsia"/>
          <w:color w:val="auto"/>
          <w:sz w:val="24"/>
          <w:highlight w:val="none"/>
          <w:lang w:val="en-US" w:eastAsia="zh-CN"/>
        </w:rPr>
        <w:t>9</w:t>
      </w:r>
      <w:r>
        <w:rPr>
          <w:rFonts w:hint="eastAsia"/>
          <w:color w:val="auto"/>
          <w:sz w:val="24"/>
          <w:highlight w:val="none"/>
        </w:rPr>
        <w:t>年数据，项目周边敏感点环境质量均较好，</w:t>
      </w:r>
      <w:r>
        <w:rPr>
          <w:rFonts w:hint="eastAsia"/>
          <w:color w:val="auto"/>
          <w:sz w:val="24"/>
          <w:highlight w:val="none"/>
          <w:lang w:eastAsia="zh-CN"/>
        </w:rPr>
        <w:t>基本满足相关标准要求</w:t>
      </w:r>
      <w:r>
        <w:rPr>
          <w:rFonts w:hint="eastAsia"/>
          <w:color w:val="auto"/>
          <w:sz w:val="24"/>
          <w:highlight w:val="none"/>
        </w:rPr>
        <w:t>。</w:t>
      </w:r>
      <w:r>
        <w:rPr>
          <w:rFonts w:hint="eastAsia"/>
          <w:color w:val="auto"/>
          <w:sz w:val="24"/>
          <w:highlight w:val="none"/>
          <w:lang w:eastAsia="zh-CN"/>
        </w:rPr>
        <w:t>对周边敏感点的影响不大</w:t>
      </w:r>
      <w:r>
        <w:rPr>
          <w:rFonts w:hint="eastAsia"/>
          <w:color w:val="auto"/>
          <w:sz w:val="24"/>
          <w:highlight w:val="none"/>
        </w:rPr>
        <w:t>。</w:t>
      </w:r>
      <w:r>
        <w:rPr>
          <w:rFonts w:hint="eastAsia"/>
          <w:color w:val="auto"/>
          <w:sz w:val="24"/>
          <w:highlight w:val="none"/>
          <w:lang w:eastAsia="zh-CN"/>
        </w:rPr>
        <w:t>总体来说，项目运行以来，特征污染因子对邻近周边环境有一定的影响，但区域环境空气质量总体来说与原环评时相差不大</w:t>
      </w:r>
      <w:r>
        <w:rPr>
          <w:rFonts w:hint="eastAsia"/>
          <w:color w:val="auto"/>
          <w:sz w:val="24"/>
          <w:highlight w:val="none"/>
        </w:rPr>
        <w:t>。</w:t>
      </w:r>
    </w:p>
    <w:p>
      <w:pPr>
        <w:pStyle w:val="87"/>
        <w:pageBreakBefore w:val="0"/>
        <w:widowControl w:val="0"/>
        <w:kinsoku/>
        <w:wordWrap/>
        <w:overflowPunct/>
        <w:topLinePunct w:val="0"/>
        <w:autoSpaceDE/>
        <w:autoSpaceDN/>
        <w:bidi w:val="0"/>
        <w:adjustRightInd w:val="0"/>
        <w:snapToGrid w:val="0"/>
        <w:spacing w:beforeLines="0" w:afterLines="0"/>
        <w:textAlignment w:val="auto"/>
        <w:rPr>
          <w:rFonts w:hAnsi="宋体"/>
          <w:color w:val="auto"/>
          <w:highlight w:val="none"/>
        </w:rPr>
      </w:pPr>
      <w:r>
        <w:rPr>
          <w:rFonts w:hint="eastAsia" w:hAnsi="宋体"/>
          <w:color w:val="auto"/>
          <w:highlight w:val="none"/>
        </w:rPr>
        <w:t>2、地表水质量现状及变化趋势</w:t>
      </w:r>
    </w:p>
    <w:p>
      <w:pPr>
        <w:pStyle w:val="87"/>
        <w:pageBreakBefore w:val="0"/>
        <w:widowControl w:val="0"/>
        <w:kinsoku/>
        <w:wordWrap/>
        <w:overflowPunct/>
        <w:topLinePunct w:val="0"/>
        <w:autoSpaceDE/>
        <w:autoSpaceDN/>
        <w:bidi w:val="0"/>
        <w:adjustRightInd w:val="0"/>
        <w:snapToGrid w:val="0"/>
        <w:spacing w:beforeLines="0" w:afterLines="0"/>
        <w:textAlignment w:val="auto"/>
        <w:rPr>
          <w:rFonts w:hAnsi="宋体"/>
          <w:color w:val="auto"/>
          <w:highlight w:val="none"/>
        </w:rPr>
      </w:pPr>
      <w:r>
        <w:rPr>
          <w:rFonts w:hint="eastAsia" w:hAnsi="宋体"/>
          <w:color w:val="auto"/>
          <w:highlight w:val="none"/>
        </w:rPr>
        <w:t>(1)地表水质量现状</w:t>
      </w:r>
    </w:p>
    <w:p>
      <w:pPr>
        <w:pStyle w:val="93"/>
        <w:pageBreakBefore w:val="0"/>
        <w:widowControl w:val="0"/>
        <w:numPr>
          <w:ilvl w:val="0"/>
          <w:numId w:val="0"/>
        </w:numPr>
        <w:kinsoku/>
        <w:wordWrap/>
        <w:overflowPunct/>
        <w:topLinePunct w:val="0"/>
        <w:autoSpaceDE/>
        <w:autoSpaceDN/>
        <w:bidi w:val="0"/>
        <w:adjustRightInd w:val="0"/>
        <w:snapToGrid w:val="0"/>
        <w:spacing w:beforeLines="0" w:afterLines="0"/>
        <w:ind w:firstLine="480" w:firstLineChars="200"/>
        <w:jc w:val="both"/>
        <w:textAlignment w:val="auto"/>
        <w:rPr>
          <w:rFonts w:hAnsi="宋体"/>
          <w:color w:val="auto"/>
          <w:highlight w:val="none"/>
        </w:rPr>
      </w:pPr>
      <w:r>
        <w:rPr>
          <w:rFonts w:hint="eastAsia" w:hAnsi="宋体"/>
          <w:color w:val="auto"/>
          <w:highlight w:val="none"/>
        </w:rPr>
        <w:t>评价范围内</w:t>
      </w:r>
      <w:r>
        <w:rPr>
          <w:rFonts w:hint="eastAsia" w:ascii="宋体"/>
          <w:color w:val="auto"/>
          <w:sz w:val="24"/>
          <w:highlight w:val="none"/>
          <w:lang w:eastAsia="zh-CN"/>
        </w:rPr>
        <w:t>镰湾河</w:t>
      </w:r>
      <w:r>
        <w:rPr>
          <w:rFonts w:hint="eastAsia"/>
          <w:color w:val="auto"/>
          <w:sz w:val="24"/>
          <w:highlight w:val="none"/>
        </w:rPr>
        <w:t>(2#镰湾河污水净化有限公司排水口处、下游1</w:t>
      </w:r>
      <w:r>
        <w:rPr>
          <w:rFonts w:hint="eastAsia"/>
          <w:color w:val="auto"/>
          <w:sz w:val="24"/>
          <w:highlight w:val="none"/>
          <w:lang w:val="en-US" w:eastAsia="zh-CN"/>
        </w:rPr>
        <w:t>0</w:t>
      </w:r>
      <w:r>
        <w:rPr>
          <w:rFonts w:hint="eastAsia"/>
          <w:color w:val="auto"/>
          <w:sz w:val="24"/>
          <w:highlight w:val="none"/>
        </w:rPr>
        <w:t>00m两个监测断面)除</w:t>
      </w:r>
      <w:r>
        <w:rPr>
          <w:rFonts w:hint="eastAsia"/>
          <w:color w:val="auto"/>
          <w:kern w:val="0"/>
          <w:sz w:val="24"/>
          <w:highlight w:val="none"/>
          <w:lang w:eastAsia="zh-CN"/>
        </w:rPr>
        <w:t>总磷、阴离子表面活性剂</w:t>
      </w:r>
      <w:r>
        <w:rPr>
          <w:rFonts w:hint="eastAsia"/>
          <w:color w:val="auto"/>
          <w:sz w:val="24"/>
          <w:highlight w:val="none"/>
        </w:rPr>
        <w:t>外，其他</w:t>
      </w:r>
      <w:r>
        <w:rPr>
          <w:color w:val="auto"/>
          <w:sz w:val="24"/>
          <w:highlight w:val="none"/>
        </w:rPr>
        <w:t>均满足《地表水环境质量标准》</w:t>
      </w:r>
      <w:r>
        <w:rPr>
          <w:rFonts w:hint="eastAsia"/>
          <w:color w:val="auto"/>
          <w:sz w:val="24"/>
          <w:highlight w:val="none"/>
        </w:rPr>
        <w:t>(</w:t>
      </w:r>
      <w:r>
        <w:rPr>
          <w:color w:val="auto"/>
          <w:sz w:val="24"/>
          <w:highlight w:val="none"/>
        </w:rPr>
        <w:t>GB3838-2002</w:t>
      </w:r>
      <w:r>
        <w:rPr>
          <w:rFonts w:hint="eastAsia"/>
          <w:color w:val="auto"/>
          <w:sz w:val="24"/>
          <w:highlight w:val="none"/>
        </w:rPr>
        <w:t>)</w:t>
      </w:r>
      <w:r>
        <w:rPr>
          <w:color w:val="auto"/>
          <w:sz w:val="24"/>
          <w:highlight w:val="none"/>
        </w:rPr>
        <w:t>的V类水质标准</w:t>
      </w:r>
      <w:r>
        <w:rPr>
          <w:rFonts w:hint="eastAsia" w:hAnsi="宋体"/>
          <w:color w:val="auto"/>
          <w:highlight w:val="none"/>
        </w:rPr>
        <w:t>。</w:t>
      </w:r>
    </w:p>
    <w:p>
      <w:pPr>
        <w:pStyle w:val="87"/>
        <w:pageBreakBefore w:val="0"/>
        <w:widowControl w:val="0"/>
        <w:kinsoku/>
        <w:wordWrap/>
        <w:overflowPunct/>
        <w:topLinePunct w:val="0"/>
        <w:autoSpaceDE/>
        <w:autoSpaceDN/>
        <w:bidi w:val="0"/>
        <w:adjustRightInd w:val="0"/>
        <w:snapToGrid w:val="0"/>
        <w:spacing w:beforeLines="0" w:afterLines="0"/>
        <w:textAlignment w:val="auto"/>
        <w:rPr>
          <w:rFonts w:hAnsi="宋体"/>
          <w:color w:val="auto"/>
          <w:highlight w:val="none"/>
        </w:rPr>
      </w:pPr>
      <w:r>
        <w:rPr>
          <w:rFonts w:hint="eastAsia" w:hAnsi="宋体"/>
          <w:color w:val="auto"/>
          <w:highlight w:val="none"/>
        </w:rPr>
        <w:t>(2)地表水</w:t>
      </w:r>
      <w:r>
        <w:rPr>
          <w:rFonts w:hAnsi="宋体"/>
          <w:color w:val="auto"/>
          <w:highlight w:val="none"/>
        </w:rPr>
        <w:t>质量</w:t>
      </w:r>
      <w:r>
        <w:rPr>
          <w:rFonts w:hint="eastAsia" w:hAnsi="宋体"/>
          <w:color w:val="auto"/>
          <w:highlight w:val="none"/>
        </w:rPr>
        <w:t>变化趋势</w:t>
      </w:r>
    </w:p>
    <w:p>
      <w:pPr>
        <w:pStyle w:val="93"/>
        <w:pageBreakBefore w:val="0"/>
        <w:widowControl w:val="0"/>
        <w:numPr>
          <w:ilvl w:val="0"/>
          <w:numId w:val="0"/>
        </w:numPr>
        <w:kinsoku/>
        <w:wordWrap/>
        <w:overflowPunct/>
        <w:topLinePunct w:val="0"/>
        <w:autoSpaceDE/>
        <w:autoSpaceDN/>
        <w:bidi w:val="0"/>
        <w:adjustRightInd w:val="0"/>
        <w:snapToGrid w:val="0"/>
        <w:spacing w:beforeLines="0" w:afterLines="0"/>
        <w:ind w:firstLine="480" w:firstLineChars="200"/>
        <w:jc w:val="both"/>
        <w:textAlignment w:val="auto"/>
        <w:rPr>
          <w:rFonts w:hAnsi="宋体"/>
          <w:color w:val="auto"/>
          <w:highlight w:val="none"/>
        </w:rPr>
      </w:pPr>
      <w:r>
        <w:rPr>
          <w:rFonts w:hint="eastAsia" w:hAnsi="宋体"/>
          <w:color w:val="auto"/>
          <w:highlight w:val="none"/>
        </w:rPr>
        <w:t>根据对比20</w:t>
      </w:r>
      <w:r>
        <w:rPr>
          <w:rFonts w:hint="eastAsia" w:hAnsi="宋体"/>
          <w:color w:val="auto"/>
          <w:highlight w:val="none"/>
          <w:lang w:val="en-US" w:eastAsia="zh-CN"/>
        </w:rPr>
        <w:t>12</w:t>
      </w:r>
      <w:r>
        <w:rPr>
          <w:rFonts w:hint="eastAsia" w:hAnsi="宋体"/>
          <w:color w:val="auto"/>
          <w:highlight w:val="none"/>
        </w:rPr>
        <w:t>年数据和201</w:t>
      </w:r>
      <w:r>
        <w:rPr>
          <w:rFonts w:hint="eastAsia" w:hAnsi="宋体"/>
          <w:color w:val="auto"/>
          <w:highlight w:val="none"/>
          <w:lang w:val="en-US" w:eastAsia="zh-CN"/>
        </w:rPr>
        <w:t>9</w:t>
      </w:r>
      <w:r>
        <w:rPr>
          <w:rFonts w:hint="eastAsia" w:hAnsi="宋体"/>
          <w:color w:val="auto"/>
          <w:highlight w:val="none"/>
        </w:rPr>
        <w:t>年数据，</w:t>
      </w:r>
      <w:r>
        <w:rPr>
          <w:rFonts w:hint="eastAsia"/>
          <w:color w:val="auto"/>
          <w:sz w:val="24"/>
          <w:highlight w:val="none"/>
          <w:lang w:eastAsia="zh-CN"/>
        </w:rPr>
        <w:t>镰湾河</w:t>
      </w:r>
      <w:r>
        <w:rPr>
          <w:rFonts w:hint="eastAsia"/>
          <w:color w:val="auto"/>
          <w:sz w:val="24"/>
          <w:highlight w:val="none"/>
        </w:rPr>
        <w:t>水质</w:t>
      </w:r>
      <w:r>
        <w:rPr>
          <w:rFonts w:hint="eastAsia"/>
          <w:color w:val="auto"/>
          <w:sz w:val="24"/>
          <w:highlight w:val="none"/>
          <w:lang w:val="en-US" w:eastAsia="zh-CN"/>
        </w:rPr>
        <w:t>因子</w:t>
      </w:r>
      <w:r>
        <w:rPr>
          <w:rFonts w:hint="eastAsia"/>
          <w:color w:val="auto"/>
          <w:sz w:val="24"/>
          <w:highlight w:val="none"/>
        </w:rPr>
        <w:t>中铜、锌浓度有所下降</w:t>
      </w:r>
      <w:r>
        <w:rPr>
          <w:rFonts w:hint="eastAsia"/>
          <w:color w:val="auto"/>
          <w:sz w:val="24"/>
          <w:highlight w:val="none"/>
          <w:lang w:eastAsia="zh-CN"/>
        </w:rPr>
        <w:t>，</w:t>
      </w:r>
      <w:r>
        <w:rPr>
          <w:rFonts w:hint="eastAsia"/>
          <w:color w:val="auto"/>
          <w:sz w:val="24"/>
          <w:highlight w:val="none"/>
          <w:lang w:val="en-US" w:eastAsia="zh-CN"/>
        </w:rPr>
        <w:t>项目特征因子</w:t>
      </w:r>
      <w:r>
        <w:rPr>
          <w:color w:val="auto"/>
          <w:sz w:val="24"/>
          <w:highlight w:val="none"/>
        </w:rPr>
        <w:t>均满足《地表水环境质量标准》</w:t>
      </w:r>
      <w:r>
        <w:rPr>
          <w:rFonts w:hint="eastAsia"/>
          <w:color w:val="auto"/>
          <w:sz w:val="24"/>
          <w:highlight w:val="none"/>
        </w:rPr>
        <w:t>(</w:t>
      </w:r>
      <w:r>
        <w:rPr>
          <w:color w:val="auto"/>
          <w:sz w:val="24"/>
          <w:highlight w:val="none"/>
        </w:rPr>
        <w:t>GB3838-2002</w:t>
      </w:r>
      <w:r>
        <w:rPr>
          <w:rFonts w:hint="eastAsia"/>
          <w:color w:val="auto"/>
          <w:sz w:val="24"/>
          <w:highlight w:val="none"/>
        </w:rPr>
        <w:t>)</w:t>
      </w:r>
      <w:r>
        <w:rPr>
          <w:color w:val="auto"/>
          <w:sz w:val="24"/>
          <w:highlight w:val="none"/>
        </w:rPr>
        <w:t>的V类水质标准</w:t>
      </w:r>
      <w:r>
        <w:rPr>
          <w:rFonts w:hint="eastAsia"/>
          <w:color w:val="auto"/>
          <w:sz w:val="24"/>
          <w:highlight w:val="none"/>
        </w:rPr>
        <w:t>。</w:t>
      </w:r>
    </w:p>
    <w:p>
      <w:pPr>
        <w:pStyle w:val="87"/>
        <w:pageBreakBefore w:val="0"/>
        <w:widowControl w:val="0"/>
        <w:kinsoku/>
        <w:wordWrap/>
        <w:overflowPunct/>
        <w:topLinePunct w:val="0"/>
        <w:autoSpaceDE/>
        <w:autoSpaceDN/>
        <w:bidi w:val="0"/>
        <w:adjustRightInd w:val="0"/>
        <w:snapToGrid w:val="0"/>
        <w:spacing w:beforeLines="0" w:afterLines="0"/>
        <w:textAlignment w:val="auto"/>
        <w:rPr>
          <w:rFonts w:eastAsia="黑体"/>
          <w:color w:val="auto"/>
          <w:highlight w:val="none"/>
        </w:rPr>
      </w:pPr>
      <w:r>
        <w:rPr>
          <w:rFonts w:hint="eastAsia" w:eastAsia="黑体"/>
          <w:color w:val="auto"/>
          <w:highlight w:val="none"/>
        </w:rPr>
        <w:t>3、地下水质量现状及变化趋势</w:t>
      </w:r>
    </w:p>
    <w:p>
      <w:pPr>
        <w:pStyle w:val="93"/>
        <w:pageBreakBefore w:val="0"/>
        <w:widowControl w:val="0"/>
        <w:numPr>
          <w:ilvl w:val="0"/>
          <w:numId w:val="0"/>
        </w:numPr>
        <w:kinsoku/>
        <w:wordWrap/>
        <w:overflowPunct/>
        <w:topLinePunct w:val="0"/>
        <w:autoSpaceDE/>
        <w:autoSpaceDN/>
        <w:bidi w:val="0"/>
        <w:adjustRightInd w:val="0"/>
        <w:snapToGrid w:val="0"/>
        <w:spacing w:beforeLines="0" w:afterLines="0"/>
        <w:ind w:firstLine="480" w:firstLineChars="200"/>
        <w:textAlignment w:val="auto"/>
        <w:rPr>
          <w:color w:val="auto"/>
          <w:highlight w:val="none"/>
        </w:rPr>
      </w:pPr>
      <w:r>
        <w:rPr>
          <w:rFonts w:hint="eastAsia"/>
          <w:color w:val="auto"/>
          <w:highlight w:val="none"/>
        </w:rPr>
        <w:t>(1)地下水质量现状</w:t>
      </w:r>
    </w:p>
    <w:p>
      <w:pPr>
        <w:pStyle w:val="93"/>
        <w:pageBreakBefore w:val="0"/>
        <w:widowControl w:val="0"/>
        <w:numPr>
          <w:ilvl w:val="0"/>
          <w:numId w:val="0"/>
        </w:numPr>
        <w:kinsoku/>
        <w:wordWrap/>
        <w:overflowPunct/>
        <w:topLinePunct w:val="0"/>
        <w:autoSpaceDE/>
        <w:autoSpaceDN/>
        <w:bidi w:val="0"/>
        <w:adjustRightInd w:val="0"/>
        <w:snapToGrid w:val="0"/>
        <w:spacing w:beforeLines="0" w:afterLines="0"/>
        <w:ind w:firstLine="480" w:firstLineChars="200"/>
        <w:textAlignment w:val="auto"/>
        <w:rPr>
          <w:color w:val="auto"/>
          <w:highlight w:val="none"/>
        </w:rPr>
      </w:pPr>
      <w:r>
        <w:rPr>
          <w:rFonts w:hint="eastAsia"/>
          <w:color w:val="auto"/>
          <w:kern w:val="0"/>
          <w:sz w:val="24"/>
          <w:highlight w:val="none"/>
          <w:lang w:val="zh-CN"/>
        </w:rPr>
        <w:t>东盐滩社区</w:t>
      </w:r>
      <w:r>
        <w:rPr>
          <w:rFonts w:hint="eastAsia" w:ascii="宋体"/>
          <w:color w:val="auto"/>
          <w:sz w:val="24"/>
          <w:highlight w:val="none"/>
        </w:rPr>
        <w:t>除</w:t>
      </w:r>
      <w:r>
        <w:rPr>
          <w:rFonts w:hint="eastAsia" w:ascii="宋体"/>
          <w:color w:val="auto"/>
          <w:sz w:val="24"/>
          <w:highlight w:val="none"/>
          <w:lang w:eastAsia="zh-CN"/>
        </w:rPr>
        <w:t>硝酸盐</w:t>
      </w:r>
      <w:r>
        <w:rPr>
          <w:rFonts w:hint="eastAsia" w:ascii="宋体"/>
          <w:color w:val="auto"/>
          <w:sz w:val="24"/>
          <w:highlight w:val="none"/>
        </w:rPr>
        <w:t>，</w:t>
      </w:r>
      <w:r>
        <w:rPr>
          <w:rFonts w:hint="eastAsia"/>
          <w:color w:val="auto"/>
          <w:sz w:val="24"/>
          <w:highlight w:val="none"/>
        </w:rPr>
        <w:t>其他监测因子均满足</w:t>
      </w:r>
      <w:r>
        <w:rPr>
          <w:color w:val="auto"/>
          <w:sz w:val="24"/>
          <w:highlight w:val="none"/>
        </w:rPr>
        <w:t>《地下水质量标准》</w:t>
      </w:r>
      <w:r>
        <w:rPr>
          <w:rFonts w:hint="eastAsia"/>
          <w:color w:val="auto"/>
          <w:sz w:val="24"/>
          <w:highlight w:val="none"/>
          <w:lang w:eastAsia="zh-CN"/>
        </w:rPr>
        <w:t>(</w:t>
      </w:r>
      <w:r>
        <w:rPr>
          <w:color w:val="auto"/>
          <w:sz w:val="24"/>
          <w:highlight w:val="none"/>
        </w:rPr>
        <w:t>GB/T14848-</w:t>
      </w:r>
      <w:r>
        <w:rPr>
          <w:rFonts w:hint="eastAsia"/>
          <w:color w:val="auto"/>
          <w:sz w:val="24"/>
          <w:highlight w:val="none"/>
        </w:rPr>
        <w:t>2017</w:t>
      </w:r>
      <w:r>
        <w:rPr>
          <w:rFonts w:hint="eastAsia"/>
          <w:color w:val="auto"/>
          <w:sz w:val="24"/>
          <w:highlight w:val="none"/>
          <w:lang w:eastAsia="zh-CN"/>
        </w:rPr>
        <w:t>)</w:t>
      </w:r>
      <w:r>
        <w:rPr>
          <w:rFonts w:hint="eastAsia" w:ascii="宋体"/>
          <w:color w:val="auto"/>
          <w:sz w:val="24"/>
          <w:highlight w:val="none"/>
        </w:rPr>
        <w:t>Ⅲ类标准的要求</w:t>
      </w:r>
      <w:r>
        <w:rPr>
          <w:color w:val="auto"/>
          <w:sz w:val="24"/>
          <w:highlight w:val="none"/>
        </w:rPr>
        <w:t>。</w:t>
      </w:r>
      <w:r>
        <w:rPr>
          <w:rFonts w:hint="eastAsia"/>
          <w:color w:val="auto"/>
          <w:kern w:val="0"/>
          <w:sz w:val="24"/>
          <w:highlight w:val="none"/>
          <w:lang w:val="zh-CN"/>
        </w:rPr>
        <w:t>项目区</w:t>
      </w:r>
      <w:r>
        <w:rPr>
          <w:color w:val="auto"/>
          <w:kern w:val="0"/>
          <w:sz w:val="24"/>
          <w:highlight w:val="none"/>
          <w:lang w:val="zh-CN"/>
        </w:rPr>
        <w:t>除</w:t>
      </w:r>
      <w:r>
        <w:rPr>
          <w:rFonts w:hint="eastAsia"/>
          <w:color w:val="auto"/>
          <w:kern w:val="0"/>
          <w:sz w:val="24"/>
          <w:highlight w:val="none"/>
          <w:lang w:val="zh-CN"/>
        </w:rPr>
        <w:t>总硬度、氨氮、硝酸盐</w:t>
      </w:r>
      <w:r>
        <w:rPr>
          <w:color w:val="auto"/>
          <w:kern w:val="0"/>
          <w:sz w:val="24"/>
          <w:highlight w:val="none"/>
          <w:lang w:val="zh-CN"/>
        </w:rPr>
        <w:t>的标准指数大于1，</w:t>
      </w:r>
      <w:r>
        <w:rPr>
          <w:rFonts w:hint="eastAsia"/>
          <w:color w:val="auto"/>
          <w:kern w:val="0"/>
          <w:sz w:val="24"/>
          <w:highlight w:val="none"/>
          <w:lang w:val="zh-CN"/>
        </w:rPr>
        <w:t>其余</w:t>
      </w:r>
      <w:r>
        <w:rPr>
          <w:rFonts w:hint="eastAsia"/>
          <w:color w:val="auto"/>
          <w:sz w:val="24"/>
          <w:highlight w:val="none"/>
        </w:rPr>
        <w:t>监测因子均</w:t>
      </w:r>
      <w:r>
        <w:rPr>
          <w:color w:val="auto"/>
          <w:kern w:val="0"/>
          <w:sz w:val="24"/>
          <w:highlight w:val="none"/>
          <w:lang w:val="zh-CN"/>
        </w:rPr>
        <w:t>满足《地下水环境质量标准》(GB14848-2017)Ⅲ类标准</w:t>
      </w:r>
      <w:r>
        <w:rPr>
          <w:color w:val="auto"/>
          <w:highlight w:val="none"/>
        </w:rPr>
        <w:t>。</w:t>
      </w:r>
    </w:p>
    <w:p>
      <w:pPr>
        <w:pStyle w:val="87"/>
        <w:pageBreakBefore w:val="0"/>
        <w:widowControl w:val="0"/>
        <w:kinsoku/>
        <w:wordWrap/>
        <w:overflowPunct/>
        <w:topLinePunct w:val="0"/>
        <w:autoSpaceDE/>
        <w:autoSpaceDN/>
        <w:bidi w:val="0"/>
        <w:adjustRightInd w:val="0"/>
        <w:snapToGrid w:val="0"/>
        <w:spacing w:beforeLines="0" w:afterLines="0"/>
        <w:textAlignment w:val="auto"/>
        <w:rPr>
          <w:color w:val="auto"/>
          <w:highlight w:val="none"/>
        </w:rPr>
      </w:pPr>
      <w:r>
        <w:rPr>
          <w:rFonts w:hint="eastAsia"/>
          <w:color w:val="auto"/>
          <w:highlight w:val="none"/>
        </w:rPr>
        <w:t>(2)地下水质量变化趋势</w:t>
      </w:r>
    </w:p>
    <w:p>
      <w:pPr>
        <w:pStyle w:val="87"/>
        <w:pageBreakBefore w:val="0"/>
        <w:widowControl w:val="0"/>
        <w:kinsoku/>
        <w:wordWrap/>
        <w:overflowPunct/>
        <w:topLinePunct w:val="0"/>
        <w:autoSpaceDE/>
        <w:autoSpaceDN/>
        <w:bidi w:val="0"/>
        <w:adjustRightInd w:val="0"/>
        <w:snapToGrid w:val="0"/>
        <w:spacing w:beforeLines="0" w:afterLines="0"/>
        <w:textAlignment w:val="auto"/>
        <w:rPr>
          <w:color w:val="auto"/>
          <w:highlight w:val="none"/>
        </w:rPr>
      </w:pPr>
      <w:r>
        <w:rPr>
          <w:rFonts w:hint="eastAsia"/>
          <w:color w:val="auto"/>
          <w:highlight w:val="none"/>
        </w:rPr>
        <w:t>通过</w:t>
      </w:r>
      <w:r>
        <w:rPr>
          <w:rFonts w:hint="eastAsia"/>
          <w:color w:val="auto"/>
          <w:sz w:val="24"/>
          <w:highlight w:val="none"/>
        </w:rPr>
        <w:t>200</w:t>
      </w:r>
      <w:r>
        <w:rPr>
          <w:rFonts w:hint="eastAsia"/>
          <w:color w:val="auto"/>
          <w:sz w:val="24"/>
          <w:highlight w:val="none"/>
          <w:lang w:val="en-US" w:eastAsia="zh-CN"/>
        </w:rPr>
        <w:t>3</w:t>
      </w:r>
      <w:r>
        <w:rPr>
          <w:rFonts w:hint="eastAsia"/>
          <w:color w:val="auto"/>
          <w:sz w:val="24"/>
          <w:highlight w:val="none"/>
        </w:rPr>
        <w:t>年</w:t>
      </w:r>
      <w:r>
        <w:rPr>
          <w:rFonts w:hint="eastAsia"/>
          <w:color w:val="auto"/>
          <w:sz w:val="24"/>
          <w:highlight w:val="none"/>
          <w:lang w:eastAsia="zh-CN"/>
        </w:rPr>
        <w:t>、</w:t>
      </w:r>
      <w:r>
        <w:rPr>
          <w:rFonts w:hint="eastAsia"/>
          <w:color w:val="auto"/>
          <w:sz w:val="24"/>
          <w:highlight w:val="none"/>
          <w:lang w:val="en-US" w:eastAsia="zh-CN"/>
        </w:rPr>
        <w:t>2013年</w:t>
      </w:r>
      <w:r>
        <w:rPr>
          <w:rFonts w:hint="eastAsia"/>
          <w:color w:val="auto"/>
          <w:sz w:val="24"/>
          <w:highlight w:val="none"/>
        </w:rPr>
        <w:t>数据</w:t>
      </w:r>
      <w:r>
        <w:rPr>
          <w:rFonts w:hint="eastAsia"/>
          <w:color w:val="auto"/>
          <w:highlight w:val="none"/>
        </w:rPr>
        <w:t>与本次后评价监测数据对比，</w:t>
      </w:r>
      <w:r>
        <w:rPr>
          <w:rFonts w:hint="eastAsia"/>
          <w:color w:val="auto"/>
          <w:highlight w:val="none"/>
          <w:lang w:val="en-US" w:eastAsia="zh-CN"/>
        </w:rPr>
        <w:t>项目区</w:t>
      </w:r>
      <w:r>
        <w:rPr>
          <w:rFonts w:hint="eastAsia"/>
          <w:color w:val="auto"/>
          <w:sz w:val="24"/>
          <w:highlight w:val="none"/>
        </w:rPr>
        <w:t>地下水水质监测因子中总硬度、溶解性固体、硫酸盐、氯化物、锌等</w:t>
      </w:r>
      <w:r>
        <w:rPr>
          <w:rFonts w:hint="eastAsia"/>
          <w:color w:val="auto"/>
          <w:sz w:val="24"/>
          <w:highlight w:val="none"/>
          <w:lang w:eastAsia="zh-CN"/>
        </w:rPr>
        <w:t>指标有所上升</w:t>
      </w:r>
      <w:r>
        <w:rPr>
          <w:rFonts w:hint="eastAsia"/>
          <w:color w:val="auto"/>
          <w:highlight w:val="none"/>
        </w:rPr>
        <w:t>。</w:t>
      </w:r>
    </w:p>
    <w:p>
      <w:pPr>
        <w:pStyle w:val="87"/>
        <w:pageBreakBefore w:val="0"/>
        <w:widowControl w:val="0"/>
        <w:kinsoku/>
        <w:wordWrap/>
        <w:overflowPunct/>
        <w:topLinePunct w:val="0"/>
        <w:autoSpaceDE/>
        <w:autoSpaceDN/>
        <w:bidi w:val="0"/>
        <w:adjustRightInd w:val="0"/>
        <w:snapToGrid w:val="0"/>
        <w:spacing w:beforeLines="0" w:afterLines="0"/>
        <w:textAlignment w:val="auto"/>
        <w:rPr>
          <w:rFonts w:eastAsia="黑体"/>
          <w:color w:val="auto"/>
          <w:highlight w:val="none"/>
        </w:rPr>
      </w:pPr>
      <w:r>
        <w:rPr>
          <w:rFonts w:hint="eastAsia" w:eastAsia="黑体"/>
          <w:color w:val="auto"/>
          <w:highlight w:val="none"/>
        </w:rPr>
        <w:t>4、声环境现状及变化趋势</w:t>
      </w:r>
    </w:p>
    <w:p>
      <w:pPr>
        <w:pStyle w:val="87"/>
        <w:pageBreakBefore w:val="0"/>
        <w:widowControl w:val="0"/>
        <w:kinsoku/>
        <w:wordWrap/>
        <w:overflowPunct/>
        <w:topLinePunct w:val="0"/>
        <w:autoSpaceDE/>
        <w:autoSpaceDN/>
        <w:bidi w:val="0"/>
        <w:adjustRightInd w:val="0"/>
        <w:snapToGrid w:val="0"/>
        <w:spacing w:beforeLines="0" w:afterLines="0"/>
        <w:textAlignment w:val="auto"/>
        <w:rPr>
          <w:color w:val="auto"/>
          <w:highlight w:val="none"/>
        </w:rPr>
      </w:pPr>
      <w:r>
        <w:rPr>
          <w:rFonts w:hint="eastAsia"/>
          <w:color w:val="auto"/>
          <w:highlight w:val="none"/>
        </w:rPr>
        <w:t>(1)声环境现状</w:t>
      </w:r>
    </w:p>
    <w:p>
      <w:pPr>
        <w:pStyle w:val="93"/>
        <w:pageBreakBefore w:val="0"/>
        <w:widowControl w:val="0"/>
        <w:numPr>
          <w:ilvl w:val="0"/>
          <w:numId w:val="0"/>
        </w:numPr>
        <w:kinsoku/>
        <w:wordWrap/>
        <w:overflowPunct/>
        <w:topLinePunct w:val="0"/>
        <w:autoSpaceDE/>
        <w:autoSpaceDN/>
        <w:bidi w:val="0"/>
        <w:adjustRightInd w:val="0"/>
        <w:snapToGrid w:val="0"/>
        <w:spacing w:beforeLines="0" w:afterLines="0"/>
        <w:ind w:firstLine="480" w:firstLineChars="200"/>
        <w:jc w:val="both"/>
        <w:textAlignment w:val="auto"/>
        <w:rPr>
          <w:color w:val="auto"/>
          <w:highlight w:val="none"/>
        </w:rPr>
      </w:pPr>
      <w:r>
        <w:rPr>
          <w:rFonts w:hint="eastAsia"/>
          <w:color w:val="auto"/>
          <w:highlight w:val="none"/>
        </w:rPr>
        <w:t>根据现状监测结果，项目所在区域昼夜间噪声均满足《声环境质量标准》(GB3096-2008)中的3类标准。</w:t>
      </w:r>
    </w:p>
    <w:p>
      <w:pPr>
        <w:pStyle w:val="87"/>
        <w:pageBreakBefore w:val="0"/>
        <w:widowControl w:val="0"/>
        <w:kinsoku/>
        <w:wordWrap/>
        <w:overflowPunct/>
        <w:topLinePunct w:val="0"/>
        <w:autoSpaceDE/>
        <w:autoSpaceDN/>
        <w:bidi w:val="0"/>
        <w:adjustRightInd w:val="0"/>
        <w:snapToGrid w:val="0"/>
        <w:spacing w:beforeLines="0" w:afterLines="0"/>
        <w:textAlignment w:val="auto"/>
        <w:rPr>
          <w:color w:val="auto"/>
          <w:highlight w:val="none"/>
        </w:rPr>
      </w:pPr>
      <w:r>
        <w:rPr>
          <w:rFonts w:hint="eastAsia"/>
          <w:color w:val="auto"/>
          <w:highlight w:val="none"/>
        </w:rPr>
        <w:t>(</w:t>
      </w:r>
      <w:r>
        <w:rPr>
          <w:color w:val="auto"/>
          <w:highlight w:val="none"/>
        </w:rPr>
        <w:t>2</w:t>
      </w:r>
      <w:r>
        <w:rPr>
          <w:rFonts w:hint="eastAsia"/>
          <w:color w:val="auto"/>
          <w:highlight w:val="none"/>
        </w:rPr>
        <w:t>)声环境变化趋势</w:t>
      </w:r>
    </w:p>
    <w:p>
      <w:pPr>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color w:val="auto"/>
          <w:sz w:val="24"/>
          <w:highlight w:val="none"/>
        </w:rPr>
      </w:pPr>
      <w:r>
        <w:rPr>
          <w:rFonts w:hint="eastAsia"/>
          <w:color w:val="auto"/>
          <w:sz w:val="24"/>
          <w:highlight w:val="none"/>
        </w:rPr>
        <w:t>根据对比200</w:t>
      </w:r>
      <w:r>
        <w:rPr>
          <w:rFonts w:hint="eastAsia"/>
          <w:color w:val="auto"/>
          <w:sz w:val="24"/>
          <w:highlight w:val="none"/>
          <w:lang w:val="en-US" w:eastAsia="zh-CN"/>
        </w:rPr>
        <w:t>3</w:t>
      </w:r>
      <w:r>
        <w:rPr>
          <w:rFonts w:hint="eastAsia"/>
          <w:color w:val="auto"/>
          <w:sz w:val="24"/>
          <w:highlight w:val="none"/>
        </w:rPr>
        <w:t>年数据与201</w:t>
      </w:r>
      <w:r>
        <w:rPr>
          <w:rFonts w:hint="eastAsia"/>
          <w:color w:val="auto"/>
          <w:sz w:val="24"/>
          <w:highlight w:val="none"/>
          <w:lang w:val="en-US" w:eastAsia="zh-CN"/>
        </w:rPr>
        <w:t>9</w:t>
      </w:r>
      <w:r>
        <w:rPr>
          <w:rFonts w:hint="eastAsia"/>
          <w:color w:val="auto"/>
          <w:sz w:val="24"/>
          <w:highlight w:val="none"/>
        </w:rPr>
        <w:t>年数据，厂界昼间</w:t>
      </w:r>
      <w:r>
        <w:rPr>
          <w:rFonts w:hint="eastAsia"/>
          <w:color w:val="auto"/>
          <w:sz w:val="24"/>
          <w:highlight w:val="none"/>
          <w:lang w:eastAsia="zh-CN"/>
        </w:rPr>
        <w:t>东、西、北</w:t>
      </w:r>
      <w:r>
        <w:rPr>
          <w:rFonts w:hint="eastAsia"/>
          <w:color w:val="auto"/>
          <w:sz w:val="24"/>
          <w:highlight w:val="none"/>
        </w:rPr>
        <w:t>厂界噪声</w:t>
      </w:r>
      <w:r>
        <w:rPr>
          <w:rFonts w:hint="eastAsia"/>
          <w:color w:val="auto"/>
          <w:sz w:val="24"/>
          <w:highlight w:val="none"/>
          <w:lang w:eastAsia="zh-CN"/>
        </w:rPr>
        <w:t>均有所降低</w:t>
      </w:r>
      <w:r>
        <w:rPr>
          <w:rFonts w:hint="eastAsia"/>
          <w:color w:val="auto"/>
          <w:sz w:val="24"/>
          <w:highlight w:val="none"/>
        </w:rPr>
        <w:t>，</w:t>
      </w:r>
      <w:r>
        <w:rPr>
          <w:rFonts w:hint="eastAsia"/>
          <w:color w:val="auto"/>
          <w:sz w:val="24"/>
          <w:highlight w:val="none"/>
          <w:lang w:eastAsia="zh-CN"/>
        </w:rPr>
        <w:t>南</w:t>
      </w:r>
      <w:r>
        <w:rPr>
          <w:rFonts w:hint="eastAsia"/>
          <w:color w:val="auto"/>
          <w:sz w:val="24"/>
          <w:highlight w:val="none"/>
        </w:rPr>
        <w:t>厂界</w:t>
      </w:r>
      <w:r>
        <w:rPr>
          <w:rFonts w:hint="eastAsia"/>
          <w:color w:val="auto"/>
          <w:sz w:val="24"/>
          <w:highlight w:val="none"/>
          <w:lang w:eastAsia="zh-CN"/>
        </w:rPr>
        <w:t>昼间</w:t>
      </w:r>
      <w:r>
        <w:rPr>
          <w:rFonts w:hint="eastAsia"/>
          <w:color w:val="auto"/>
          <w:sz w:val="24"/>
          <w:highlight w:val="none"/>
        </w:rPr>
        <w:t>噪声</w:t>
      </w:r>
      <w:r>
        <w:rPr>
          <w:rFonts w:hint="eastAsia"/>
          <w:color w:val="auto"/>
          <w:sz w:val="24"/>
          <w:highlight w:val="none"/>
          <w:lang w:eastAsia="zh-CN"/>
        </w:rPr>
        <w:t>有所增加</w:t>
      </w:r>
      <w:r>
        <w:rPr>
          <w:rFonts w:hint="eastAsia"/>
          <w:color w:val="auto"/>
          <w:sz w:val="24"/>
          <w:highlight w:val="none"/>
        </w:rPr>
        <w:t>，</w:t>
      </w:r>
      <w:r>
        <w:rPr>
          <w:rFonts w:hint="eastAsia"/>
          <w:color w:val="auto"/>
          <w:sz w:val="24"/>
          <w:highlight w:val="none"/>
          <w:lang w:eastAsia="zh-CN"/>
        </w:rPr>
        <w:t>因为当前园区南侧</w:t>
      </w:r>
      <w:r>
        <w:rPr>
          <w:rFonts w:hint="eastAsia"/>
          <w:color w:val="auto"/>
          <w:sz w:val="24"/>
          <w:highlight w:val="none"/>
          <w:lang w:val="en-US" w:eastAsia="zh-CN"/>
        </w:rPr>
        <w:t>科研楼在建设。</w:t>
      </w:r>
      <w:r>
        <w:rPr>
          <w:rFonts w:hint="eastAsia"/>
          <w:color w:val="auto"/>
          <w:sz w:val="24"/>
          <w:highlight w:val="none"/>
        </w:rPr>
        <w:t>厂界夜间噪声有所下降。</w:t>
      </w:r>
    </w:p>
    <w:p>
      <w:pPr>
        <w:pStyle w:val="87"/>
        <w:pageBreakBefore w:val="0"/>
        <w:widowControl w:val="0"/>
        <w:kinsoku/>
        <w:wordWrap/>
        <w:overflowPunct/>
        <w:topLinePunct w:val="0"/>
        <w:autoSpaceDE/>
        <w:autoSpaceDN/>
        <w:bidi w:val="0"/>
        <w:adjustRightInd w:val="0"/>
        <w:snapToGrid w:val="0"/>
        <w:spacing w:beforeLines="0" w:afterLines="0"/>
        <w:textAlignment w:val="auto"/>
        <w:rPr>
          <w:color w:val="auto"/>
          <w:highlight w:val="none"/>
        </w:rPr>
      </w:pPr>
      <w:r>
        <w:rPr>
          <w:rFonts w:eastAsia="黑体"/>
          <w:color w:val="auto"/>
          <w:highlight w:val="none"/>
        </w:rPr>
        <w:t>5</w:t>
      </w:r>
      <w:r>
        <w:rPr>
          <w:rFonts w:hint="eastAsia" w:eastAsia="黑体"/>
          <w:color w:val="auto"/>
          <w:highlight w:val="none"/>
        </w:rPr>
        <w:t>、土壤环境现状及变化趋势</w:t>
      </w:r>
    </w:p>
    <w:p>
      <w:pPr>
        <w:pStyle w:val="87"/>
        <w:pageBreakBefore w:val="0"/>
        <w:widowControl w:val="0"/>
        <w:kinsoku/>
        <w:wordWrap/>
        <w:overflowPunct/>
        <w:topLinePunct w:val="0"/>
        <w:autoSpaceDE/>
        <w:autoSpaceDN/>
        <w:bidi w:val="0"/>
        <w:adjustRightInd w:val="0"/>
        <w:snapToGrid w:val="0"/>
        <w:spacing w:beforeLines="0" w:afterLines="0"/>
        <w:textAlignment w:val="auto"/>
        <w:rPr>
          <w:color w:val="auto"/>
          <w:highlight w:val="none"/>
        </w:rPr>
      </w:pPr>
      <w:r>
        <w:rPr>
          <w:rFonts w:hint="eastAsia"/>
          <w:color w:val="auto"/>
          <w:highlight w:val="none"/>
        </w:rPr>
        <w:t>(1)土壤环境现状</w:t>
      </w:r>
    </w:p>
    <w:p>
      <w:pPr>
        <w:pStyle w:val="93"/>
        <w:pageBreakBefore w:val="0"/>
        <w:widowControl w:val="0"/>
        <w:numPr>
          <w:ilvl w:val="0"/>
          <w:numId w:val="0"/>
        </w:numPr>
        <w:kinsoku/>
        <w:wordWrap/>
        <w:overflowPunct/>
        <w:topLinePunct w:val="0"/>
        <w:autoSpaceDE/>
        <w:autoSpaceDN/>
        <w:bidi w:val="0"/>
        <w:adjustRightInd w:val="0"/>
        <w:snapToGrid w:val="0"/>
        <w:spacing w:beforeLines="0" w:afterLines="0"/>
        <w:ind w:firstLine="480" w:firstLineChars="200"/>
        <w:jc w:val="both"/>
        <w:textAlignment w:val="auto"/>
        <w:rPr>
          <w:color w:val="auto"/>
          <w:highlight w:val="none"/>
        </w:rPr>
      </w:pPr>
      <w:r>
        <w:rPr>
          <w:rFonts w:hint="eastAsia"/>
          <w:color w:val="auto"/>
          <w:highlight w:val="none"/>
        </w:rPr>
        <w:t>由本次监测结果可知，</w:t>
      </w:r>
      <w:r>
        <w:rPr>
          <w:rFonts w:hint="eastAsia"/>
          <w:color w:val="auto"/>
          <w:highlight w:val="none"/>
          <w:lang w:val="en-US" w:eastAsia="zh-CN"/>
        </w:rPr>
        <w:t>土壤</w:t>
      </w:r>
      <w:r>
        <w:rPr>
          <w:rFonts w:hint="eastAsia"/>
          <w:color w:val="auto"/>
          <w:highlight w:val="none"/>
        </w:rPr>
        <w:t>各监测指标均达标，满足《土壤环境质量 建设用地土壤污染风险管控标准</w:t>
      </w:r>
      <w:r>
        <w:rPr>
          <w:rFonts w:hint="eastAsia"/>
          <w:color w:val="auto"/>
          <w:highlight w:val="none"/>
          <w:lang w:eastAsia="zh-CN"/>
        </w:rPr>
        <w:t>(</w:t>
      </w:r>
      <w:r>
        <w:rPr>
          <w:rFonts w:hint="eastAsia"/>
          <w:color w:val="auto"/>
          <w:highlight w:val="none"/>
        </w:rPr>
        <w:t>试行</w:t>
      </w:r>
      <w:r>
        <w:rPr>
          <w:rFonts w:hint="eastAsia"/>
          <w:color w:val="auto"/>
          <w:highlight w:val="none"/>
          <w:lang w:eastAsia="zh-CN"/>
        </w:rPr>
        <w:t>)</w:t>
      </w:r>
      <w:r>
        <w:rPr>
          <w:rFonts w:hint="eastAsia"/>
          <w:color w:val="auto"/>
          <w:highlight w:val="none"/>
        </w:rPr>
        <w:t>》(GB36600-2018)表1中第二类用地筛选值标准要求。</w:t>
      </w:r>
    </w:p>
    <w:p>
      <w:pPr>
        <w:pStyle w:val="87"/>
        <w:pageBreakBefore w:val="0"/>
        <w:widowControl w:val="0"/>
        <w:kinsoku/>
        <w:wordWrap/>
        <w:overflowPunct/>
        <w:topLinePunct w:val="0"/>
        <w:autoSpaceDE/>
        <w:autoSpaceDN/>
        <w:bidi w:val="0"/>
        <w:adjustRightInd w:val="0"/>
        <w:snapToGrid w:val="0"/>
        <w:spacing w:beforeLines="0" w:afterLines="0"/>
        <w:textAlignment w:val="auto"/>
        <w:rPr>
          <w:color w:val="auto"/>
          <w:highlight w:val="none"/>
        </w:rPr>
      </w:pPr>
      <w:r>
        <w:rPr>
          <w:rFonts w:hint="eastAsia"/>
          <w:color w:val="auto"/>
          <w:highlight w:val="none"/>
        </w:rPr>
        <w:t>(2)土壤环境变化趋势</w:t>
      </w:r>
    </w:p>
    <w:p>
      <w:pPr>
        <w:pStyle w:val="93"/>
        <w:pageBreakBefore w:val="0"/>
        <w:widowControl w:val="0"/>
        <w:numPr>
          <w:ilvl w:val="0"/>
          <w:numId w:val="0"/>
        </w:numPr>
        <w:kinsoku/>
        <w:wordWrap/>
        <w:overflowPunct/>
        <w:topLinePunct w:val="0"/>
        <w:autoSpaceDE/>
        <w:autoSpaceDN/>
        <w:bidi w:val="0"/>
        <w:adjustRightInd w:val="0"/>
        <w:snapToGrid w:val="0"/>
        <w:spacing w:beforeLines="0" w:afterLines="0"/>
        <w:ind w:firstLine="480" w:firstLineChars="200"/>
        <w:jc w:val="both"/>
        <w:textAlignment w:val="auto"/>
        <w:rPr>
          <w:rFonts w:hint="eastAsia"/>
          <w:color w:val="auto"/>
          <w:highlight w:val="none"/>
        </w:rPr>
      </w:pPr>
      <w:r>
        <w:rPr>
          <w:rFonts w:hint="eastAsia"/>
          <w:color w:val="auto"/>
          <w:highlight w:val="none"/>
        </w:rPr>
        <w:t>根据2</w:t>
      </w:r>
      <w:r>
        <w:rPr>
          <w:color w:val="auto"/>
          <w:highlight w:val="none"/>
        </w:rPr>
        <w:t>0</w:t>
      </w:r>
      <w:r>
        <w:rPr>
          <w:rFonts w:hint="eastAsia"/>
          <w:color w:val="auto"/>
          <w:highlight w:val="none"/>
          <w:lang w:val="en-US" w:eastAsia="zh-CN"/>
        </w:rPr>
        <w:t>03</w:t>
      </w:r>
      <w:r>
        <w:rPr>
          <w:rFonts w:hint="eastAsia"/>
          <w:color w:val="auto"/>
          <w:highlight w:val="none"/>
        </w:rPr>
        <w:t>年监测数据和2</w:t>
      </w:r>
      <w:r>
        <w:rPr>
          <w:color w:val="auto"/>
          <w:highlight w:val="none"/>
        </w:rPr>
        <w:t>01</w:t>
      </w:r>
      <w:r>
        <w:rPr>
          <w:rFonts w:hint="eastAsia"/>
          <w:color w:val="auto"/>
          <w:highlight w:val="none"/>
          <w:lang w:val="en-US" w:eastAsia="zh-CN"/>
        </w:rPr>
        <w:t>9</w:t>
      </w:r>
      <w:r>
        <w:rPr>
          <w:rFonts w:hint="eastAsia"/>
          <w:color w:val="auto"/>
          <w:highlight w:val="none"/>
        </w:rPr>
        <w:t>年监测数据对比可知</w:t>
      </w:r>
      <w:r>
        <w:rPr>
          <w:rFonts w:hint="eastAsia"/>
          <w:color w:val="auto"/>
          <w:highlight w:val="none"/>
        </w:rPr>
        <w:t>，</w:t>
      </w:r>
      <w:r>
        <w:rPr>
          <w:rFonts w:hint="eastAsia"/>
          <w:color w:val="auto"/>
          <w:sz w:val="24"/>
          <w:highlight w:val="none"/>
          <w:lang w:eastAsia="zh-CN"/>
        </w:rPr>
        <w:t>土壤中铜监测值有所升高，</w:t>
      </w:r>
      <w:r>
        <w:rPr>
          <w:rFonts w:hint="eastAsia"/>
          <w:color w:val="auto"/>
          <w:sz w:val="24"/>
          <w:highlight w:val="none"/>
          <w:lang w:val="en-US" w:eastAsia="zh-CN"/>
        </w:rPr>
        <w:t>依然</w:t>
      </w:r>
      <w:r>
        <w:rPr>
          <w:rFonts w:hint="eastAsia"/>
          <w:color w:val="auto"/>
          <w:sz w:val="24"/>
          <w:highlight w:val="none"/>
          <w:lang w:val="zh-CN"/>
        </w:rPr>
        <w:t>满足《土壤环境质量 建设用地土壤污染风险管控标准(试行)》(GB36600-2018)表1中第二类用地筛选值标准要求</w:t>
      </w:r>
      <w:r>
        <w:rPr>
          <w:rFonts w:hint="eastAsia"/>
          <w:color w:val="auto"/>
          <w:highlight w:val="none"/>
        </w:rPr>
        <w:t>。</w:t>
      </w:r>
    </w:p>
    <w:p>
      <w:pPr>
        <w:pStyle w:val="87"/>
        <w:pageBreakBefore w:val="0"/>
        <w:widowControl w:val="0"/>
        <w:kinsoku/>
        <w:wordWrap/>
        <w:overflowPunct/>
        <w:topLinePunct w:val="0"/>
        <w:autoSpaceDE/>
        <w:autoSpaceDN/>
        <w:bidi w:val="0"/>
        <w:adjustRightInd w:val="0"/>
        <w:snapToGrid w:val="0"/>
        <w:spacing w:beforeLines="0" w:afterLines="0"/>
        <w:textAlignment w:val="auto"/>
        <w:rPr>
          <w:color w:val="auto"/>
          <w:highlight w:val="none"/>
        </w:rPr>
      </w:pPr>
      <w:r>
        <w:rPr>
          <w:rFonts w:hint="eastAsia" w:eastAsia="黑体"/>
          <w:color w:val="auto"/>
          <w:highlight w:val="none"/>
          <w:lang w:val="en-US" w:eastAsia="zh-CN"/>
        </w:rPr>
        <w:t>6</w:t>
      </w:r>
      <w:r>
        <w:rPr>
          <w:rFonts w:hint="eastAsia" w:eastAsia="黑体"/>
          <w:color w:val="auto"/>
          <w:highlight w:val="none"/>
        </w:rPr>
        <w:t>、</w:t>
      </w:r>
      <w:r>
        <w:rPr>
          <w:rFonts w:hint="eastAsia" w:eastAsia="黑体"/>
          <w:color w:val="auto"/>
          <w:highlight w:val="none"/>
          <w:lang w:val="en-US" w:eastAsia="zh-CN"/>
        </w:rPr>
        <w:t>海水</w:t>
      </w:r>
      <w:r>
        <w:rPr>
          <w:rFonts w:hint="eastAsia" w:eastAsia="黑体"/>
          <w:color w:val="auto"/>
          <w:highlight w:val="none"/>
        </w:rPr>
        <w:t>环境现状及变化趋势</w:t>
      </w:r>
    </w:p>
    <w:p>
      <w:pPr>
        <w:pStyle w:val="87"/>
        <w:pageBreakBefore w:val="0"/>
        <w:widowControl w:val="0"/>
        <w:kinsoku/>
        <w:wordWrap/>
        <w:overflowPunct/>
        <w:topLinePunct w:val="0"/>
        <w:autoSpaceDE/>
        <w:autoSpaceDN/>
        <w:bidi w:val="0"/>
        <w:adjustRightInd w:val="0"/>
        <w:snapToGrid w:val="0"/>
        <w:spacing w:beforeLines="0" w:afterLines="0"/>
        <w:textAlignment w:val="auto"/>
        <w:rPr>
          <w:color w:val="auto"/>
          <w:highlight w:val="none"/>
        </w:rPr>
      </w:pPr>
      <w:r>
        <w:rPr>
          <w:rFonts w:hint="eastAsia"/>
          <w:color w:val="auto"/>
          <w:highlight w:val="none"/>
        </w:rPr>
        <w:t>(1)海水环境现状</w:t>
      </w:r>
    </w:p>
    <w:p>
      <w:pPr>
        <w:pStyle w:val="93"/>
        <w:pageBreakBefore w:val="0"/>
        <w:widowControl w:val="0"/>
        <w:numPr>
          <w:ilvl w:val="0"/>
          <w:numId w:val="0"/>
        </w:numPr>
        <w:kinsoku/>
        <w:wordWrap/>
        <w:overflowPunct/>
        <w:topLinePunct w:val="0"/>
        <w:autoSpaceDE/>
        <w:autoSpaceDN/>
        <w:bidi w:val="0"/>
        <w:adjustRightInd w:val="0"/>
        <w:snapToGrid w:val="0"/>
        <w:spacing w:beforeLines="0" w:afterLines="0"/>
        <w:ind w:firstLine="480" w:firstLineChars="200"/>
        <w:jc w:val="both"/>
        <w:textAlignment w:val="auto"/>
        <w:rPr>
          <w:color w:val="auto"/>
          <w:highlight w:val="none"/>
        </w:rPr>
      </w:pPr>
      <w:r>
        <w:rPr>
          <w:rFonts w:hint="eastAsia"/>
          <w:color w:val="auto"/>
          <w:highlight w:val="none"/>
        </w:rPr>
        <w:t>由本次监测结果可知，镰湾河入海口除化学需氧量、活性磷酸盐，其他监测因子均满足《海水水质标准》(GB3097-1997)第四类标准的要求。</w:t>
      </w:r>
    </w:p>
    <w:p>
      <w:pPr>
        <w:pStyle w:val="87"/>
        <w:pageBreakBefore w:val="0"/>
        <w:widowControl w:val="0"/>
        <w:kinsoku/>
        <w:wordWrap/>
        <w:overflowPunct/>
        <w:topLinePunct w:val="0"/>
        <w:autoSpaceDE/>
        <w:autoSpaceDN/>
        <w:bidi w:val="0"/>
        <w:adjustRightInd w:val="0"/>
        <w:snapToGrid w:val="0"/>
        <w:spacing w:beforeLines="0" w:afterLines="0"/>
        <w:textAlignment w:val="auto"/>
        <w:rPr>
          <w:color w:val="auto"/>
          <w:highlight w:val="none"/>
        </w:rPr>
      </w:pPr>
      <w:r>
        <w:rPr>
          <w:rFonts w:hint="eastAsia"/>
          <w:color w:val="auto"/>
          <w:highlight w:val="none"/>
        </w:rPr>
        <w:t>(2)海水环境变化趋势</w:t>
      </w:r>
    </w:p>
    <w:p>
      <w:pPr>
        <w:pStyle w:val="93"/>
        <w:pageBreakBefore w:val="0"/>
        <w:widowControl w:val="0"/>
        <w:numPr>
          <w:ilvl w:val="0"/>
          <w:numId w:val="0"/>
        </w:numPr>
        <w:kinsoku/>
        <w:wordWrap/>
        <w:overflowPunct/>
        <w:topLinePunct w:val="0"/>
        <w:autoSpaceDE/>
        <w:autoSpaceDN/>
        <w:bidi w:val="0"/>
        <w:adjustRightInd w:val="0"/>
        <w:snapToGrid w:val="0"/>
        <w:spacing w:beforeLines="0" w:afterLines="0"/>
        <w:ind w:firstLine="480" w:firstLineChars="200"/>
        <w:jc w:val="both"/>
        <w:textAlignment w:val="auto"/>
        <w:rPr>
          <w:rFonts w:hint="eastAsia"/>
          <w:color w:val="auto"/>
          <w:highlight w:val="none"/>
        </w:rPr>
      </w:pPr>
      <w:r>
        <w:rPr>
          <w:rFonts w:hint="eastAsia"/>
          <w:color w:val="auto"/>
          <w:highlight w:val="none"/>
        </w:rPr>
        <w:t>根据2</w:t>
      </w:r>
      <w:r>
        <w:rPr>
          <w:color w:val="auto"/>
          <w:highlight w:val="none"/>
        </w:rPr>
        <w:t>0</w:t>
      </w:r>
      <w:r>
        <w:rPr>
          <w:rFonts w:hint="eastAsia"/>
          <w:color w:val="auto"/>
          <w:highlight w:val="none"/>
          <w:lang w:val="en-US" w:eastAsia="zh-CN"/>
        </w:rPr>
        <w:t>12</w:t>
      </w:r>
      <w:r>
        <w:rPr>
          <w:rFonts w:hint="eastAsia"/>
          <w:color w:val="auto"/>
          <w:highlight w:val="none"/>
        </w:rPr>
        <w:t>年监测数据和2</w:t>
      </w:r>
      <w:r>
        <w:rPr>
          <w:color w:val="auto"/>
          <w:highlight w:val="none"/>
        </w:rPr>
        <w:t>01</w:t>
      </w:r>
      <w:r>
        <w:rPr>
          <w:rFonts w:hint="eastAsia"/>
          <w:color w:val="auto"/>
          <w:highlight w:val="none"/>
          <w:lang w:val="en-US" w:eastAsia="zh-CN"/>
        </w:rPr>
        <w:t>9</w:t>
      </w:r>
      <w:r>
        <w:rPr>
          <w:rFonts w:hint="eastAsia"/>
          <w:color w:val="auto"/>
          <w:highlight w:val="none"/>
        </w:rPr>
        <w:t>年监测数据对比可知，镰湾河入海口除PH、化学需氧量、石油类、总铬、铜等指标有所升高，其余指标均有所下降。</w:t>
      </w:r>
    </w:p>
    <w:p>
      <w:pPr>
        <w:pStyle w:val="6"/>
        <w:pageBreakBefore w:val="0"/>
        <w:widowControl w:val="0"/>
        <w:numPr>
          <w:ilvl w:val="1"/>
          <w:numId w:val="0"/>
        </w:numPr>
        <w:kinsoku/>
        <w:wordWrap/>
        <w:overflowPunct/>
        <w:topLinePunct w:val="0"/>
        <w:autoSpaceDE/>
        <w:autoSpaceDN/>
        <w:bidi w:val="0"/>
        <w:adjustRightInd w:val="0"/>
        <w:snapToGrid w:val="0"/>
        <w:spacing w:before="0" w:after="0" w:line="360" w:lineRule="auto"/>
        <w:jc w:val="left"/>
        <w:textAlignment w:val="auto"/>
        <w:rPr>
          <w:b w:val="0"/>
          <w:color w:val="auto"/>
          <w:sz w:val="24"/>
          <w:szCs w:val="24"/>
          <w:highlight w:val="none"/>
        </w:rPr>
      </w:pPr>
      <w:bookmarkStart w:id="308" w:name="_Toc530655633"/>
      <w:bookmarkStart w:id="309" w:name="_Toc25476"/>
      <w:bookmarkStart w:id="310" w:name="_Toc519063330"/>
      <w:bookmarkStart w:id="311" w:name="_Hlk518651366"/>
      <w:r>
        <w:rPr>
          <w:rFonts w:hint="eastAsia"/>
          <w:b w:val="0"/>
          <w:color w:val="auto"/>
          <w:sz w:val="24"/>
          <w:szCs w:val="24"/>
          <w:highlight w:val="none"/>
          <w:lang w:val="en-US" w:eastAsia="zh-CN"/>
        </w:rPr>
        <w:t xml:space="preserve">7.4 </w:t>
      </w:r>
      <w:r>
        <w:rPr>
          <w:rFonts w:hint="eastAsia"/>
          <w:b w:val="0"/>
          <w:color w:val="auto"/>
          <w:sz w:val="24"/>
          <w:szCs w:val="24"/>
          <w:highlight w:val="none"/>
        </w:rPr>
        <w:t>环境保护措施有效性</w:t>
      </w:r>
      <w:bookmarkEnd w:id="308"/>
      <w:bookmarkEnd w:id="309"/>
      <w:bookmarkEnd w:id="310"/>
    </w:p>
    <w:p>
      <w:pPr>
        <w:pStyle w:val="93"/>
        <w:pageBreakBefore w:val="0"/>
        <w:widowControl w:val="0"/>
        <w:numPr>
          <w:ilvl w:val="0"/>
          <w:numId w:val="0"/>
        </w:numPr>
        <w:kinsoku/>
        <w:wordWrap/>
        <w:overflowPunct/>
        <w:topLinePunct w:val="0"/>
        <w:autoSpaceDE/>
        <w:autoSpaceDN/>
        <w:bidi w:val="0"/>
        <w:adjustRightInd w:val="0"/>
        <w:snapToGrid w:val="0"/>
        <w:spacing w:beforeLines="0" w:afterLines="0"/>
        <w:ind w:firstLine="480" w:firstLineChars="200"/>
        <w:textAlignment w:val="auto"/>
        <w:rPr>
          <w:color w:val="auto"/>
          <w:highlight w:val="none"/>
        </w:rPr>
      </w:pPr>
      <w:r>
        <w:rPr>
          <w:rFonts w:hint="eastAsia"/>
          <w:color w:val="auto"/>
          <w:highlight w:val="none"/>
        </w:rPr>
        <w:t>根据分析，项目采取的废气、废水、固废和噪声环境保护措施是有效的。</w:t>
      </w:r>
    </w:p>
    <w:bookmarkEnd w:id="311"/>
    <w:p>
      <w:pPr>
        <w:pStyle w:val="6"/>
        <w:pageBreakBefore w:val="0"/>
        <w:widowControl w:val="0"/>
        <w:numPr>
          <w:ilvl w:val="1"/>
          <w:numId w:val="0"/>
        </w:numPr>
        <w:kinsoku/>
        <w:wordWrap/>
        <w:overflowPunct/>
        <w:topLinePunct w:val="0"/>
        <w:autoSpaceDE/>
        <w:autoSpaceDN/>
        <w:bidi w:val="0"/>
        <w:adjustRightInd w:val="0"/>
        <w:snapToGrid w:val="0"/>
        <w:spacing w:before="0" w:after="0" w:line="360" w:lineRule="auto"/>
        <w:jc w:val="left"/>
        <w:textAlignment w:val="auto"/>
        <w:rPr>
          <w:b w:val="0"/>
          <w:color w:val="auto"/>
          <w:sz w:val="24"/>
          <w:szCs w:val="24"/>
          <w:highlight w:val="none"/>
        </w:rPr>
      </w:pPr>
      <w:bookmarkStart w:id="312" w:name="_Toc519063331"/>
      <w:bookmarkStart w:id="313" w:name="_Toc530655634"/>
      <w:bookmarkStart w:id="314" w:name="_Toc7407"/>
      <w:r>
        <w:rPr>
          <w:rFonts w:hint="eastAsia"/>
          <w:b w:val="0"/>
          <w:color w:val="auto"/>
          <w:sz w:val="24"/>
          <w:szCs w:val="24"/>
          <w:highlight w:val="none"/>
          <w:lang w:val="en-US" w:eastAsia="zh-CN"/>
        </w:rPr>
        <w:t xml:space="preserve">7.5 </w:t>
      </w:r>
      <w:r>
        <w:rPr>
          <w:rFonts w:hint="eastAsia"/>
          <w:b w:val="0"/>
          <w:color w:val="auto"/>
          <w:sz w:val="24"/>
          <w:szCs w:val="24"/>
          <w:highlight w:val="none"/>
        </w:rPr>
        <w:t>环保补救方案和改进措施</w:t>
      </w:r>
      <w:bookmarkEnd w:id="312"/>
      <w:bookmarkEnd w:id="313"/>
      <w:bookmarkEnd w:id="314"/>
    </w:p>
    <w:p>
      <w:pPr>
        <w:pStyle w:val="87"/>
        <w:pageBreakBefore w:val="0"/>
        <w:widowControl w:val="0"/>
        <w:kinsoku/>
        <w:wordWrap/>
        <w:overflowPunct/>
        <w:topLinePunct w:val="0"/>
        <w:autoSpaceDE/>
        <w:autoSpaceDN/>
        <w:bidi w:val="0"/>
        <w:adjustRightInd w:val="0"/>
        <w:snapToGrid w:val="0"/>
        <w:spacing w:beforeLines="0" w:afterLines="0"/>
        <w:jc w:val="both"/>
        <w:textAlignment w:val="auto"/>
        <w:rPr>
          <w:color w:val="auto"/>
          <w:highlight w:val="none"/>
        </w:rPr>
      </w:pPr>
      <w:r>
        <w:rPr>
          <w:rFonts w:hint="eastAsia"/>
          <w:color w:val="auto"/>
          <w:highlight w:val="none"/>
        </w:rPr>
        <w:t>根据现场实地踏勘，</w:t>
      </w:r>
      <w:r>
        <w:rPr>
          <w:rFonts w:hint="eastAsia" w:ascii="Times New Roman" w:hAnsi="Times New Roman" w:eastAsia="宋体" w:cs="Times New Roman"/>
          <w:color w:val="auto"/>
          <w:kern w:val="2"/>
          <w:sz w:val="24"/>
          <w:szCs w:val="24"/>
          <w:highlight w:val="none"/>
          <w:lang w:val="en-US" w:eastAsia="zh-CN" w:bidi="ar-SA"/>
        </w:rPr>
        <w:t>针对现场存在的环境问题，采取的整改措施如下</w:t>
      </w:r>
      <w:r>
        <w:rPr>
          <w:rFonts w:hint="eastAsia"/>
          <w:color w:val="auto"/>
          <w:highlight w:val="none"/>
        </w:rPr>
        <w:t>：</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snapToGrid w:val="0"/>
          <w:color w:val="auto"/>
          <w:sz w:val="24"/>
          <w:highlight w:val="none"/>
        </w:rPr>
      </w:pPr>
      <w:r>
        <w:rPr>
          <w:snapToGrid w:val="0"/>
          <w:color w:val="auto"/>
          <w:sz w:val="24"/>
          <w:highlight w:val="none"/>
        </w:rPr>
        <w:t>(1</w:t>
      </w:r>
      <w:r>
        <w:rPr>
          <w:rFonts w:hint="eastAsia"/>
          <w:snapToGrid w:val="0"/>
          <w:color w:val="auto"/>
          <w:sz w:val="24"/>
          <w:highlight w:val="none"/>
          <w:lang w:val="en-US" w:eastAsia="zh-CN"/>
        </w:rPr>
        <w:t>)1#车间酸洗槽采用房中房，将酸洗槽密闭起来；2#车间酸洗槽两侧设置软帘，提高废气收集效率</w:t>
      </w:r>
      <w:r>
        <w:rPr>
          <w:snapToGrid w:val="0"/>
          <w:color w:val="auto"/>
          <w:sz w:val="24"/>
          <w:highlight w:val="none"/>
        </w:rPr>
        <w:t>。</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snapToGrid w:val="0"/>
          <w:color w:val="auto"/>
          <w:sz w:val="24"/>
          <w:highlight w:val="none"/>
        </w:rPr>
      </w:pPr>
      <w:r>
        <w:rPr>
          <w:snapToGrid w:val="0"/>
          <w:color w:val="auto"/>
          <w:sz w:val="24"/>
          <w:highlight w:val="none"/>
        </w:rPr>
        <w:t>(2)</w:t>
      </w:r>
      <w:r>
        <w:rPr>
          <w:rFonts w:hint="eastAsia"/>
          <w:snapToGrid w:val="0"/>
          <w:color w:val="auto"/>
          <w:sz w:val="24"/>
          <w:highlight w:val="none"/>
          <w:lang w:val="en-US" w:eastAsia="zh-CN"/>
        </w:rPr>
        <w:t>4#车间</w:t>
      </w:r>
      <w:r>
        <w:rPr>
          <w:rFonts w:hint="eastAsia"/>
          <w:snapToGrid w:val="0"/>
          <w:color w:val="auto"/>
          <w:sz w:val="24"/>
          <w:highlight w:val="none"/>
        </w:rPr>
        <w:t>更换灵敏度更高的废气感应器，保证废气的及时收集，改善车间环境。</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napToGrid w:val="0"/>
          <w:color w:val="auto"/>
          <w:sz w:val="24"/>
          <w:highlight w:val="none"/>
        </w:rPr>
      </w:pPr>
      <w:r>
        <w:rPr>
          <w:snapToGrid w:val="0"/>
          <w:color w:val="auto"/>
          <w:sz w:val="24"/>
          <w:highlight w:val="none"/>
        </w:rPr>
        <w:t>(3)</w:t>
      </w:r>
      <w:r>
        <w:rPr>
          <w:rFonts w:hint="eastAsia"/>
          <w:snapToGrid w:val="0"/>
          <w:color w:val="auto"/>
          <w:sz w:val="24"/>
          <w:highlight w:val="none"/>
          <w:lang w:val="en-US" w:eastAsia="zh-CN"/>
        </w:rPr>
        <w:t>4#车间</w:t>
      </w:r>
      <w:r>
        <w:rPr>
          <w:rFonts w:hint="eastAsia"/>
          <w:snapToGrid w:val="0"/>
          <w:color w:val="auto"/>
          <w:sz w:val="24"/>
          <w:highlight w:val="none"/>
        </w:rPr>
        <w:t>锅炉燃烧烟气通过已建的排气筒P4-1排出。</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eastAsia="宋体"/>
          <w:color w:val="auto"/>
          <w:highlight w:val="none"/>
          <w:lang w:val="en-US" w:eastAsia="zh-CN"/>
        </w:rPr>
      </w:pPr>
      <w:r>
        <w:rPr>
          <w:rFonts w:hint="eastAsia"/>
          <w:snapToGrid w:val="0"/>
          <w:color w:val="auto"/>
          <w:sz w:val="24"/>
          <w:highlight w:val="none"/>
          <w:lang w:val="en-US" w:eastAsia="zh-CN"/>
        </w:rPr>
        <w:t>(4)建设单位应尽快编制突发环境事件应急预案，报送环保主管部门进行备案</w:t>
      </w:r>
      <w:r>
        <w:rPr>
          <w:rFonts w:hint="eastAsia"/>
          <w:snapToGrid w:val="0"/>
          <w:color w:val="auto"/>
          <w:sz w:val="24"/>
          <w:highlight w:val="none"/>
        </w:rPr>
        <w:t>。</w:t>
      </w:r>
    </w:p>
    <w:p>
      <w:pPr>
        <w:pStyle w:val="87"/>
        <w:pageBreakBefore w:val="0"/>
        <w:widowControl w:val="0"/>
        <w:kinsoku/>
        <w:wordWrap/>
        <w:overflowPunct/>
        <w:topLinePunct w:val="0"/>
        <w:autoSpaceDE/>
        <w:autoSpaceDN/>
        <w:bidi w:val="0"/>
        <w:adjustRightInd w:val="0"/>
        <w:snapToGrid w:val="0"/>
        <w:spacing w:beforeLines="0" w:afterLines="0"/>
        <w:textAlignment w:val="auto"/>
        <w:rPr>
          <w:rFonts w:hint="eastAsia"/>
          <w:color w:val="auto"/>
          <w:highlight w:val="none"/>
        </w:rPr>
      </w:pPr>
      <w:r>
        <w:rPr>
          <w:rFonts w:hint="eastAsia"/>
          <w:color w:val="auto"/>
          <w:highlight w:val="none"/>
        </w:rPr>
        <w:t>针对以上问题，企业</w:t>
      </w:r>
      <w:r>
        <w:rPr>
          <w:rFonts w:hint="eastAsia"/>
          <w:color w:val="auto"/>
          <w:highlight w:val="none"/>
          <w:lang w:val="en-US" w:eastAsia="zh-CN"/>
        </w:rPr>
        <w:t>计划</w:t>
      </w:r>
      <w:r>
        <w:rPr>
          <w:rFonts w:hint="eastAsia"/>
          <w:color w:val="auto"/>
          <w:highlight w:val="none"/>
        </w:rPr>
        <w:t>于201</w:t>
      </w:r>
      <w:r>
        <w:rPr>
          <w:rFonts w:hint="eastAsia"/>
          <w:color w:val="auto"/>
          <w:highlight w:val="none"/>
          <w:lang w:val="en-US" w:eastAsia="zh-CN"/>
        </w:rPr>
        <w:t>9</w:t>
      </w:r>
      <w:r>
        <w:rPr>
          <w:rFonts w:hint="eastAsia"/>
          <w:color w:val="auto"/>
          <w:highlight w:val="none"/>
        </w:rPr>
        <w:t>年</w:t>
      </w:r>
      <w:r>
        <w:rPr>
          <w:rFonts w:hint="eastAsia"/>
          <w:color w:val="auto"/>
          <w:highlight w:val="none"/>
          <w:lang w:val="en-US" w:eastAsia="zh-CN"/>
        </w:rPr>
        <w:t>12</w:t>
      </w:r>
      <w:r>
        <w:rPr>
          <w:rFonts w:hint="eastAsia"/>
          <w:color w:val="auto"/>
          <w:highlight w:val="none"/>
        </w:rPr>
        <w:t>月整</w:t>
      </w:r>
      <w:r>
        <w:rPr>
          <w:rFonts w:hint="eastAsia"/>
          <w:color w:val="auto"/>
          <w:highlight w:val="none"/>
        </w:rPr>
        <w:t>改完毕。</w:t>
      </w:r>
    </w:p>
    <w:p>
      <w:pPr>
        <w:pStyle w:val="6"/>
        <w:pageBreakBefore w:val="0"/>
        <w:widowControl w:val="0"/>
        <w:numPr>
          <w:ilvl w:val="1"/>
          <w:numId w:val="0"/>
        </w:numPr>
        <w:kinsoku/>
        <w:wordWrap/>
        <w:overflowPunct/>
        <w:topLinePunct w:val="0"/>
        <w:autoSpaceDE/>
        <w:autoSpaceDN/>
        <w:bidi w:val="0"/>
        <w:adjustRightInd w:val="0"/>
        <w:snapToGrid w:val="0"/>
        <w:spacing w:before="0" w:after="0" w:line="360" w:lineRule="auto"/>
        <w:jc w:val="left"/>
        <w:textAlignment w:val="auto"/>
        <w:rPr>
          <w:rFonts w:hint="eastAsia"/>
          <w:b w:val="0"/>
          <w:color w:val="auto"/>
          <w:sz w:val="24"/>
          <w:szCs w:val="24"/>
          <w:highlight w:val="none"/>
        </w:rPr>
      </w:pPr>
      <w:bookmarkStart w:id="315" w:name="_Toc23564"/>
      <w:r>
        <w:rPr>
          <w:rFonts w:hint="eastAsia"/>
          <w:b w:val="0"/>
          <w:color w:val="auto"/>
          <w:sz w:val="24"/>
          <w:szCs w:val="24"/>
          <w:highlight w:val="none"/>
          <w:lang w:val="en-US" w:eastAsia="zh-CN"/>
        </w:rPr>
        <w:t>7.6</w:t>
      </w:r>
      <w:r>
        <w:rPr>
          <w:rFonts w:hint="eastAsia"/>
          <w:b w:val="0"/>
          <w:color w:val="auto"/>
          <w:sz w:val="24"/>
          <w:szCs w:val="24"/>
          <w:highlight w:val="none"/>
        </w:rPr>
        <w:t xml:space="preserve"> 公众意见收集调查</w:t>
      </w:r>
      <w:bookmarkEnd w:id="315"/>
    </w:p>
    <w:p>
      <w:pPr>
        <w:pStyle w:val="87"/>
        <w:pageBreakBefore w:val="0"/>
        <w:widowControl w:val="0"/>
        <w:kinsoku/>
        <w:wordWrap/>
        <w:overflowPunct/>
        <w:topLinePunct w:val="0"/>
        <w:autoSpaceDE/>
        <w:autoSpaceDN/>
        <w:bidi w:val="0"/>
        <w:adjustRightInd w:val="0"/>
        <w:snapToGrid w:val="0"/>
        <w:spacing w:beforeLines="0" w:afterLines="0"/>
        <w:jc w:val="both"/>
        <w:textAlignment w:val="auto"/>
        <w:rPr>
          <w:rFonts w:hint="eastAsia"/>
          <w:color w:val="auto"/>
          <w:highlight w:val="none"/>
        </w:rPr>
      </w:pPr>
      <w:r>
        <w:rPr>
          <w:rFonts w:hint="eastAsia"/>
          <w:color w:val="auto"/>
          <w:highlight w:val="none"/>
        </w:rPr>
        <w:t>后评价期间，</w:t>
      </w:r>
      <w:r>
        <w:rPr>
          <w:rFonts w:hint="eastAsia"/>
          <w:color w:val="auto"/>
          <w:highlight w:val="none"/>
          <w:lang w:val="en-US" w:eastAsia="zh-CN"/>
        </w:rPr>
        <w:t>建设单位</w:t>
      </w:r>
      <w:r>
        <w:rPr>
          <w:rFonts w:hint="eastAsia"/>
          <w:color w:val="auto"/>
          <w:highlight w:val="none"/>
        </w:rPr>
        <w:t>通过公众参与问卷调查分析，受访人员均赞同该企业的运行，认为主要污染</w:t>
      </w:r>
      <w:r>
        <w:rPr>
          <w:rFonts w:hint="eastAsia"/>
          <w:color w:val="auto"/>
          <w:highlight w:val="none"/>
        </w:rPr>
        <w:t>因素为废气</w:t>
      </w:r>
      <w:r>
        <w:rPr>
          <w:rFonts w:hint="eastAsia"/>
          <w:color w:val="auto"/>
          <w:highlight w:val="none"/>
          <w:lang w:eastAsia="zh-CN"/>
        </w:rPr>
        <w:t>、</w:t>
      </w:r>
      <w:r>
        <w:rPr>
          <w:rFonts w:hint="eastAsia"/>
          <w:color w:val="auto"/>
          <w:highlight w:val="none"/>
          <w:lang w:val="en-US" w:eastAsia="zh-CN"/>
        </w:rPr>
        <w:t>废水</w:t>
      </w:r>
      <w:r>
        <w:rPr>
          <w:rFonts w:hint="eastAsia"/>
          <w:color w:val="auto"/>
          <w:highlight w:val="none"/>
        </w:rPr>
        <w:t>，少数人员</w:t>
      </w:r>
      <w:r>
        <w:rPr>
          <w:rFonts w:hint="eastAsia"/>
          <w:color w:val="auto"/>
          <w:highlight w:val="none"/>
        </w:rPr>
        <w:t>表示建设单位应该加强废气治理工作，重视环境保护。对于受访人员提出的意见，建</w:t>
      </w:r>
      <w:bookmarkStart w:id="319" w:name="_GoBack"/>
      <w:bookmarkEnd w:id="319"/>
      <w:r>
        <w:rPr>
          <w:rFonts w:hint="eastAsia"/>
          <w:color w:val="auto"/>
          <w:highlight w:val="none"/>
        </w:rPr>
        <w:t>设单位全部予以采纳。</w:t>
      </w:r>
    </w:p>
    <w:p>
      <w:pPr>
        <w:pStyle w:val="6"/>
        <w:pageBreakBefore w:val="0"/>
        <w:widowControl w:val="0"/>
        <w:numPr>
          <w:ilvl w:val="1"/>
          <w:numId w:val="0"/>
        </w:numPr>
        <w:tabs>
          <w:tab w:val="clear" w:pos="432"/>
        </w:tabs>
        <w:kinsoku/>
        <w:wordWrap/>
        <w:overflowPunct/>
        <w:topLinePunct w:val="0"/>
        <w:autoSpaceDE/>
        <w:autoSpaceDN/>
        <w:bidi w:val="0"/>
        <w:adjustRightInd w:val="0"/>
        <w:snapToGrid w:val="0"/>
        <w:spacing w:before="0" w:after="0" w:line="360" w:lineRule="auto"/>
        <w:jc w:val="left"/>
        <w:textAlignment w:val="auto"/>
        <w:rPr>
          <w:b w:val="0"/>
          <w:color w:val="auto"/>
          <w:sz w:val="24"/>
          <w:szCs w:val="24"/>
          <w:highlight w:val="none"/>
        </w:rPr>
      </w:pPr>
      <w:bookmarkStart w:id="316" w:name="_Toc530655635"/>
      <w:bookmarkStart w:id="317" w:name="_Toc519063332"/>
      <w:bookmarkStart w:id="318" w:name="_Toc7626"/>
      <w:r>
        <w:rPr>
          <w:rFonts w:hint="eastAsia"/>
          <w:b w:val="0"/>
          <w:color w:val="auto"/>
          <w:sz w:val="24"/>
          <w:szCs w:val="24"/>
          <w:highlight w:val="none"/>
          <w:lang w:val="en-US" w:eastAsia="zh-CN"/>
        </w:rPr>
        <w:t xml:space="preserve">7.7 </w:t>
      </w:r>
      <w:r>
        <w:rPr>
          <w:rFonts w:hint="eastAsia"/>
          <w:b w:val="0"/>
          <w:color w:val="auto"/>
          <w:sz w:val="24"/>
          <w:szCs w:val="24"/>
          <w:highlight w:val="none"/>
        </w:rPr>
        <w:t>结论</w:t>
      </w:r>
      <w:bookmarkEnd w:id="316"/>
      <w:bookmarkEnd w:id="317"/>
      <w:bookmarkEnd w:id="318"/>
    </w:p>
    <w:p>
      <w:pPr>
        <w:pStyle w:val="87"/>
        <w:pageBreakBefore w:val="0"/>
        <w:widowControl w:val="0"/>
        <w:kinsoku/>
        <w:wordWrap/>
        <w:overflowPunct/>
        <w:topLinePunct w:val="0"/>
        <w:autoSpaceDE/>
        <w:autoSpaceDN/>
        <w:bidi w:val="0"/>
        <w:adjustRightInd w:val="0"/>
        <w:snapToGrid w:val="0"/>
        <w:spacing w:beforeLines="0" w:afterLines="0"/>
        <w:jc w:val="both"/>
        <w:textAlignment w:val="auto"/>
        <w:rPr>
          <w:rFonts w:eastAsia="黑体"/>
          <w:color w:val="auto"/>
          <w:sz w:val="24"/>
          <w:highlight w:val="none"/>
        </w:rPr>
      </w:pPr>
      <w:r>
        <w:rPr>
          <w:rFonts w:hint="eastAsia"/>
          <w:color w:val="auto"/>
          <w:highlight w:val="none"/>
        </w:rPr>
        <w:t>青岛源润宏防腐精饰科技有限公司自建设以来严格执行“三同时”制度并落实相关环保措施的建设，</w:t>
      </w:r>
      <w:r>
        <w:rPr>
          <w:rFonts w:hint="eastAsia"/>
          <w:color w:val="auto"/>
          <w:highlight w:val="none"/>
          <w:lang w:val="en-US" w:eastAsia="zh-CN"/>
        </w:rPr>
        <w:t>环保</w:t>
      </w:r>
      <w:r>
        <w:rPr>
          <w:rFonts w:hint="eastAsia"/>
          <w:color w:val="auto"/>
          <w:highlight w:val="none"/>
        </w:rPr>
        <w:t>手续齐全。经调查，项目运行过程中会产生一定的废气、风险、噪声、废水和固体废物等，项目已针对各类污染物采取了有效的环保治理整改措施，各类污染物均能得到合理有效处理、处置，均能做到达标排放，对周边环境</w:t>
      </w:r>
      <w:r>
        <w:rPr>
          <w:rFonts w:hint="eastAsia"/>
          <w:color w:val="auto"/>
          <w:highlight w:val="none"/>
          <w:lang w:val="en-US" w:eastAsia="zh-CN"/>
        </w:rPr>
        <w:t>未造成明显不利</w:t>
      </w:r>
      <w:r>
        <w:rPr>
          <w:rFonts w:hint="eastAsia"/>
          <w:color w:val="auto"/>
          <w:highlight w:val="none"/>
        </w:rPr>
        <w:t>影响。</w:t>
      </w:r>
    </w:p>
    <w:sectPr>
      <w:pgSz w:w="11906" w:h="16838"/>
      <w:pgMar w:top="1418" w:right="1418" w:bottom="1418" w:left="1474" w:header="851" w:footer="992" w:gutter="0"/>
      <w:pgBorders>
        <w:top w:val="none" w:sz="0" w:space="0"/>
        <w:left w:val="none" w:sz="0" w:space="0"/>
        <w:bottom w:val="none" w:sz="0" w:space="0"/>
        <w:right w:val="none" w:sz="0" w:space="0"/>
      </w:pgBorders>
      <w:pgNumType w:fmt="decimal"/>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TimesNewRomanPSMT">
    <w:altName w:val="Times New Roman"/>
    <w:panose1 w:val="00000000000000000000"/>
    <w:charset w:val="00"/>
    <w:family w:val="roman"/>
    <w:pitch w:val="default"/>
    <w:sig w:usb0="00000000" w:usb1="00000000" w:usb2="00000010" w:usb3="00000000" w:csb0="00040001" w:csb1="00000000"/>
  </w:font>
  <w:font w:name="Cambria">
    <w:panose1 w:val="02040503050406030204"/>
    <w:charset w:val="00"/>
    <w:family w:val="roman"/>
    <w:pitch w:val="default"/>
    <w:sig w:usb0="E00006FF" w:usb1="420024FF" w:usb2="02000000" w:usb3="00000000" w:csb0="2000019F" w:csb1="00000000"/>
  </w:font>
  <w:font w:name="华文楷体">
    <w:altName w:val="宋体"/>
    <w:panose1 w:val="02010600040101010101"/>
    <w:charset w:val="86"/>
    <w:family w:val="auto"/>
    <w:pitch w:val="default"/>
    <w:sig w:usb0="00000000" w:usb1="00000000" w:usb2="00000000" w:usb3="00000000" w:csb0="0004009F" w:csb1="DFD70000"/>
  </w:font>
  <w:font w:name="楷体">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 w:name="Segoe UI">
    <w:panose1 w:val="020B0502040204020203"/>
    <w:charset w:val="00"/>
    <w:family w:val="swiss"/>
    <w:pitch w:val="default"/>
    <w:sig w:usb0="E4002EFF" w:usb1="C000E47F" w:usb2="00000009" w:usb3="00000000" w:csb0="200001FF"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roman"/>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top w:val="none" w:color="000000" w:sz="0" w:space="0"/>
        <w:left w:val="none" w:color="auto" w:sz="0" w:space="0"/>
        <w:bottom w:val="none" w:color="auto" w:sz="0" w:space="0"/>
        <w:right w:val="none" w:color="auto" w:sz="0" w:space="0"/>
        <w:between w:val="none" w:color="auto" w:sz="0" w:space="0"/>
      </w:pBdr>
      <w:jc w:val="right"/>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top w:val="single" w:color="000000" w:sz="4" w:space="0"/>
        <w:left w:val="none" w:color="auto" w:sz="0" w:space="0"/>
        <w:bottom w:val="none" w:color="auto" w:sz="0" w:space="0"/>
        <w:right w:val="none" w:color="auto" w:sz="0" w:space="0"/>
        <w:between w:val="none" w:color="auto" w:sz="0" w:space="0"/>
      </w:pBdr>
      <w:jc w:val="right"/>
      <w:rPr>
        <w:lang w:val="en-US"/>
      </w:rPr>
    </w:pPr>
    <w:r>
      <w:rPr>
        <w:rFonts w:hint="eastAsia"/>
        <w:lang w:val="en-US" w:eastAsia="zh-CN"/>
      </w:rPr>
      <w:t>青岛海西环保科技有限公司</w:t>
    </w:r>
    <w:r>
      <w:rPr>
        <w:sz w:val="18"/>
        <w:bdr w:val="single" w:color="000000" w:sz="4" w:space="0"/>
      </w:rPr>
      <w:pict>
        <v:shape id="_x0000_s3078" o:spid="_x0000_s3078" o:spt="202" type="#_x0000_t202" style="position:absolute;left:0pt;margin-top:0pt;height:144pt;width:144pt;mso-position-horizontal:center;mso-position-horizontal-relative:margin;mso-wrap-style:none;z-index:251671552;mso-width-relative:page;mso-height-relative:page;" filled="f" stroked="f" coordsize="21600,21600">
          <v:path/>
          <v:fill on="f" focussize="0,0"/>
          <v:stroke on="f"/>
          <v:imagedata o:title=""/>
          <o:lock v:ext="edit" aspectratio="f"/>
          <v:textbox inset="0mm,0mm,0mm,0mm" style="mso-fit-shape-to-text:t;">
            <w:txbxContent>
              <w:p>
                <w:pPr>
                  <w:pStyle w:val="24"/>
                  <w:jc w:val="center"/>
                </w:pPr>
                <w:r>
                  <w:fldChar w:fldCharType="begin"/>
                </w:r>
                <w:r>
                  <w:instrText xml:space="preserve">PAGE   \* MERGEFORMAT</w:instrText>
                </w:r>
                <w:r>
                  <w:fldChar w:fldCharType="separate"/>
                </w:r>
                <w:r>
                  <w:rPr>
                    <w:lang w:val="zh-CN"/>
                  </w:rPr>
                  <w:t>1</w:t>
                </w:r>
                <w:r>
                  <w:rPr>
                    <w:lang w:val="zh-CN"/>
                  </w:rP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top w:val="single" w:color="000000" w:sz="4" w:space="0"/>
      </w:pBdr>
      <w:jc w:val="right"/>
      <w:rPr>
        <w:lang w:val="en-US"/>
      </w:rPr>
    </w:pPr>
    <w:r>
      <w:rPr>
        <w:rFonts w:hint="eastAsia"/>
        <w:lang w:val="en-US" w:eastAsia="zh-CN"/>
      </w:rPr>
      <w:t>青岛海西环保科技有限公司</w:t>
    </w:r>
    <w:r>
      <w:rPr>
        <w:sz w:val="18"/>
        <w:bdr w:val="single" w:color="000000" w:sz="4" w:space="0"/>
      </w:rPr>
      <w:pict>
        <v:shape id="_x0000_s3079" o:spid="_x0000_s3079" o:spt="202" type="#_x0000_t202" style="position:absolute;left:0pt;margin-top:0pt;height:144pt;width:144pt;mso-position-horizontal:center;mso-position-horizontal-relative:margin;mso-wrap-style:none;z-index:251685888;mso-width-relative:page;mso-height-relative:page;" filled="f" stroked="f" coordsize="21600,21600">
          <v:path/>
          <v:fill on="f" focussize="0,0"/>
          <v:stroke on="f"/>
          <v:imagedata o:title=""/>
          <o:lock v:ext="edit" aspectratio="f"/>
          <v:textbox inset="0mm,0mm,0mm,0mm" style="mso-fit-shape-to-text:t;">
            <w:txbxContent>
              <w:p>
                <w:pPr>
                  <w:pStyle w:val="24"/>
                  <w:jc w:val="center"/>
                </w:pPr>
                <w:r>
                  <w:fldChar w:fldCharType="begin"/>
                </w:r>
                <w:r>
                  <w:instrText xml:space="preserve">PAGE   \* MERGEFORMAT</w:instrText>
                </w:r>
                <w:r>
                  <w:fldChar w:fldCharType="separate"/>
                </w:r>
                <w:r>
                  <w:rPr>
                    <w:lang w:val="zh-CN"/>
                  </w:rPr>
                  <w:t>1</w:t>
                </w:r>
                <w:r>
                  <w:rPr>
                    <w:lang w:val="zh-CN"/>
                  </w:rP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framePr w:wrap="around" w:vAnchor="text" w:hAnchor="margin" w:xAlign="center" w:y="1"/>
      <w:rPr>
        <w:rStyle w:val="40"/>
      </w:rPr>
    </w:pPr>
    <w:r>
      <w:rPr>
        <w:rStyle w:val="40"/>
      </w:rPr>
      <w:fldChar w:fldCharType="begin"/>
    </w:r>
    <w:r>
      <w:rPr>
        <w:rStyle w:val="40"/>
      </w:rPr>
      <w:instrText xml:space="preserve">PAGE  </w:instrText>
    </w:r>
    <w:r>
      <w:rPr>
        <w:rStyle w:val="40"/>
      </w:rPr>
      <w:fldChar w:fldCharType="separate"/>
    </w:r>
    <w:r>
      <w:rPr>
        <w:rStyle w:val="40"/>
      </w:rPr>
      <w:t>2</w:t>
    </w:r>
    <w:r>
      <w:rPr>
        <w:rStyle w:val="40"/>
      </w:rPr>
      <w:fldChar w:fldCharType="end"/>
    </w:r>
  </w:p>
  <w:p>
    <w:pPr>
      <w:pStyle w:val="2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0"/>
      </w:pBdr>
      <w:rPr>
        <w:b/>
        <w:sz w:val="21"/>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widowControl w:val="0"/>
      <w:pBdr>
        <w:top w:val="none" w:color="auto" w:sz="0" w:space="1"/>
        <w:left w:val="none" w:color="auto" w:sz="0" w:space="4"/>
        <w:bottom w:val="thinThickSmallGap" w:color="auto" w:sz="24" w:space="1"/>
        <w:right w:val="none" w:color="auto" w:sz="0" w:space="4"/>
        <w:between w:val="none" w:color="auto" w:sz="0" w:space="0"/>
      </w:pBdr>
      <w:snapToGrid w:val="0"/>
      <w:jc w:val="center"/>
      <w:rPr>
        <w:rFonts w:hint="eastAsia" w:ascii="楷体" w:hAnsi="楷体" w:eastAsia="楷体" w:cs="楷体"/>
        <w:sz w:val="21"/>
        <w:szCs w:val="21"/>
      </w:rPr>
    </w:pPr>
    <w:r>
      <w:rPr>
        <w:rFonts w:hint="eastAsia" w:ascii="楷体" w:hAnsi="楷体" w:eastAsia="楷体" w:cs="楷体"/>
        <w:sz w:val="21"/>
        <w:szCs w:val="21"/>
      </w:rPr>
      <w:t>青岛源润宏防腐精饰科技有限公司</w:t>
    </w:r>
    <w:r>
      <w:rPr>
        <w:rFonts w:hint="eastAsia" w:ascii="楷体" w:hAnsi="楷体" w:eastAsia="楷体" w:cs="楷体"/>
        <w:sz w:val="21"/>
        <w:szCs w:val="21"/>
        <w:lang w:val="en-US" w:eastAsia="zh-CN"/>
      </w:rPr>
      <w:t>电镀</w:t>
    </w:r>
    <w:r>
      <w:rPr>
        <w:rFonts w:hint="eastAsia" w:ascii="楷体" w:hAnsi="楷体" w:eastAsia="楷体" w:cs="楷体"/>
        <w:sz w:val="21"/>
        <w:szCs w:val="21"/>
      </w:rPr>
      <w:t>项目环境影响后评价报告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widowControl w:val="0"/>
      <w:pBdr>
        <w:top w:val="none" w:color="auto" w:sz="0" w:space="1"/>
        <w:left w:val="none" w:color="auto" w:sz="0" w:space="4"/>
        <w:bottom w:val="thinThickSmallGap" w:color="auto" w:sz="24" w:space="1"/>
        <w:right w:val="none" w:color="auto" w:sz="0" w:space="4"/>
        <w:between w:val="none" w:color="auto" w:sz="0" w:space="0"/>
      </w:pBdr>
      <w:snapToGrid w:val="0"/>
      <w:jc w:val="center"/>
      <w:rPr>
        <w:rFonts w:hint="eastAsia" w:ascii="楷体" w:hAnsi="楷体" w:eastAsia="楷体" w:cs="楷体"/>
        <w:sz w:val="21"/>
        <w:szCs w:val="21"/>
      </w:rPr>
    </w:pPr>
    <w:r>
      <w:rPr>
        <w:rFonts w:hint="eastAsia" w:ascii="楷体" w:hAnsi="楷体" w:eastAsia="楷体" w:cs="楷体"/>
        <w:sz w:val="21"/>
        <w:szCs w:val="21"/>
      </w:rPr>
      <w:t>青岛源润宏防腐精饰科技有限公司</w:t>
    </w:r>
    <w:r>
      <w:rPr>
        <w:rFonts w:hint="eastAsia" w:ascii="楷体" w:hAnsi="楷体" w:eastAsia="楷体" w:cs="楷体"/>
        <w:sz w:val="21"/>
        <w:szCs w:val="21"/>
        <w:lang w:val="en-US" w:eastAsia="zh-CN"/>
      </w:rPr>
      <w:t>电镀</w:t>
    </w:r>
    <w:r>
      <w:rPr>
        <w:rFonts w:hint="eastAsia" w:ascii="楷体" w:hAnsi="楷体" w:eastAsia="楷体" w:cs="楷体"/>
        <w:sz w:val="21"/>
        <w:szCs w:val="21"/>
      </w:rPr>
      <w:t>项目环境影响后评价报告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EAC9866"/>
    <w:multiLevelType w:val="singleLevel"/>
    <w:tmpl w:val="8EAC9866"/>
    <w:lvl w:ilvl="0" w:tentative="0">
      <w:start w:val="1"/>
      <w:numFmt w:val="decimal"/>
      <w:suff w:val="nothing"/>
      <w:lvlText w:val="(%1)"/>
      <w:lvlJc w:val="left"/>
      <w:pPr>
        <w:tabs>
          <w:tab w:val="left" w:pos="0"/>
        </w:tabs>
        <w:ind w:left="0" w:leftChars="0" w:firstLine="466"/>
      </w:pPr>
      <w:rPr>
        <w:rFonts w:hint="default" w:ascii="Times New Roman" w:hAnsi="Times New Roman" w:eastAsia="宋体" w:cs="宋体"/>
      </w:rPr>
    </w:lvl>
  </w:abstractNum>
  <w:abstractNum w:abstractNumId="1">
    <w:nsid w:val="BD9A85B9"/>
    <w:multiLevelType w:val="singleLevel"/>
    <w:tmpl w:val="BD9A85B9"/>
    <w:lvl w:ilvl="0" w:tentative="0">
      <w:start w:val="5"/>
      <w:numFmt w:val="decimal"/>
      <w:lvlText w:val="(%1)"/>
      <w:lvlJc w:val="left"/>
      <w:pPr>
        <w:tabs>
          <w:tab w:val="left" w:pos="312"/>
        </w:tabs>
      </w:pPr>
    </w:lvl>
  </w:abstractNum>
  <w:abstractNum w:abstractNumId="2">
    <w:nsid w:val="C36DCF70"/>
    <w:multiLevelType w:val="singleLevel"/>
    <w:tmpl w:val="C36DCF70"/>
    <w:lvl w:ilvl="0" w:tentative="0">
      <w:start w:val="1"/>
      <w:numFmt w:val="decimal"/>
      <w:suff w:val="nothing"/>
      <w:lvlText w:val="(%1)"/>
      <w:lvlJc w:val="left"/>
      <w:pPr>
        <w:tabs>
          <w:tab w:val="left" w:pos="0"/>
        </w:tabs>
        <w:ind w:left="0" w:leftChars="0" w:firstLine="466"/>
      </w:pPr>
      <w:rPr>
        <w:rFonts w:hint="default" w:ascii="Times New Roman" w:hAnsi="Times New Roman" w:eastAsia="宋体" w:cs="宋体"/>
      </w:rPr>
    </w:lvl>
  </w:abstractNum>
  <w:abstractNum w:abstractNumId="3">
    <w:nsid w:val="D3A94BF6"/>
    <w:multiLevelType w:val="singleLevel"/>
    <w:tmpl w:val="D3A94BF6"/>
    <w:lvl w:ilvl="0" w:tentative="0">
      <w:start w:val="1"/>
      <w:numFmt w:val="bullet"/>
      <w:pStyle w:val="4"/>
      <w:lvlText w:val=""/>
      <w:lvlJc w:val="left"/>
      <w:pPr>
        <w:tabs>
          <w:tab w:val="left" w:pos="2040"/>
        </w:tabs>
        <w:ind w:left="2040" w:hanging="360"/>
      </w:pPr>
      <w:rPr>
        <w:rFonts w:hint="default" w:ascii="Wingdings" w:hAnsi="Wingdings"/>
      </w:rPr>
    </w:lvl>
  </w:abstractNum>
  <w:abstractNum w:abstractNumId="4">
    <w:nsid w:val="ED3EC18A"/>
    <w:multiLevelType w:val="singleLevel"/>
    <w:tmpl w:val="ED3EC18A"/>
    <w:lvl w:ilvl="0" w:tentative="0">
      <w:start w:val="1"/>
      <w:numFmt w:val="decimal"/>
      <w:suff w:val="nothing"/>
      <w:lvlText w:val="(%1)"/>
      <w:lvlJc w:val="left"/>
      <w:pPr>
        <w:tabs>
          <w:tab w:val="left" w:pos="0"/>
        </w:tabs>
        <w:ind w:left="0" w:leftChars="0" w:firstLine="466"/>
      </w:pPr>
      <w:rPr>
        <w:rFonts w:hint="default" w:ascii="Times New Roman" w:hAnsi="Times New Roman" w:eastAsia="宋体" w:cs="宋体"/>
      </w:rPr>
    </w:lvl>
  </w:abstractNum>
  <w:abstractNum w:abstractNumId="5">
    <w:nsid w:val="FFFFFFFB"/>
    <w:multiLevelType w:val="multilevel"/>
    <w:tmpl w:val="FFFFFFFB"/>
    <w:lvl w:ilvl="0" w:tentative="0">
      <w:start w:val="1"/>
      <w:numFmt w:val="decimal"/>
      <w:pStyle w:val="80"/>
      <w:lvlText w:val="%1."/>
      <w:lvlJc w:val="left"/>
      <w:pPr>
        <w:tabs>
          <w:tab w:val="left" w:pos="0"/>
        </w:tabs>
        <w:ind w:left="0" w:firstLine="0"/>
      </w:pPr>
      <w:rPr>
        <w:rFonts w:hint="eastAsia"/>
      </w:rPr>
    </w:lvl>
    <w:lvl w:ilvl="1" w:tentative="0">
      <w:start w:val="1"/>
      <w:numFmt w:val="decimal"/>
      <w:lvlText w:val="%1.%2"/>
      <w:lvlJc w:val="left"/>
      <w:pPr>
        <w:tabs>
          <w:tab w:val="left" w:pos="0"/>
        </w:tabs>
        <w:ind w:left="0" w:firstLine="0"/>
      </w:pPr>
      <w:rPr>
        <w:rFonts w:hint="eastAsia"/>
      </w:rPr>
    </w:lvl>
    <w:lvl w:ilvl="2" w:tentative="0">
      <w:start w:val="1"/>
      <w:numFmt w:val="decimal"/>
      <w:pStyle w:val="79"/>
      <w:lvlText w:val="%1.%2.%3"/>
      <w:lvlJc w:val="left"/>
      <w:pPr>
        <w:tabs>
          <w:tab w:val="left" w:pos="0"/>
        </w:tabs>
        <w:ind w:left="0" w:firstLine="0"/>
      </w:pPr>
      <w:rPr>
        <w:rFonts w:hint="eastAsia"/>
      </w:rPr>
    </w:lvl>
    <w:lvl w:ilvl="3" w:tentative="0">
      <w:start w:val="1"/>
      <w:numFmt w:val="decimal"/>
      <w:lvlText w:val="%1.%2.%3.%4"/>
      <w:lvlJc w:val="left"/>
      <w:pPr>
        <w:tabs>
          <w:tab w:val="left" w:pos="0"/>
        </w:tabs>
        <w:ind w:left="0" w:firstLine="0"/>
      </w:pPr>
      <w:rPr>
        <w:rFonts w:hint="eastAsia"/>
        <w:color w:val="auto"/>
      </w:rPr>
    </w:lvl>
    <w:lvl w:ilvl="4" w:tentative="0">
      <w:start w:val="1"/>
      <w:numFmt w:val="decimal"/>
      <w:lvlText w:val="%1.%2.%3.%4.%5"/>
      <w:lvlJc w:val="left"/>
      <w:pPr>
        <w:tabs>
          <w:tab w:val="left" w:pos="0"/>
        </w:tabs>
        <w:ind w:left="0" w:firstLine="0"/>
      </w:pPr>
      <w:rPr>
        <w:rFonts w:hint="eastAsia"/>
      </w:rPr>
    </w:lvl>
    <w:lvl w:ilvl="5" w:tentative="0">
      <w:start w:val="1"/>
      <w:numFmt w:val="upperLetter"/>
      <w:lvlText w:val="%6."/>
      <w:lvlJc w:val="left"/>
      <w:pPr>
        <w:tabs>
          <w:tab w:val="left" w:pos="927"/>
        </w:tabs>
        <w:ind w:left="0" w:firstLine="567"/>
      </w:pPr>
      <w:rPr>
        <w:rFonts w:hint="eastAsia"/>
        <w:b w:val="0"/>
        <w:i w:val="0"/>
        <w:sz w:val="28"/>
      </w:rPr>
    </w:lvl>
    <w:lvl w:ilvl="6" w:tentative="0">
      <w:start w:val="1"/>
      <w:numFmt w:val="decimal"/>
      <w:lvlText w:val="%1.%2.%3.%4.%5.%6.%7"/>
      <w:lvlJc w:val="left"/>
      <w:pPr>
        <w:tabs>
          <w:tab w:val="left" w:pos="0"/>
        </w:tabs>
        <w:ind w:left="0" w:firstLine="0"/>
      </w:pPr>
      <w:rPr>
        <w:rFonts w:hint="eastAsia"/>
      </w:rPr>
    </w:lvl>
    <w:lvl w:ilvl="7" w:tentative="0">
      <w:start w:val="1"/>
      <w:numFmt w:val="decimal"/>
      <w:lvlText w:val="%1.%2.%3.%4.%5.%6.%7.%8"/>
      <w:lvlJc w:val="left"/>
      <w:pPr>
        <w:tabs>
          <w:tab w:val="left" w:pos="0"/>
        </w:tabs>
        <w:ind w:left="0" w:firstLine="0"/>
      </w:pPr>
      <w:rPr>
        <w:rFonts w:hint="eastAsia"/>
      </w:rPr>
    </w:lvl>
    <w:lvl w:ilvl="8" w:tentative="0">
      <w:start w:val="1"/>
      <w:numFmt w:val="decimal"/>
      <w:lvlText w:val="%1.%2.%3.%4.%5.%6.%7.%8.%9"/>
      <w:lvlJc w:val="left"/>
      <w:pPr>
        <w:tabs>
          <w:tab w:val="left" w:pos="0"/>
        </w:tabs>
        <w:ind w:left="0" w:firstLine="0"/>
      </w:pPr>
      <w:rPr>
        <w:rFonts w:hint="eastAsia"/>
      </w:rPr>
    </w:lvl>
  </w:abstractNum>
  <w:abstractNum w:abstractNumId="6">
    <w:nsid w:val="00000004"/>
    <w:multiLevelType w:val="multilevel"/>
    <w:tmpl w:val="00000004"/>
    <w:lvl w:ilvl="0" w:tentative="0">
      <w:start w:val="1"/>
      <w:numFmt w:val="decimal"/>
      <w:lvlText w:val="%1"/>
      <w:lvlJc w:val="left"/>
      <w:pPr>
        <w:tabs>
          <w:tab w:val="left" w:pos="432"/>
        </w:tabs>
        <w:ind w:left="432" w:hanging="432"/>
      </w:pPr>
    </w:lvl>
    <w:lvl w:ilvl="1" w:tentative="0">
      <w:start w:val="1"/>
      <w:numFmt w:val="decimal"/>
      <w:pStyle w:val="120"/>
      <w:lvlText w:val="%1.%2"/>
      <w:lvlJc w:val="left"/>
      <w:pPr>
        <w:tabs>
          <w:tab w:val="left" w:pos="576"/>
        </w:tabs>
        <w:ind w:left="576" w:hanging="576"/>
      </w:pPr>
    </w:lvl>
    <w:lvl w:ilvl="2" w:tentative="0">
      <w:start w:val="1"/>
      <w:numFmt w:val="decimal"/>
      <w:lvlText w:val="%1.%2.%3"/>
      <w:lvlJc w:val="left"/>
      <w:pPr>
        <w:tabs>
          <w:tab w:val="left" w:pos="720"/>
        </w:tabs>
        <w:ind w:left="720" w:hanging="720"/>
      </w:pPr>
      <w:rPr>
        <w:rFonts w:hint="default" w:ascii="Times New Roman" w:hAnsi="Times New Roman" w:cs="Times New Roman"/>
      </w:rPr>
    </w:lvl>
    <w:lvl w:ilvl="3" w:tentative="0">
      <w:start w:val="1"/>
      <w:numFmt w:val="decimal"/>
      <w:lvlText w:val="%1.%2.%3.%4"/>
      <w:lvlJc w:val="left"/>
      <w:pPr>
        <w:tabs>
          <w:tab w:val="left" w:pos="1374"/>
        </w:tabs>
        <w:ind w:left="1374" w:hanging="864"/>
      </w:pPr>
    </w:lvl>
    <w:lvl w:ilvl="4" w:tentative="0">
      <w:start w:val="1"/>
      <w:numFmt w:val="decimal"/>
      <w:lvlText w:val="%1.%2.%3.%4.%5"/>
      <w:lvlJc w:val="left"/>
      <w:pPr>
        <w:tabs>
          <w:tab w:val="left" w:pos="1518"/>
        </w:tabs>
        <w:ind w:left="1518" w:hanging="1008"/>
      </w:pPr>
    </w:lvl>
    <w:lvl w:ilvl="5" w:tentative="0">
      <w:start w:val="1"/>
      <w:numFmt w:val="decimal"/>
      <w:lvlText w:val="%1.%2.%3.%4.%5.%6"/>
      <w:lvlJc w:val="left"/>
      <w:pPr>
        <w:tabs>
          <w:tab w:val="left" w:pos="1662"/>
        </w:tabs>
        <w:ind w:left="1662" w:hanging="1152"/>
      </w:pPr>
    </w:lvl>
    <w:lvl w:ilvl="6" w:tentative="0">
      <w:start w:val="1"/>
      <w:numFmt w:val="decimal"/>
      <w:lvlText w:val="%1.%2.%3.%4.%5.%6.%7"/>
      <w:lvlJc w:val="left"/>
      <w:pPr>
        <w:tabs>
          <w:tab w:val="left" w:pos="1806"/>
        </w:tabs>
        <w:ind w:left="1806" w:hanging="1296"/>
      </w:pPr>
    </w:lvl>
    <w:lvl w:ilvl="7" w:tentative="0">
      <w:start w:val="1"/>
      <w:numFmt w:val="decimal"/>
      <w:lvlText w:val="%1.%2.%3.%4.%5.%6.%7.%8"/>
      <w:lvlJc w:val="left"/>
      <w:pPr>
        <w:tabs>
          <w:tab w:val="left" w:pos="1950"/>
        </w:tabs>
        <w:ind w:left="1950" w:hanging="1440"/>
      </w:pPr>
    </w:lvl>
    <w:lvl w:ilvl="8" w:tentative="0">
      <w:start w:val="1"/>
      <w:numFmt w:val="decimal"/>
      <w:lvlText w:val="%1.%2.%3.%4.%5.%6.%7.%8.%9"/>
      <w:lvlJc w:val="left"/>
      <w:pPr>
        <w:tabs>
          <w:tab w:val="left" w:pos="2094"/>
        </w:tabs>
        <w:ind w:left="2094" w:hanging="1584"/>
      </w:pPr>
    </w:lvl>
  </w:abstractNum>
  <w:abstractNum w:abstractNumId="7">
    <w:nsid w:val="00000010"/>
    <w:multiLevelType w:val="multilevel"/>
    <w:tmpl w:val="00000010"/>
    <w:lvl w:ilvl="0" w:tentative="0">
      <w:start w:val="1"/>
      <w:numFmt w:val="decimal"/>
      <w:lvlText w:val="%1"/>
      <w:lvlJc w:val="left"/>
      <w:pPr>
        <w:tabs>
          <w:tab w:val="left" w:pos="432"/>
        </w:tabs>
        <w:ind w:left="432" w:hanging="432"/>
      </w:pPr>
      <w:rPr>
        <w:rFonts w:hint="eastAsia" w:ascii="仿宋_GB2312" w:eastAsia="仿宋_GB2312"/>
        <w:b/>
        <w:i w:val="0"/>
        <w:sz w:val="32"/>
        <w:szCs w:val="32"/>
      </w:rPr>
    </w:lvl>
    <w:lvl w:ilvl="1" w:tentative="0">
      <w:start w:val="1"/>
      <w:numFmt w:val="decimal"/>
      <w:pStyle w:val="6"/>
      <w:lvlText w:val="%1.%2"/>
      <w:lvlJc w:val="left"/>
      <w:pPr>
        <w:tabs>
          <w:tab w:val="left" w:pos="576"/>
        </w:tabs>
        <w:ind w:left="576" w:hanging="576"/>
      </w:pPr>
      <w:rPr>
        <w:rFonts w:hint="eastAsia" w:ascii="仿宋_GB2312" w:eastAsia="仿宋_GB2312"/>
        <w:b/>
        <w:i w:val="0"/>
        <w:sz w:val="30"/>
        <w:szCs w:val="30"/>
      </w:rPr>
    </w:lvl>
    <w:lvl w:ilvl="2" w:tentative="0">
      <w:start w:val="1"/>
      <w:numFmt w:val="decimal"/>
      <w:lvlText w:val="%1.%2.%3"/>
      <w:lvlJc w:val="left"/>
      <w:pPr>
        <w:tabs>
          <w:tab w:val="left" w:pos="890"/>
        </w:tabs>
        <w:ind w:left="890" w:hanging="890"/>
      </w:pPr>
      <w:rPr>
        <w:rFonts w:hint="eastAsia"/>
      </w:rPr>
    </w:lvl>
    <w:lvl w:ilvl="3" w:tentative="0">
      <w:start w:val="1"/>
      <w:numFmt w:val="decimal"/>
      <w:lvlText w:val="%1.%2.%3.%4"/>
      <w:lvlJc w:val="left"/>
      <w:pPr>
        <w:tabs>
          <w:tab w:val="left" w:pos="1080"/>
        </w:tabs>
        <w:ind w:left="864" w:hanging="864"/>
      </w:pPr>
      <w:rPr>
        <w:rFonts w:hint="eastAsia" w:ascii="仿宋_GB2312" w:eastAsia="仿宋_GB2312"/>
        <w:b w:val="0"/>
        <w:i w:val="0"/>
        <w:color w:val="auto"/>
        <w:sz w:val="28"/>
      </w:rPr>
    </w:lvl>
    <w:lvl w:ilvl="4" w:tentative="0">
      <w:start w:val="1"/>
      <w:numFmt w:val="decimal"/>
      <w:lvlText w:val="%1.%2.%3.%4.%5"/>
      <w:lvlJc w:val="left"/>
      <w:pPr>
        <w:tabs>
          <w:tab w:val="left" w:pos="1008"/>
        </w:tabs>
        <w:ind w:left="1008" w:hanging="1008"/>
      </w:pPr>
      <w:rPr>
        <w:rFonts w:hint="eastAsia" w:ascii="仿宋_GB2312" w:eastAsia="仿宋_GB2312"/>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8">
    <w:nsid w:val="0000001A"/>
    <w:multiLevelType w:val="multilevel"/>
    <w:tmpl w:val="0000001A"/>
    <w:lvl w:ilvl="0" w:tentative="0">
      <w:start w:val="1"/>
      <w:numFmt w:val="decimal"/>
      <w:lvlText w:val="%1"/>
      <w:lvlJc w:val="left"/>
      <w:pPr>
        <w:tabs>
          <w:tab w:val="left" w:pos="432"/>
        </w:tabs>
        <w:ind w:left="432" w:hanging="432"/>
      </w:pPr>
      <w:rPr>
        <w:rFonts w:hint="default" w:ascii="宋体" w:hAnsi="宋体" w:eastAsia="宋体" w:cs="Times New Roman"/>
        <w:b/>
        <w:i w:val="0"/>
        <w:sz w:val="36"/>
        <w:szCs w:val="36"/>
      </w:rPr>
    </w:lvl>
    <w:lvl w:ilvl="1" w:tentative="0">
      <w:start w:val="1"/>
      <w:numFmt w:val="decimal"/>
      <w:lvlText w:val="%1.%2"/>
      <w:lvlJc w:val="left"/>
      <w:pPr>
        <w:tabs>
          <w:tab w:val="left" w:pos="1996"/>
        </w:tabs>
        <w:ind w:left="1673" w:hanging="397"/>
      </w:pPr>
      <w:rPr>
        <w:rFonts w:hint="default" w:ascii="Times New Roman" w:hAnsi="Times New Roman" w:eastAsia="宋体" w:cs="Times New Roman"/>
        <w:b/>
        <w:i w:val="0"/>
        <w:sz w:val="32"/>
        <w:szCs w:val="32"/>
      </w:rPr>
    </w:lvl>
    <w:lvl w:ilvl="2" w:tentative="0">
      <w:start w:val="1"/>
      <w:numFmt w:val="decimal"/>
      <w:pStyle w:val="7"/>
      <w:lvlText w:val="%1.%2.%3"/>
      <w:lvlJc w:val="left"/>
      <w:pPr>
        <w:tabs>
          <w:tab w:val="left" w:pos="2858"/>
        </w:tabs>
        <w:ind w:left="2858" w:hanging="1021"/>
      </w:pPr>
      <w:rPr>
        <w:rFonts w:hint="default" w:ascii="Times New Roman" w:hAnsi="Times New Roman" w:eastAsia="宋体" w:cs="Times New Roman"/>
        <w:b/>
        <w:i w:val="0"/>
        <w:color w:val="auto"/>
        <w:sz w:val="28"/>
        <w:szCs w:val="28"/>
      </w:rPr>
    </w:lvl>
    <w:lvl w:ilvl="3" w:tentative="0">
      <w:start w:val="1"/>
      <w:numFmt w:val="decimal"/>
      <w:pStyle w:val="8"/>
      <w:lvlText w:val="%1.%2.%3.%4"/>
      <w:lvlJc w:val="left"/>
      <w:pPr>
        <w:tabs>
          <w:tab w:val="left" w:pos="3978"/>
        </w:tabs>
        <w:ind w:left="3695" w:hanging="964"/>
      </w:pPr>
      <w:rPr>
        <w:rFonts w:hint="default" w:ascii="Times New Roman" w:hAnsi="Times New Roman" w:eastAsia="宋体" w:cs="Times New Roman"/>
        <w:b/>
        <w:color w:val="000000"/>
        <w:sz w:val="24"/>
        <w:szCs w:val="24"/>
      </w:rPr>
    </w:lvl>
    <w:lvl w:ilvl="4" w:tentative="0">
      <w:start w:val="1"/>
      <w:numFmt w:val="decimal"/>
      <w:lvlText w:val="%1.%2.%3.%4.%5"/>
      <w:lvlJc w:val="left"/>
      <w:pPr>
        <w:tabs>
          <w:tab w:val="left" w:pos="2284"/>
        </w:tabs>
        <w:ind w:left="2284" w:hanging="1008"/>
      </w:pPr>
      <w:rPr>
        <w:rFonts w:hint="eastAsia"/>
      </w:rPr>
    </w:lvl>
    <w:lvl w:ilvl="5" w:tentative="0">
      <w:start w:val="1"/>
      <w:numFmt w:val="decimal"/>
      <w:lvlText w:val="%1.%2.%3.%4.%5.%6"/>
      <w:lvlJc w:val="left"/>
      <w:pPr>
        <w:tabs>
          <w:tab w:val="left" w:pos="2428"/>
        </w:tabs>
        <w:ind w:left="2428" w:hanging="1152"/>
      </w:pPr>
      <w:rPr>
        <w:rFonts w:hint="eastAsia"/>
      </w:rPr>
    </w:lvl>
    <w:lvl w:ilvl="6" w:tentative="0">
      <w:start w:val="1"/>
      <w:numFmt w:val="decimal"/>
      <w:lvlText w:val="%1.%2.%3.%4.%5.%6.%7"/>
      <w:lvlJc w:val="left"/>
      <w:pPr>
        <w:tabs>
          <w:tab w:val="left" w:pos="2572"/>
        </w:tabs>
        <w:ind w:left="2572" w:hanging="1296"/>
      </w:pPr>
      <w:rPr>
        <w:rFonts w:hint="eastAsia"/>
      </w:rPr>
    </w:lvl>
    <w:lvl w:ilvl="7" w:tentative="0">
      <w:start w:val="1"/>
      <w:numFmt w:val="decimal"/>
      <w:lvlText w:val="%1.%2.%3.%4.%5.%6.%7.%8"/>
      <w:lvlJc w:val="left"/>
      <w:pPr>
        <w:tabs>
          <w:tab w:val="left" w:pos="2716"/>
        </w:tabs>
        <w:ind w:left="2716" w:hanging="1440"/>
      </w:pPr>
      <w:rPr>
        <w:rFonts w:hint="eastAsia"/>
      </w:rPr>
    </w:lvl>
    <w:lvl w:ilvl="8" w:tentative="0">
      <w:start w:val="1"/>
      <w:numFmt w:val="decimal"/>
      <w:lvlText w:val="%1.%2.%3.%4.%5.%6.%7.%8.%9"/>
      <w:lvlJc w:val="left"/>
      <w:pPr>
        <w:tabs>
          <w:tab w:val="left" w:pos="2860"/>
        </w:tabs>
        <w:ind w:left="2860" w:hanging="1584"/>
      </w:pPr>
      <w:rPr>
        <w:rFonts w:hint="eastAsia"/>
      </w:rPr>
    </w:lvl>
  </w:abstractNum>
  <w:abstractNum w:abstractNumId="9">
    <w:nsid w:val="0258C8E1"/>
    <w:multiLevelType w:val="singleLevel"/>
    <w:tmpl w:val="0258C8E1"/>
    <w:lvl w:ilvl="0" w:tentative="0">
      <w:start w:val="1"/>
      <w:numFmt w:val="decimal"/>
      <w:suff w:val="nothing"/>
      <w:lvlText w:val="(%1)"/>
      <w:lvlJc w:val="left"/>
      <w:pPr>
        <w:tabs>
          <w:tab w:val="left" w:pos="0"/>
        </w:tabs>
        <w:ind w:left="0" w:leftChars="0" w:firstLine="466"/>
      </w:pPr>
      <w:rPr>
        <w:rFonts w:hint="default" w:ascii="Times New Roman" w:hAnsi="Times New Roman" w:eastAsia="宋体" w:cs="宋体"/>
      </w:rPr>
    </w:lvl>
  </w:abstractNum>
  <w:abstractNum w:abstractNumId="10">
    <w:nsid w:val="121A1FE3"/>
    <w:multiLevelType w:val="multilevel"/>
    <w:tmpl w:val="121A1FE3"/>
    <w:lvl w:ilvl="0" w:tentative="0">
      <w:start w:val="1"/>
      <w:numFmt w:val="decimal"/>
      <w:pStyle w:val="93"/>
      <w:lvlText w:val="(%1)."/>
      <w:lvlJc w:val="left"/>
      <w:pPr>
        <w:ind w:left="900" w:hanging="420"/>
      </w:pPr>
      <w:rPr>
        <w:rFonts w:ascii="Times New Roman" w:hAnsi="Times New Roman" w:cs="Times New Roman"/>
        <w:b w:val="0"/>
        <w:bCs w:val="0"/>
        <w:i w:val="0"/>
        <w:iCs w:val="0"/>
        <w:caps w:val="0"/>
        <w:smallCaps w:val="0"/>
        <w:strike w:val="0"/>
        <w:dstrike w:val="0"/>
        <w:vanish w:val="0"/>
        <w:color w:val="000000"/>
        <w:spacing w:val="0"/>
        <w:position w:val="0"/>
        <w:u w:val="none"/>
        <w:vertAlign w:val="baseli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1FE0138E"/>
    <w:multiLevelType w:val="multilevel"/>
    <w:tmpl w:val="1FE0138E"/>
    <w:lvl w:ilvl="0" w:tentative="0">
      <w:start w:val="3"/>
      <w:numFmt w:val="decimal"/>
      <w:lvlText w:val="%1"/>
      <w:lvlJc w:val="left"/>
      <w:pPr>
        <w:ind w:left="360" w:hanging="360"/>
      </w:pPr>
      <w:rPr>
        <w:rFonts w:hint="default"/>
      </w:rPr>
    </w:lvl>
    <w:lvl w:ilvl="1" w:tentative="0">
      <w:start w:val="1"/>
      <w:numFmt w:val="decimal"/>
      <w:isLgl/>
      <w:lvlText w:val="%1.%2"/>
      <w:lvlJc w:val="left"/>
      <w:pPr>
        <w:ind w:left="360" w:hanging="36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1080" w:hanging="108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440" w:hanging="144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800" w:hanging="1800"/>
      </w:pPr>
      <w:rPr>
        <w:rFonts w:hint="default"/>
      </w:rPr>
    </w:lvl>
    <w:lvl w:ilvl="8" w:tentative="0">
      <w:start w:val="1"/>
      <w:numFmt w:val="decimal"/>
      <w:isLgl/>
      <w:lvlText w:val="%1.%2.%3.%4.%5.%6.%7.%8.%9"/>
      <w:lvlJc w:val="left"/>
      <w:pPr>
        <w:ind w:left="2160" w:hanging="2160"/>
      </w:pPr>
      <w:rPr>
        <w:rFonts w:hint="default"/>
      </w:rPr>
    </w:lvl>
  </w:abstractNum>
  <w:abstractNum w:abstractNumId="12">
    <w:nsid w:val="2BDAB09A"/>
    <w:multiLevelType w:val="multilevel"/>
    <w:tmpl w:val="2BDAB09A"/>
    <w:lvl w:ilvl="0" w:tentative="0">
      <w:start w:val="1"/>
      <w:numFmt w:val="decimal"/>
      <w:suff w:val="nothing"/>
      <w:lvlText w:val="附件%1："/>
      <w:lvlJc w:val="left"/>
      <w:pPr>
        <w:tabs>
          <w:tab w:val="left" w:pos="0"/>
        </w:tabs>
        <w:ind w:left="900" w:hanging="420"/>
      </w:pPr>
      <w:rPr>
        <w:rFonts w:hint="default" w:ascii="Times New Roman" w:hAnsi="Times New Roman" w:eastAsia="宋体" w:cs="宋体"/>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3BB96743"/>
    <w:multiLevelType w:val="multilevel"/>
    <w:tmpl w:val="3BB96743"/>
    <w:lvl w:ilvl="0" w:tentative="0">
      <w:start w:val="1"/>
      <w:numFmt w:val="decimal"/>
      <w:suff w:val="nothing"/>
      <w:lvlText w:val="%1"/>
      <w:lvlJc w:val="center"/>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4C534D58"/>
    <w:multiLevelType w:val="multilevel"/>
    <w:tmpl w:val="4C534D58"/>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5">
    <w:nsid w:val="557146F0"/>
    <w:multiLevelType w:val="singleLevel"/>
    <w:tmpl w:val="557146F0"/>
    <w:lvl w:ilvl="0" w:tentative="0">
      <w:start w:val="1"/>
      <w:numFmt w:val="decimal"/>
      <w:suff w:val="nothing"/>
      <w:lvlText w:val="（%1）"/>
      <w:lvlJc w:val="left"/>
      <w:pPr>
        <w:tabs>
          <w:tab w:val="left" w:pos="0"/>
        </w:tabs>
        <w:ind w:left="0" w:firstLine="0"/>
      </w:pPr>
    </w:lvl>
  </w:abstractNum>
  <w:num w:numId="1">
    <w:abstractNumId w:val="7"/>
  </w:num>
  <w:num w:numId="2">
    <w:abstractNumId w:val="8"/>
  </w:num>
  <w:num w:numId="3">
    <w:abstractNumId w:val="3"/>
  </w:num>
  <w:num w:numId="4">
    <w:abstractNumId w:val="5"/>
  </w:num>
  <w:num w:numId="5">
    <w:abstractNumId w:val="10"/>
  </w:num>
  <w:num w:numId="6">
    <w:abstractNumId w:val="6"/>
  </w:num>
  <w:num w:numId="7">
    <w:abstractNumId w:val="12"/>
  </w:num>
  <w:num w:numId="8">
    <w:abstractNumId w:val="0"/>
  </w:num>
  <w:num w:numId="9">
    <w:abstractNumId w:val="2"/>
  </w:num>
  <w:num w:numId="10">
    <w:abstractNumId w:val="4"/>
  </w:num>
  <w:num w:numId="11">
    <w:abstractNumId w:val="9"/>
  </w:num>
  <w:num w:numId="12">
    <w:abstractNumId w:val="13"/>
  </w:num>
  <w:num w:numId="13">
    <w:abstractNumId w:val="1"/>
  </w:num>
  <w:num w:numId="14">
    <w:abstractNumId w:val="11"/>
  </w:num>
  <w:num w:numId="15">
    <w:abstractNumId w:val="15"/>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E07DB9"/>
    <w:rsid w:val="000014B3"/>
    <w:rsid w:val="00001851"/>
    <w:rsid w:val="000020FA"/>
    <w:rsid w:val="0000264C"/>
    <w:rsid w:val="00005610"/>
    <w:rsid w:val="00010A6D"/>
    <w:rsid w:val="00010AF4"/>
    <w:rsid w:val="00011379"/>
    <w:rsid w:val="00013183"/>
    <w:rsid w:val="000138A1"/>
    <w:rsid w:val="00013BAE"/>
    <w:rsid w:val="00014C1C"/>
    <w:rsid w:val="00016F93"/>
    <w:rsid w:val="00016FC5"/>
    <w:rsid w:val="000177D6"/>
    <w:rsid w:val="00017AAB"/>
    <w:rsid w:val="00017BB1"/>
    <w:rsid w:val="00020DD1"/>
    <w:rsid w:val="0002126C"/>
    <w:rsid w:val="00021AFE"/>
    <w:rsid w:val="00024028"/>
    <w:rsid w:val="000274CD"/>
    <w:rsid w:val="0002752C"/>
    <w:rsid w:val="00030677"/>
    <w:rsid w:val="00031AA8"/>
    <w:rsid w:val="00033502"/>
    <w:rsid w:val="000341D1"/>
    <w:rsid w:val="00034F26"/>
    <w:rsid w:val="000350FB"/>
    <w:rsid w:val="00035714"/>
    <w:rsid w:val="00036D3C"/>
    <w:rsid w:val="00040A81"/>
    <w:rsid w:val="00041467"/>
    <w:rsid w:val="0004152A"/>
    <w:rsid w:val="00042BE1"/>
    <w:rsid w:val="00045AA5"/>
    <w:rsid w:val="00045CA0"/>
    <w:rsid w:val="00045F6B"/>
    <w:rsid w:val="00046444"/>
    <w:rsid w:val="00046B08"/>
    <w:rsid w:val="00047610"/>
    <w:rsid w:val="000506DA"/>
    <w:rsid w:val="00050A12"/>
    <w:rsid w:val="00051C2D"/>
    <w:rsid w:val="0005235A"/>
    <w:rsid w:val="00052466"/>
    <w:rsid w:val="000527C9"/>
    <w:rsid w:val="00052C7E"/>
    <w:rsid w:val="00053148"/>
    <w:rsid w:val="00054224"/>
    <w:rsid w:val="00055C8C"/>
    <w:rsid w:val="00057E4C"/>
    <w:rsid w:val="00057F7B"/>
    <w:rsid w:val="00063DBC"/>
    <w:rsid w:val="00064BC5"/>
    <w:rsid w:val="00064CFC"/>
    <w:rsid w:val="00066BBF"/>
    <w:rsid w:val="0006761E"/>
    <w:rsid w:val="00071E17"/>
    <w:rsid w:val="0007253F"/>
    <w:rsid w:val="0007290F"/>
    <w:rsid w:val="00074438"/>
    <w:rsid w:val="000748E0"/>
    <w:rsid w:val="000766A6"/>
    <w:rsid w:val="0007692E"/>
    <w:rsid w:val="00081B92"/>
    <w:rsid w:val="000827B9"/>
    <w:rsid w:val="00082C6D"/>
    <w:rsid w:val="00090143"/>
    <w:rsid w:val="000925BB"/>
    <w:rsid w:val="0009430B"/>
    <w:rsid w:val="000944C3"/>
    <w:rsid w:val="00095729"/>
    <w:rsid w:val="0009586E"/>
    <w:rsid w:val="00096AE7"/>
    <w:rsid w:val="000973F7"/>
    <w:rsid w:val="00097907"/>
    <w:rsid w:val="00097E1A"/>
    <w:rsid w:val="000A144E"/>
    <w:rsid w:val="000A1D1B"/>
    <w:rsid w:val="000A2470"/>
    <w:rsid w:val="000A2E4B"/>
    <w:rsid w:val="000A2E6D"/>
    <w:rsid w:val="000A5235"/>
    <w:rsid w:val="000A66AD"/>
    <w:rsid w:val="000A765F"/>
    <w:rsid w:val="000B1584"/>
    <w:rsid w:val="000B24D2"/>
    <w:rsid w:val="000B4091"/>
    <w:rsid w:val="000B4402"/>
    <w:rsid w:val="000B457A"/>
    <w:rsid w:val="000B4BB2"/>
    <w:rsid w:val="000B7591"/>
    <w:rsid w:val="000C16EC"/>
    <w:rsid w:val="000C17EF"/>
    <w:rsid w:val="000C18A7"/>
    <w:rsid w:val="000C18AB"/>
    <w:rsid w:val="000C4019"/>
    <w:rsid w:val="000C5D34"/>
    <w:rsid w:val="000C5EFB"/>
    <w:rsid w:val="000D38CF"/>
    <w:rsid w:val="000D5D91"/>
    <w:rsid w:val="000D61C5"/>
    <w:rsid w:val="000D6219"/>
    <w:rsid w:val="000E4438"/>
    <w:rsid w:val="000E5024"/>
    <w:rsid w:val="000E61A6"/>
    <w:rsid w:val="000F09DF"/>
    <w:rsid w:val="000F0B99"/>
    <w:rsid w:val="001008DB"/>
    <w:rsid w:val="00100B79"/>
    <w:rsid w:val="00101C43"/>
    <w:rsid w:val="001029FB"/>
    <w:rsid w:val="00102EE0"/>
    <w:rsid w:val="0010357C"/>
    <w:rsid w:val="00106854"/>
    <w:rsid w:val="00107960"/>
    <w:rsid w:val="00111A3C"/>
    <w:rsid w:val="0011398D"/>
    <w:rsid w:val="00115BDC"/>
    <w:rsid w:val="00123D91"/>
    <w:rsid w:val="0012497A"/>
    <w:rsid w:val="001251C5"/>
    <w:rsid w:val="00126BF2"/>
    <w:rsid w:val="00131123"/>
    <w:rsid w:val="00132A18"/>
    <w:rsid w:val="001346E7"/>
    <w:rsid w:val="00140CE8"/>
    <w:rsid w:val="001415AC"/>
    <w:rsid w:val="0014163E"/>
    <w:rsid w:val="0014286B"/>
    <w:rsid w:val="001429CC"/>
    <w:rsid w:val="001437A7"/>
    <w:rsid w:val="0014384E"/>
    <w:rsid w:val="00147F68"/>
    <w:rsid w:val="00150435"/>
    <w:rsid w:val="0015142F"/>
    <w:rsid w:val="001518FF"/>
    <w:rsid w:val="00152F6D"/>
    <w:rsid w:val="001547CC"/>
    <w:rsid w:val="0015495C"/>
    <w:rsid w:val="001549A6"/>
    <w:rsid w:val="00155F97"/>
    <w:rsid w:val="00155FF7"/>
    <w:rsid w:val="001564FE"/>
    <w:rsid w:val="001567F1"/>
    <w:rsid w:val="00156F8C"/>
    <w:rsid w:val="00162C26"/>
    <w:rsid w:val="00163436"/>
    <w:rsid w:val="0016445E"/>
    <w:rsid w:val="00164EE8"/>
    <w:rsid w:val="00165139"/>
    <w:rsid w:val="00167D7F"/>
    <w:rsid w:val="001701D2"/>
    <w:rsid w:val="00171DF9"/>
    <w:rsid w:val="001748AD"/>
    <w:rsid w:val="00175D1E"/>
    <w:rsid w:val="00176E80"/>
    <w:rsid w:val="00177371"/>
    <w:rsid w:val="00182CC6"/>
    <w:rsid w:val="001848E8"/>
    <w:rsid w:val="0018551F"/>
    <w:rsid w:val="00185896"/>
    <w:rsid w:val="0018672C"/>
    <w:rsid w:val="0018736A"/>
    <w:rsid w:val="00190A97"/>
    <w:rsid w:val="001922E3"/>
    <w:rsid w:val="001955E3"/>
    <w:rsid w:val="00196448"/>
    <w:rsid w:val="001969FA"/>
    <w:rsid w:val="00196A48"/>
    <w:rsid w:val="00196AA6"/>
    <w:rsid w:val="00197498"/>
    <w:rsid w:val="00197E8E"/>
    <w:rsid w:val="001A0F52"/>
    <w:rsid w:val="001A2498"/>
    <w:rsid w:val="001A3656"/>
    <w:rsid w:val="001A3FDD"/>
    <w:rsid w:val="001A568B"/>
    <w:rsid w:val="001B672B"/>
    <w:rsid w:val="001C1846"/>
    <w:rsid w:val="001C314A"/>
    <w:rsid w:val="001D2B8C"/>
    <w:rsid w:val="001D4864"/>
    <w:rsid w:val="001D4917"/>
    <w:rsid w:val="001D6C49"/>
    <w:rsid w:val="001E2025"/>
    <w:rsid w:val="001E3ADD"/>
    <w:rsid w:val="001E67F6"/>
    <w:rsid w:val="001F023E"/>
    <w:rsid w:val="001F0D97"/>
    <w:rsid w:val="001F27B9"/>
    <w:rsid w:val="001F28C5"/>
    <w:rsid w:val="001F443F"/>
    <w:rsid w:val="001F5071"/>
    <w:rsid w:val="001F5DF8"/>
    <w:rsid w:val="001F6CD8"/>
    <w:rsid w:val="001F71C7"/>
    <w:rsid w:val="001F742A"/>
    <w:rsid w:val="00200245"/>
    <w:rsid w:val="002008C0"/>
    <w:rsid w:val="00201221"/>
    <w:rsid w:val="00201279"/>
    <w:rsid w:val="00202E70"/>
    <w:rsid w:val="00203890"/>
    <w:rsid w:val="00203DD9"/>
    <w:rsid w:val="00203E04"/>
    <w:rsid w:val="00203E90"/>
    <w:rsid w:val="00204C18"/>
    <w:rsid w:val="0020728A"/>
    <w:rsid w:val="00210927"/>
    <w:rsid w:val="00214337"/>
    <w:rsid w:val="002175BF"/>
    <w:rsid w:val="00221AC3"/>
    <w:rsid w:val="00221E6D"/>
    <w:rsid w:val="00222A8A"/>
    <w:rsid w:val="002239C5"/>
    <w:rsid w:val="00223AD7"/>
    <w:rsid w:val="0022610F"/>
    <w:rsid w:val="0022632B"/>
    <w:rsid w:val="00230FB8"/>
    <w:rsid w:val="002310D6"/>
    <w:rsid w:val="002319FB"/>
    <w:rsid w:val="00233E0D"/>
    <w:rsid w:val="00234403"/>
    <w:rsid w:val="0023548F"/>
    <w:rsid w:val="00235645"/>
    <w:rsid w:val="00236A14"/>
    <w:rsid w:val="002401DF"/>
    <w:rsid w:val="00240C06"/>
    <w:rsid w:val="00242568"/>
    <w:rsid w:val="00242C23"/>
    <w:rsid w:val="002439AA"/>
    <w:rsid w:val="00247464"/>
    <w:rsid w:val="0024778C"/>
    <w:rsid w:val="00250242"/>
    <w:rsid w:val="002508FE"/>
    <w:rsid w:val="00250FAF"/>
    <w:rsid w:val="00252F40"/>
    <w:rsid w:val="0025328C"/>
    <w:rsid w:val="002562EF"/>
    <w:rsid w:val="002562F8"/>
    <w:rsid w:val="00256D00"/>
    <w:rsid w:val="0026156A"/>
    <w:rsid w:val="00263B60"/>
    <w:rsid w:val="00264FF6"/>
    <w:rsid w:val="00265E8A"/>
    <w:rsid w:val="00266AE6"/>
    <w:rsid w:val="002702A8"/>
    <w:rsid w:val="00272613"/>
    <w:rsid w:val="002769FE"/>
    <w:rsid w:val="00276A8F"/>
    <w:rsid w:val="00280AD8"/>
    <w:rsid w:val="00285050"/>
    <w:rsid w:val="00285EA2"/>
    <w:rsid w:val="00285FAF"/>
    <w:rsid w:val="00291995"/>
    <w:rsid w:val="00291FE4"/>
    <w:rsid w:val="00293029"/>
    <w:rsid w:val="0029513D"/>
    <w:rsid w:val="002A1DF4"/>
    <w:rsid w:val="002A38F4"/>
    <w:rsid w:val="002A6285"/>
    <w:rsid w:val="002A7770"/>
    <w:rsid w:val="002B094E"/>
    <w:rsid w:val="002B1B30"/>
    <w:rsid w:val="002B233B"/>
    <w:rsid w:val="002B31B9"/>
    <w:rsid w:val="002B624F"/>
    <w:rsid w:val="002B7C40"/>
    <w:rsid w:val="002C2AEF"/>
    <w:rsid w:val="002C39BE"/>
    <w:rsid w:val="002C593B"/>
    <w:rsid w:val="002D116D"/>
    <w:rsid w:val="002D206F"/>
    <w:rsid w:val="002D24E6"/>
    <w:rsid w:val="002D3AF3"/>
    <w:rsid w:val="002D51E8"/>
    <w:rsid w:val="002D5F49"/>
    <w:rsid w:val="002D61AD"/>
    <w:rsid w:val="002E0546"/>
    <w:rsid w:val="002E2A57"/>
    <w:rsid w:val="002F0754"/>
    <w:rsid w:val="002F1CF6"/>
    <w:rsid w:val="002F2181"/>
    <w:rsid w:val="002F26F6"/>
    <w:rsid w:val="002F2AE9"/>
    <w:rsid w:val="002F43B4"/>
    <w:rsid w:val="002F477B"/>
    <w:rsid w:val="002F47BB"/>
    <w:rsid w:val="002F4947"/>
    <w:rsid w:val="002F5539"/>
    <w:rsid w:val="002F5FC8"/>
    <w:rsid w:val="002F671D"/>
    <w:rsid w:val="002F6CB5"/>
    <w:rsid w:val="002F71E0"/>
    <w:rsid w:val="002F77C0"/>
    <w:rsid w:val="00301496"/>
    <w:rsid w:val="003025AD"/>
    <w:rsid w:val="00306083"/>
    <w:rsid w:val="00306CFE"/>
    <w:rsid w:val="0030742F"/>
    <w:rsid w:val="003118B3"/>
    <w:rsid w:val="00311A1E"/>
    <w:rsid w:val="00312410"/>
    <w:rsid w:val="00312B90"/>
    <w:rsid w:val="00316E60"/>
    <w:rsid w:val="00320902"/>
    <w:rsid w:val="00320E97"/>
    <w:rsid w:val="00321012"/>
    <w:rsid w:val="00321BD2"/>
    <w:rsid w:val="00323AAF"/>
    <w:rsid w:val="00324A15"/>
    <w:rsid w:val="00325CE6"/>
    <w:rsid w:val="0033054E"/>
    <w:rsid w:val="00330C59"/>
    <w:rsid w:val="00331D42"/>
    <w:rsid w:val="003343AA"/>
    <w:rsid w:val="003365CB"/>
    <w:rsid w:val="0033792C"/>
    <w:rsid w:val="00340244"/>
    <w:rsid w:val="0035036B"/>
    <w:rsid w:val="00350D5A"/>
    <w:rsid w:val="00351E0C"/>
    <w:rsid w:val="003539D2"/>
    <w:rsid w:val="003551C1"/>
    <w:rsid w:val="00361603"/>
    <w:rsid w:val="003636B2"/>
    <w:rsid w:val="00364B1D"/>
    <w:rsid w:val="00364D57"/>
    <w:rsid w:val="00365CA1"/>
    <w:rsid w:val="00367836"/>
    <w:rsid w:val="00370A3E"/>
    <w:rsid w:val="003725E7"/>
    <w:rsid w:val="00373128"/>
    <w:rsid w:val="00375B42"/>
    <w:rsid w:val="00375C99"/>
    <w:rsid w:val="00377216"/>
    <w:rsid w:val="003773C5"/>
    <w:rsid w:val="00377691"/>
    <w:rsid w:val="00377CCE"/>
    <w:rsid w:val="003803E6"/>
    <w:rsid w:val="00386A3A"/>
    <w:rsid w:val="00386E8A"/>
    <w:rsid w:val="0038739B"/>
    <w:rsid w:val="00387F7F"/>
    <w:rsid w:val="0039156C"/>
    <w:rsid w:val="0039314F"/>
    <w:rsid w:val="00393580"/>
    <w:rsid w:val="0039369C"/>
    <w:rsid w:val="00393D52"/>
    <w:rsid w:val="003960AC"/>
    <w:rsid w:val="00396B15"/>
    <w:rsid w:val="003975D8"/>
    <w:rsid w:val="003A24EC"/>
    <w:rsid w:val="003A4B33"/>
    <w:rsid w:val="003A4C01"/>
    <w:rsid w:val="003A5B7D"/>
    <w:rsid w:val="003A7900"/>
    <w:rsid w:val="003B0A4D"/>
    <w:rsid w:val="003B2C33"/>
    <w:rsid w:val="003B3718"/>
    <w:rsid w:val="003B3A1E"/>
    <w:rsid w:val="003B3B02"/>
    <w:rsid w:val="003B4E7C"/>
    <w:rsid w:val="003B509B"/>
    <w:rsid w:val="003B517B"/>
    <w:rsid w:val="003B63E8"/>
    <w:rsid w:val="003B693E"/>
    <w:rsid w:val="003B6E19"/>
    <w:rsid w:val="003C0AF7"/>
    <w:rsid w:val="003C0FA6"/>
    <w:rsid w:val="003C202C"/>
    <w:rsid w:val="003C224F"/>
    <w:rsid w:val="003C5D92"/>
    <w:rsid w:val="003C7CBB"/>
    <w:rsid w:val="003D043F"/>
    <w:rsid w:val="003D1B68"/>
    <w:rsid w:val="003D3857"/>
    <w:rsid w:val="003D4689"/>
    <w:rsid w:val="003D490D"/>
    <w:rsid w:val="003D510B"/>
    <w:rsid w:val="003E0504"/>
    <w:rsid w:val="003E4DA0"/>
    <w:rsid w:val="003E63B3"/>
    <w:rsid w:val="003F0732"/>
    <w:rsid w:val="003F1CE3"/>
    <w:rsid w:val="003F2899"/>
    <w:rsid w:val="003F4802"/>
    <w:rsid w:val="00405709"/>
    <w:rsid w:val="00406BE7"/>
    <w:rsid w:val="00406BEC"/>
    <w:rsid w:val="004111B1"/>
    <w:rsid w:val="0041239E"/>
    <w:rsid w:val="00415146"/>
    <w:rsid w:val="004156A0"/>
    <w:rsid w:val="00416FFE"/>
    <w:rsid w:val="00420E9B"/>
    <w:rsid w:val="00421C0D"/>
    <w:rsid w:val="00425EA4"/>
    <w:rsid w:val="0042675F"/>
    <w:rsid w:val="00431A79"/>
    <w:rsid w:val="00431F49"/>
    <w:rsid w:val="004326BB"/>
    <w:rsid w:val="00433709"/>
    <w:rsid w:val="0043515E"/>
    <w:rsid w:val="00435479"/>
    <w:rsid w:val="00435906"/>
    <w:rsid w:val="00437ACF"/>
    <w:rsid w:val="00440905"/>
    <w:rsid w:val="00440973"/>
    <w:rsid w:val="004415DB"/>
    <w:rsid w:val="004428F4"/>
    <w:rsid w:val="00442D8A"/>
    <w:rsid w:val="0044382E"/>
    <w:rsid w:val="00444106"/>
    <w:rsid w:val="00445873"/>
    <w:rsid w:val="0044590E"/>
    <w:rsid w:val="00452ED0"/>
    <w:rsid w:val="00453AD8"/>
    <w:rsid w:val="00454056"/>
    <w:rsid w:val="00457803"/>
    <w:rsid w:val="004609DB"/>
    <w:rsid w:val="00460EAE"/>
    <w:rsid w:val="0046610C"/>
    <w:rsid w:val="0047422C"/>
    <w:rsid w:val="00474F59"/>
    <w:rsid w:val="00474F95"/>
    <w:rsid w:val="004767B8"/>
    <w:rsid w:val="00477B5A"/>
    <w:rsid w:val="004800C4"/>
    <w:rsid w:val="004820D0"/>
    <w:rsid w:val="00482E99"/>
    <w:rsid w:val="00483D76"/>
    <w:rsid w:val="00483E1D"/>
    <w:rsid w:val="00484375"/>
    <w:rsid w:val="00484A0B"/>
    <w:rsid w:val="00484C81"/>
    <w:rsid w:val="0048711D"/>
    <w:rsid w:val="004929C3"/>
    <w:rsid w:val="00492BC1"/>
    <w:rsid w:val="00496735"/>
    <w:rsid w:val="004A0DE6"/>
    <w:rsid w:val="004A162D"/>
    <w:rsid w:val="004A4C84"/>
    <w:rsid w:val="004A4EDD"/>
    <w:rsid w:val="004A5730"/>
    <w:rsid w:val="004A5CFB"/>
    <w:rsid w:val="004A74AD"/>
    <w:rsid w:val="004A77BE"/>
    <w:rsid w:val="004A7DA1"/>
    <w:rsid w:val="004B082B"/>
    <w:rsid w:val="004B3382"/>
    <w:rsid w:val="004B423B"/>
    <w:rsid w:val="004B4C7D"/>
    <w:rsid w:val="004C048F"/>
    <w:rsid w:val="004C4A66"/>
    <w:rsid w:val="004C53C9"/>
    <w:rsid w:val="004C5447"/>
    <w:rsid w:val="004C6005"/>
    <w:rsid w:val="004C7EBE"/>
    <w:rsid w:val="004D06A1"/>
    <w:rsid w:val="004D1844"/>
    <w:rsid w:val="004D198F"/>
    <w:rsid w:val="004D484D"/>
    <w:rsid w:val="004D5425"/>
    <w:rsid w:val="004D5864"/>
    <w:rsid w:val="004D5C1B"/>
    <w:rsid w:val="004D63D4"/>
    <w:rsid w:val="004D73F4"/>
    <w:rsid w:val="004E01A3"/>
    <w:rsid w:val="004E0608"/>
    <w:rsid w:val="004E2003"/>
    <w:rsid w:val="004E352A"/>
    <w:rsid w:val="004E62DE"/>
    <w:rsid w:val="004E7AD0"/>
    <w:rsid w:val="004E7C8F"/>
    <w:rsid w:val="004E7F55"/>
    <w:rsid w:val="004F0699"/>
    <w:rsid w:val="004F1438"/>
    <w:rsid w:val="004F1462"/>
    <w:rsid w:val="004F1FA0"/>
    <w:rsid w:val="004F21CE"/>
    <w:rsid w:val="004F310D"/>
    <w:rsid w:val="004F396D"/>
    <w:rsid w:val="004F63B5"/>
    <w:rsid w:val="004F71ED"/>
    <w:rsid w:val="004F7445"/>
    <w:rsid w:val="004F7B78"/>
    <w:rsid w:val="004F7D49"/>
    <w:rsid w:val="005005F8"/>
    <w:rsid w:val="00500E58"/>
    <w:rsid w:val="005035B5"/>
    <w:rsid w:val="0050544F"/>
    <w:rsid w:val="00506903"/>
    <w:rsid w:val="00507E04"/>
    <w:rsid w:val="00511766"/>
    <w:rsid w:val="005124F4"/>
    <w:rsid w:val="00514EDB"/>
    <w:rsid w:val="00515610"/>
    <w:rsid w:val="00517538"/>
    <w:rsid w:val="00517FA9"/>
    <w:rsid w:val="00526D5D"/>
    <w:rsid w:val="005307C8"/>
    <w:rsid w:val="005326B6"/>
    <w:rsid w:val="0053539C"/>
    <w:rsid w:val="00537331"/>
    <w:rsid w:val="00537E67"/>
    <w:rsid w:val="005401DD"/>
    <w:rsid w:val="005417C3"/>
    <w:rsid w:val="00544E02"/>
    <w:rsid w:val="005456FF"/>
    <w:rsid w:val="0054766E"/>
    <w:rsid w:val="00550CAA"/>
    <w:rsid w:val="005524FC"/>
    <w:rsid w:val="00553426"/>
    <w:rsid w:val="00553602"/>
    <w:rsid w:val="005536BC"/>
    <w:rsid w:val="00555B32"/>
    <w:rsid w:val="00555C62"/>
    <w:rsid w:val="00555E14"/>
    <w:rsid w:val="00557C76"/>
    <w:rsid w:val="00560BF6"/>
    <w:rsid w:val="00562058"/>
    <w:rsid w:val="00563E0F"/>
    <w:rsid w:val="00565459"/>
    <w:rsid w:val="00566C9E"/>
    <w:rsid w:val="00567FDA"/>
    <w:rsid w:val="00571249"/>
    <w:rsid w:val="005712B4"/>
    <w:rsid w:val="005718FB"/>
    <w:rsid w:val="005749E1"/>
    <w:rsid w:val="005769D1"/>
    <w:rsid w:val="005806D5"/>
    <w:rsid w:val="00580876"/>
    <w:rsid w:val="00580BC0"/>
    <w:rsid w:val="005816DF"/>
    <w:rsid w:val="00586B77"/>
    <w:rsid w:val="00586FE0"/>
    <w:rsid w:val="005870D8"/>
    <w:rsid w:val="005874F6"/>
    <w:rsid w:val="005910BB"/>
    <w:rsid w:val="00592100"/>
    <w:rsid w:val="00594B4A"/>
    <w:rsid w:val="00595A4B"/>
    <w:rsid w:val="005976DA"/>
    <w:rsid w:val="005A16BF"/>
    <w:rsid w:val="005A1E92"/>
    <w:rsid w:val="005A4699"/>
    <w:rsid w:val="005A588B"/>
    <w:rsid w:val="005A5CD2"/>
    <w:rsid w:val="005A6754"/>
    <w:rsid w:val="005B0935"/>
    <w:rsid w:val="005B4785"/>
    <w:rsid w:val="005B4F50"/>
    <w:rsid w:val="005B51A0"/>
    <w:rsid w:val="005C1DD5"/>
    <w:rsid w:val="005C414C"/>
    <w:rsid w:val="005C7DBD"/>
    <w:rsid w:val="005D18CA"/>
    <w:rsid w:val="005D3CE1"/>
    <w:rsid w:val="005D495D"/>
    <w:rsid w:val="005D6733"/>
    <w:rsid w:val="005D71E1"/>
    <w:rsid w:val="005D7779"/>
    <w:rsid w:val="005E021E"/>
    <w:rsid w:val="005E1DA8"/>
    <w:rsid w:val="005E27F2"/>
    <w:rsid w:val="005E28DC"/>
    <w:rsid w:val="005E3219"/>
    <w:rsid w:val="005E4FA9"/>
    <w:rsid w:val="005E6C83"/>
    <w:rsid w:val="005F2BE8"/>
    <w:rsid w:val="005F4960"/>
    <w:rsid w:val="005F5324"/>
    <w:rsid w:val="005F5CB8"/>
    <w:rsid w:val="005F7BA5"/>
    <w:rsid w:val="0060178F"/>
    <w:rsid w:val="00601AB2"/>
    <w:rsid w:val="0060323E"/>
    <w:rsid w:val="00603DB1"/>
    <w:rsid w:val="0060431C"/>
    <w:rsid w:val="00606847"/>
    <w:rsid w:val="006069BD"/>
    <w:rsid w:val="00607423"/>
    <w:rsid w:val="0060778B"/>
    <w:rsid w:val="00607AC2"/>
    <w:rsid w:val="00611683"/>
    <w:rsid w:val="00614D66"/>
    <w:rsid w:val="0061576A"/>
    <w:rsid w:val="00616025"/>
    <w:rsid w:val="006162A4"/>
    <w:rsid w:val="006177B1"/>
    <w:rsid w:val="0062019D"/>
    <w:rsid w:val="0062185D"/>
    <w:rsid w:val="00622EE4"/>
    <w:rsid w:val="00631004"/>
    <w:rsid w:val="006321A1"/>
    <w:rsid w:val="00632FE0"/>
    <w:rsid w:val="0063378B"/>
    <w:rsid w:val="0063409A"/>
    <w:rsid w:val="00635392"/>
    <w:rsid w:val="00635396"/>
    <w:rsid w:val="00637BE1"/>
    <w:rsid w:val="00637C13"/>
    <w:rsid w:val="006400B5"/>
    <w:rsid w:val="006400D9"/>
    <w:rsid w:val="00642427"/>
    <w:rsid w:val="006433C7"/>
    <w:rsid w:val="00644202"/>
    <w:rsid w:val="006448FB"/>
    <w:rsid w:val="006453CA"/>
    <w:rsid w:val="00646A49"/>
    <w:rsid w:val="006505B9"/>
    <w:rsid w:val="006518C3"/>
    <w:rsid w:val="00653E92"/>
    <w:rsid w:val="00653F44"/>
    <w:rsid w:val="00654330"/>
    <w:rsid w:val="006550EF"/>
    <w:rsid w:val="00655828"/>
    <w:rsid w:val="00656135"/>
    <w:rsid w:val="00656A0D"/>
    <w:rsid w:val="00662A8B"/>
    <w:rsid w:val="00662DE1"/>
    <w:rsid w:val="00664F7C"/>
    <w:rsid w:val="00666D6A"/>
    <w:rsid w:val="00667281"/>
    <w:rsid w:val="006704EC"/>
    <w:rsid w:val="00670DAF"/>
    <w:rsid w:val="00675301"/>
    <w:rsid w:val="0067637B"/>
    <w:rsid w:val="006764E5"/>
    <w:rsid w:val="006804C7"/>
    <w:rsid w:val="006812E8"/>
    <w:rsid w:val="00681560"/>
    <w:rsid w:val="00681918"/>
    <w:rsid w:val="00682893"/>
    <w:rsid w:val="00682CD3"/>
    <w:rsid w:val="00685093"/>
    <w:rsid w:val="006855E8"/>
    <w:rsid w:val="0069232F"/>
    <w:rsid w:val="00693969"/>
    <w:rsid w:val="00693EDF"/>
    <w:rsid w:val="00695A8C"/>
    <w:rsid w:val="00696C2B"/>
    <w:rsid w:val="00697F75"/>
    <w:rsid w:val="00697FE2"/>
    <w:rsid w:val="006A0880"/>
    <w:rsid w:val="006A1279"/>
    <w:rsid w:val="006A1BA3"/>
    <w:rsid w:val="006A2AB3"/>
    <w:rsid w:val="006A59A1"/>
    <w:rsid w:val="006A5EB5"/>
    <w:rsid w:val="006A60D7"/>
    <w:rsid w:val="006A68D8"/>
    <w:rsid w:val="006A6A5A"/>
    <w:rsid w:val="006B1B05"/>
    <w:rsid w:val="006B1B54"/>
    <w:rsid w:val="006B1DFA"/>
    <w:rsid w:val="006B2C8E"/>
    <w:rsid w:val="006B2D5E"/>
    <w:rsid w:val="006B2EBF"/>
    <w:rsid w:val="006B4DEF"/>
    <w:rsid w:val="006B6D64"/>
    <w:rsid w:val="006B6DFA"/>
    <w:rsid w:val="006B7A49"/>
    <w:rsid w:val="006C033C"/>
    <w:rsid w:val="006C037D"/>
    <w:rsid w:val="006C175A"/>
    <w:rsid w:val="006C7800"/>
    <w:rsid w:val="006D0DB1"/>
    <w:rsid w:val="006D1DA5"/>
    <w:rsid w:val="006D23C4"/>
    <w:rsid w:val="006D2DC3"/>
    <w:rsid w:val="006D3DAA"/>
    <w:rsid w:val="006D3FC6"/>
    <w:rsid w:val="006D764C"/>
    <w:rsid w:val="006E22E9"/>
    <w:rsid w:val="006E29C7"/>
    <w:rsid w:val="006E679B"/>
    <w:rsid w:val="006F0846"/>
    <w:rsid w:val="006F0ED4"/>
    <w:rsid w:val="006F17C2"/>
    <w:rsid w:val="006F44CB"/>
    <w:rsid w:val="006F524F"/>
    <w:rsid w:val="006F583D"/>
    <w:rsid w:val="006F698B"/>
    <w:rsid w:val="006F6B1B"/>
    <w:rsid w:val="006F7FF7"/>
    <w:rsid w:val="00700FC8"/>
    <w:rsid w:val="00701DD3"/>
    <w:rsid w:val="00704983"/>
    <w:rsid w:val="00705002"/>
    <w:rsid w:val="00705032"/>
    <w:rsid w:val="0071050D"/>
    <w:rsid w:val="00710B51"/>
    <w:rsid w:val="00710F06"/>
    <w:rsid w:val="00716B93"/>
    <w:rsid w:val="007200D9"/>
    <w:rsid w:val="007201F7"/>
    <w:rsid w:val="007208AD"/>
    <w:rsid w:val="00720C8F"/>
    <w:rsid w:val="00721FAA"/>
    <w:rsid w:val="00723775"/>
    <w:rsid w:val="007240A1"/>
    <w:rsid w:val="00724561"/>
    <w:rsid w:val="00724BEB"/>
    <w:rsid w:val="00725234"/>
    <w:rsid w:val="00725E96"/>
    <w:rsid w:val="00726400"/>
    <w:rsid w:val="00726ED8"/>
    <w:rsid w:val="007329AB"/>
    <w:rsid w:val="00736C81"/>
    <w:rsid w:val="00736F93"/>
    <w:rsid w:val="00737285"/>
    <w:rsid w:val="00737D31"/>
    <w:rsid w:val="00740163"/>
    <w:rsid w:val="00740296"/>
    <w:rsid w:val="0074109E"/>
    <w:rsid w:val="00741B37"/>
    <w:rsid w:val="00744E47"/>
    <w:rsid w:val="00746895"/>
    <w:rsid w:val="00747CAC"/>
    <w:rsid w:val="007504C7"/>
    <w:rsid w:val="00750B9E"/>
    <w:rsid w:val="00752535"/>
    <w:rsid w:val="007530CF"/>
    <w:rsid w:val="00753186"/>
    <w:rsid w:val="00753BD2"/>
    <w:rsid w:val="00754A26"/>
    <w:rsid w:val="00756816"/>
    <w:rsid w:val="007579BE"/>
    <w:rsid w:val="00757D15"/>
    <w:rsid w:val="00761698"/>
    <w:rsid w:val="007649B6"/>
    <w:rsid w:val="0076550C"/>
    <w:rsid w:val="00765762"/>
    <w:rsid w:val="00766C1C"/>
    <w:rsid w:val="00766D9A"/>
    <w:rsid w:val="00767851"/>
    <w:rsid w:val="00771C35"/>
    <w:rsid w:val="007729F3"/>
    <w:rsid w:val="00772B75"/>
    <w:rsid w:val="00774B9D"/>
    <w:rsid w:val="007756EB"/>
    <w:rsid w:val="0077581C"/>
    <w:rsid w:val="007766C8"/>
    <w:rsid w:val="00781B79"/>
    <w:rsid w:val="00783204"/>
    <w:rsid w:val="00783B72"/>
    <w:rsid w:val="00783E89"/>
    <w:rsid w:val="0078498C"/>
    <w:rsid w:val="007849C5"/>
    <w:rsid w:val="0078531A"/>
    <w:rsid w:val="007857BD"/>
    <w:rsid w:val="00787C6D"/>
    <w:rsid w:val="00793650"/>
    <w:rsid w:val="007949AF"/>
    <w:rsid w:val="00794EBE"/>
    <w:rsid w:val="0079519D"/>
    <w:rsid w:val="00795AF1"/>
    <w:rsid w:val="00796D66"/>
    <w:rsid w:val="00797FD6"/>
    <w:rsid w:val="007A20D4"/>
    <w:rsid w:val="007A295A"/>
    <w:rsid w:val="007A3381"/>
    <w:rsid w:val="007A3B4E"/>
    <w:rsid w:val="007A483A"/>
    <w:rsid w:val="007A57FB"/>
    <w:rsid w:val="007A7247"/>
    <w:rsid w:val="007B202E"/>
    <w:rsid w:val="007B391C"/>
    <w:rsid w:val="007B6136"/>
    <w:rsid w:val="007B7465"/>
    <w:rsid w:val="007B7B86"/>
    <w:rsid w:val="007C0563"/>
    <w:rsid w:val="007C063E"/>
    <w:rsid w:val="007C0D68"/>
    <w:rsid w:val="007C1B36"/>
    <w:rsid w:val="007C4910"/>
    <w:rsid w:val="007C5391"/>
    <w:rsid w:val="007C5448"/>
    <w:rsid w:val="007C54E8"/>
    <w:rsid w:val="007D32F9"/>
    <w:rsid w:val="007D33DB"/>
    <w:rsid w:val="007D3447"/>
    <w:rsid w:val="007D5878"/>
    <w:rsid w:val="007D6699"/>
    <w:rsid w:val="007D73D9"/>
    <w:rsid w:val="007E02AA"/>
    <w:rsid w:val="007E04C3"/>
    <w:rsid w:val="007E0CBE"/>
    <w:rsid w:val="007E1EF9"/>
    <w:rsid w:val="007E2684"/>
    <w:rsid w:val="007E2F75"/>
    <w:rsid w:val="007E2F8F"/>
    <w:rsid w:val="007E6340"/>
    <w:rsid w:val="007E6838"/>
    <w:rsid w:val="007E6A05"/>
    <w:rsid w:val="007E6D64"/>
    <w:rsid w:val="007F0323"/>
    <w:rsid w:val="007F1C38"/>
    <w:rsid w:val="007F3D49"/>
    <w:rsid w:val="007F412B"/>
    <w:rsid w:val="007F695E"/>
    <w:rsid w:val="007F6BB2"/>
    <w:rsid w:val="00802C87"/>
    <w:rsid w:val="008045AE"/>
    <w:rsid w:val="00804866"/>
    <w:rsid w:val="00804D94"/>
    <w:rsid w:val="00805105"/>
    <w:rsid w:val="0081196E"/>
    <w:rsid w:val="00812946"/>
    <w:rsid w:val="00812A80"/>
    <w:rsid w:val="00816719"/>
    <w:rsid w:val="008168B0"/>
    <w:rsid w:val="00823812"/>
    <w:rsid w:val="008240A4"/>
    <w:rsid w:val="00825A02"/>
    <w:rsid w:val="008273F4"/>
    <w:rsid w:val="0083000D"/>
    <w:rsid w:val="00830934"/>
    <w:rsid w:val="00831628"/>
    <w:rsid w:val="00831DD8"/>
    <w:rsid w:val="00833AA3"/>
    <w:rsid w:val="008371E4"/>
    <w:rsid w:val="00840A80"/>
    <w:rsid w:val="008447F3"/>
    <w:rsid w:val="00845141"/>
    <w:rsid w:val="008454EB"/>
    <w:rsid w:val="00847A11"/>
    <w:rsid w:val="00851D3D"/>
    <w:rsid w:val="008527D7"/>
    <w:rsid w:val="008555BE"/>
    <w:rsid w:val="00855B5A"/>
    <w:rsid w:val="00855E48"/>
    <w:rsid w:val="00855F87"/>
    <w:rsid w:val="0085621C"/>
    <w:rsid w:val="0085712E"/>
    <w:rsid w:val="00857238"/>
    <w:rsid w:val="00857A78"/>
    <w:rsid w:val="00861EBF"/>
    <w:rsid w:val="00861F57"/>
    <w:rsid w:val="00862F63"/>
    <w:rsid w:val="0086364D"/>
    <w:rsid w:val="00864F09"/>
    <w:rsid w:val="0086797D"/>
    <w:rsid w:val="008716DA"/>
    <w:rsid w:val="00872CF7"/>
    <w:rsid w:val="008767CC"/>
    <w:rsid w:val="00880159"/>
    <w:rsid w:val="008801CD"/>
    <w:rsid w:val="008808AF"/>
    <w:rsid w:val="0088095A"/>
    <w:rsid w:val="00881EE3"/>
    <w:rsid w:val="00882448"/>
    <w:rsid w:val="008833DC"/>
    <w:rsid w:val="008855E7"/>
    <w:rsid w:val="00885EE9"/>
    <w:rsid w:val="0089029C"/>
    <w:rsid w:val="00890CFB"/>
    <w:rsid w:val="00892BB8"/>
    <w:rsid w:val="008960AD"/>
    <w:rsid w:val="00897223"/>
    <w:rsid w:val="008A272A"/>
    <w:rsid w:val="008A4BE0"/>
    <w:rsid w:val="008A4F14"/>
    <w:rsid w:val="008A54D5"/>
    <w:rsid w:val="008A576F"/>
    <w:rsid w:val="008A6D52"/>
    <w:rsid w:val="008A7349"/>
    <w:rsid w:val="008A78A6"/>
    <w:rsid w:val="008B2625"/>
    <w:rsid w:val="008C0ADC"/>
    <w:rsid w:val="008C58F0"/>
    <w:rsid w:val="008C5A7D"/>
    <w:rsid w:val="008C5E56"/>
    <w:rsid w:val="008D1EE9"/>
    <w:rsid w:val="008D2C45"/>
    <w:rsid w:val="008D43F8"/>
    <w:rsid w:val="008D4DEE"/>
    <w:rsid w:val="008D4E59"/>
    <w:rsid w:val="008D56E7"/>
    <w:rsid w:val="008D5BD1"/>
    <w:rsid w:val="008D5F84"/>
    <w:rsid w:val="008D6F3D"/>
    <w:rsid w:val="008E4BB0"/>
    <w:rsid w:val="008F062E"/>
    <w:rsid w:val="008F076C"/>
    <w:rsid w:val="008F0E36"/>
    <w:rsid w:val="008F20CF"/>
    <w:rsid w:val="008F2E79"/>
    <w:rsid w:val="008F3A91"/>
    <w:rsid w:val="008F6185"/>
    <w:rsid w:val="008F623C"/>
    <w:rsid w:val="008F7EEE"/>
    <w:rsid w:val="00902711"/>
    <w:rsid w:val="00903C37"/>
    <w:rsid w:val="009055CD"/>
    <w:rsid w:val="00905E77"/>
    <w:rsid w:val="00906973"/>
    <w:rsid w:val="009111AA"/>
    <w:rsid w:val="00911D69"/>
    <w:rsid w:val="00912B63"/>
    <w:rsid w:val="00913711"/>
    <w:rsid w:val="00915B2C"/>
    <w:rsid w:val="00916BF1"/>
    <w:rsid w:val="009214BC"/>
    <w:rsid w:val="00922B31"/>
    <w:rsid w:val="009238CB"/>
    <w:rsid w:val="00924101"/>
    <w:rsid w:val="0092443B"/>
    <w:rsid w:val="00926A12"/>
    <w:rsid w:val="0093333D"/>
    <w:rsid w:val="00933390"/>
    <w:rsid w:val="009348B2"/>
    <w:rsid w:val="00935FE0"/>
    <w:rsid w:val="00941858"/>
    <w:rsid w:val="00941B79"/>
    <w:rsid w:val="009425D8"/>
    <w:rsid w:val="00942D61"/>
    <w:rsid w:val="0094465B"/>
    <w:rsid w:val="00945560"/>
    <w:rsid w:val="0095008F"/>
    <w:rsid w:val="00950817"/>
    <w:rsid w:val="009524D0"/>
    <w:rsid w:val="0095279D"/>
    <w:rsid w:val="00952921"/>
    <w:rsid w:val="00952923"/>
    <w:rsid w:val="00955645"/>
    <w:rsid w:val="00956719"/>
    <w:rsid w:val="00960B5C"/>
    <w:rsid w:val="0096102B"/>
    <w:rsid w:val="009667BA"/>
    <w:rsid w:val="00970161"/>
    <w:rsid w:val="00970CAE"/>
    <w:rsid w:val="00972469"/>
    <w:rsid w:val="00972F56"/>
    <w:rsid w:val="0097456F"/>
    <w:rsid w:val="009751B9"/>
    <w:rsid w:val="00977559"/>
    <w:rsid w:val="009804B3"/>
    <w:rsid w:val="009804E5"/>
    <w:rsid w:val="00982753"/>
    <w:rsid w:val="00982B8E"/>
    <w:rsid w:val="00983634"/>
    <w:rsid w:val="00984AB0"/>
    <w:rsid w:val="00984D0D"/>
    <w:rsid w:val="0098512F"/>
    <w:rsid w:val="00985A47"/>
    <w:rsid w:val="00987C4E"/>
    <w:rsid w:val="00993A40"/>
    <w:rsid w:val="00994558"/>
    <w:rsid w:val="0099663D"/>
    <w:rsid w:val="00997AE5"/>
    <w:rsid w:val="009A118B"/>
    <w:rsid w:val="009A3934"/>
    <w:rsid w:val="009A725A"/>
    <w:rsid w:val="009A7835"/>
    <w:rsid w:val="009B50A3"/>
    <w:rsid w:val="009B687F"/>
    <w:rsid w:val="009B6B31"/>
    <w:rsid w:val="009B6B66"/>
    <w:rsid w:val="009C5263"/>
    <w:rsid w:val="009C5CBB"/>
    <w:rsid w:val="009D08C6"/>
    <w:rsid w:val="009D24AB"/>
    <w:rsid w:val="009D28FA"/>
    <w:rsid w:val="009E107A"/>
    <w:rsid w:val="009E1A30"/>
    <w:rsid w:val="009E22CE"/>
    <w:rsid w:val="009E4048"/>
    <w:rsid w:val="009E44EA"/>
    <w:rsid w:val="009E5590"/>
    <w:rsid w:val="009E5AD9"/>
    <w:rsid w:val="009E60E4"/>
    <w:rsid w:val="009E7261"/>
    <w:rsid w:val="009F15C5"/>
    <w:rsid w:val="009F2FE1"/>
    <w:rsid w:val="009F345E"/>
    <w:rsid w:val="009F463C"/>
    <w:rsid w:val="009F5116"/>
    <w:rsid w:val="009F574F"/>
    <w:rsid w:val="009F6ADD"/>
    <w:rsid w:val="009F6B66"/>
    <w:rsid w:val="009F7E27"/>
    <w:rsid w:val="009F7EBB"/>
    <w:rsid w:val="00A0156C"/>
    <w:rsid w:val="00A03F4E"/>
    <w:rsid w:val="00A062D4"/>
    <w:rsid w:val="00A06565"/>
    <w:rsid w:val="00A069CB"/>
    <w:rsid w:val="00A06D68"/>
    <w:rsid w:val="00A10150"/>
    <w:rsid w:val="00A10FC7"/>
    <w:rsid w:val="00A11F73"/>
    <w:rsid w:val="00A12493"/>
    <w:rsid w:val="00A12DF1"/>
    <w:rsid w:val="00A13432"/>
    <w:rsid w:val="00A14246"/>
    <w:rsid w:val="00A14CF2"/>
    <w:rsid w:val="00A1547A"/>
    <w:rsid w:val="00A16D05"/>
    <w:rsid w:val="00A17349"/>
    <w:rsid w:val="00A20C0A"/>
    <w:rsid w:val="00A2563B"/>
    <w:rsid w:val="00A25BF0"/>
    <w:rsid w:val="00A2707E"/>
    <w:rsid w:val="00A27EBD"/>
    <w:rsid w:val="00A30B74"/>
    <w:rsid w:val="00A3174F"/>
    <w:rsid w:val="00A32652"/>
    <w:rsid w:val="00A32668"/>
    <w:rsid w:val="00A33170"/>
    <w:rsid w:val="00A35B63"/>
    <w:rsid w:val="00A4706A"/>
    <w:rsid w:val="00A51979"/>
    <w:rsid w:val="00A53E62"/>
    <w:rsid w:val="00A55BA7"/>
    <w:rsid w:val="00A57FC1"/>
    <w:rsid w:val="00A60217"/>
    <w:rsid w:val="00A6065B"/>
    <w:rsid w:val="00A617A7"/>
    <w:rsid w:val="00A626EF"/>
    <w:rsid w:val="00A6395D"/>
    <w:rsid w:val="00A6410B"/>
    <w:rsid w:val="00A65D0D"/>
    <w:rsid w:val="00A6770A"/>
    <w:rsid w:val="00A7069A"/>
    <w:rsid w:val="00A73880"/>
    <w:rsid w:val="00A74391"/>
    <w:rsid w:val="00A76707"/>
    <w:rsid w:val="00A76DAD"/>
    <w:rsid w:val="00A83DBE"/>
    <w:rsid w:val="00A840E5"/>
    <w:rsid w:val="00A8496C"/>
    <w:rsid w:val="00A84EA7"/>
    <w:rsid w:val="00A85D3C"/>
    <w:rsid w:val="00A869BD"/>
    <w:rsid w:val="00A9010D"/>
    <w:rsid w:val="00A919D5"/>
    <w:rsid w:val="00A924F7"/>
    <w:rsid w:val="00A92B34"/>
    <w:rsid w:val="00A96D5F"/>
    <w:rsid w:val="00A97F43"/>
    <w:rsid w:val="00AA0866"/>
    <w:rsid w:val="00AA0F7C"/>
    <w:rsid w:val="00AA1272"/>
    <w:rsid w:val="00AA1974"/>
    <w:rsid w:val="00AA3A77"/>
    <w:rsid w:val="00AA6E32"/>
    <w:rsid w:val="00AB4E30"/>
    <w:rsid w:val="00AB6151"/>
    <w:rsid w:val="00AB63D6"/>
    <w:rsid w:val="00AB720B"/>
    <w:rsid w:val="00AC290B"/>
    <w:rsid w:val="00AC3582"/>
    <w:rsid w:val="00AC3E79"/>
    <w:rsid w:val="00AC445C"/>
    <w:rsid w:val="00AC6A57"/>
    <w:rsid w:val="00AC6A58"/>
    <w:rsid w:val="00AD0DEB"/>
    <w:rsid w:val="00AD17C1"/>
    <w:rsid w:val="00AD19BA"/>
    <w:rsid w:val="00AD3256"/>
    <w:rsid w:val="00AD75BB"/>
    <w:rsid w:val="00AE0DE4"/>
    <w:rsid w:val="00AE29F6"/>
    <w:rsid w:val="00AE4BB4"/>
    <w:rsid w:val="00AE4EBF"/>
    <w:rsid w:val="00AE5AEF"/>
    <w:rsid w:val="00AE6D04"/>
    <w:rsid w:val="00AE6E46"/>
    <w:rsid w:val="00AE725B"/>
    <w:rsid w:val="00AE7277"/>
    <w:rsid w:val="00AE7C0A"/>
    <w:rsid w:val="00AF0EB1"/>
    <w:rsid w:val="00AF18FA"/>
    <w:rsid w:val="00AF4504"/>
    <w:rsid w:val="00AF4BA3"/>
    <w:rsid w:val="00AF5432"/>
    <w:rsid w:val="00AF54D6"/>
    <w:rsid w:val="00AF7715"/>
    <w:rsid w:val="00B00D09"/>
    <w:rsid w:val="00B010C6"/>
    <w:rsid w:val="00B01877"/>
    <w:rsid w:val="00B0198D"/>
    <w:rsid w:val="00B02E2D"/>
    <w:rsid w:val="00B05900"/>
    <w:rsid w:val="00B05BDB"/>
    <w:rsid w:val="00B11336"/>
    <w:rsid w:val="00B128E9"/>
    <w:rsid w:val="00B1324D"/>
    <w:rsid w:val="00B13B8F"/>
    <w:rsid w:val="00B22B5C"/>
    <w:rsid w:val="00B22B99"/>
    <w:rsid w:val="00B22EB6"/>
    <w:rsid w:val="00B24534"/>
    <w:rsid w:val="00B261A1"/>
    <w:rsid w:val="00B26D9C"/>
    <w:rsid w:val="00B27AAB"/>
    <w:rsid w:val="00B27B58"/>
    <w:rsid w:val="00B27C1A"/>
    <w:rsid w:val="00B30220"/>
    <w:rsid w:val="00B31A99"/>
    <w:rsid w:val="00B33A9F"/>
    <w:rsid w:val="00B340F1"/>
    <w:rsid w:val="00B359C2"/>
    <w:rsid w:val="00B35D7B"/>
    <w:rsid w:val="00B3618B"/>
    <w:rsid w:val="00B40A88"/>
    <w:rsid w:val="00B4104F"/>
    <w:rsid w:val="00B4123C"/>
    <w:rsid w:val="00B41C37"/>
    <w:rsid w:val="00B423E9"/>
    <w:rsid w:val="00B454BF"/>
    <w:rsid w:val="00B468D0"/>
    <w:rsid w:val="00B47A9F"/>
    <w:rsid w:val="00B50125"/>
    <w:rsid w:val="00B514A8"/>
    <w:rsid w:val="00B5175B"/>
    <w:rsid w:val="00B52861"/>
    <w:rsid w:val="00B53183"/>
    <w:rsid w:val="00B53F79"/>
    <w:rsid w:val="00B55A53"/>
    <w:rsid w:val="00B56327"/>
    <w:rsid w:val="00B565DA"/>
    <w:rsid w:val="00B606CE"/>
    <w:rsid w:val="00B60FE9"/>
    <w:rsid w:val="00B615BD"/>
    <w:rsid w:val="00B63658"/>
    <w:rsid w:val="00B6487C"/>
    <w:rsid w:val="00B674B8"/>
    <w:rsid w:val="00B7058D"/>
    <w:rsid w:val="00B75145"/>
    <w:rsid w:val="00B76291"/>
    <w:rsid w:val="00B770E4"/>
    <w:rsid w:val="00B805C7"/>
    <w:rsid w:val="00B80624"/>
    <w:rsid w:val="00B80B0D"/>
    <w:rsid w:val="00B82A8A"/>
    <w:rsid w:val="00B8421E"/>
    <w:rsid w:val="00B8459B"/>
    <w:rsid w:val="00B8502F"/>
    <w:rsid w:val="00B85C82"/>
    <w:rsid w:val="00B867E0"/>
    <w:rsid w:val="00B8683B"/>
    <w:rsid w:val="00B86BA9"/>
    <w:rsid w:val="00B9036D"/>
    <w:rsid w:val="00B91199"/>
    <w:rsid w:val="00B92862"/>
    <w:rsid w:val="00B9535A"/>
    <w:rsid w:val="00B959A1"/>
    <w:rsid w:val="00B964AF"/>
    <w:rsid w:val="00B96D4C"/>
    <w:rsid w:val="00B96D6E"/>
    <w:rsid w:val="00BA1671"/>
    <w:rsid w:val="00BA5E29"/>
    <w:rsid w:val="00BA6285"/>
    <w:rsid w:val="00BB04B7"/>
    <w:rsid w:val="00BB26D4"/>
    <w:rsid w:val="00BB4299"/>
    <w:rsid w:val="00BB4D93"/>
    <w:rsid w:val="00BB5C12"/>
    <w:rsid w:val="00BB6679"/>
    <w:rsid w:val="00BB76A2"/>
    <w:rsid w:val="00BC0BE3"/>
    <w:rsid w:val="00BC1876"/>
    <w:rsid w:val="00BC3EE8"/>
    <w:rsid w:val="00BC53F4"/>
    <w:rsid w:val="00BC6541"/>
    <w:rsid w:val="00BC6A52"/>
    <w:rsid w:val="00BD0822"/>
    <w:rsid w:val="00BD1CEA"/>
    <w:rsid w:val="00BD2704"/>
    <w:rsid w:val="00BD484E"/>
    <w:rsid w:val="00BD54BB"/>
    <w:rsid w:val="00BD65F6"/>
    <w:rsid w:val="00BE0E12"/>
    <w:rsid w:val="00BE11D0"/>
    <w:rsid w:val="00BE17D0"/>
    <w:rsid w:val="00BE1BE5"/>
    <w:rsid w:val="00BE3145"/>
    <w:rsid w:val="00BE406F"/>
    <w:rsid w:val="00BE41AF"/>
    <w:rsid w:val="00BE515A"/>
    <w:rsid w:val="00BE71AB"/>
    <w:rsid w:val="00BE795F"/>
    <w:rsid w:val="00BF1ECB"/>
    <w:rsid w:val="00BF3DC5"/>
    <w:rsid w:val="00BF3EC7"/>
    <w:rsid w:val="00BF5211"/>
    <w:rsid w:val="00BF5316"/>
    <w:rsid w:val="00BF582F"/>
    <w:rsid w:val="00BF69AF"/>
    <w:rsid w:val="00BF6A64"/>
    <w:rsid w:val="00BF796A"/>
    <w:rsid w:val="00C0070E"/>
    <w:rsid w:val="00C00D9A"/>
    <w:rsid w:val="00C03712"/>
    <w:rsid w:val="00C04CAE"/>
    <w:rsid w:val="00C07EA9"/>
    <w:rsid w:val="00C1175D"/>
    <w:rsid w:val="00C11839"/>
    <w:rsid w:val="00C12195"/>
    <w:rsid w:val="00C1394C"/>
    <w:rsid w:val="00C13A4A"/>
    <w:rsid w:val="00C142F8"/>
    <w:rsid w:val="00C14AA6"/>
    <w:rsid w:val="00C1674C"/>
    <w:rsid w:val="00C172FC"/>
    <w:rsid w:val="00C1748C"/>
    <w:rsid w:val="00C17815"/>
    <w:rsid w:val="00C2027F"/>
    <w:rsid w:val="00C21071"/>
    <w:rsid w:val="00C228E5"/>
    <w:rsid w:val="00C22980"/>
    <w:rsid w:val="00C22F98"/>
    <w:rsid w:val="00C24270"/>
    <w:rsid w:val="00C2503B"/>
    <w:rsid w:val="00C258F4"/>
    <w:rsid w:val="00C265F7"/>
    <w:rsid w:val="00C2781C"/>
    <w:rsid w:val="00C27857"/>
    <w:rsid w:val="00C27C2E"/>
    <w:rsid w:val="00C327AA"/>
    <w:rsid w:val="00C32EBE"/>
    <w:rsid w:val="00C33E26"/>
    <w:rsid w:val="00C35979"/>
    <w:rsid w:val="00C36381"/>
    <w:rsid w:val="00C364D9"/>
    <w:rsid w:val="00C4188B"/>
    <w:rsid w:val="00C43488"/>
    <w:rsid w:val="00C44930"/>
    <w:rsid w:val="00C457F4"/>
    <w:rsid w:val="00C50DAB"/>
    <w:rsid w:val="00C52359"/>
    <w:rsid w:val="00C540BE"/>
    <w:rsid w:val="00C541AA"/>
    <w:rsid w:val="00C56C06"/>
    <w:rsid w:val="00C57529"/>
    <w:rsid w:val="00C60A0C"/>
    <w:rsid w:val="00C60B38"/>
    <w:rsid w:val="00C61428"/>
    <w:rsid w:val="00C634D3"/>
    <w:rsid w:val="00C64EB1"/>
    <w:rsid w:val="00C65513"/>
    <w:rsid w:val="00C67D02"/>
    <w:rsid w:val="00C71076"/>
    <w:rsid w:val="00C713AD"/>
    <w:rsid w:val="00C7224C"/>
    <w:rsid w:val="00C7231E"/>
    <w:rsid w:val="00C723C1"/>
    <w:rsid w:val="00C74217"/>
    <w:rsid w:val="00C74641"/>
    <w:rsid w:val="00C74CF7"/>
    <w:rsid w:val="00C801FF"/>
    <w:rsid w:val="00C81D3A"/>
    <w:rsid w:val="00C841C9"/>
    <w:rsid w:val="00C85857"/>
    <w:rsid w:val="00C863C1"/>
    <w:rsid w:val="00C90486"/>
    <w:rsid w:val="00C906A6"/>
    <w:rsid w:val="00C91E88"/>
    <w:rsid w:val="00C926D6"/>
    <w:rsid w:val="00C92953"/>
    <w:rsid w:val="00C96EBE"/>
    <w:rsid w:val="00C9727D"/>
    <w:rsid w:val="00C9764C"/>
    <w:rsid w:val="00C97B29"/>
    <w:rsid w:val="00CA030B"/>
    <w:rsid w:val="00CA0FAE"/>
    <w:rsid w:val="00CA2C4D"/>
    <w:rsid w:val="00CA4494"/>
    <w:rsid w:val="00CA468E"/>
    <w:rsid w:val="00CA5B4E"/>
    <w:rsid w:val="00CA70D5"/>
    <w:rsid w:val="00CB2A98"/>
    <w:rsid w:val="00CB2E1C"/>
    <w:rsid w:val="00CB4326"/>
    <w:rsid w:val="00CB4922"/>
    <w:rsid w:val="00CB4A91"/>
    <w:rsid w:val="00CB690B"/>
    <w:rsid w:val="00CB6E9A"/>
    <w:rsid w:val="00CB7854"/>
    <w:rsid w:val="00CC0EA1"/>
    <w:rsid w:val="00CC1839"/>
    <w:rsid w:val="00CC1DEC"/>
    <w:rsid w:val="00CC2328"/>
    <w:rsid w:val="00CC4688"/>
    <w:rsid w:val="00CC54BF"/>
    <w:rsid w:val="00CD5D76"/>
    <w:rsid w:val="00CD6C55"/>
    <w:rsid w:val="00CE175B"/>
    <w:rsid w:val="00CE231A"/>
    <w:rsid w:val="00CE36F9"/>
    <w:rsid w:val="00CE573E"/>
    <w:rsid w:val="00CE67C4"/>
    <w:rsid w:val="00CF19AF"/>
    <w:rsid w:val="00CF2EFD"/>
    <w:rsid w:val="00CF301C"/>
    <w:rsid w:val="00CF35CE"/>
    <w:rsid w:val="00CF3841"/>
    <w:rsid w:val="00CF4F2C"/>
    <w:rsid w:val="00CF50B4"/>
    <w:rsid w:val="00CF6712"/>
    <w:rsid w:val="00D00E99"/>
    <w:rsid w:val="00D01B93"/>
    <w:rsid w:val="00D02293"/>
    <w:rsid w:val="00D0231A"/>
    <w:rsid w:val="00D02C4B"/>
    <w:rsid w:val="00D0330C"/>
    <w:rsid w:val="00D033B2"/>
    <w:rsid w:val="00D040D2"/>
    <w:rsid w:val="00D055A8"/>
    <w:rsid w:val="00D06B75"/>
    <w:rsid w:val="00D075D8"/>
    <w:rsid w:val="00D07945"/>
    <w:rsid w:val="00D11257"/>
    <w:rsid w:val="00D127BF"/>
    <w:rsid w:val="00D13734"/>
    <w:rsid w:val="00D14634"/>
    <w:rsid w:val="00D14A07"/>
    <w:rsid w:val="00D14E35"/>
    <w:rsid w:val="00D16D0D"/>
    <w:rsid w:val="00D21F2E"/>
    <w:rsid w:val="00D22617"/>
    <w:rsid w:val="00D236F7"/>
    <w:rsid w:val="00D2482A"/>
    <w:rsid w:val="00D253A3"/>
    <w:rsid w:val="00D25570"/>
    <w:rsid w:val="00D26B96"/>
    <w:rsid w:val="00D3077C"/>
    <w:rsid w:val="00D30C7F"/>
    <w:rsid w:val="00D31304"/>
    <w:rsid w:val="00D314CE"/>
    <w:rsid w:val="00D32388"/>
    <w:rsid w:val="00D34AA5"/>
    <w:rsid w:val="00D34EAC"/>
    <w:rsid w:val="00D34F25"/>
    <w:rsid w:val="00D34F72"/>
    <w:rsid w:val="00D358C5"/>
    <w:rsid w:val="00D42749"/>
    <w:rsid w:val="00D433C9"/>
    <w:rsid w:val="00D45BBF"/>
    <w:rsid w:val="00D467C8"/>
    <w:rsid w:val="00D50947"/>
    <w:rsid w:val="00D56130"/>
    <w:rsid w:val="00D57F43"/>
    <w:rsid w:val="00D605AD"/>
    <w:rsid w:val="00D62C93"/>
    <w:rsid w:val="00D640AA"/>
    <w:rsid w:val="00D6476D"/>
    <w:rsid w:val="00D71FCE"/>
    <w:rsid w:val="00D72246"/>
    <w:rsid w:val="00D7260B"/>
    <w:rsid w:val="00D72A12"/>
    <w:rsid w:val="00D74E6B"/>
    <w:rsid w:val="00D81583"/>
    <w:rsid w:val="00D845B4"/>
    <w:rsid w:val="00D8597B"/>
    <w:rsid w:val="00D86BCD"/>
    <w:rsid w:val="00D90129"/>
    <w:rsid w:val="00D90341"/>
    <w:rsid w:val="00D91A1D"/>
    <w:rsid w:val="00D92A2A"/>
    <w:rsid w:val="00D93D6E"/>
    <w:rsid w:val="00D9554F"/>
    <w:rsid w:val="00D95BF5"/>
    <w:rsid w:val="00D964A4"/>
    <w:rsid w:val="00D970D0"/>
    <w:rsid w:val="00DA4378"/>
    <w:rsid w:val="00DA696F"/>
    <w:rsid w:val="00DA6CF6"/>
    <w:rsid w:val="00DA77B6"/>
    <w:rsid w:val="00DB0E41"/>
    <w:rsid w:val="00DB16AB"/>
    <w:rsid w:val="00DB223C"/>
    <w:rsid w:val="00DB2FC1"/>
    <w:rsid w:val="00DB3405"/>
    <w:rsid w:val="00DB4CE5"/>
    <w:rsid w:val="00DB4DF2"/>
    <w:rsid w:val="00DB76A8"/>
    <w:rsid w:val="00DB7995"/>
    <w:rsid w:val="00DC397D"/>
    <w:rsid w:val="00DC4736"/>
    <w:rsid w:val="00DC4BF0"/>
    <w:rsid w:val="00DC5009"/>
    <w:rsid w:val="00DC5044"/>
    <w:rsid w:val="00DD0EB7"/>
    <w:rsid w:val="00DD165D"/>
    <w:rsid w:val="00DD1CF9"/>
    <w:rsid w:val="00DD218D"/>
    <w:rsid w:val="00DD29CD"/>
    <w:rsid w:val="00DD5C58"/>
    <w:rsid w:val="00DD5E04"/>
    <w:rsid w:val="00DD605B"/>
    <w:rsid w:val="00DD6A21"/>
    <w:rsid w:val="00DD6A9C"/>
    <w:rsid w:val="00DE1BDA"/>
    <w:rsid w:val="00DE2907"/>
    <w:rsid w:val="00DE2EE4"/>
    <w:rsid w:val="00DE42A9"/>
    <w:rsid w:val="00DE74AF"/>
    <w:rsid w:val="00DF0980"/>
    <w:rsid w:val="00DF1176"/>
    <w:rsid w:val="00DF194E"/>
    <w:rsid w:val="00DF20DD"/>
    <w:rsid w:val="00DF23E2"/>
    <w:rsid w:val="00DF26F1"/>
    <w:rsid w:val="00DF3263"/>
    <w:rsid w:val="00DF3773"/>
    <w:rsid w:val="00DF3B0A"/>
    <w:rsid w:val="00DF59AE"/>
    <w:rsid w:val="00E01A85"/>
    <w:rsid w:val="00E01CEA"/>
    <w:rsid w:val="00E02EA8"/>
    <w:rsid w:val="00E0561C"/>
    <w:rsid w:val="00E0593E"/>
    <w:rsid w:val="00E07184"/>
    <w:rsid w:val="00E07DB9"/>
    <w:rsid w:val="00E11DBF"/>
    <w:rsid w:val="00E1210D"/>
    <w:rsid w:val="00E13AC7"/>
    <w:rsid w:val="00E15796"/>
    <w:rsid w:val="00E1779D"/>
    <w:rsid w:val="00E17F56"/>
    <w:rsid w:val="00E21CB1"/>
    <w:rsid w:val="00E2207B"/>
    <w:rsid w:val="00E22A27"/>
    <w:rsid w:val="00E34FAC"/>
    <w:rsid w:val="00E361A7"/>
    <w:rsid w:val="00E365ED"/>
    <w:rsid w:val="00E36BDD"/>
    <w:rsid w:val="00E400B0"/>
    <w:rsid w:val="00E40E00"/>
    <w:rsid w:val="00E42296"/>
    <w:rsid w:val="00E43030"/>
    <w:rsid w:val="00E44D22"/>
    <w:rsid w:val="00E46648"/>
    <w:rsid w:val="00E46796"/>
    <w:rsid w:val="00E5117F"/>
    <w:rsid w:val="00E51A75"/>
    <w:rsid w:val="00E53B46"/>
    <w:rsid w:val="00E54D78"/>
    <w:rsid w:val="00E55348"/>
    <w:rsid w:val="00E553C3"/>
    <w:rsid w:val="00E601C1"/>
    <w:rsid w:val="00E62DF6"/>
    <w:rsid w:val="00E6312B"/>
    <w:rsid w:val="00E63403"/>
    <w:rsid w:val="00E64803"/>
    <w:rsid w:val="00E7265A"/>
    <w:rsid w:val="00E72EAC"/>
    <w:rsid w:val="00E73F0E"/>
    <w:rsid w:val="00E73F5C"/>
    <w:rsid w:val="00E73F6E"/>
    <w:rsid w:val="00E74E8F"/>
    <w:rsid w:val="00E766D0"/>
    <w:rsid w:val="00E77AC8"/>
    <w:rsid w:val="00E808D8"/>
    <w:rsid w:val="00E81356"/>
    <w:rsid w:val="00E83098"/>
    <w:rsid w:val="00E83166"/>
    <w:rsid w:val="00E8413C"/>
    <w:rsid w:val="00E84764"/>
    <w:rsid w:val="00E84EAB"/>
    <w:rsid w:val="00E85DAD"/>
    <w:rsid w:val="00E8779C"/>
    <w:rsid w:val="00E9477A"/>
    <w:rsid w:val="00E94DEF"/>
    <w:rsid w:val="00EA0152"/>
    <w:rsid w:val="00EA44E8"/>
    <w:rsid w:val="00EA4D69"/>
    <w:rsid w:val="00EA4E55"/>
    <w:rsid w:val="00EA5202"/>
    <w:rsid w:val="00EA5564"/>
    <w:rsid w:val="00EA6A49"/>
    <w:rsid w:val="00EA797F"/>
    <w:rsid w:val="00EA7B2F"/>
    <w:rsid w:val="00EB081E"/>
    <w:rsid w:val="00EB0D2B"/>
    <w:rsid w:val="00EB456C"/>
    <w:rsid w:val="00EB5B76"/>
    <w:rsid w:val="00EC455B"/>
    <w:rsid w:val="00EC4CB4"/>
    <w:rsid w:val="00EC506A"/>
    <w:rsid w:val="00EC5BA8"/>
    <w:rsid w:val="00EC7EA9"/>
    <w:rsid w:val="00ED0EEB"/>
    <w:rsid w:val="00ED177B"/>
    <w:rsid w:val="00ED1C43"/>
    <w:rsid w:val="00ED2C8F"/>
    <w:rsid w:val="00ED3135"/>
    <w:rsid w:val="00ED38D2"/>
    <w:rsid w:val="00ED6A94"/>
    <w:rsid w:val="00ED6E59"/>
    <w:rsid w:val="00EE0FE6"/>
    <w:rsid w:val="00EE177E"/>
    <w:rsid w:val="00EE23B4"/>
    <w:rsid w:val="00EE2DDE"/>
    <w:rsid w:val="00EE3D6A"/>
    <w:rsid w:val="00EE55C7"/>
    <w:rsid w:val="00EE7AC4"/>
    <w:rsid w:val="00EF2CD4"/>
    <w:rsid w:val="00EF3CAD"/>
    <w:rsid w:val="00EF4FFF"/>
    <w:rsid w:val="00F0033B"/>
    <w:rsid w:val="00F0238A"/>
    <w:rsid w:val="00F038F4"/>
    <w:rsid w:val="00F03DDE"/>
    <w:rsid w:val="00F04C28"/>
    <w:rsid w:val="00F060FB"/>
    <w:rsid w:val="00F12727"/>
    <w:rsid w:val="00F13062"/>
    <w:rsid w:val="00F1671F"/>
    <w:rsid w:val="00F216E6"/>
    <w:rsid w:val="00F21D91"/>
    <w:rsid w:val="00F24638"/>
    <w:rsid w:val="00F24ADF"/>
    <w:rsid w:val="00F26408"/>
    <w:rsid w:val="00F264D6"/>
    <w:rsid w:val="00F30801"/>
    <w:rsid w:val="00F308BB"/>
    <w:rsid w:val="00F312FD"/>
    <w:rsid w:val="00F316A6"/>
    <w:rsid w:val="00F32268"/>
    <w:rsid w:val="00F322F4"/>
    <w:rsid w:val="00F34697"/>
    <w:rsid w:val="00F36317"/>
    <w:rsid w:val="00F364A7"/>
    <w:rsid w:val="00F36AF4"/>
    <w:rsid w:val="00F37002"/>
    <w:rsid w:val="00F37C64"/>
    <w:rsid w:val="00F40199"/>
    <w:rsid w:val="00F40A3A"/>
    <w:rsid w:val="00F40C4B"/>
    <w:rsid w:val="00F41420"/>
    <w:rsid w:val="00F432C7"/>
    <w:rsid w:val="00F436D8"/>
    <w:rsid w:val="00F43737"/>
    <w:rsid w:val="00F444C7"/>
    <w:rsid w:val="00F44B26"/>
    <w:rsid w:val="00F44E2D"/>
    <w:rsid w:val="00F44EF4"/>
    <w:rsid w:val="00F46A44"/>
    <w:rsid w:val="00F5022C"/>
    <w:rsid w:val="00F5143B"/>
    <w:rsid w:val="00F53483"/>
    <w:rsid w:val="00F54792"/>
    <w:rsid w:val="00F547D1"/>
    <w:rsid w:val="00F555C1"/>
    <w:rsid w:val="00F626C2"/>
    <w:rsid w:val="00F62C37"/>
    <w:rsid w:val="00F63A71"/>
    <w:rsid w:val="00F63BD1"/>
    <w:rsid w:val="00F64194"/>
    <w:rsid w:val="00F648CE"/>
    <w:rsid w:val="00F64A8C"/>
    <w:rsid w:val="00F64E2F"/>
    <w:rsid w:val="00F64F72"/>
    <w:rsid w:val="00F666BD"/>
    <w:rsid w:val="00F668E1"/>
    <w:rsid w:val="00F671BC"/>
    <w:rsid w:val="00F6773F"/>
    <w:rsid w:val="00F71DBD"/>
    <w:rsid w:val="00F72341"/>
    <w:rsid w:val="00F72FFB"/>
    <w:rsid w:val="00F7348E"/>
    <w:rsid w:val="00F74E97"/>
    <w:rsid w:val="00F75799"/>
    <w:rsid w:val="00F75B8D"/>
    <w:rsid w:val="00F75F29"/>
    <w:rsid w:val="00F76861"/>
    <w:rsid w:val="00F817F6"/>
    <w:rsid w:val="00F83193"/>
    <w:rsid w:val="00F92634"/>
    <w:rsid w:val="00F92F68"/>
    <w:rsid w:val="00F9662C"/>
    <w:rsid w:val="00F96AFF"/>
    <w:rsid w:val="00F979E5"/>
    <w:rsid w:val="00FA20CD"/>
    <w:rsid w:val="00FA2E37"/>
    <w:rsid w:val="00FA2E47"/>
    <w:rsid w:val="00FA3A97"/>
    <w:rsid w:val="00FA4D0B"/>
    <w:rsid w:val="00FA66B5"/>
    <w:rsid w:val="00FA767E"/>
    <w:rsid w:val="00FA7C4C"/>
    <w:rsid w:val="00FB033E"/>
    <w:rsid w:val="00FB065C"/>
    <w:rsid w:val="00FB1B92"/>
    <w:rsid w:val="00FB204A"/>
    <w:rsid w:val="00FB2E3D"/>
    <w:rsid w:val="00FB33DC"/>
    <w:rsid w:val="00FB4A2E"/>
    <w:rsid w:val="00FC013B"/>
    <w:rsid w:val="00FC0715"/>
    <w:rsid w:val="00FC0743"/>
    <w:rsid w:val="00FC0E7C"/>
    <w:rsid w:val="00FC3C3C"/>
    <w:rsid w:val="00FC435B"/>
    <w:rsid w:val="00FC4A3A"/>
    <w:rsid w:val="00FC5B9E"/>
    <w:rsid w:val="00FC70CD"/>
    <w:rsid w:val="00FC7B83"/>
    <w:rsid w:val="00FC7EC7"/>
    <w:rsid w:val="00FD016E"/>
    <w:rsid w:val="00FD13C6"/>
    <w:rsid w:val="00FD2A41"/>
    <w:rsid w:val="00FD36EB"/>
    <w:rsid w:val="00FD450C"/>
    <w:rsid w:val="00FD608F"/>
    <w:rsid w:val="00FD6671"/>
    <w:rsid w:val="00FD675E"/>
    <w:rsid w:val="00FE0A99"/>
    <w:rsid w:val="00FE2395"/>
    <w:rsid w:val="00FE3E5E"/>
    <w:rsid w:val="00FE4A7B"/>
    <w:rsid w:val="00FE52EE"/>
    <w:rsid w:val="00FE5ABA"/>
    <w:rsid w:val="00FE64BF"/>
    <w:rsid w:val="00FF1869"/>
    <w:rsid w:val="00FF287F"/>
    <w:rsid w:val="00FF2A3D"/>
    <w:rsid w:val="00FF4674"/>
    <w:rsid w:val="00FF6670"/>
    <w:rsid w:val="00FF6823"/>
    <w:rsid w:val="00FF6C9E"/>
    <w:rsid w:val="0105506F"/>
    <w:rsid w:val="010D6B29"/>
    <w:rsid w:val="010E5D6D"/>
    <w:rsid w:val="01141B60"/>
    <w:rsid w:val="012878BA"/>
    <w:rsid w:val="012A3864"/>
    <w:rsid w:val="012A6D80"/>
    <w:rsid w:val="012D1190"/>
    <w:rsid w:val="01330627"/>
    <w:rsid w:val="013363F3"/>
    <w:rsid w:val="01346689"/>
    <w:rsid w:val="015C715F"/>
    <w:rsid w:val="01606C24"/>
    <w:rsid w:val="0161667F"/>
    <w:rsid w:val="017321D1"/>
    <w:rsid w:val="017B4AD2"/>
    <w:rsid w:val="017D5100"/>
    <w:rsid w:val="01802858"/>
    <w:rsid w:val="0185105F"/>
    <w:rsid w:val="01881CDA"/>
    <w:rsid w:val="019D3443"/>
    <w:rsid w:val="01A1024A"/>
    <w:rsid w:val="01A45B82"/>
    <w:rsid w:val="01AC3F4B"/>
    <w:rsid w:val="01B5072F"/>
    <w:rsid w:val="01B84D6A"/>
    <w:rsid w:val="01B85724"/>
    <w:rsid w:val="01BA04BD"/>
    <w:rsid w:val="01BE4DD9"/>
    <w:rsid w:val="01CE4CCF"/>
    <w:rsid w:val="01D40B7C"/>
    <w:rsid w:val="020C475C"/>
    <w:rsid w:val="02126413"/>
    <w:rsid w:val="02134AA1"/>
    <w:rsid w:val="021526EE"/>
    <w:rsid w:val="021903BF"/>
    <w:rsid w:val="02214852"/>
    <w:rsid w:val="022625D4"/>
    <w:rsid w:val="023B1568"/>
    <w:rsid w:val="02453B26"/>
    <w:rsid w:val="02474D53"/>
    <w:rsid w:val="024C1140"/>
    <w:rsid w:val="024E0E4D"/>
    <w:rsid w:val="02530D19"/>
    <w:rsid w:val="02560E5B"/>
    <w:rsid w:val="025B1EF7"/>
    <w:rsid w:val="026660D8"/>
    <w:rsid w:val="026C1975"/>
    <w:rsid w:val="02740243"/>
    <w:rsid w:val="027E258B"/>
    <w:rsid w:val="0287294E"/>
    <w:rsid w:val="02923E0D"/>
    <w:rsid w:val="029B690A"/>
    <w:rsid w:val="029D0FBE"/>
    <w:rsid w:val="02A1524B"/>
    <w:rsid w:val="02A273EF"/>
    <w:rsid w:val="02A7210B"/>
    <w:rsid w:val="02AB2BDF"/>
    <w:rsid w:val="02AC3B79"/>
    <w:rsid w:val="02B476F7"/>
    <w:rsid w:val="02B970D0"/>
    <w:rsid w:val="02C01A83"/>
    <w:rsid w:val="02CC57CE"/>
    <w:rsid w:val="02D6218E"/>
    <w:rsid w:val="02EA4502"/>
    <w:rsid w:val="03007B60"/>
    <w:rsid w:val="0301485C"/>
    <w:rsid w:val="03034DF8"/>
    <w:rsid w:val="031A6732"/>
    <w:rsid w:val="031E0C50"/>
    <w:rsid w:val="03215DF2"/>
    <w:rsid w:val="033052A2"/>
    <w:rsid w:val="034D7CB8"/>
    <w:rsid w:val="0350485B"/>
    <w:rsid w:val="035210AC"/>
    <w:rsid w:val="03573CE8"/>
    <w:rsid w:val="035773D5"/>
    <w:rsid w:val="03596047"/>
    <w:rsid w:val="035B1436"/>
    <w:rsid w:val="03603C5E"/>
    <w:rsid w:val="03737887"/>
    <w:rsid w:val="037C5C8F"/>
    <w:rsid w:val="03890562"/>
    <w:rsid w:val="038A35D9"/>
    <w:rsid w:val="038B6E61"/>
    <w:rsid w:val="03947D72"/>
    <w:rsid w:val="03953D42"/>
    <w:rsid w:val="03956A25"/>
    <w:rsid w:val="039E0F8B"/>
    <w:rsid w:val="039E1D04"/>
    <w:rsid w:val="039F6781"/>
    <w:rsid w:val="03A63419"/>
    <w:rsid w:val="03A916F1"/>
    <w:rsid w:val="03AB6D52"/>
    <w:rsid w:val="03AF41AA"/>
    <w:rsid w:val="03BA4D24"/>
    <w:rsid w:val="03C24F5A"/>
    <w:rsid w:val="03CB7DBF"/>
    <w:rsid w:val="03D11300"/>
    <w:rsid w:val="03D328C2"/>
    <w:rsid w:val="03E33393"/>
    <w:rsid w:val="03E53A03"/>
    <w:rsid w:val="03E71497"/>
    <w:rsid w:val="03EC6E50"/>
    <w:rsid w:val="03EE0F35"/>
    <w:rsid w:val="03EE2B0A"/>
    <w:rsid w:val="03F87232"/>
    <w:rsid w:val="041208F4"/>
    <w:rsid w:val="04120A42"/>
    <w:rsid w:val="041E5D03"/>
    <w:rsid w:val="04301C74"/>
    <w:rsid w:val="04324719"/>
    <w:rsid w:val="043F11A6"/>
    <w:rsid w:val="044334C0"/>
    <w:rsid w:val="04460CEE"/>
    <w:rsid w:val="044F1787"/>
    <w:rsid w:val="0453234D"/>
    <w:rsid w:val="045C5280"/>
    <w:rsid w:val="046432A6"/>
    <w:rsid w:val="0466713A"/>
    <w:rsid w:val="04680B65"/>
    <w:rsid w:val="04724425"/>
    <w:rsid w:val="047A0F4D"/>
    <w:rsid w:val="047A378A"/>
    <w:rsid w:val="047C67C5"/>
    <w:rsid w:val="04967DCB"/>
    <w:rsid w:val="04996C0A"/>
    <w:rsid w:val="049E31AD"/>
    <w:rsid w:val="04A22CDB"/>
    <w:rsid w:val="04AB696F"/>
    <w:rsid w:val="04AF0CF5"/>
    <w:rsid w:val="04B74D1F"/>
    <w:rsid w:val="04BB7464"/>
    <w:rsid w:val="04BE630C"/>
    <w:rsid w:val="04C21E13"/>
    <w:rsid w:val="04CF2993"/>
    <w:rsid w:val="04D13A79"/>
    <w:rsid w:val="04D22FA6"/>
    <w:rsid w:val="04DC1699"/>
    <w:rsid w:val="04E11004"/>
    <w:rsid w:val="04E2366A"/>
    <w:rsid w:val="04E31478"/>
    <w:rsid w:val="04E44D92"/>
    <w:rsid w:val="04E5089E"/>
    <w:rsid w:val="04EE5F08"/>
    <w:rsid w:val="04F00EE4"/>
    <w:rsid w:val="04F74C35"/>
    <w:rsid w:val="04FC1575"/>
    <w:rsid w:val="04FF348D"/>
    <w:rsid w:val="05005181"/>
    <w:rsid w:val="050E5BD9"/>
    <w:rsid w:val="05112628"/>
    <w:rsid w:val="051208EA"/>
    <w:rsid w:val="05141841"/>
    <w:rsid w:val="05243380"/>
    <w:rsid w:val="053179B3"/>
    <w:rsid w:val="053536F0"/>
    <w:rsid w:val="053551D6"/>
    <w:rsid w:val="053D1E5C"/>
    <w:rsid w:val="05432630"/>
    <w:rsid w:val="054B5E4F"/>
    <w:rsid w:val="05516374"/>
    <w:rsid w:val="056433F7"/>
    <w:rsid w:val="056B06EE"/>
    <w:rsid w:val="056B5D80"/>
    <w:rsid w:val="056F5573"/>
    <w:rsid w:val="0573714A"/>
    <w:rsid w:val="05750930"/>
    <w:rsid w:val="05771E57"/>
    <w:rsid w:val="057A7C74"/>
    <w:rsid w:val="0583545C"/>
    <w:rsid w:val="059257C9"/>
    <w:rsid w:val="05973721"/>
    <w:rsid w:val="059C0D88"/>
    <w:rsid w:val="05B04EB7"/>
    <w:rsid w:val="05B95C6D"/>
    <w:rsid w:val="05BB1E71"/>
    <w:rsid w:val="05BB4179"/>
    <w:rsid w:val="05C33D88"/>
    <w:rsid w:val="05C86F4A"/>
    <w:rsid w:val="05CA5C69"/>
    <w:rsid w:val="05D14957"/>
    <w:rsid w:val="05D17578"/>
    <w:rsid w:val="05D5566A"/>
    <w:rsid w:val="05F73F3E"/>
    <w:rsid w:val="05F84690"/>
    <w:rsid w:val="05FB00E3"/>
    <w:rsid w:val="05FB3598"/>
    <w:rsid w:val="05FB5F07"/>
    <w:rsid w:val="05FD5308"/>
    <w:rsid w:val="0606079D"/>
    <w:rsid w:val="061150E1"/>
    <w:rsid w:val="061B5BF7"/>
    <w:rsid w:val="061B7C51"/>
    <w:rsid w:val="061D3094"/>
    <w:rsid w:val="061F7C2F"/>
    <w:rsid w:val="062363AA"/>
    <w:rsid w:val="062F087C"/>
    <w:rsid w:val="06366D97"/>
    <w:rsid w:val="064315FD"/>
    <w:rsid w:val="064322D6"/>
    <w:rsid w:val="06437D87"/>
    <w:rsid w:val="064752EA"/>
    <w:rsid w:val="066252B1"/>
    <w:rsid w:val="06704BCA"/>
    <w:rsid w:val="067205BD"/>
    <w:rsid w:val="06773CD5"/>
    <w:rsid w:val="0679073D"/>
    <w:rsid w:val="067A7C69"/>
    <w:rsid w:val="06832AC4"/>
    <w:rsid w:val="068C5BD7"/>
    <w:rsid w:val="068F767A"/>
    <w:rsid w:val="06905642"/>
    <w:rsid w:val="06953396"/>
    <w:rsid w:val="06991CE2"/>
    <w:rsid w:val="069B67EF"/>
    <w:rsid w:val="069C48D7"/>
    <w:rsid w:val="06B538E4"/>
    <w:rsid w:val="06C5220A"/>
    <w:rsid w:val="06C578A7"/>
    <w:rsid w:val="06D42A97"/>
    <w:rsid w:val="06E02AF7"/>
    <w:rsid w:val="06ED63E2"/>
    <w:rsid w:val="06EF7E1E"/>
    <w:rsid w:val="06F1213F"/>
    <w:rsid w:val="070913D7"/>
    <w:rsid w:val="070E7391"/>
    <w:rsid w:val="070F2D60"/>
    <w:rsid w:val="070F72BB"/>
    <w:rsid w:val="07102D40"/>
    <w:rsid w:val="0714325B"/>
    <w:rsid w:val="071A1887"/>
    <w:rsid w:val="071E1BFC"/>
    <w:rsid w:val="072232C1"/>
    <w:rsid w:val="07254DC1"/>
    <w:rsid w:val="072A165E"/>
    <w:rsid w:val="072A63F6"/>
    <w:rsid w:val="072C2B75"/>
    <w:rsid w:val="072E2EF1"/>
    <w:rsid w:val="07347A18"/>
    <w:rsid w:val="07361CC7"/>
    <w:rsid w:val="073C045C"/>
    <w:rsid w:val="07550648"/>
    <w:rsid w:val="07557ABB"/>
    <w:rsid w:val="075C21BA"/>
    <w:rsid w:val="0774300B"/>
    <w:rsid w:val="07885DB3"/>
    <w:rsid w:val="07890484"/>
    <w:rsid w:val="078A4D28"/>
    <w:rsid w:val="079566E0"/>
    <w:rsid w:val="079B4845"/>
    <w:rsid w:val="079E2BE6"/>
    <w:rsid w:val="07AA74D9"/>
    <w:rsid w:val="07B86537"/>
    <w:rsid w:val="07BA3CB2"/>
    <w:rsid w:val="07C45FAF"/>
    <w:rsid w:val="07C90020"/>
    <w:rsid w:val="07CA0FAF"/>
    <w:rsid w:val="07D41841"/>
    <w:rsid w:val="07D627EE"/>
    <w:rsid w:val="07DA0D76"/>
    <w:rsid w:val="07DE534E"/>
    <w:rsid w:val="07E6534C"/>
    <w:rsid w:val="0802556D"/>
    <w:rsid w:val="08053A7A"/>
    <w:rsid w:val="08124F82"/>
    <w:rsid w:val="08153F5B"/>
    <w:rsid w:val="08250DF9"/>
    <w:rsid w:val="082C317A"/>
    <w:rsid w:val="082D61EE"/>
    <w:rsid w:val="08364B0A"/>
    <w:rsid w:val="083C00EF"/>
    <w:rsid w:val="08501BBC"/>
    <w:rsid w:val="0856027B"/>
    <w:rsid w:val="08585D50"/>
    <w:rsid w:val="085E36CC"/>
    <w:rsid w:val="086E5A42"/>
    <w:rsid w:val="087434F7"/>
    <w:rsid w:val="087E745B"/>
    <w:rsid w:val="087F5B49"/>
    <w:rsid w:val="08847CD2"/>
    <w:rsid w:val="088F15C6"/>
    <w:rsid w:val="089971A0"/>
    <w:rsid w:val="08A45B22"/>
    <w:rsid w:val="08AB1BCE"/>
    <w:rsid w:val="08AF3DD5"/>
    <w:rsid w:val="08B02537"/>
    <w:rsid w:val="08B74B05"/>
    <w:rsid w:val="08BB5C0B"/>
    <w:rsid w:val="08BE5B98"/>
    <w:rsid w:val="08C1147C"/>
    <w:rsid w:val="08DF608D"/>
    <w:rsid w:val="08E22B54"/>
    <w:rsid w:val="08E502D2"/>
    <w:rsid w:val="08EF35BE"/>
    <w:rsid w:val="08F42DB4"/>
    <w:rsid w:val="08FA3B99"/>
    <w:rsid w:val="09007F13"/>
    <w:rsid w:val="09036160"/>
    <w:rsid w:val="090C175B"/>
    <w:rsid w:val="09196AC3"/>
    <w:rsid w:val="091B3865"/>
    <w:rsid w:val="09223924"/>
    <w:rsid w:val="09265580"/>
    <w:rsid w:val="09381044"/>
    <w:rsid w:val="09391B55"/>
    <w:rsid w:val="094561CB"/>
    <w:rsid w:val="094A185D"/>
    <w:rsid w:val="095A32D4"/>
    <w:rsid w:val="09642006"/>
    <w:rsid w:val="096D4A57"/>
    <w:rsid w:val="09790B19"/>
    <w:rsid w:val="0979486C"/>
    <w:rsid w:val="097A3671"/>
    <w:rsid w:val="09813E38"/>
    <w:rsid w:val="098301B9"/>
    <w:rsid w:val="098443E3"/>
    <w:rsid w:val="09850BC8"/>
    <w:rsid w:val="098A4C89"/>
    <w:rsid w:val="098C224C"/>
    <w:rsid w:val="098C7583"/>
    <w:rsid w:val="09920190"/>
    <w:rsid w:val="09967792"/>
    <w:rsid w:val="09A15FBE"/>
    <w:rsid w:val="09B32019"/>
    <w:rsid w:val="09BB05D5"/>
    <w:rsid w:val="09CA00E1"/>
    <w:rsid w:val="09CA5ED4"/>
    <w:rsid w:val="09CD153C"/>
    <w:rsid w:val="09DC08E1"/>
    <w:rsid w:val="09DC6A99"/>
    <w:rsid w:val="09DD0387"/>
    <w:rsid w:val="09DE2E38"/>
    <w:rsid w:val="09E320EB"/>
    <w:rsid w:val="09F112E5"/>
    <w:rsid w:val="09F45691"/>
    <w:rsid w:val="09FF315E"/>
    <w:rsid w:val="09FF3E19"/>
    <w:rsid w:val="0A167F9F"/>
    <w:rsid w:val="0A1A09B1"/>
    <w:rsid w:val="0A1A7E14"/>
    <w:rsid w:val="0A1F39FC"/>
    <w:rsid w:val="0A1F7BAF"/>
    <w:rsid w:val="0A2677F7"/>
    <w:rsid w:val="0A300553"/>
    <w:rsid w:val="0A3355C8"/>
    <w:rsid w:val="0A3505D9"/>
    <w:rsid w:val="0A3A4B34"/>
    <w:rsid w:val="0A3C6F92"/>
    <w:rsid w:val="0A3E1EE4"/>
    <w:rsid w:val="0A4D34C0"/>
    <w:rsid w:val="0A604DDD"/>
    <w:rsid w:val="0A61787C"/>
    <w:rsid w:val="0A6919BA"/>
    <w:rsid w:val="0A7C0804"/>
    <w:rsid w:val="0A843421"/>
    <w:rsid w:val="0A8529F3"/>
    <w:rsid w:val="0A87498F"/>
    <w:rsid w:val="0A894806"/>
    <w:rsid w:val="0A894A48"/>
    <w:rsid w:val="0A8B7628"/>
    <w:rsid w:val="0A8E4E18"/>
    <w:rsid w:val="0A933397"/>
    <w:rsid w:val="0A935E2B"/>
    <w:rsid w:val="0AAE3FFB"/>
    <w:rsid w:val="0AC03839"/>
    <w:rsid w:val="0AC84948"/>
    <w:rsid w:val="0ACA7DAC"/>
    <w:rsid w:val="0AD10AAE"/>
    <w:rsid w:val="0AD914DE"/>
    <w:rsid w:val="0AE257BF"/>
    <w:rsid w:val="0AE272D3"/>
    <w:rsid w:val="0AE44014"/>
    <w:rsid w:val="0AE44944"/>
    <w:rsid w:val="0AE57B49"/>
    <w:rsid w:val="0AEE0AD3"/>
    <w:rsid w:val="0AF75EFF"/>
    <w:rsid w:val="0B033DFF"/>
    <w:rsid w:val="0B064309"/>
    <w:rsid w:val="0B067CBC"/>
    <w:rsid w:val="0B095C99"/>
    <w:rsid w:val="0B0A37B5"/>
    <w:rsid w:val="0B105CD5"/>
    <w:rsid w:val="0B1367C5"/>
    <w:rsid w:val="0B2401AC"/>
    <w:rsid w:val="0B240DFD"/>
    <w:rsid w:val="0B244408"/>
    <w:rsid w:val="0B355B52"/>
    <w:rsid w:val="0B402062"/>
    <w:rsid w:val="0B50578B"/>
    <w:rsid w:val="0B5E6173"/>
    <w:rsid w:val="0B687D44"/>
    <w:rsid w:val="0B6E7398"/>
    <w:rsid w:val="0B701088"/>
    <w:rsid w:val="0B7148D6"/>
    <w:rsid w:val="0B7B05FE"/>
    <w:rsid w:val="0B7C4898"/>
    <w:rsid w:val="0B8E4E3C"/>
    <w:rsid w:val="0B945055"/>
    <w:rsid w:val="0B956B9F"/>
    <w:rsid w:val="0BBB304E"/>
    <w:rsid w:val="0BBD5B9A"/>
    <w:rsid w:val="0BBE7885"/>
    <w:rsid w:val="0BCA4D4F"/>
    <w:rsid w:val="0BD54684"/>
    <w:rsid w:val="0BE20ACD"/>
    <w:rsid w:val="0BE91EBD"/>
    <w:rsid w:val="0BFF086C"/>
    <w:rsid w:val="0C03436D"/>
    <w:rsid w:val="0C044E3C"/>
    <w:rsid w:val="0C0B3A20"/>
    <w:rsid w:val="0C110B03"/>
    <w:rsid w:val="0C265FE9"/>
    <w:rsid w:val="0C2A7106"/>
    <w:rsid w:val="0C2B5395"/>
    <w:rsid w:val="0C370749"/>
    <w:rsid w:val="0C404CE8"/>
    <w:rsid w:val="0C4421C8"/>
    <w:rsid w:val="0C4850A0"/>
    <w:rsid w:val="0C487BE3"/>
    <w:rsid w:val="0C5C2238"/>
    <w:rsid w:val="0C6832E3"/>
    <w:rsid w:val="0C686C55"/>
    <w:rsid w:val="0C6C530F"/>
    <w:rsid w:val="0C6F2805"/>
    <w:rsid w:val="0C71018C"/>
    <w:rsid w:val="0C775347"/>
    <w:rsid w:val="0C80464F"/>
    <w:rsid w:val="0C964892"/>
    <w:rsid w:val="0C9F47E3"/>
    <w:rsid w:val="0CA406A3"/>
    <w:rsid w:val="0CA62F43"/>
    <w:rsid w:val="0CAD3F53"/>
    <w:rsid w:val="0CB420F7"/>
    <w:rsid w:val="0CC479D7"/>
    <w:rsid w:val="0CC672E3"/>
    <w:rsid w:val="0CC76C5F"/>
    <w:rsid w:val="0CCB4BFF"/>
    <w:rsid w:val="0CD1470B"/>
    <w:rsid w:val="0CD804C7"/>
    <w:rsid w:val="0CD958EA"/>
    <w:rsid w:val="0CE154E0"/>
    <w:rsid w:val="0D0501E7"/>
    <w:rsid w:val="0D0846FE"/>
    <w:rsid w:val="0D0F3FDD"/>
    <w:rsid w:val="0D20074F"/>
    <w:rsid w:val="0D234FBA"/>
    <w:rsid w:val="0D2418D9"/>
    <w:rsid w:val="0D260536"/>
    <w:rsid w:val="0D2E1C9B"/>
    <w:rsid w:val="0D322BF6"/>
    <w:rsid w:val="0D346734"/>
    <w:rsid w:val="0D447EE8"/>
    <w:rsid w:val="0D4937F0"/>
    <w:rsid w:val="0D5A080F"/>
    <w:rsid w:val="0D5F7D31"/>
    <w:rsid w:val="0D600CFB"/>
    <w:rsid w:val="0D60779C"/>
    <w:rsid w:val="0D630562"/>
    <w:rsid w:val="0D652591"/>
    <w:rsid w:val="0D7D2012"/>
    <w:rsid w:val="0D871A21"/>
    <w:rsid w:val="0D893056"/>
    <w:rsid w:val="0D8D4F32"/>
    <w:rsid w:val="0D965F72"/>
    <w:rsid w:val="0D975AEF"/>
    <w:rsid w:val="0DBB00AF"/>
    <w:rsid w:val="0DBC2CD0"/>
    <w:rsid w:val="0DBE46DE"/>
    <w:rsid w:val="0DC12B86"/>
    <w:rsid w:val="0DC14EFD"/>
    <w:rsid w:val="0DC35E1B"/>
    <w:rsid w:val="0DD10E56"/>
    <w:rsid w:val="0DE1147D"/>
    <w:rsid w:val="0DE61568"/>
    <w:rsid w:val="0DF420CE"/>
    <w:rsid w:val="0DF74F68"/>
    <w:rsid w:val="0E053037"/>
    <w:rsid w:val="0E1A5D29"/>
    <w:rsid w:val="0E1B673E"/>
    <w:rsid w:val="0E1C173E"/>
    <w:rsid w:val="0E1D4987"/>
    <w:rsid w:val="0E254912"/>
    <w:rsid w:val="0E2A0DB8"/>
    <w:rsid w:val="0E317343"/>
    <w:rsid w:val="0E35700B"/>
    <w:rsid w:val="0E357428"/>
    <w:rsid w:val="0E39141D"/>
    <w:rsid w:val="0E3A3288"/>
    <w:rsid w:val="0E427B48"/>
    <w:rsid w:val="0E4C6323"/>
    <w:rsid w:val="0E4C7C6B"/>
    <w:rsid w:val="0E543564"/>
    <w:rsid w:val="0E5443B6"/>
    <w:rsid w:val="0E5C77CB"/>
    <w:rsid w:val="0E5E3740"/>
    <w:rsid w:val="0E6278A7"/>
    <w:rsid w:val="0E67721A"/>
    <w:rsid w:val="0E6A210B"/>
    <w:rsid w:val="0E721D63"/>
    <w:rsid w:val="0E7476B7"/>
    <w:rsid w:val="0E87171D"/>
    <w:rsid w:val="0E907A0F"/>
    <w:rsid w:val="0E96119D"/>
    <w:rsid w:val="0E9A2A8D"/>
    <w:rsid w:val="0EA01493"/>
    <w:rsid w:val="0EA201A4"/>
    <w:rsid w:val="0EA50513"/>
    <w:rsid w:val="0EBE326D"/>
    <w:rsid w:val="0ECB53D4"/>
    <w:rsid w:val="0ECB5E73"/>
    <w:rsid w:val="0EDD2775"/>
    <w:rsid w:val="0EE202FD"/>
    <w:rsid w:val="0EE24D02"/>
    <w:rsid w:val="0EE27B00"/>
    <w:rsid w:val="0EF4251C"/>
    <w:rsid w:val="0EF852B7"/>
    <w:rsid w:val="0EFA6D29"/>
    <w:rsid w:val="0EFB5C37"/>
    <w:rsid w:val="0F1940C6"/>
    <w:rsid w:val="0F1E5F95"/>
    <w:rsid w:val="0F344479"/>
    <w:rsid w:val="0F426151"/>
    <w:rsid w:val="0F4D0A64"/>
    <w:rsid w:val="0F597612"/>
    <w:rsid w:val="0F611501"/>
    <w:rsid w:val="0F6A4FA2"/>
    <w:rsid w:val="0F6F127F"/>
    <w:rsid w:val="0F72254F"/>
    <w:rsid w:val="0F7A3DA8"/>
    <w:rsid w:val="0F7D08BB"/>
    <w:rsid w:val="0F804DFF"/>
    <w:rsid w:val="0FA32DE4"/>
    <w:rsid w:val="0FA84EE6"/>
    <w:rsid w:val="0FAB0922"/>
    <w:rsid w:val="0FAE0395"/>
    <w:rsid w:val="0FBE4761"/>
    <w:rsid w:val="0FC11625"/>
    <w:rsid w:val="0FC65A52"/>
    <w:rsid w:val="0FC7257A"/>
    <w:rsid w:val="0FCC63E0"/>
    <w:rsid w:val="0FDE787C"/>
    <w:rsid w:val="0FEA7CF8"/>
    <w:rsid w:val="0FF41AA1"/>
    <w:rsid w:val="10184BDE"/>
    <w:rsid w:val="101C136E"/>
    <w:rsid w:val="10207DA9"/>
    <w:rsid w:val="10237586"/>
    <w:rsid w:val="10257B95"/>
    <w:rsid w:val="102C26B3"/>
    <w:rsid w:val="103A6DED"/>
    <w:rsid w:val="103E7DDB"/>
    <w:rsid w:val="10442F24"/>
    <w:rsid w:val="1048751A"/>
    <w:rsid w:val="105078AB"/>
    <w:rsid w:val="105A6615"/>
    <w:rsid w:val="105D41D4"/>
    <w:rsid w:val="10610FEB"/>
    <w:rsid w:val="10696581"/>
    <w:rsid w:val="10713718"/>
    <w:rsid w:val="10834639"/>
    <w:rsid w:val="109532DA"/>
    <w:rsid w:val="10985BB1"/>
    <w:rsid w:val="10A1765C"/>
    <w:rsid w:val="10A53868"/>
    <w:rsid w:val="10B117B4"/>
    <w:rsid w:val="10BA1759"/>
    <w:rsid w:val="10BE7D84"/>
    <w:rsid w:val="10C049B4"/>
    <w:rsid w:val="10C21075"/>
    <w:rsid w:val="10C30D96"/>
    <w:rsid w:val="10C37661"/>
    <w:rsid w:val="10CC2120"/>
    <w:rsid w:val="10DD52C4"/>
    <w:rsid w:val="10E34C2D"/>
    <w:rsid w:val="10E52876"/>
    <w:rsid w:val="10E56DEA"/>
    <w:rsid w:val="10EE1FD4"/>
    <w:rsid w:val="10F24046"/>
    <w:rsid w:val="10F76AE2"/>
    <w:rsid w:val="10F77347"/>
    <w:rsid w:val="10FA1C2A"/>
    <w:rsid w:val="10FE7641"/>
    <w:rsid w:val="11044911"/>
    <w:rsid w:val="110E489D"/>
    <w:rsid w:val="11101786"/>
    <w:rsid w:val="11133CA5"/>
    <w:rsid w:val="11176EA5"/>
    <w:rsid w:val="111E5045"/>
    <w:rsid w:val="112D00D0"/>
    <w:rsid w:val="114A1D6A"/>
    <w:rsid w:val="11547E2E"/>
    <w:rsid w:val="11643A60"/>
    <w:rsid w:val="1168482E"/>
    <w:rsid w:val="116D744B"/>
    <w:rsid w:val="11734B32"/>
    <w:rsid w:val="117E7E60"/>
    <w:rsid w:val="118C681E"/>
    <w:rsid w:val="118F531D"/>
    <w:rsid w:val="11970B9F"/>
    <w:rsid w:val="11976199"/>
    <w:rsid w:val="119B13A1"/>
    <w:rsid w:val="119D0E9F"/>
    <w:rsid w:val="11A00840"/>
    <w:rsid w:val="11A479C1"/>
    <w:rsid w:val="11A72F7E"/>
    <w:rsid w:val="11A743BE"/>
    <w:rsid w:val="11AC575A"/>
    <w:rsid w:val="11B0041B"/>
    <w:rsid w:val="11B10B80"/>
    <w:rsid w:val="11B160C0"/>
    <w:rsid w:val="11C072D0"/>
    <w:rsid w:val="11C91AA6"/>
    <w:rsid w:val="11CB318C"/>
    <w:rsid w:val="11CC70C4"/>
    <w:rsid w:val="11E56C9B"/>
    <w:rsid w:val="11F54586"/>
    <w:rsid w:val="120C03A4"/>
    <w:rsid w:val="120D1296"/>
    <w:rsid w:val="120F5BC7"/>
    <w:rsid w:val="12100E50"/>
    <w:rsid w:val="12124DCB"/>
    <w:rsid w:val="1215031A"/>
    <w:rsid w:val="12313ADC"/>
    <w:rsid w:val="12340448"/>
    <w:rsid w:val="123E4C94"/>
    <w:rsid w:val="12452E40"/>
    <w:rsid w:val="12457BCD"/>
    <w:rsid w:val="12493780"/>
    <w:rsid w:val="1260421D"/>
    <w:rsid w:val="126412B1"/>
    <w:rsid w:val="126635F9"/>
    <w:rsid w:val="12687646"/>
    <w:rsid w:val="12705493"/>
    <w:rsid w:val="127F58BC"/>
    <w:rsid w:val="128901D6"/>
    <w:rsid w:val="128B06DF"/>
    <w:rsid w:val="12996899"/>
    <w:rsid w:val="129A2B9E"/>
    <w:rsid w:val="12A0411D"/>
    <w:rsid w:val="12A13219"/>
    <w:rsid w:val="12A16CFA"/>
    <w:rsid w:val="12A448EA"/>
    <w:rsid w:val="12A75096"/>
    <w:rsid w:val="12B072B2"/>
    <w:rsid w:val="12B37E65"/>
    <w:rsid w:val="12B458B2"/>
    <w:rsid w:val="12B624F4"/>
    <w:rsid w:val="12C0705F"/>
    <w:rsid w:val="12C12CE0"/>
    <w:rsid w:val="12C63AE9"/>
    <w:rsid w:val="12DD3455"/>
    <w:rsid w:val="12DE6471"/>
    <w:rsid w:val="12E615B0"/>
    <w:rsid w:val="12EF0709"/>
    <w:rsid w:val="12F72B37"/>
    <w:rsid w:val="12F74063"/>
    <w:rsid w:val="12FB55F8"/>
    <w:rsid w:val="12FE5BC2"/>
    <w:rsid w:val="13062F6F"/>
    <w:rsid w:val="13064876"/>
    <w:rsid w:val="13066880"/>
    <w:rsid w:val="130A6C13"/>
    <w:rsid w:val="13144E98"/>
    <w:rsid w:val="132860AD"/>
    <w:rsid w:val="1330016C"/>
    <w:rsid w:val="1335564A"/>
    <w:rsid w:val="13435F3B"/>
    <w:rsid w:val="13437A9C"/>
    <w:rsid w:val="1347735E"/>
    <w:rsid w:val="134802DC"/>
    <w:rsid w:val="134B4F5D"/>
    <w:rsid w:val="13504CE5"/>
    <w:rsid w:val="13565003"/>
    <w:rsid w:val="13585BAC"/>
    <w:rsid w:val="13587FDF"/>
    <w:rsid w:val="135A4A32"/>
    <w:rsid w:val="135B4C32"/>
    <w:rsid w:val="13605834"/>
    <w:rsid w:val="13630398"/>
    <w:rsid w:val="1369386B"/>
    <w:rsid w:val="136F7C54"/>
    <w:rsid w:val="13771351"/>
    <w:rsid w:val="137E07A4"/>
    <w:rsid w:val="13920DB7"/>
    <w:rsid w:val="139E70BA"/>
    <w:rsid w:val="13A96E8D"/>
    <w:rsid w:val="13B73A8B"/>
    <w:rsid w:val="13C00143"/>
    <w:rsid w:val="13C70B0C"/>
    <w:rsid w:val="13CF6D40"/>
    <w:rsid w:val="13D0364D"/>
    <w:rsid w:val="13D47DE9"/>
    <w:rsid w:val="13E50B8F"/>
    <w:rsid w:val="13E550C8"/>
    <w:rsid w:val="13EE7327"/>
    <w:rsid w:val="13F02F50"/>
    <w:rsid w:val="140246D7"/>
    <w:rsid w:val="14034D7B"/>
    <w:rsid w:val="14051A5E"/>
    <w:rsid w:val="140668B3"/>
    <w:rsid w:val="14073E9B"/>
    <w:rsid w:val="140C4360"/>
    <w:rsid w:val="141200CB"/>
    <w:rsid w:val="14184AA5"/>
    <w:rsid w:val="141B6089"/>
    <w:rsid w:val="141D2B78"/>
    <w:rsid w:val="141F4736"/>
    <w:rsid w:val="142600F5"/>
    <w:rsid w:val="1426430E"/>
    <w:rsid w:val="14292DE8"/>
    <w:rsid w:val="142C3B24"/>
    <w:rsid w:val="14474270"/>
    <w:rsid w:val="145E6571"/>
    <w:rsid w:val="14610B72"/>
    <w:rsid w:val="146E303C"/>
    <w:rsid w:val="14722DBB"/>
    <w:rsid w:val="147F7611"/>
    <w:rsid w:val="14832813"/>
    <w:rsid w:val="14863E90"/>
    <w:rsid w:val="149030F2"/>
    <w:rsid w:val="14947D2B"/>
    <w:rsid w:val="149969EE"/>
    <w:rsid w:val="1499707F"/>
    <w:rsid w:val="149B698D"/>
    <w:rsid w:val="149E5BE3"/>
    <w:rsid w:val="14A30270"/>
    <w:rsid w:val="14A43313"/>
    <w:rsid w:val="14A73D33"/>
    <w:rsid w:val="14A97230"/>
    <w:rsid w:val="14B10148"/>
    <w:rsid w:val="14B93765"/>
    <w:rsid w:val="14BB1A72"/>
    <w:rsid w:val="14BF5DA5"/>
    <w:rsid w:val="14C43F50"/>
    <w:rsid w:val="14C72D1A"/>
    <w:rsid w:val="14C95BB9"/>
    <w:rsid w:val="14CA5B33"/>
    <w:rsid w:val="14D11AF8"/>
    <w:rsid w:val="14DE008F"/>
    <w:rsid w:val="14DF2044"/>
    <w:rsid w:val="14E00DB9"/>
    <w:rsid w:val="14EA5385"/>
    <w:rsid w:val="14EA6B8D"/>
    <w:rsid w:val="14F2542E"/>
    <w:rsid w:val="14FC17D8"/>
    <w:rsid w:val="14FF3EFC"/>
    <w:rsid w:val="15150812"/>
    <w:rsid w:val="151738A5"/>
    <w:rsid w:val="15190B15"/>
    <w:rsid w:val="15192E78"/>
    <w:rsid w:val="151C00AC"/>
    <w:rsid w:val="151C5FEF"/>
    <w:rsid w:val="151F1C4E"/>
    <w:rsid w:val="15255B10"/>
    <w:rsid w:val="152655B3"/>
    <w:rsid w:val="15287472"/>
    <w:rsid w:val="1529327F"/>
    <w:rsid w:val="152C6BBD"/>
    <w:rsid w:val="152E03BF"/>
    <w:rsid w:val="1535513E"/>
    <w:rsid w:val="153C501D"/>
    <w:rsid w:val="153F41CC"/>
    <w:rsid w:val="15402E49"/>
    <w:rsid w:val="15405EE0"/>
    <w:rsid w:val="1546415F"/>
    <w:rsid w:val="154E36A3"/>
    <w:rsid w:val="154E688E"/>
    <w:rsid w:val="15576172"/>
    <w:rsid w:val="156C4625"/>
    <w:rsid w:val="15781CE6"/>
    <w:rsid w:val="157E3EDB"/>
    <w:rsid w:val="158B7B82"/>
    <w:rsid w:val="15925CFF"/>
    <w:rsid w:val="15A0227A"/>
    <w:rsid w:val="15AB3500"/>
    <w:rsid w:val="15B25D04"/>
    <w:rsid w:val="15B378DE"/>
    <w:rsid w:val="15B51991"/>
    <w:rsid w:val="15B5327A"/>
    <w:rsid w:val="15B65A1B"/>
    <w:rsid w:val="15BE76A3"/>
    <w:rsid w:val="15BF3F22"/>
    <w:rsid w:val="15D5724B"/>
    <w:rsid w:val="15D633B4"/>
    <w:rsid w:val="15D76828"/>
    <w:rsid w:val="15E4266C"/>
    <w:rsid w:val="15E566DC"/>
    <w:rsid w:val="15F776F3"/>
    <w:rsid w:val="15F81F63"/>
    <w:rsid w:val="15F94F3A"/>
    <w:rsid w:val="160234CA"/>
    <w:rsid w:val="160527FF"/>
    <w:rsid w:val="160A5F0A"/>
    <w:rsid w:val="160B08F7"/>
    <w:rsid w:val="160C25D5"/>
    <w:rsid w:val="160C6779"/>
    <w:rsid w:val="16112A0C"/>
    <w:rsid w:val="1614795F"/>
    <w:rsid w:val="161501DE"/>
    <w:rsid w:val="1618343F"/>
    <w:rsid w:val="161B1EEE"/>
    <w:rsid w:val="162C46C1"/>
    <w:rsid w:val="163043D4"/>
    <w:rsid w:val="163C4214"/>
    <w:rsid w:val="164A1400"/>
    <w:rsid w:val="165736D7"/>
    <w:rsid w:val="16590BDF"/>
    <w:rsid w:val="166272F0"/>
    <w:rsid w:val="16653FF8"/>
    <w:rsid w:val="1671331A"/>
    <w:rsid w:val="167B62A6"/>
    <w:rsid w:val="167C1B5A"/>
    <w:rsid w:val="1686284B"/>
    <w:rsid w:val="1686374A"/>
    <w:rsid w:val="168F333A"/>
    <w:rsid w:val="16972E3E"/>
    <w:rsid w:val="169735C0"/>
    <w:rsid w:val="1697792A"/>
    <w:rsid w:val="169F07BA"/>
    <w:rsid w:val="16A156DE"/>
    <w:rsid w:val="16A21863"/>
    <w:rsid w:val="16AD62D3"/>
    <w:rsid w:val="16CD2CB8"/>
    <w:rsid w:val="16D065FD"/>
    <w:rsid w:val="16D70F0E"/>
    <w:rsid w:val="16E427F9"/>
    <w:rsid w:val="16E51F41"/>
    <w:rsid w:val="16EB4A3F"/>
    <w:rsid w:val="16F56089"/>
    <w:rsid w:val="16F70DF9"/>
    <w:rsid w:val="16F72582"/>
    <w:rsid w:val="16FD23AC"/>
    <w:rsid w:val="170F10B9"/>
    <w:rsid w:val="171A1DB4"/>
    <w:rsid w:val="17297021"/>
    <w:rsid w:val="173D749A"/>
    <w:rsid w:val="17542B8C"/>
    <w:rsid w:val="175454CB"/>
    <w:rsid w:val="175E7197"/>
    <w:rsid w:val="175F35D8"/>
    <w:rsid w:val="176E3D60"/>
    <w:rsid w:val="1770464C"/>
    <w:rsid w:val="17742DF3"/>
    <w:rsid w:val="17785275"/>
    <w:rsid w:val="177C4914"/>
    <w:rsid w:val="178235A8"/>
    <w:rsid w:val="178442A0"/>
    <w:rsid w:val="1788144B"/>
    <w:rsid w:val="178A06C8"/>
    <w:rsid w:val="178A4933"/>
    <w:rsid w:val="178D0BE0"/>
    <w:rsid w:val="178F7DD0"/>
    <w:rsid w:val="17927247"/>
    <w:rsid w:val="179B3D7D"/>
    <w:rsid w:val="179F615D"/>
    <w:rsid w:val="17A23B0D"/>
    <w:rsid w:val="17A26154"/>
    <w:rsid w:val="17B1072B"/>
    <w:rsid w:val="17B610C1"/>
    <w:rsid w:val="17C22612"/>
    <w:rsid w:val="17C71F05"/>
    <w:rsid w:val="17DF602B"/>
    <w:rsid w:val="17E067B0"/>
    <w:rsid w:val="17E540EA"/>
    <w:rsid w:val="17E94A78"/>
    <w:rsid w:val="17F52591"/>
    <w:rsid w:val="17FF662F"/>
    <w:rsid w:val="18014996"/>
    <w:rsid w:val="1801600D"/>
    <w:rsid w:val="18035670"/>
    <w:rsid w:val="180A0BF1"/>
    <w:rsid w:val="18127DF7"/>
    <w:rsid w:val="18147124"/>
    <w:rsid w:val="18177A0E"/>
    <w:rsid w:val="181962E3"/>
    <w:rsid w:val="18223EA7"/>
    <w:rsid w:val="18225DB3"/>
    <w:rsid w:val="18301734"/>
    <w:rsid w:val="1835339B"/>
    <w:rsid w:val="18375D7A"/>
    <w:rsid w:val="183B3ECD"/>
    <w:rsid w:val="184517C0"/>
    <w:rsid w:val="185331DF"/>
    <w:rsid w:val="185460F6"/>
    <w:rsid w:val="18567A7E"/>
    <w:rsid w:val="185C6429"/>
    <w:rsid w:val="185C702E"/>
    <w:rsid w:val="18626E5A"/>
    <w:rsid w:val="18722C32"/>
    <w:rsid w:val="1875500A"/>
    <w:rsid w:val="187D717F"/>
    <w:rsid w:val="188C3C88"/>
    <w:rsid w:val="188D36FB"/>
    <w:rsid w:val="18902206"/>
    <w:rsid w:val="189D5538"/>
    <w:rsid w:val="189F24F7"/>
    <w:rsid w:val="18A06DAB"/>
    <w:rsid w:val="18B2148D"/>
    <w:rsid w:val="18B4000A"/>
    <w:rsid w:val="18B61A10"/>
    <w:rsid w:val="18C958FA"/>
    <w:rsid w:val="18CC3BBB"/>
    <w:rsid w:val="18D03E94"/>
    <w:rsid w:val="18D82A06"/>
    <w:rsid w:val="18DB45BA"/>
    <w:rsid w:val="18DE1092"/>
    <w:rsid w:val="18E03D6C"/>
    <w:rsid w:val="18EA1B9D"/>
    <w:rsid w:val="18F273F7"/>
    <w:rsid w:val="18F37DF8"/>
    <w:rsid w:val="18FC6D76"/>
    <w:rsid w:val="190A5A5D"/>
    <w:rsid w:val="190A61AD"/>
    <w:rsid w:val="1913672F"/>
    <w:rsid w:val="19183EB4"/>
    <w:rsid w:val="191A290C"/>
    <w:rsid w:val="191D199D"/>
    <w:rsid w:val="1923135F"/>
    <w:rsid w:val="192445C4"/>
    <w:rsid w:val="19256EAA"/>
    <w:rsid w:val="19307EA4"/>
    <w:rsid w:val="1932298E"/>
    <w:rsid w:val="194326EB"/>
    <w:rsid w:val="194D219F"/>
    <w:rsid w:val="195755F6"/>
    <w:rsid w:val="196011DD"/>
    <w:rsid w:val="19662E7C"/>
    <w:rsid w:val="196965BD"/>
    <w:rsid w:val="196F0596"/>
    <w:rsid w:val="196F599C"/>
    <w:rsid w:val="19707862"/>
    <w:rsid w:val="19714E78"/>
    <w:rsid w:val="197352B2"/>
    <w:rsid w:val="19744EC8"/>
    <w:rsid w:val="1976475C"/>
    <w:rsid w:val="19794D0A"/>
    <w:rsid w:val="197E3A33"/>
    <w:rsid w:val="19814F6E"/>
    <w:rsid w:val="1983263F"/>
    <w:rsid w:val="198C49B1"/>
    <w:rsid w:val="198E76A2"/>
    <w:rsid w:val="198E787C"/>
    <w:rsid w:val="19965216"/>
    <w:rsid w:val="19970C9B"/>
    <w:rsid w:val="199F4CC2"/>
    <w:rsid w:val="19A52B7A"/>
    <w:rsid w:val="19A639F7"/>
    <w:rsid w:val="19AA7B1E"/>
    <w:rsid w:val="19B26CFF"/>
    <w:rsid w:val="19B36A5C"/>
    <w:rsid w:val="19B47E89"/>
    <w:rsid w:val="19B65F9A"/>
    <w:rsid w:val="19C03F6A"/>
    <w:rsid w:val="19CC0512"/>
    <w:rsid w:val="19D45EEA"/>
    <w:rsid w:val="19DD0773"/>
    <w:rsid w:val="19DD706A"/>
    <w:rsid w:val="19E56845"/>
    <w:rsid w:val="19E575CB"/>
    <w:rsid w:val="19F876EA"/>
    <w:rsid w:val="1A030B7B"/>
    <w:rsid w:val="1A115B78"/>
    <w:rsid w:val="1A127B40"/>
    <w:rsid w:val="1A1F7604"/>
    <w:rsid w:val="1A265ECE"/>
    <w:rsid w:val="1A383048"/>
    <w:rsid w:val="1A4C0428"/>
    <w:rsid w:val="1A4C49F6"/>
    <w:rsid w:val="1A510731"/>
    <w:rsid w:val="1A5422C9"/>
    <w:rsid w:val="1A6207AF"/>
    <w:rsid w:val="1A647423"/>
    <w:rsid w:val="1A6A78F6"/>
    <w:rsid w:val="1A707F90"/>
    <w:rsid w:val="1A743C06"/>
    <w:rsid w:val="1A7D7A4C"/>
    <w:rsid w:val="1A7E2B3B"/>
    <w:rsid w:val="1A820762"/>
    <w:rsid w:val="1A833523"/>
    <w:rsid w:val="1A8477CE"/>
    <w:rsid w:val="1A87767B"/>
    <w:rsid w:val="1A993750"/>
    <w:rsid w:val="1A9C262C"/>
    <w:rsid w:val="1A9C6E13"/>
    <w:rsid w:val="1AA14B46"/>
    <w:rsid w:val="1AB01512"/>
    <w:rsid w:val="1AB42B2C"/>
    <w:rsid w:val="1ADF228D"/>
    <w:rsid w:val="1AE02372"/>
    <w:rsid w:val="1AE0302C"/>
    <w:rsid w:val="1AE06222"/>
    <w:rsid w:val="1AE945BE"/>
    <w:rsid w:val="1AEB7A97"/>
    <w:rsid w:val="1AED46EC"/>
    <w:rsid w:val="1AFE59EC"/>
    <w:rsid w:val="1B003E8C"/>
    <w:rsid w:val="1B014C6E"/>
    <w:rsid w:val="1B0A1F11"/>
    <w:rsid w:val="1B104CC1"/>
    <w:rsid w:val="1B1D3B32"/>
    <w:rsid w:val="1B237C92"/>
    <w:rsid w:val="1B2810EE"/>
    <w:rsid w:val="1B2B06D8"/>
    <w:rsid w:val="1B2D47C7"/>
    <w:rsid w:val="1B2F74EB"/>
    <w:rsid w:val="1B34728F"/>
    <w:rsid w:val="1B35461B"/>
    <w:rsid w:val="1B3F0F72"/>
    <w:rsid w:val="1B420B08"/>
    <w:rsid w:val="1B43313D"/>
    <w:rsid w:val="1B44774B"/>
    <w:rsid w:val="1B52216A"/>
    <w:rsid w:val="1B5917BE"/>
    <w:rsid w:val="1B5A3C36"/>
    <w:rsid w:val="1B642B6F"/>
    <w:rsid w:val="1B6E1B7A"/>
    <w:rsid w:val="1B6F7A22"/>
    <w:rsid w:val="1B7F088D"/>
    <w:rsid w:val="1B842B5E"/>
    <w:rsid w:val="1B876A21"/>
    <w:rsid w:val="1B8C2CE7"/>
    <w:rsid w:val="1B93659F"/>
    <w:rsid w:val="1B960E2A"/>
    <w:rsid w:val="1BA17012"/>
    <w:rsid w:val="1BA33543"/>
    <w:rsid w:val="1BA357F8"/>
    <w:rsid w:val="1BAB5CB0"/>
    <w:rsid w:val="1BB04E2D"/>
    <w:rsid w:val="1BB47482"/>
    <w:rsid w:val="1BB66EB3"/>
    <w:rsid w:val="1BD14920"/>
    <w:rsid w:val="1BE02F68"/>
    <w:rsid w:val="1BEC42C5"/>
    <w:rsid w:val="1BF3686A"/>
    <w:rsid w:val="1C05248C"/>
    <w:rsid w:val="1C0E3BE9"/>
    <w:rsid w:val="1C17600A"/>
    <w:rsid w:val="1C1D34A2"/>
    <w:rsid w:val="1C22725D"/>
    <w:rsid w:val="1C2368EF"/>
    <w:rsid w:val="1C286520"/>
    <w:rsid w:val="1C3422FA"/>
    <w:rsid w:val="1C394E53"/>
    <w:rsid w:val="1C3D23BA"/>
    <w:rsid w:val="1C450B60"/>
    <w:rsid w:val="1C4B0401"/>
    <w:rsid w:val="1C4E5C7D"/>
    <w:rsid w:val="1C61270A"/>
    <w:rsid w:val="1C654A02"/>
    <w:rsid w:val="1C6624C2"/>
    <w:rsid w:val="1C70262D"/>
    <w:rsid w:val="1C7209BC"/>
    <w:rsid w:val="1C7578A5"/>
    <w:rsid w:val="1C7D641E"/>
    <w:rsid w:val="1C7F6C33"/>
    <w:rsid w:val="1C802313"/>
    <w:rsid w:val="1C815655"/>
    <w:rsid w:val="1C965825"/>
    <w:rsid w:val="1CA13916"/>
    <w:rsid w:val="1CA24EA4"/>
    <w:rsid w:val="1CA8283C"/>
    <w:rsid w:val="1CAC7FE6"/>
    <w:rsid w:val="1CAF5EB7"/>
    <w:rsid w:val="1CC1143E"/>
    <w:rsid w:val="1CCC7BD4"/>
    <w:rsid w:val="1CCD24F7"/>
    <w:rsid w:val="1CCF0383"/>
    <w:rsid w:val="1CCF4611"/>
    <w:rsid w:val="1CD54B94"/>
    <w:rsid w:val="1CE15BF0"/>
    <w:rsid w:val="1CE21457"/>
    <w:rsid w:val="1CEE1857"/>
    <w:rsid w:val="1CEF0F4C"/>
    <w:rsid w:val="1CEF4137"/>
    <w:rsid w:val="1CF11E4C"/>
    <w:rsid w:val="1CF871CD"/>
    <w:rsid w:val="1D047001"/>
    <w:rsid w:val="1D0B615D"/>
    <w:rsid w:val="1D111F49"/>
    <w:rsid w:val="1D1930DB"/>
    <w:rsid w:val="1D1F7468"/>
    <w:rsid w:val="1D27639D"/>
    <w:rsid w:val="1D2B6519"/>
    <w:rsid w:val="1D3229EE"/>
    <w:rsid w:val="1D3A0BD7"/>
    <w:rsid w:val="1D513285"/>
    <w:rsid w:val="1D5203C8"/>
    <w:rsid w:val="1D62262C"/>
    <w:rsid w:val="1D685099"/>
    <w:rsid w:val="1D6D7F7B"/>
    <w:rsid w:val="1D743A81"/>
    <w:rsid w:val="1D867B76"/>
    <w:rsid w:val="1D9037AA"/>
    <w:rsid w:val="1D9348F5"/>
    <w:rsid w:val="1D945002"/>
    <w:rsid w:val="1D9C776A"/>
    <w:rsid w:val="1D9F5BDD"/>
    <w:rsid w:val="1D9F7DE4"/>
    <w:rsid w:val="1DA56460"/>
    <w:rsid w:val="1DAD23A8"/>
    <w:rsid w:val="1DB14CC1"/>
    <w:rsid w:val="1DB65A41"/>
    <w:rsid w:val="1DC073C7"/>
    <w:rsid w:val="1DCE234B"/>
    <w:rsid w:val="1DD00012"/>
    <w:rsid w:val="1DDA269D"/>
    <w:rsid w:val="1DE4445C"/>
    <w:rsid w:val="1DEB6EE0"/>
    <w:rsid w:val="1DEB79FE"/>
    <w:rsid w:val="1DEE6D77"/>
    <w:rsid w:val="1DF40329"/>
    <w:rsid w:val="1DF86A59"/>
    <w:rsid w:val="1DFC7EA1"/>
    <w:rsid w:val="1E001FE9"/>
    <w:rsid w:val="1E080830"/>
    <w:rsid w:val="1E0943D8"/>
    <w:rsid w:val="1E0B7B87"/>
    <w:rsid w:val="1E1648F5"/>
    <w:rsid w:val="1E18387C"/>
    <w:rsid w:val="1E1D1B78"/>
    <w:rsid w:val="1E296155"/>
    <w:rsid w:val="1E2B3094"/>
    <w:rsid w:val="1E2F27EB"/>
    <w:rsid w:val="1E354CFC"/>
    <w:rsid w:val="1E3647A7"/>
    <w:rsid w:val="1E3F5E5E"/>
    <w:rsid w:val="1E4D0816"/>
    <w:rsid w:val="1E51098E"/>
    <w:rsid w:val="1E5D2DA7"/>
    <w:rsid w:val="1E6175B6"/>
    <w:rsid w:val="1E695A11"/>
    <w:rsid w:val="1E6A391E"/>
    <w:rsid w:val="1E6B6542"/>
    <w:rsid w:val="1E6C1BE2"/>
    <w:rsid w:val="1E6C357A"/>
    <w:rsid w:val="1E6F72E8"/>
    <w:rsid w:val="1E70467F"/>
    <w:rsid w:val="1E7D6683"/>
    <w:rsid w:val="1E7F25ED"/>
    <w:rsid w:val="1E811726"/>
    <w:rsid w:val="1E83357F"/>
    <w:rsid w:val="1E8B7EEB"/>
    <w:rsid w:val="1E8D165A"/>
    <w:rsid w:val="1E930D10"/>
    <w:rsid w:val="1EA178BE"/>
    <w:rsid w:val="1EA21779"/>
    <w:rsid w:val="1EA23685"/>
    <w:rsid w:val="1EAC29F8"/>
    <w:rsid w:val="1EAF35D8"/>
    <w:rsid w:val="1EB0583F"/>
    <w:rsid w:val="1EB100C4"/>
    <w:rsid w:val="1EB351FA"/>
    <w:rsid w:val="1EB93AAD"/>
    <w:rsid w:val="1EC1685F"/>
    <w:rsid w:val="1EC426E3"/>
    <w:rsid w:val="1EC60227"/>
    <w:rsid w:val="1ED17430"/>
    <w:rsid w:val="1EDE5C10"/>
    <w:rsid w:val="1EDF0901"/>
    <w:rsid w:val="1EFD4A4C"/>
    <w:rsid w:val="1F0567C7"/>
    <w:rsid w:val="1F0B6903"/>
    <w:rsid w:val="1F104BE9"/>
    <w:rsid w:val="1F213840"/>
    <w:rsid w:val="1F233F27"/>
    <w:rsid w:val="1F2919E6"/>
    <w:rsid w:val="1F4452A4"/>
    <w:rsid w:val="1F62669B"/>
    <w:rsid w:val="1F6B132D"/>
    <w:rsid w:val="1F6F1AEE"/>
    <w:rsid w:val="1F6F712F"/>
    <w:rsid w:val="1F706A90"/>
    <w:rsid w:val="1F720962"/>
    <w:rsid w:val="1F74666E"/>
    <w:rsid w:val="1F7526D8"/>
    <w:rsid w:val="1F7C3795"/>
    <w:rsid w:val="1F7D0D65"/>
    <w:rsid w:val="1F7D62C2"/>
    <w:rsid w:val="1F7E4B62"/>
    <w:rsid w:val="1F8201A0"/>
    <w:rsid w:val="1F867513"/>
    <w:rsid w:val="1F876B71"/>
    <w:rsid w:val="1F87709D"/>
    <w:rsid w:val="1F8A5497"/>
    <w:rsid w:val="1F93066B"/>
    <w:rsid w:val="1FAA1744"/>
    <w:rsid w:val="1FAD20B3"/>
    <w:rsid w:val="1FAE38F9"/>
    <w:rsid w:val="1FB243A6"/>
    <w:rsid w:val="1FC12982"/>
    <w:rsid w:val="1FC64B6D"/>
    <w:rsid w:val="1FE41C79"/>
    <w:rsid w:val="1FE66EFB"/>
    <w:rsid w:val="1FE726CD"/>
    <w:rsid w:val="1FEE153F"/>
    <w:rsid w:val="1FF74CDA"/>
    <w:rsid w:val="1FF74E5A"/>
    <w:rsid w:val="20042D24"/>
    <w:rsid w:val="20061DC2"/>
    <w:rsid w:val="202B3251"/>
    <w:rsid w:val="202E6FBA"/>
    <w:rsid w:val="2032798C"/>
    <w:rsid w:val="20377E85"/>
    <w:rsid w:val="203B0FE8"/>
    <w:rsid w:val="203F14D5"/>
    <w:rsid w:val="20444C4C"/>
    <w:rsid w:val="20467342"/>
    <w:rsid w:val="20533479"/>
    <w:rsid w:val="206263F2"/>
    <w:rsid w:val="206A5167"/>
    <w:rsid w:val="20812D02"/>
    <w:rsid w:val="208D73AC"/>
    <w:rsid w:val="20916FF0"/>
    <w:rsid w:val="209641CD"/>
    <w:rsid w:val="209C66A3"/>
    <w:rsid w:val="20A554F8"/>
    <w:rsid w:val="20AD2290"/>
    <w:rsid w:val="20B6296C"/>
    <w:rsid w:val="20BB7F3A"/>
    <w:rsid w:val="20BE71DE"/>
    <w:rsid w:val="20C23DF4"/>
    <w:rsid w:val="20C728F5"/>
    <w:rsid w:val="20CD6D34"/>
    <w:rsid w:val="20D641A2"/>
    <w:rsid w:val="20DD7460"/>
    <w:rsid w:val="20DE3A58"/>
    <w:rsid w:val="20E63232"/>
    <w:rsid w:val="20EB79C3"/>
    <w:rsid w:val="20ED2E3B"/>
    <w:rsid w:val="20ED45B3"/>
    <w:rsid w:val="20F24314"/>
    <w:rsid w:val="20F34FDE"/>
    <w:rsid w:val="20F40A2B"/>
    <w:rsid w:val="20FB77FB"/>
    <w:rsid w:val="21007A6D"/>
    <w:rsid w:val="21010A26"/>
    <w:rsid w:val="210A4179"/>
    <w:rsid w:val="212231E0"/>
    <w:rsid w:val="212C02D1"/>
    <w:rsid w:val="212D1EDF"/>
    <w:rsid w:val="213777E2"/>
    <w:rsid w:val="213C309C"/>
    <w:rsid w:val="213C6C03"/>
    <w:rsid w:val="21430C50"/>
    <w:rsid w:val="21543503"/>
    <w:rsid w:val="21570B90"/>
    <w:rsid w:val="215B4F51"/>
    <w:rsid w:val="216B42FD"/>
    <w:rsid w:val="216E68FF"/>
    <w:rsid w:val="217526D1"/>
    <w:rsid w:val="21785754"/>
    <w:rsid w:val="217A1833"/>
    <w:rsid w:val="218021FE"/>
    <w:rsid w:val="2181444F"/>
    <w:rsid w:val="218317DD"/>
    <w:rsid w:val="219218C3"/>
    <w:rsid w:val="219653F3"/>
    <w:rsid w:val="219C65D4"/>
    <w:rsid w:val="21A62EFC"/>
    <w:rsid w:val="21AA1648"/>
    <w:rsid w:val="21C66EF1"/>
    <w:rsid w:val="21C85E67"/>
    <w:rsid w:val="21CA0DEA"/>
    <w:rsid w:val="21CA6F89"/>
    <w:rsid w:val="21D621C3"/>
    <w:rsid w:val="21DE78D1"/>
    <w:rsid w:val="21E360B3"/>
    <w:rsid w:val="21F03154"/>
    <w:rsid w:val="21F23A6F"/>
    <w:rsid w:val="21FB3B5A"/>
    <w:rsid w:val="21FC4C80"/>
    <w:rsid w:val="21FD0480"/>
    <w:rsid w:val="22005373"/>
    <w:rsid w:val="22024B80"/>
    <w:rsid w:val="220760CE"/>
    <w:rsid w:val="22087BAC"/>
    <w:rsid w:val="22094653"/>
    <w:rsid w:val="220A1CF8"/>
    <w:rsid w:val="22123072"/>
    <w:rsid w:val="22186BF2"/>
    <w:rsid w:val="2219299E"/>
    <w:rsid w:val="221A5F44"/>
    <w:rsid w:val="221D16C6"/>
    <w:rsid w:val="222950C3"/>
    <w:rsid w:val="22323157"/>
    <w:rsid w:val="22350BC0"/>
    <w:rsid w:val="22354C18"/>
    <w:rsid w:val="223B74B1"/>
    <w:rsid w:val="224227B0"/>
    <w:rsid w:val="225D72CA"/>
    <w:rsid w:val="22664495"/>
    <w:rsid w:val="226A19CA"/>
    <w:rsid w:val="226C18F4"/>
    <w:rsid w:val="226D00D9"/>
    <w:rsid w:val="226E20BC"/>
    <w:rsid w:val="227878DB"/>
    <w:rsid w:val="228713BE"/>
    <w:rsid w:val="228A2669"/>
    <w:rsid w:val="22916CEC"/>
    <w:rsid w:val="22AF3239"/>
    <w:rsid w:val="22AF786B"/>
    <w:rsid w:val="22B17825"/>
    <w:rsid w:val="22B80E2E"/>
    <w:rsid w:val="22C2274E"/>
    <w:rsid w:val="22CF106E"/>
    <w:rsid w:val="22D13A06"/>
    <w:rsid w:val="22DD7C41"/>
    <w:rsid w:val="22EA6610"/>
    <w:rsid w:val="22EB3F25"/>
    <w:rsid w:val="22EE33F6"/>
    <w:rsid w:val="22F500D0"/>
    <w:rsid w:val="22F552A6"/>
    <w:rsid w:val="22FE24D2"/>
    <w:rsid w:val="23041D54"/>
    <w:rsid w:val="23076EF8"/>
    <w:rsid w:val="23107D3B"/>
    <w:rsid w:val="23242407"/>
    <w:rsid w:val="2329591E"/>
    <w:rsid w:val="232D7C76"/>
    <w:rsid w:val="233610E2"/>
    <w:rsid w:val="2337162F"/>
    <w:rsid w:val="23385C75"/>
    <w:rsid w:val="233A6629"/>
    <w:rsid w:val="233C73D4"/>
    <w:rsid w:val="23401DCD"/>
    <w:rsid w:val="2340254A"/>
    <w:rsid w:val="2346130A"/>
    <w:rsid w:val="23571FC5"/>
    <w:rsid w:val="23594026"/>
    <w:rsid w:val="235C7A64"/>
    <w:rsid w:val="2369215A"/>
    <w:rsid w:val="236C130A"/>
    <w:rsid w:val="236E71E4"/>
    <w:rsid w:val="23720F3A"/>
    <w:rsid w:val="237968C7"/>
    <w:rsid w:val="237C71B9"/>
    <w:rsid w:val="23812754"/>
    <w:rsid w:val="2389111F"/>
    <w:rsid w:val="2398647F"/>
    <w:rsid w:val="239E14AE"/>
    <w:rsid w:val="23A34B92"/>
    <w:rsid w:val="23AB60E4"/>
    <w:rsid w:val="23AB6F5A"/>
    <w:rsid w:val="23AC372F"/>
    <w:rsid w:val="23AC38EE"/>
    <w:rsid w:val="23BC03C7"/>
    <w:rsid w:val="23C34FD4"/>
    <w:rsid w:val="23C84D74"/>
    <w:rsid w:val="23CE6AAE"/>
    <w:rsid w:val="23CE7A3D"/>
    <w:rsid w:val="23D14E12"/>
    <w:rsid w:val="23D7676F"/>
    <w:rsid w:val="23DC20EE"/>
    <w:rsid w:val="23DE343F"/>
    <w:rsid w:val="23E33C27"/>
    <w:rsid w:val="23E74059"/>
    <w:rsid w:val="23E817B4"/>
    <w:rsid w:val="23EB12B0"/>
    <w:rsid w:val="23FA3C08"/>
    <w:rsid w:val="24092CFD"/>
    <w:rsid w:val="240C106C"/>
    <w:rsid w:val="240E168A"/>
    <w:rsid w:val="240F3E3E"/>
    <w:rsid w:val="24234505"/>
    <w:rsid w:val="242A1B0E"/>
    <w:rsid w:val="243039CE"/>
    <w:rsid w:val="24325DC5"/>
    <w:rsid w:val="243522C9"/>
    <w:rsid w:val="24385D52"/>
    <w:rsid w:val="244114FD"/>
    <w:rsid w:val="244145B2"/>
    <w:rsid w:val="244744D4"/>
    <w:rsid w:val="244B3FB2"/>
    <w:rsid w:val="244D0C15"/>
    <w:rsid w:val="2450244B"/>
    <w:rsid w:val="245C4A33"/>
    <w:rsid w:val="246D7A5E"/>
    <w:rsid w:val="24830021"/>
    <w:rsid w:val="2486286D"/>
    <w:rsid w:val="24865029"/>
    <w:rsid w:val="24875C6D"/>
    <w:rsid w:val="249823ED"/>
    <w:rsid w:val="249E526B"/>
    <w:rsid w:val="24A265B9"/>
    <w:rsid w:val="24A71060"/>
    <w:rsid w:val="24A97572"/>
    <w:rsid w:val="24AC4AAF"/>
    <w:rsid w:val="24AE5DD7"/>
    <w:rsid w:val="24C55222"/>
    <w:rsid w:val="24C62902"/>
    <w:rsid w:val="24C66FEA"/>
    <w:rsid w:val="24C90B91"/>
    <w:rsid w:val="24CA3EA4"/>
    <w:rsid w:val="24CE6A03"/>
    <w:rsid w:val="24D10F7B"/>
    <w:rsid w:val="24E257FB"/>
    <w:rsid w:val="24E47105"/>
    <w:rsid w:val="24F35C81"/>
    <w:rsid w:val="24FA5B7B"/>
    <w:rsid w:val="25014084"/>
    <w:rsid w:val="250535E4"/>
    <w:rsid w:val="251551EF"/>
    <w:rsid w:val="25167060"/>
    <w:rsid w:val="251F53BE"/>
    <w:rsid w:val="25354E1C"/>
    <w:rsid w:val="253C20A0"/>
    <w:rsid w:val="253D7FDC"/>
    <w:rsid w:val="253E256E"/>
    <w:rsid w:val="2541682B"/>
    <w:rsid w:val="25423D52"/>
    <w:rsid w:val="25550340"/>
    <w:rsid w:val="25556000"/>
    <w:rsid w:val="25592D08"/>
    <w:rsid w:val="255F2A34"/>
    <w:rsid w:val="25857337"/>
    <w:rsid w:val="25863573"/>
    <w:rsid w:val="25883C07"/>
    <w:rsid w:val="25925B71"/>
    <w:rsid w:val="259317ED"/>
    <w:rsid w:val="25937148"/>
    <w:rsid w:val="259729BE"/>
    <w:rsid w:val="25AA6A3B"/>
    <w:rsid w:val="25AA78E5"/>
    <w:rsid w:val="25AB3FCB"/>
    <w:rsid w:val="25AC53DF"/>
    <w:rsid w:val="25AD7944"/>
    <w:rsid w:val="25B0160E"/>
    <w:rsid w:val="25BB66CE"/>
    <w:rsid w:val="25BC50BB"/>
    <w:rsid w:val="25BF7E91"/>
    <w:rsid w:val="25CF4A88"/>
    <w:rsid w:val="25D1629B"/>
    <w:rsid w:val="25DB402F"/>
    <w:rsid w:val="25E215DF"/>
    <w:rsid w:val="25E27AA1"/>
    <w:rsid w:val="25EA4056"/>
    <w:rsid w:val="260A460A"/>
    <w:rsid w:val="26182673"/>
    <w:rsid w:val="26195806"/>
    <w:rsid w:val="26213B0B"/>
    <w:rsid w:val="26303CFF"/>
    <w:rsid w:val="26306721"/>
    <w:rsid w:val="263409F0"/>
    <w:rsid w:val="263A7983"/>
    <w:rsid w:val="263D2324"/>
    <w:rsid w:val="263E1350"/>
    <w:rsid w:val="26413E4E"/>
    <w:rsid w:val="264447C9"/>
    <w:rsid w:val="264D3B9A"/>
    <w:rsid w:val="26697514"/>
    <w:rsid w:val="26705AB6"/>
    <w:rsid w:val="2672355B"/>
    <w:rsid w:val="26760DB2"/>
    <w:rsid w:val="267E3E2E"/>
    <w:rsid w:val="268214DA"/>
    <w:rsid w:val="26935497"/>
    <w:rsid w:val="2699547D"/>
    <w:rsid w:val="269A6178"/>
    <w:rsid w:val="26A36550"/>
    <w:rsid w:val="26AD0E2B"/>
    <w:rsid w:val="26B00C3A"/>
    <w:rsid w:val="26B4366B"/>
    <w:rsid w:val="26B71DFC"/>
    <w:rsid w:val="26BF2E68"/>
    <w:rsid w:val="26CC6B7F"/>
    <w:rsid w:val="26CC7FBA"/>
    <w:rsid w:val="26D27B5F"/>
    <w:rsid w:val="26D93BE3"/>
    <w:rsid w:val="26E144B3"/>
    <w:rsid w:val="26F33CE3"/>
    <w:rsid w:val="26F72A35"/>
    <w:rsid w:val="26F94E18"/>
    <w:rsid w:val="26FF4EF4"/>
    <w:rsid w:val="270449B2"/>
    <w:rsid w:val="270A4894"/>
    <w:rsid w:val="27115303"/>
    <w:rsid w:val="271963FE"/>
    <w:rsid w:val="271B7118"/>
    <w:rsid w:val="27297BCE"/>
    <w:rsid w:val="272C3DA5"/>
    <w:rsid w:val="273F42BD"/>
    <w:rsid w:val="27490F77"/>
    <w:rsid w:val="275E7A1E"/>
    <w:rsid w:val="276718DD"/>
    <w:rsid w:val="27704DA1"/>
    <w:rsid w:val="27785311"/>
    <w:rsid w:val="27857005"/>
    <w:rsid w:val="278963C4"/>
    <w:rsid w:val="27945020"/>
    <w:rsid w:val="279D5D18"/>
    <w:rsid w:val="27A065AD"/>
    <w:rsid w:val="27BB0DCD"/>
    <w:rsid w:val="27C82D8B"/>
    <w:rsid w:val="27CD2E0A"/>
    <w:rsid w:val="27D771FE"/>
    <w:rsid w:val="27DD755E"/>
    <w:rsid w:val="27DE38A3"/>
    <w:rsid w:val="27EA27E9"/>
    <w:rsid w:val="27F35A17"/>
    <w:rsid w:val="280558B7"/>
    <w:rsid w:val="281478BD"/>
    <w:rsid w:val="28253144"/>
    <w:rsid w:val="282B11C1"/>
    <w:rsid w:val="282D0530"/>
    <w:rsid w:val="28302631"/>
    <w:rsid w:val="28364A94"/>
    <w:rsid w:val="2837295A"/>
    <w:rsid w:val="283A3EB1"/>
    <w:rsid w:val="283D0F3C"/>
    <w:rsid w:val="28444E70"/>
    <w:rsid w:val="284A1812"/>
    <w:rsid w:val="28525FE8"/>
    <w:rsid w:val="285C5455"/>
    <w:rsid w:val="285D4405"/>
    <w:rsid w:val="28792B81"/>
    <w:rsid w:val="287C31AA"/>
    <w:rsid w:val="288C372A"/>
    <w:rsid w:val="288E3D15"/>
    <w:rsid w:val="2890780C"/>
    <w:rsid w:val="2899432F"/>
    <w:rsid w:val="289A4435"/>
    <w:rsid w:val="28AC542B"/>
    <w:rsid w:val="28C06737"/>
    <w:rsid w:val="28C34677"/>
    <w:rsid w:val="28C41A8E"/>
    <w:rsid w:val="28CE7232"/>
    <w:rsid w:val="28D15273"/>
    <w:rsid w:val="28D92E75"/>
    <w:rsid w:val="28E45880"/>
    <w:rsid w:val="28ED6DDA"/>
    <w:rsid w:val="28F329CC"/>
    <w:rsid w:val="28F84D1C"/>
    <w:rsid w:val="28FC66B0"/>
    <w:rsid w:val="29046050"/>
    <w:rsid w:val="29117B39"/>
    <w:rsid w:val="29127048"/>
    <w:rsid w:val="291C7A0F"/>
    <w:rsid w:val="292D6CEE"/>
    <w:rsid w:val="29303B0B"/>
    <w:rsid w:val="2931425F"/>
    <w:rsid w:val="2934096B"/>
    <w:rsid w:val="293C7869"/>
    <w:rsid w:val="293E613B"/>
    <w:rsid w:val="294259CD"/>
    <w:rsid w:val="29464761"/>
    <w:rsid w:val="29505060"/>
    <w:rsid w:val="29565122"/>
    <w:rsid w:val="29566B3B"/>
    <w:rsid w:val="29606C74"/>
    <w:rsid w:val="29627538"/>
    <w:rsid w:val="296329C8"/>
    <w:rsid w:val="29671644"/>
    <w:rsid w:val="296B32FB"/>
    <w:rsid w:val="2974266B"/>
    <w:rsid w:val="298D3B86"/>
    <w:rsid w:val="298F2205"/>
    <w:rsid w:val="29956588"/>
    <w:rsid w:val="299D2EBD"/>
    <w:rsid w:val="29A0631D"/>
    <w:rsid w:val="29A81AD6"/>
    <w:rsid w:val="29C1773C"/>
    <w:rsid w:val="29C26225"/>
    <w:rsid w:val="29C37A18"/>
    <w:rsid w:val="29C62310"/>
    <w:rsid w:val="29CD3593"/>
    <w:rsid w:val="29D33736"/>
    <w:rsid w:val="29DE214E"/>
    <w:rsid w:val="29F24F59"/>
    <w:rsid w:val="29FC516B"/>
    <w:rsid w:val="29FF7168"/>
    <w:rsid w:val="2A044366"/>
    <w:rsid w:val="2A117161"/>
    <w:rsid w:val="2A124C8C"/>
    <w:rsid w:val="2A1E0AC9"/>
    <w:rsid w:val="2A1F633C"/>
    <w:rsid w:val="2A316D2E"/>
    <w:rsid w:val="2A354E85"/>
    <w:rsid w:val="2A3B06B9"/>
    <w:rsid w:val="2A4A2A3B"/>
    <w:rsid w:val="2A4F6172"/>
    <w:rsid w:val="2A52794A"/>
    <w:rsid w:val="2A5418C0"/>
    <w:rsid w:val="2A55413C"/>
    <w:rsid w:val="2A5F316F"/>
    <w:rsid w:val="2A6E162B"/>
    <w:rsid w:val="2A711CBC"/>
    <w:rsid w:val="2A717A22"/>
    <w:rsid w:val="2A865BB6"/>
    <w:rsid w:val="2A8B3D1C"/>
    <w:rsid w:val="2A9F0AAE"/>
    <w:rsid w:val="2AA659FA"/>
    <w:rsid w:val="2AB42C00"/>
    <w:rsid w:val="2AB47A9B"/>
    <w:rsid w:val="2AC50A01"/>
    <w:rsid w:val="2AD46B95"/>
    <w:rsid w:val="2AD53E16"/>
    <w:rsid w:val="2AD601D8"/>
    <w:rsid w:val="2AD64833"/>
    <w:rsid w:val="2AD723AC"/>
    <w:rsid w:val="2AD85B0B"/>
    <w:rsid w:val="2AE47C17"/>
    <w:rsid w:val="2AEC30C3"/>
    <w:rsid w:val="2AF821AD"/>
    <w:rsid w:val="2B05165C"/>
    <w:rsid w:val="2B120725"/>
    <w:rsid w:val="2B20628E"/>
    <w:rsid w:val="2B343F25"/>
    <w:rsid w:val="2B3B5ECC"/>
    <w:rsid w:val="2B3F6E46"/>
    <w:rsid w:val="2B47194C"/>
    <w:rsid w:val="2B4F270E"/>
    <w:rsid w:val="2B512C85"/>
    <w:rsid w:val="2B54703C"/>
    <w:rsid w:val="2B692BB5"/>
    <w:rsid w:val="2B7279F1"/>
    <w:rsid w:val="2B86232F"/>
    <w:rsid w:val="2B963149"/>
    <w:rsid w:val="2B9960C9"/>
    <w:rsid w:val="2BA05138"/>
    <w:rsid w:val="2BA06176"/>
    <w:rsid w:val="2BA26F25"/>
    <w:rsid w:val="2BA64185"/>
    <w:rsid w:val="2BA64F32"/>
    <w:rsid w:val="2BB1244E"/>
    <w:rsid w:val="2BB337B9"/>
    <w:rsid w:val="2BD327C9"/>
    <w:rsid w:val="2BD36075"/>
    <w:rsid w:val="2BDC64AF"/>
    <w:rsid w:val="2BE71B83"/>
    <w:rsid w:val="2BEA7870"/>
    <w:rsid w:val="2BEE5B99"/>
    <w:rsid w:val="2BF203BA"/>
    <w:rsid w:val="2BF6038F"/>
    <w:rsid w:val="2BFC1A46"/>
    <w:rsid w:val="2C0B424A"/>
    <w:rsid w:val="2C0D2DB1"/>
    <w:rsid w:val="2C11487E"/>
    <w:rsid w:val="2C213862"/>
    <w:rsid w:val="2C2848E6"/>
    <w:rsid w:val="2C2A6CCD"/>
    <w:rsid w:val="2C2C58C8"/>
    <w:rsid w:val="2C2C76F0"/>
    <w:rsid w:val="2C3237D2"/>
    <w:rsid w:val="2C350680"/>
    <w:rsid w:val="2C3A16DB"/>
    <w:rsid w:val="2C3F4575"/>
    <w:rsid w:val="2C406850"/>
    <w:rsid w:val="2C4460CD"/>
    <w:rsid w:val="2C4B0DDB"/>
    <w:rsid w:val="2C4E4C65"/>
    <w:rsid w:val="2C5052B6"/>
    <w:rsid w:val="2C541627"/>
    <w:rsid w:val="2C590E51"/>
    <w:rsid w:val="2C6B46E5"/>
    <w:rsid w:val="2C6C4295"/>
    <w:rsid w:val="2C7466F4"/>
    <w:rsid w:val="2C7F40F5"/>
    <w:rsid w:val="2C824BCF"/>
    <w:rsid w:val="2C9339E3"/>
    <w:rsid w:val="2C983C21"/>
    <w:rsid w:val="2C9B6465"/>
    <w:rsid w:val="2C9F53A7"/>
    <w:rsid w:val="2CAE46B4"/>
    <w:rsid w:val="2CAF048B"/>
    <w:rsid w:val="2CB41888"/>
    <w:rsid w:val="2CBF234B"/>
    <w:rsid w:val="2CC34AD2"/>
    <w:rsid w:val="2CD4747A"/>
    <w:rsid w:val="2CF26227"/>
    <w:rsid w:val="2D003231"/>
    <w:rsid w:val="2D01669F"/>
    <w:rsid w:val="2D2A0942"/>
    <w:rsid w:val="2D2C2778"/>
    <w:rsid w:val="2D314ED1"/>
    <w:rsid w:val="2D323A9C"/>
    <w:rsid w:val="2D3A3085"/>
    <w:rsid w:val="2D3B4AEF"/>
    <w:rsid w:val="2D4158B4"/>
    <w:rsid w:val="2D421A82"/>
    <w:rsid w:val="2D462D61"/>
    <w:rsid w:val="2D4C033B"/>
    <w:rsid w:val="2D5935D7"/>
    <w:rsid w:val="2D5B1A3A"/>
    <w:rsid w:val="2D5C0DB7"/>
    <w:rsid w:val="2D6A728D"/>
    <w:rsid w:val="2D736254"/>
    <w:rsid w:val="2D7761E9"/>
    <w:rsid w:val="2D797BB8"/>
    <w:rsid w:val="2D7E3858"/>
    <w:rsid w:val="2D8530A8"/>
    <w:rsid w:val="2D8A62FC"/>
    <w:rsid w:val="2D8D7E86"/>
    <w:rsid w:val="2D9E6369"/>
    <w:rsid w:val="2D9F5665"/>
    <w:rsid w:val="2DAB0339"/>
    <w:rsid w:val="2DB23AF3"/>
    <w:rsid w:val="2DBD379F"/>
    <w:rsid w:val="2DE056DF"/>
    <w:rsid w:val="2DE2591B"/>
    <w:rsid w:val="2DE65156"/>
    <w:rsid w:val="2DE95E12"/>
    <w:rsid w:val="2DEC28D1"/>
    <w:rsid w:val="2DED13B1"/>
    <w:rsid w:val="2DF356F5"/>
    <w:rsid w:val="2DF83F06"/>
    <w:rsid w:val="2DFB2E8C"/>
    <w:rsid w:val="2E047A09"/>
    <w:rsid w:val="2E051382"/>
    <w:rsid w:val="2E0C43CE"/>
    <w:rsid w:val="2E0E483B"/>
    <w:rsid w:val="2E114545"/>
    <w:rsid w:val="2E13525A"/>
    <w:rsid w:val="2E2B487A"/>
    <w:rsid w:val="2E2D0AC8"/>
    <w:rsid w:val="2E43187B"/>
    <w:rsid w:val="2E4B0A57"/>
    <w:rsid w:val="2E4E11F2"/>
    <w:rsid w:val="2E546FDF"/>
    <w:rsid w:val="2E587D7E"/>
    <w:rsid w:val="2E5A1AF1"/>
    <w:rsid w:val="2E6014CF"/>
    <w:rsid w:val="2E734032"/>
    <w:rsid w:val="2E7456AE"/>
    <w:rsid w:val="2E790539"/>
    <w:rsid w:val="2E79405A"/>
    <w:rsid w:val="2E7A28D6"/>
    <w:rsid w:val="2E83684A"/>
    <w:rsid w:val="2E880B23"/>
    <w:rsid w:val="2E8E4DD7"/>
    <w:rsid w:val="2E8F074E"/>
    <w:rsid w:val="2E9242AD"/>
    <w:rsid w:val="2E9A6B6F"/>
    <w:rsid w:val="2E9C384D"/>
    <w:rsid w:val="2EA144B8"/>
    <w:rsid w:val="2EAD6581"/>
    <w:rsid w:val="2EB66FE5"/>
    <w:rsid w:val="2EB9601C"/>
    <w:rsid w:val="2EC16703"/>
    <w:rsid w:val="2ECA09C2"/>
    <w:rsid w:val="2ECE0B05"/>
    <w:rsid w:val="2EDC0632"/>
    <w:rsid w:val="2EDD0F31"/>
    <w:rsid w:val="2EE559A4"/>
    <w:rsid w:val="2EF94AAD"/>
    <w:rsid w:val="2EFB11E4"/>
    <w:rsid w:val="2EFB6A9F"/>
    <w:rsid w:val="2F0271C5"/>
    <w:rsid w:val="2F027DF6"/>
    <w:rsid w:val="2F0319CA"/>
    <w:rsid w:val="2F05262E"/>
    <w:rsid w:val="2F052BB2"/>
    <w:rsid w:val="2F0B7EC3"/>
    <w:rsid w:val="2F0E5F00"/>
    <w:rsid w:val="2F1638E7"/>
    <w:rsid w:val="2F1A2BF8"/>
    <w:rsid w:val="2F216BC2"/>
    <w:rsid w:val="2F237CAC"/>
    <w:rsid w:val="2F406C7B"/>
    <w:rsid w:val="2F454A82"/>
    <w:rsid w:val="2F472CA2"/>
    <w:rsid w:val="2F4B256A"/>
    <w:rsid w:val="2F595375"/>
    <w:rsid w:val="2F6F1BE1"/>
    <w:rsid w:val="2F7F5165"/>
    <w:rsid w:val="2F807996"/>
    <w:rsid w:val="2F8145EB"/>
    <w:rsid w:val="2F8D7A49"/>
    <w:rsid w:val="2F936215"/>
    <w:rsid w:val="2F940E76"/>
    <w:rsid w:val="2F9B12D1"/>
    <w:rsid w:val="2FA96FB2"/>
    <w:rsid w:val="2FB0107E"/>
    <w:rsid w:val="2FB613B8"/>
    <w:rsid w:val="2FB930A4"/>
    <w:rsid w:val="2FC208DC"/>
    <w:rsid w:val="2FC40981"/>
    <w:rsid w:val="2FC63646"/>
    <w:rsid w:val="2FDF0D04"/>
    <w:rsid w:val="2FEA0686"/>
    <w:rsid w:val="2FF3210F"/>
    <w:rsid w:val="2FFD373E"/>
    <w:rsid w:val="30033857"/>
    <w:rsid w:val="300D468D"/>
    <w:rsid w:val="301038A9"/>
    <w:rsid w:val="301376D8"/>
    <w:rsid w:val="30140901"/>
    <w:rsid w:val="3014116B"/>
    <w:rsid w:val="3015421A"/>
    <w:rsid w:val="30167AFA"/>
    <w:rsid w:val="30210E74"/>
    <w:rsid w:val="30236E3E"/>
    <w:rsid w:val="302637A1"/>
    <w:rsid w:val="30274185"/>
    <w:rsid w:val="30295247"/>
    <w:rsid w:val="30381F14"/>
    <w:rsid w:val="303B0742"/>
    <w:rsid w:val="3041192C"/>
    <w:rsid w:val="30451FCE"/>
    <w:rsid w:val="3047231E"/>
    <w:rsid w:val="30492F5D"/>
    <w:rsid w:val="304B4C10"/>
    <w:rsid w:val="304D2800"/>
    <w:rsid w:val="304E74F2"/>
    <w:rsid w:val="304F439B"/>
    <w:rsid w:val="305879F4"/>
    <w:rsid w:val="305A399C"/>
    <w:rsid w:val="306303DE"/>
    <w:rsid w:val="3069005D"/>
    <w:rsid w:val="30746965"/>
    <w:rsid w:val="3076526D"/>
    <w:rsid w:val="307E425D"/>
    <w:rsid w:val="308214A4"/>
    <w:rsid w:val="3086454B"/>
    <w:rsid w:val="308923DD"/>
    <w:rsid w:val="308C0B81"/>
    <w:rsid w:val="308D5799"/>
    <w:rsid w:val="309812BA"/>
    <w:rsid w:val="30A664E4"/>
    <w:rsid w:val="30B06378"/>
    <w:rsid w:val="30B821FA"/>
    <w:rsid w:val="30BC3D82"/>
    <w:rsid w:val="30C548D0"/>
    <w:rsid w:val="30E07076"/>
    <w:rsid w:val="30E25D43"/>
    <w:rsid w:val="30EA1511"/>
    <w:rsid w:val="30EC090A"/>
    <w:rsid w:val="30F84135"/>
    <w:rsid w:val="30FC5727"/>
    <w:rsid w:val="30FD6425"/>
    <w:rsid w:val="31011FD6"/>
    <w:rsid w:val="31016C0C"/>
    <w:rsid w:val="31066017"/>
    <w:rsid w:val="310E178D"/>
    <w:rsid w:val="310E6EC1"/>
    <w:rsid w:val="310F399A"/>
    <w:rsid w:val="312C0F32"/>
    <w:rsid w:val="31470214"/>
    <w:rsid w:val="31480509"/>
    <w:rsid w:val="3148160C"/>
    <w:rsid w:val="314C2FD6"/>
    <w:rsid w:val="31502618"/>
    <w:rsid w:val="315D779E"/>
    <w:rsid w:val="315E05BF"/>
    <w:rsid w:val="315F4DFA"/>
    <w:rsid w:val="31624B87"/>
    <w:rsid w:val="31624E50"/>
    <w:rsid w:val="31666DA3"/>
    <w:rsid w:val="31682231"/>
    <w:rsid w:val="316F3C48"/>
    <w:rsid w:val="317E0577"/>
    <w:rsid w:val="317F7C85"/>
    <w:rsid w:val="31986CFB"/>
    <w:rsid w:val="319A03C8"/>
    <w:rsid w:val="31A126E3"/>
    <w:rsid w:val="31A31E06"/>
    <w:rsid w:val="31B26571"/>
    <w:rsid w:val="31B966FE"/>
    <w:rsid w:val="31D0740C"/>
    <w:rsid w:val="31DD5554"/>
    <w:rsid w:val="31DF61BF"/>
    <w:rsid w:val="31E0710F"/>
    <w:rsid w:val="31EA7588"/>
    <w:rsid w:val="31EC29FB"/>
    <w:rsid w:val="31F63C64"/>
    <w:rsid w:val="3211107A"/>
    <w:rsid w:val="32177272"/>
    <w:rsid w:val="321E1E58"/>
    <w:rsid w:val="321F62C6"/>
    <w:rsid w:val="322A5FCC"/>
    <w:rsid w:val="322D0A81"/>
    <w:rsid w:val="32372BBF"/>
    <w:rsid w:val="32564721"/>
    <w:rsid w:val="325670F2"/>
    <w:rsid w:val="325724B6"/>
    <w:rsid w:val="32635AD9"/>
    <w:rsid w:val="32664B30"/>
    <w:rsid w:val="32692B8B"/>
    <w:rsid w:val="326C663C"/>
    <w:rsid w:val="326E7EE2"/>
    <w:rsid w:val="32736CA7"/>
    <w:rsid w:val="327469B8"/>
    <w:rsid w:val="32790A72"/>
    <w:rsid w:val="327F4EED"/>
    <w:rsid w:val="32867847"/>
    <w:rsid w:val="329E6301"/>
    <w:rsid w:val="32A14689"/>
    <w:rsid w:val="32A90939"/>
    <w:rsid w:val="32BD3D6F"/>
    <w:rsid w:val="32C17C5E"/>
    <w:rsid w:val="32C26132"/>
    <w:rsid w:val="32C5246F"/>
    <w:rsid w:val="32CC21C3"/>
    <w:rsid w:val="32D7621A"/>
    <w:rsid w:val="32DF5D45"/>
    <w:rsid w:val="32E01DA8"/>
    <w:rsid w:val="32F22ADE"/>
    <w:rsid w:val="32F368AF"/>
    <w:rsid w:val="32F36BD3"/>
    <w:rsid w:val="32F41FB5"/>
    <w:rsid w:val="32FB715E"/>
    <w:rsid w:val="32FC281B"/>
    <w:rsid w:val="32FE031D"/>
    <w:rsid w:val="32FE78B8"/>
    <w:rsid w:val="33044058"/>
    <w:rsid w:val="33085C89"/>
    <w:rsid w:val="331964CE"/>
    <w:rsid w:val="331B1D5D"/>
    <w:rsid w:val="332A6575"/>
    <w:rsid w:val="33330665"/>
    <w:rsid w:val="333B1AC9"/>
    <w:rsid w:val="334F423C"/>
    <w:rsid w:val="33504127"/>
    <w:rsid w:val="33534583"/>
    <w:rsid w:val="3356567E"/>
    <w:rsid w:val="3369225E"/>
    <w:rsid w:val="336C78E3"/>
    <w:rsid w:val="33726A2C"/>
    <w:rsid w:val="337621AE"/>
    <w:rsid w:val="33826F6C"/>
    <w:rsid w:val="338B79AB"/>
    <w:rsid w:val="33991B0C"/>
    <w:rsid w:val="339D62E2"/>
    <w:rsid w:val="33A125C1"/>
    <w:rsid w:val="33A27C47"/>
    <w:rsid w:val="33AC4AC5"/>
    <w:rsid w:val="33B020B2"/>
    <w:rsid w:val="33B603F7"/>
    <w:rsid w:val="33BB34D6"/>
    <w:rsid w:val="33C11B97"/>
    <w:rsid w:val="33C70D96"/>
    <w:rsid w:val="33CE0570"/>
    <w:rsid w:val="33CE68E9"/>
    <w:rsid w:val="33DB69A8"/>
    <w:rsid w:val="33DF539B"/>
    <w:rsid w:val="33E1587D"/>
    <w:rsid w:val="33E578E7"/>
    <w:rsid w:val="33E7741C"/>
    <w:rsid w:val="33E82030"/>
    <w:rsid w:val="33E93F2B"/>
    <w:rsid w:val="33FC64FE"/>
    <w:rsid w:val="3402501B"/>
    <w:rsid w:val="340944F7"/>
    <w:rsid w:val="34102FF8"/>
    <w:rsid w:val="3416241F"/>
    <w:rsid w:val="341D1302"/>
    <w:rsid w:val="34255492"/>
    <w:rsid w:val="34275F4E"/>
    <w:rsid w:val="34286542"/>
    <w:rsid w:val="34290E98"/>
    <w:rsid w:val="343B305D"/>
    <w:rsid w:val="343F3ADC"/>
    <w:rsid w:val="344E13C5"/>
    <w:rsid w:val="3459263E"/>
    <w:rsid w:val="345B2125"/>
    <w:rsid w:val="34645260"/>
    <w:rsid w:val="3465297E"/>
    <w:rsid w:val="34680358"/>
    <w:rsid w:val="3471046B"/>
    <w:rsid w:val="34767803"/>
    <w:rsid w:val="348C4FF2"/>
    <w:rsid w:val="349F3D57"/>
    <w:rsid w:val="34B048D4"/>
    <w:rsid w:val="34B64B5D"/>
    <w:rsid w:val="34CB2CE7"/>
    <w:rsid w:val="34D87A17"/>
    <w:rsid w:val="34DB16BC"/>
    <w:rsid w:val="34E178E8"/>
    <w:rsid w:val="34E21CC3"/>
    <w:rsid w:val="34E43775"/>
    <w:rsid w:val="34F02E1A"/>
    <w:rsid w:val="34F300D3"/>
    <w:rsid w:val="34F91C39"/>
    <w:rsid w:val="34FC5C17"/>
    <w:rsid w:val="35115208"/>
    <w:rsid w:val="35142200"/>
    <w:rsid w:val="351629EC"/>
    <w:rsid w:val="351E0551"/>
    <w:rsid w:val="351E562C"/>
    <w:rsid w:val="352354C7"/>
    <w:rsid w:val="353F11B3"/>
    <w:rsid w:val="35552B6E"/>
    <w:rsid w:val="35596E9C"/>
    <w:rsid w:val="355A5B1E"/>
    <w:rsid w:val="35732DFE"/>
    <w:rsid w:val="35765866"/>
    <w:rsid w:val="3577309B"/>
    <w:rsid w:val="358068E7"/>
    <w:rsid w:val="35820F40"/>
    <w:rsid w:val="35920101"/>
    <w:rsid w:val="359321CF"/>
    <w:rsid w:val="35955D53"/>
    <w:rsid w:val="359A0DE5"/>
    <w:rsid w:val="35A407F5"/>
    <w:rsid w:val="35B679A2"/>
    <w:rsid w:val="35BB100A"/>
    <w:rsid w:val="35BB2173"/>
    <w:rsid w:val="35BC6BE3"/>
    <w:rsid w:val="35BD3679"/>
    <w:rsid w:val="35C2491B"/>
    <w:rsid w:val="35D1749E"/>
    <w:rsid w:val="35D934B8"/>
    <w:rsid w:val="35DC758A"/>
    <w:rsid w:val="35ED3C97"/>
    <w:rsid w:val="35EF6D34"/>
    <w:rsid w:val="35F90256"/>
    <w:rsid w:val="35FE70F5"/>
    <w:rsid w:val="35FF388E"/>
    <w:rsid w:val="360504CC"/>
    <w:rsid w:val="3607011D"/>
    <w:rsid w:val="36086080"/>
    <w:rsid w:val="360A0FB4"/>
    <w:rsid w:val="360E1CD9"/>
    <w:rsid w:val="36100940"/>
    <w:rsid w:val="36182239"/>
    <w:rsid w:val="36231D3B"/>
    <w:rsid w:val="3627042D"/>
    <w:rsid w:val="36314D9F"/>
    <w:rsid w:val="363D4C36"/>
    <w:rsid w:val="364F5579"/>
    <w:rsid w:val="3652033B"/>
    <w:rsid w:val="36616BD3"/>
    <w:rsid w:val="36651057"/>
    <w:rsid w:val="36682717"/>
    <w:rsid w:val="366D783D"/>
    <w:rsid w:val="367108D6"/>
    <w:rsid w:val="368D6F44"/>
    <w:rsid w:val="36916AD4"/>
    <w:rsid w:val="36973A4F"/>
    <w:rsid w:val="36AF375E"/>
    <w:rsid w:val="36AF3AC7"/>
    <w:rsid w:val="36B000A1"/>
    <w:rsid w:val="36C913D2"/>
    <w:rsid w:val="36CA6DDD"/>
    <w:rsid w:val="36CD5A0D"/>
    <w:rsid w:val="36CF3D4C"/>
    <w:rsid w:val="36D130D1"/>
    <w:rsid w:val="36D533A6"/>
    <w:rsid w:val="36DE1738"/>
    <w:rsid w:val="36E01018"/>
    <w:rsid w:val="36E31EAA"/>
    <w:rsid w:val="36EC7FA7"/>
    <w:rsid w:val="36ED5C77"/>
    <w:rsid w:val="36EE38D7"/>
    <w:rsid w:val="36F87E8E"/>
    <w:rsid w:val="36FB698B"/>
    <w:rsid w:val="36FD6768"/>
    <w:rsid w:val="370E7746"/>
    <w:rsid w:val="370F7356"/>
    <w:rsid w:val="371266F8"/>
    <w:rsid w:val="3715025A"/>
    <w:rsid w:val="37181268"/>
    <w:rsid w:val="371F3E89"/>
    <w:rsid w:val="371F4813"/>
    <w:rsid w:val="37342ED3"/>
    <w:rsid w:val="37350BA2"/>
    <w:rsid w:val="373C7223"/>
    <w:rsid w:val="37496C07"/>
    <w:rsid w:val="374B6765"/>
    <w:rsid w:val="37553417"/>
    <w:rsid w:val="37581E72"/>
    <w:rsid w:val="375F3DED"/>
    <w:rsid w:val="3761509D"/>
    <w:rsid w:val="3763526A"/>
    <w:rsid w:val="376801DB"/>
    <w:rsid w:val="376F3B2C"/>
    <w:rsid w:val="377C4093"/>
    <w:rsid w:val="378B60DF"/>
    <w:rsid w:val="378C74CA"/>
    <w:rsid w:val="3793504E"/>
    <w:rsid w:val="37964C76"/>
    <w:rsid w:val="37966146"/>
    <w:rsid w:val="379F0959"/>
    <w:rsid w:val="37A7676E"/>
    <w:rsid w:val="37AB1B02"/>
    <w:rsid w:val="37AC2422"/>
    <w:rsid w:val="37B05C6A"/>
    <w:rsid w:val="37C22DAE"/>
    <w:rsid w:val="37C654B7"/>
    <w:rsid w:val="37CF43F9"/>
    <w:rsid w:val="37D05EFE"/>
    <w:rsid w:val="37D1103F"/>
    <w:rsid w:val="37EB6524"/>
    <w:rsid w:val="37F323D4"/>
    <w:rsid w:val="37F93CAC"/>
    <w:rsid w:val="37FC49E1"/>
    <w:rsid w:val="380C3408"/>
    <w:rsid w:val="38151A98"/>
    <w:rsid w:val="38176973"/>
    <w:rsid w:val="38182156"/>
    <w:rsid w:val="381B1314"/>
    <w:rsid w:val="382B656F"/>
    <w:rsid w:val="382E4597"/>
    <w:rsid w:val="383002D8"/>
    <w:rsid w:val="383B5D90"/>
    <w:rsid w:val="384B12DD"/>
    <w:rsid w:val="38697260"/>
    <w:rsid w:val="386A72AA"/>
    <w:rsid w:val="386B308B"/>
    <w:rsid w:val="386F5614"/>
    <w:rsid w:val="387050B3"/>
    <w:rsid w:val="38721BC8"/>
    <w:rsid w:val="387D3439"/>
    <w:rsid w:val="38840759"/>
    <w:rsid w:val="38905713"/>
    <w:rsid w:val="38974940"/>
    <w:rsid w:val="38986E44"/>
    <w:rsid w:val="38A05584"/>
    <w:rsid w:val="38A22E4B"/>
    <w:rsid w:val="38A914F0"/>
    <w:rsid w:val="38A934CF"/>
    <w:rsid w:val="38B857F6"/>
    <w:rsid w:val="38B87F66"/>
    <w:rsid w:val="38B90C10"/>
    <w:rsid w:val="38BE0EB8"/>
    <w:rsid w:val="38BE35AF"/>
    <w:rsid w:val="38C74A71"/>
    <w:rsid w:val="38D25F55"/>
    <w:rsid w:val="38D5292E"/>
    <w:rsid w:val="38D75F5F"/>
    <w:rsid w:val="38D908A4"/>
    <w:rsid w:val="38DF5DAF"/>
    <w:rsid w:val="38E33992"/>
    <w:rsid w:val="38F2474F"/>
    <w:rsid w:val="38F43D6C"/>
    <w:rsid w:val="38FF3894"/>
    <w:rsid w:val="38FF4ECA"/>
    <w:rsid w:val="39036EFA"/>
    <w:rsid w:val="390F6837"/>
    <w:rsid w:val="39122360"/>
    <w:rsid w:val="391465E5"/>
    <w:rsid w:val="391573CF"/>
    <w:rsid w:val="391F6771"/>
    <w:rsid w:val="39341872"/>
    <w:rsid w:val="39375A7A"/>
    <w:rsid w:val="393F3DD8"/>
    <w:rsid w:val="394266EE"/>
    <w:rsid w:val="394848DD"/>
    <w:rsid w:val="394F516E"/>
    <w:rsid w:val="394F6410"/>
    <w:rsid w:val="39530AF7"/>
    <w:rsid w:val="395E73A6"/>
    <w:rsid w:val="395F0093"/>
    <w:rsid w:val="39614B5F"/>
    <w:rsid w:val="396A429A"/>
    <w:rsid w:val="39747E60"/>
    <w:rsid w:val="397E482F"/>
    <w:rsid w:val="39894321"/>
    <w:rsid w:val="39A0659F"/>
    <w:rsid w:val="39A461FA"/>
    <w:rsid w:val="39A520BF"/>
    <w:rsid w:val="39A83F89"/>
    <w:rsid w:val="39B2678C"/>
    <w:rsid w:val="39B859DB"/>
    <w:rsid w:val="39BB635D"/>
    <w:rsid w:val="39BD0C7B"/>
    <w:rsid w:val="39C23212"/>
    <w:rsid w:val="39C25540"/>
    <w:rsid w:val="39C84CFD"/>
    <w:rsid w:val="39D3015B"/>
    <w:rsid w:val="39E439F1"/>
    <w:rsid w:val="39E54B29"/>
    <w:rsid w:val="39EC61B7"/>
    <w:rsid w:val="39EF3A5F"/>
    <w:rsid w:val="3A050026"/>
    <w:rsid w:val="3A143577"/>
    <w:rsid w:val="3A1A274F"/>
    <w:rsid w:val="3A1F698B"/>
    <w:rsid w:val="3A257209"/>
    <w:rsid w:val="3A2C3BA1"/>
    <w:rsid w:val="3A2E082A"/>
    <w:rsid w:val="3A34005A"/>
    <w:rsid w:val="3A363485"/>
    <w:rsid w:val="3A374953"/>
    <w:rsid w:val="3A490C15"/>
    <w:rsid w:val="3A4A1D13"/>
    <w:rsid w:val="3A4B3DD6"/>
    <w:rsid w:val="3A4C7E9D"/>
    <w:rsid w:val="3A4F40D8"/>
    <w:rsid w:val="3A556A85"/>
    <w:rsid w:val="3A5A05C6"/>
    <w:rsid w:val="3A5A4715"/>
    <w:rsid w:val="3A5B3E64"/>
    <w:rsid w:val="3A5B4275"/>
    <w:rsid w:val="3A69516E"/>
    <w:rsid w:val="3A6A7A8A"/>
    <w:rsid w:val="3A6F3057"/>
    <w:rsid w:val="3A7326EF"/>
    <w:rsid w:val="3A7B1863"/>
    <w:rsid w:val="3A7B719C"/>
    <w:rsid w:val="3A7E73B9"/>
    <w:rsid w:val="3A803259"/>
    <w:rsid w:val="3A8E4844"/>
    <w:rsid w:val="3A905EBD"/>
    <w:rsid w:val="3A95419A"/>
    <w:rsid w:val="3AB50F7C"/>
    <w:rsid w:val="3AB67B23"/>
    <w:rsid w:val="3ABE41B9"/>
    <w:rsid w:val="3AC11A49"/>
    <w:rsid w:val="3AC1643A"/>
    <w:rsid w:val="3AC52EAD"/>
    <w:rsid w:val="3AD00EF5"/>
    <w:rsid w:val="3AE2708D"/>
    <w:rsid w:val="3AE65B86"/>
    <w:rsid w:val="3AF57DBD"/>
    <w:rsid w:val="3AFA5F76"/>
    <w:rsid w:val="3AFF5346"/>
    <w:rsid w:val="3B027D0F"/>
    <w:rsid w:val="3B1432C9"/>
    <w:rsid w:val="3B157E6B"/>
    <w:rsid w:val="3B1626F7"/>
    <w:rsid w:val="3B214766"/>
    <w:rsid w:val="3B226C32"/>
    <w:rsid w:val="3B2A660E"/>
    <w:rsid w:val="3B2E55C5"/>
    <w:rsid w:val="3B3258C9"/>
    <w:rsid w:val="3B3606ED"/>
    <w:rsid w:val="3B3655F5"/>
    <w:rsid w:val="3B4F65CB"/>
    <w:rsid w:val="3B5E5CC4"/>
    <w:rsid w:val="3B69159C"/>
    <w:rsid w:val="3B846A38"/>
    <w:rsid w:val="3B846CF9"/>
    <w:rsid w:val="3B8709CC"/>
    <w:rsid w:val="3B870C5B"/>
    <w:rsid w:val="3B872643"/>
    <w:rsid w:val="3B8A21C4"/>
    <w:rsid w:val="3B902910"/>
    <w:rsid w:val="3B9506D2"/>
    <w:rsid w:val="3B95412C"/>
    <w:rsid w:val="3B9558F0"/>
    <w:rsid w:val="3B9804DB"/>
    <w:rsid w:val="3B990A11"/>
    <w:rsid w:val="3BA65F7E"/>
    <w:rsid w:val="3BC11CF6"/>
    <w:rsid w:val="3BC259A3"/>
    <w:rsid w:val="3BD938CA"/>
    <w:rsid w:val="3BDA7D0D"/>
    <w:rsid w:val="3BE36252"/>
    <w:rsid w:val="3BE67251"/>
    <w:rsid w:val="3BEF5EE8"/>
    <w:rsid w:val="3BF33562"/>
    <w:rsid w:val="3BFD7DC3"/>
    <w:rsid w:val="3C09054A"/>
    <w:rsid w:val="3C0D4E65"/>
    <w:rsid w:val="3C1149D8"/>
    <w:rsid w:val="3C166972"/>
    <w:rsid w:val="3C202A20"/>
    <w:rsid w:val="3C2833BA"/>
    <w:rsid w:val="3C2E51D5"/>
    <w:rsid w:val="3C41734C"/>
    <w:rsid w:val="3C464D6B"/>
    <w:rsid w:val="3C6449BD"/>
    <w:rsid w:val="3C6532DE"/>
    <w:rsid w:val="3C6708C0"/>
    <w:rsid w:val="3C6E5961"/>
    <w:rsid w:val="3C6F2550"/>
    <w:rsid w:val="3C7349C7"/>
    <w:rsid w:val="3C7F134D"/>
    <w:rsid w:val="3C817089"/>
    <w:rsid w:val="3C844399"/>
    <w:rsid w:val="3C9D4E4F"/>
    <w:rsid w:val="3CAD2DE1"/>
    <w:rsid w:val="3CB83424"/>
    <w:rsid w:val="3CBE172A"/>
    <w:rsid w:val="3CBF431C"/>
    <w:rsid w:val="3CC25961"/>
    <w:rsid w:val="3CC665A3"/>
    <w:rsid w:val="3CCE0D2A"/>
    <w:rsid w:val="3CCE6625"/>
    <w:rsid w:val="3CD325F7"/>
    <w:rsid w:val="3CD35857"/>
    <w:rsid w:val="3CE848E2"/>
    <w:rsid w:val="3CEC76C2"/>
    <w:rsid w:val="3CF17C19"/>
    <w:rsid w:val="3CF224AB"/>
    <w:rsid w:val="3CF23491"/>
    <w:rsid w:val="3CF958F0"/>
    <w:rsid w:val="3D007150"/>
    <w:rsid w:val="3D022962"/>
    <w:rsid w:val="3D023982"/>
    <w:rsid w:val="3D0C06F3"/>
    <w:rsid w:val="3D0D4869"/>
    <w:rsid w:val="3D100FF5"/>
    <w:rsid w:val="3D181946"/>
    <w:rsid w:val="3D1838C1"/>
    <w:rsid w:val="3D364899"/>
    <w:rsid w:val="3D3B3909"/>
    <w:rsid w:val="3D45197C"/>
    <w:rsid w:val="3D455C24"/>
    <w:rsid w:val="3D48038D"/>
    <w:rsid w:val="3D503237"/>
    <w:rsid w:val="3D586459"/>
    <w:rsid w:val="3D600652"/>
    <w:rsid w:val="3D6236FF"/>
    <w:rsid w:val="3D682EA6"/>
    <w:rsid w:val="3D693687"/>
    <w:rsid w:val="3D700EC1"/>
    <w:rsid w:val="3D7A6167"/>
    <w:rsid w:val="3D7B4438"/>
    <w:rsid w:val="3D8018C8"/>
    <w:rsid w:val="3D8374A7"/>
    <w:rsid w:val="3D8C51AE"/>
    <w:rsid w:val="3D8E01DB"/>
    <w:rsid w:val="3D8E7C39"/>
    <w:rsid w:val="3D933CC5"/>
    <w:rsid w:val="3DA317FF"/>
    <w:rsid w:val="3DAD7D12"/>
    <w:rsid w:val="3DB32A55"/>
    <w:rsid w:val="3DBA5689"/>
    <w:rsid w:val="3DC93A88"/>
    <w:rsid w:val="3DCA2362"/>
    <w:rsid w:val="3DCE1F4F"/>
    <w:rsid w:val="3DE356E6"/>
    <w:rsid w:val="3DEC5AED"/>
    <w:rsid w:val="3DF62CA9"/>
    <w:rsid w:val="3DFF26A0"/>
    <w:rsid w:val="3DFF5B7A"/>
    <w:rsid w:val="3E0100F1"/>
    <w:rsid w:val="3E036F60"/>
    <w:rsid w:val="3E037A42"/>
    <w:rsid w:val="3E04305F"/>
    <w:rsid w:val="3E081DF5"/>
    <w:rsid w:val="3E0D3F97"/>
    <w:rsid w:val="3E12732A"/>
    <w:rsid w:val="3E152D8E"/>
    <w:rsid w:val="3E154F5C"/>
    <w:rsid w:val="3E166981"/>
    <w:rsid w:val="3E18512F"/>
    <w:rsid w:val="3E1C1468"/>
    <w:rsid w:val="3E2737D2"/>
    <w:rsid w:val="3E357855"/>
    <w:rsid w:val="3E395E0A"/>
    <w:rsid w:val="3E4D5D01"/>
    <w:rsid w:val="3E53315E"/>
    <w:rsid w:val="3E5B3AFF"/>
    <w:rsid w:val="3E5B5509"/>
    <w:rsid w:val="3E5C0122"/>
    <w:rsid w:val="3E5E1415"/>
    <w:rsid w:val="3E6008EA"/>
    <w:rsid w:val="3E8E0C6B"/>
    <w:rsid w:val="3E8E78D8"/>
    <w:rsid w:val="3E934964"/>
    <w:rsid w:val="3E9413D6"/>
    <w:rsid w:val="3E983C93"/>
    <w:rsid w:val="3EA43E88"/>
    <w:rsid w:val="3EA75B2D"/>
    <w:rsid w:val="3EA85EC0"/>
    <w:rsid w:val="3EAA232D"/>
    <w:rsid w:val="3EAB7827"/>
    <w:rsid w:val="3EB156C1"/>
    <w:rsid w:val="3EB17BD2"/>
    <w:rsid w:val="3EB555D7"/>
    <w:rsid w:val="3EB7114B"/>
    <w:rsid w:val="3EC676D7"/>
    <w:rsid w:val="3EDC2FDA"/>
    <w:rsid w:val="3EDF425E"/>
    <w:rsid w:val="3EE46707"/>
    <w:rsid w:val="3EEA2A35"/>
    <w:rsid w:val="3EEB4649"/>
    <w:rsid w:val="3EF754E6"/>
    <w:rsid w:val="3F064E8B"/>
    <w:rsid w:val="3F0D5219"/>
    <w:rsid w:val="3F1166FF"/>
    <w:rsid w:val="3F127F48"/>
    <w:rsid w:val="3F18788A"/>
    <w:rsid w:val="3F1B4B4B"/>
    <w:rsid w:val="3F1E70A6"/>
    <w:rsid w:val="3F2155D6"/>
    <w:rsid w:val="3F270430"/>
    <w:rsid w:val="3F2938B6"/>
    <w:rsid w:val="3F2A2794"/>
    <w:rsid w:val="3F361EFE"/>
    <w:rsid w:val="3F362EE9"/>
    <w:rsid w:val="3F376B3B"/>
    <w:rsid w:val="3F3D1780"/>
    <w:rsid w:val="3F44575E"/>
    <w:rsid w:val="3F473F64"/>
    <w:rsid w:val="3F4F7DDD"/>
    <w:rsid w:val="3F6115CB"/>
    <w:rsid w:val="3F6C6587"/>
    <w:rsid w:val="3F794A4E"/>
    <w:rsid w:val="3F942C07"/>
    <w:rsid w:val="3F9558F9"/>
    <w:rsid w:val="3F9A1077"/>
    <w:rsid w:val="3FA37836"/>
    <w:rsid w:val="3FA81900"/>
    <w:rsid w:val="3FAE09EF"/>
    <w:rsid w:val="3FB94DFF"/>
    <w:rsid w:val="3FBC0222"/>
    <w:rsid w:val="3FC44E95"/>
    <w:rsid w:val="3FC55528"/>
    <w:rsid w:val="3FCB0F07"/>
    <w:rsid w:val="3FCD41A9"/>
    <w:rsid w:val="3FD1299D"/>
    <w:rsid w:val="3FD63F5E"/>
    <w:rsid w:val="3FD749D0"/>
    <w:rsid w:val="3FE87B6E"/>
    <w:rsid w:val="3FEA5AC5"/>
    <w:rsid w:val="3FED6245"/>
    <w:rsid w:val="3FEE586D"/>
    <w:rsid w:val="3FF23ADB"/>
    <w:rsid w:val="3FF365E0"/>
    <w:rsid w:val="3FFE6048"/>
    <w:rsid w:val="40024F8A"/>
    <w:rsid w:val="4017736A"/>
    <w:rsid w:val="4021608C"/>
    <w:rsid w:val="402D1CC6"/>
    <w:rsid w:val="40362803"/>
    <w:rsid w:val="403E53DC"/>
    <w:rsid w:val="4040565B"/>
    <w:rsid w:val="404E1581"/>
    <w:rsid w:val="405175D4"/>
    <w:rsid w:val="405B26D5"/>
    <w:rsid w:val="405B6687"/>
    <w:rsid w:val="405D0F43"/>
    <w:rsid w:val="40631AE5"/>
    <w:rsid w:val="406A74D8"/>
    <w:rsid w:val="406D55FE"/>
    <w:rsid w:val="407B1B90"/>
    <w:rsid w:val="407F5380"/>
    <w:rsid w:val="4091726C"/>
    <w:rsid w:val="40942A29"/>
    <w:rsid w:val="40951F75"/>
    <w:rsid w:val="409568A5"/>
    <w:rsid w:val="409C3561"/>
    <w:rsid w:val="409C4D97"/>
    <w:rsid w:val="409D290E"/>
    <w:rsid w:val="409D53B5"/>
    <w:rsid w:val="409E5CAE"/>
    <w:rsid w:val="40AF0E3D"/>
    <w:rsid w:val="40BA0C9F"/>
    <w:rsid w:val="40BA420A"/>
    <w:rsid w:val="40C053BB"/>
    <w:rsid w:val="40C90F4F"/>
    <w:rsid w:val="40DA59C7"/>
    <w:rsid w:val="40DB4847"/>
    <w:rsid w:val="40DF0815"/>
    <w:rsid w:val="40E21767"/>
    <w:rsid w:val="40E643D1"/>
    <w:rsid w:val="40EA1182"/>
    <w:rsid w:val="40F92070"/>
    <w:rsid w:val="41022EEA"/>
    <w:rsid w:val="410B1A4D"/>
    <w:rsid w:val="411153C9"/>
    <w:rsid w:val="41202E5E"/>
    <w:rsid w:val="41213C83"/>
    <w:rsid w:val="41364030"/>
    <w:rsid w:val="413829E5"/>
    <w:rsid w:val="4146787C"/>
    <w:rsid w:val="414853F9"/>
    <w:rsid w:val="4151715B"/>
    <w:rsid w:val="41576BB4"/>
    <w:rsid w:val="4160465E"/>
    <w:rsid w:val="41613DEA"/>
    <w:rsid w:val="41696C0C"/>
    <w:rsid w:val="417B2B65"/>
    <w:rsid w:val="417D020B"/>
    <w:rsid w:val="417D284F"/>
    <w:rsid w:val="417D458E"/>
    <w:rsid w:val="417F31BC"/>
    <w:rsid w:val="41865964"/>
    <w:rsid w:val="41905D70"/>
    <w:rsid w:val="41911EE5"/>
    <w:rsid w:val="41961003"/>
    <w:rsid w:val="41984DC1"/>
    <w:rsid w:val="419E0158"/>
    <w:rsid w:val="41B13279"/>
    <w:rsid w:val="41B227D5"/>
    <w:rsid w:val="41B372BE"/>
    <w:rsid w:val="41C11283"/>
    <w:rsid w:val="41D851C2"/>
    <w:rsid w:val="41DA1467"/>
    <w:rsid w:val="41DB4A74"/>
    <w:rsid w:val="41DB5B8A"/>
    <w:rsid w:val="41E4577F"/>
    <w:rsid w:val="41EB5D2F"/>
    <w:rsid w:val="41F9486D"/>
    <w:rsid w:val="41FC1869"/>
    <w:rsid w:val="41FC489E"/>
    <w:rsid w:val="41FE6B29"/>
    <w:rsid w:val="42036727"/>
    <w:rsid w:val="4204028A"/>
    <w:rsid w:val="42041AD6"/>
    <w:rsid w:val="42047C63"/>
    <w:rsid w:val="420545F9"/>
    <w:rsid w:val="4213059E"/>
    <w:rsid w:val="42162BB0"/>
    <w:rsid w:val="422175FD"/>
    <w:rsid w:val="42287FFC"/>
    <w:rsid w:val="422E645D"/>
    <w:rsid w:val="423E27EE"/>
    <w:rsid w:val="424F24F5"/>
    <w:rsid w:val="42527363"/>
    <w:rsid w:val="42565836"/>
    <w:rsid w:val="4256667E"/>
    <w:rsid w:val="42605573"/>
    <w:rsid w:val="42635DE1"/>
    <w:rsid w:val="42684BF6"/>
    <w:rsid w:val="426D3930"/>
    <w:rsid w:val="426D63CE"/>
    <w:rsid w:val="42710B2D"/>
    <w:rsid w:val="4285226D"/>
    <w:rsid w:val="42996C8F"/>
    <w:rsid w:val="429A63F7"/>
    <w:rsid w:val="429D7CF4"/>
    <w:rsid w:val="42A3212A"/>
    <w:rsid w:val="42AC3708"/>
    <w:rsid w:val="42B23B75"/>
    <w:rsid w:val="42B350BD"/>
    <w:rsid w:val="42BF0F6C"/>
    <w:rsid w:val="42C12337"/>
    <w:rsid w:val="42D40E59"/>
    <w:rsid w:val="42D7736A"/>
    <w:rsid w:val="42D97BC4"/>
    <w:rsid w:val="42DA54AA"/>
    <w:rsid w:val="42DF6F2B"/>
    <w:rsid w:val="42E10D69"/>
    <w:rsid w:val="42EA7D7F"/>
    <w:rsid w:val="42EC1CE5"/>
    <w:rsid w:val="42ED096F"/>
    <w:rsid w:val="4306471D"/>
    <w:rsid w:val="430A1274"/>
    <w:rsid w:val="430C0EE7"/>
    <w:rsid w:val="431E5BEF"/>
    <w:rsid w:val="431E67B7"/>
    <w:rsid w:val="431F02BE"/>
    <w:rsid w:val="43220EC8"/>
    <w:rsid w:val="43242A2C"/>
    <w:rsid w:val="432A0719"/>
    <w:rsid w:val="432C0A2B"/>
    <w:rsid w:val="434246BB"/>
    <w:rsid w:val="43431138"/>
    <w:rsid w:val="435B7FDD"/>
    <w:rsid w:val="435C5EDE"/>
    <w:rsid w:val="435F22AA"/>
    <w:rsid w:val="43740E35"/>
    <w:rsid w:val="43784CD0"/>
    <w:rsid w:val="437A225B"/>
    <w:rsid w:val="43814C28"/>
    <w:rsid w:val="439656A7"/>
    <w:rsid w:val="4399473E"/>
    <w:rsid w:val="439F583A"/>
    <w:rsid w:val="43A707C3"/>
    <w:rsid w:val="43A87E0C"/>
    <w:rsid w:val="43AC6420"/>
    <w:rsid w:val="43B0040B"/>
    <w:rsid w:val="43B53541"/>
    <w:rsid w:val="43BC6837"/>
    <w:rsid w:val="43C159E3"/>
    <w:rsid w:val="43C463E7"/>
    <w:rsid w:val="43C66B5C"/>
    <w:rsid w:val="43D10B83"/>
    <w:rsid w:val="43D2243E"/>
    <w:rsid w:val="43D960A8"/>
    <w:rsid w:val="43FC7E02"/>
    <w:rsid w:val="43FF45AA"/>
    <w:rsid w:val="44021A46"/>
    <w:rsid w:val="440479BC"/>
    <w:rsid w:val="440946D7"/>
    <w:rsid w:val="44124672"/>
    <w:rsid w:val="441C7810"/>
    <w:rsid w:val="44202D36"/>
    <w:rsid w:val="44231B07"/>
    <w:rsid w:val="442553B0"/>
    <w:rsid w:val="442E66CE"/>
    <w:rsid w:val="44452D3B"/>
    <w:rsid w:val="4446093E"/>
    <w:rsid w:val="44485144"/>
    <w:rsid w:val="444B77FA"/>
    <w:rsid w:val="4458554F"/>
    <w:rsid w:val="445E2126"/>
    <w:rsid w:val="446833AF"/>
    <w:rsid w:val="446A703D"/>
    <w:rsid w:val="446F28BC"/>
    <w:rsid w:val="44723D7E"/>
    <w:rsid w:val="447A00C6"/>
    <w:rsid w:val="447A283F"/>
    <w:rsid w:val="44990DA9"/>
    <w:rsid w:val="449E133F"/>
    <w:rsid w:val="44A05233"/>
    <w:rsid w:val="44AA17B5"/>
    <w:rsid w:val="44AF03E0"/>
    <w:rsid w:val="44B54564"/>
    <w:rsid w:val="44B67226"/>
    <w:rsid w:val="44BD0854"/>
    <w:rsid w:val="44BE7A56"/>
    <w:rsid w:val="44C15B20"/>
    <w:rsid w:val="44CB0BB4"/>
    <w:rsid w:val="44D0117E"/>
    <w:rsid w:val="44D82EB1"/>
    <w:rsid w:val="44E238BB"/>
    <w:rsid w:val="44FB4DC7"/>
    <w:rsid w:val="450740AE"/>
    <w:rsid w:val="450F6BC4"/>
    <w:rsid w:val="451760A5"/>
    <w:rsid w:val="452020CD"/>
    <w:rsid w:val="45223427"/>
    <w:rsid w:val="452B2AF8"/>
    <w:rsid w:val="452C6C96"/>
    <w:rsid w:val="452C6E20"/>
    <w:rsid w:val="45326AC0"/>
    <w:rsid w:val="4547453B"/>
    <w:rsid w:val="45483382"/>
    <w:rsid w:val="45521489"/>
    <w:rsid w:val="45547F60"/>
    <w:rsid w:val="45682733"/>
    <w:rsid w:val="45687C7F"/>
    <w:rsid w:val="456C6F04"/>
    <w:rsid w:val="456F2EF1"/>
    <w:rsid w:val="457A05EC"/>
    <w:rsid w:val="458238D2"/>
    <w:rsid w:val="45835BF2"/>
    <w:rsid w:val="45955E2C"/>
    <w:rsid w:val="45956F2C"/>
    <w:rsid w:val="45A135CD"/>
    <w:rsid w:val="45A14381"/>
    <w:rsid w:val="45A72F05"/>
    <w:rsid w:val="45AF6AF6"/>
    <w:rsid w:val="45B05865"/>
    <w:rsid w:val="45B0771F"/>
    <w:rsid w:val="45B30834"/>
    <w:rsid w:val="45B41444"/>
    <w:rsid w:val="45BB3084"/>
    <w:rsid w:val="45BE5EE3"/>
    <w:rsid w:val="45C03F5C"/>
    <w:rsid w:val="45C371A4"/>
    <w:rsid w:val="45C73E8A"/>
    <w:rsid w:val="45CA61AB"/>
    <w:rsid w:val="45CD7D22"/>
    <w:rsid w:val="45D66855"/>
    <w:rsid w:val="45D7745E"/>
    <w:rsid w:val="45D80B51"/>
    <w:rsid w:val="45DE3C36"/>
    <w:rsid w:val="45EC4496"/>
    <w:rsid w:val="45F607C2"/>
    <w:rsid w:val="45F72CA2"/>
    <w:rsid w:val="46150416"/>
    <w:rsid w:val="46157AB6"/>
    <w:rsid w:val="46180314"/>
    <w:rsid w:val="461D6B14"/>
    <w:rsid w:val="462231E6"/>
    <w:rsid w:val="462E5CC1"/>
    <w:rsid w:val="462E6243"/>
    <w:rsid w:val="462F33ED"/>
    <w:rsid w:val="46453468"/>
    <w:rsid w:val="464D0454"/>
    <w:rsid w:val="465509D5"/>
    <w:rsid w:val="46563ADC"/>
    <w:rsid w:val="4658033B"/>
    <w:rsid w:val="465A527F"/>
    <w:rsid w:val="465B0586"/>
    <w:rsid w:val="46610AB6"/>
    <w:rsid w:val="466773AB"/>
    <w:rsid w:val="466F0668"/>
    <w:rsid w:val="468E0E3B"/>
    <w:rsid w:val="469822B1"/>
    <w:rsid w:val="46A215D4"/>
    <w:rsid w:val="46A444B1"/>
    <w:rsid w:val="46AC4553"/>
    <w:rsid w:val="46AD19A5"/>
    <w:rsid w:val="46B046BF"/>
    <w:rsid w:val="46B25E50"/>
    <w:rsid w:val="46BD01D7"/>
    <w:rsid w:val="46CA5537"/>
    <w:rsid w:val="46CC784F"/>
    <w:rsid w:val="46EE1B96"/>
    <w:rsid w:val="46F27B19"/>
    <w:rsid w:val="47032A97"/>
    <w:rsid w:val="471A2EB9"/>
    <w:rsid w:val="472406AE"/>
    <w:rsid w:val="47355CEA"/>
    <w:rsid w:val="47446338"/>
    <w:rsid w:val="474E755F"/>
    <w:rsid w:val="47721FE2"/>
    <w:rsid w:val="477778E8"/>
    <w:rsid w:val="478E3E0D"/>
    <w:rsid w:val="47974DAD"/>
    <w:rsid w:val="479D11C9"/>
    <w:rsid w:val="47A10AF5"/>
    <w:rsid w:val="47A93B62"/>
    <w:rsid w:val="47AC6C58"/>
    <w:rsid w:val="47B5106C"/>
    <w:rsid w:val="47C66E30"/>
    <w:rsid w:val="47C77394"/>
    <w:rsid w:val="47CC02C4"/>
    <w:rsid w:val="47CC5C4A"/>
    <w:rsid w:val="47D300DC"/>
    <w:rsid w:val="47D42C8B"/>
    <w:rsid w:val="47D56C2F"/>
    <w:rsid w:val="47D94071"/>
    <w:rsid w:val="47F850D8"/>
    <w:rsid w:val="47FE125E"/>
    <w:rsid w:val="4800135D"/>
    <w:rsid w:val="480236F8"/>
    <w:rsid w:val="480658CB"/>
    <w:rsid w:val="480F1A28"/>
    <w:rsid w:val="48152B33"/>
    <w:rsid w:val="48163D63"/>
    <w:rsid w:val="4818344C"/>
    <w:rsid w:val="48191143"/>
    <w:rsid w:val="482C6B6E"/>
    <w:rsid w:val="483448ED"/>
    <w:rsid w:val="483D0DE2"/>
    <w:rsid w:val="4846179B"/>
    <w:rsid w:val="484734CD"/>
    <w:rsid w:val="485317D5"/>
    <w:rsid w:val="485718F9"/>
    <w:rsid w:val="487B1BD1"/>
    <w:rsid w:val="488569A1"/>
    <w:rsid w:val="489D4959"/>
    <w:rsid w:val="48A00403"/>
    <w:rsid w:val="48B94DB3"/>
    <w:rsid w:val="48BB61CC"/>
    <w:rsid w:val="48BC6A7B"/>
    <w:rsid w:val="48D306D4"/>
    <w:rsid w:val="48DA69AE"/>
    <w:rsid w:val="48DB28AC"/>
    <w:rsid w:val="48DF2D71"/>
    <w:rsid w:val="48E17721"/>
    <w:rsid w:val="48E232A7"/>
    <w:rsid w:val="48ED2605"/>
    <w:rsid w:val="48F02D39"/>
    <w:rsid w:val="490B4196"/>
    <w:rsid w:val="491C7160"/>
    <w:rsid w:val="491E43D4"/>
    <w:rsid w:val="491F7660"/>
    <w:rsid w:val="49271C2E"/>
    <w:rsid w:val="492740A7"/>
    <w:rsid w:val="492B57E0"/>
    <w:rsid w:val="492E6F0B"/>
    <w:rsid w:val="49326726"/>
    <w:rsid w:val="493F5005"/>
    <w:rsid w:val="49421934"/>
    <w:rsid w:val="494220AB"/>
    <w:rsid w:val="49427BED"/>
    <w:rsid w:val="49432270"/>
    <w:rsid w:val="495542E0"/>
    <w:rsid w:val="495835E3"/>
    <w:rsid w:val="49585C2B"/>
    <w:rsid w:val="49620812"/>
    <w:rsid w:val="496756E5"/>
    <w:rsid w:val="49815B4B"/>
    <w:rsid w:val="498610C2"/>
    <w:rsid w:val="498771A4"/>
    <w:rsid w:val="498D3804"/>
    <w:rsid w:val="498F6709"/>
    <w:rsid w:val="4994702E"/>
    <w:rsid w:val="4998373A"/>
    <w:rsid w:val="499D6169"/>
    <w:rsid w:val="49A022B6"/>
    <w:rsid w:val="49A2559A"/>
    <w:rsid w:val="49B753A7"/>
    <w:rsid w:val="49BA3D7C"/>
    <w:rsid w:val="49BA6DE9"/>
    <w:rsid w:val="49C13C58"/>
    <w:rsid w:val="49CB38B4"/>
    <w:rsid w:val="49CB678B"/>
    <w:rsid w:val="49DC0219"/>
    <w:rsid w:val="49DD447D"/>
    <w:rsid w:val="49E64973"/>
    <w:rsid w:val="49E90C9B"/>
    <w:rsid w:val="49EA27D7"/>
    <w:rsid w:val="49EE642E"/>
    <w:rsid w:val="49FC1A36"/>
    <w:rsid w:val="49FE6A65"/>
    <w:rsid w:val="49FE736E"/>
    <w:rsid w:val="49FF7946"/>
    <w:rsid w:val="4A052A8C"/>
    <w:rsid w:val="4A0920E3"/>
    <w:rsid w:val="4A187436"/>
    <w:rsid w:val="4A193D74"/>
    <w:rsid w:val="4A270DB7"/>
    <w:rsid w:val="4A363F88"/>
    <w:rsid w:val="4A385962"/>
    <w:rsid w:val="4A394A9E"/>
    <w:rsid w:val="4A395D2D"/>
    <w:rsid w:val="4A3E7870"/>
    <w:rsid w:val="4A444444"/>
    <w:rsid w:val="4A4D1437"/>
    <w:rsid w:val="4A4D4BE2"/>
    <w:rsid w:val="4A5F30D4"/>
    <w:rsid w:val="4A6126D6"/>
    <w:rsid w:val="4A612842"/>
    <w:rsid w:val="4A620436"/>
    <w:rsid w:val="4A6658B1"/>
    <w:rsid w:val="4A6B26BC"/>
    <w:rsid w:val="4A736E6A"/>
    <w:rsid w:val="4A827939"/>
    <w:rsid w:val="4A8F734F"/>
    <w:rsid w:val="4A9207E3"/>
    <w:rsid w:val="4A9D1226"/>
    <w:rsid w:val="4AA305C3"/>
    <w:rsid w:val="4AA90814"/>
    <w:rsid w:val="4AAD57A2"/>
    <w:rsid w:val="4AB86EAE"/>
    <w:rsid w:val="4ABE5EE4"/>
    <w:rsid w:val="4AC35464"/>
    <w:rsid w:val="4ACA33F6"/>
    <w:rsid w:val="4ACB2654"/>
    <w:rsid w:val="4ACB50D0"/>
    <w:rsid w:val="4ACE5E39"/>
    <w:rsid w:val="4AD55DCC"/>
    <w:rsid w:val="4AE02F54"/>
    <w:rsid w:val="4AED301B"/>
    <w:rsid w:val="4AF57E5F"/>
    <w:rsid w:val="4B002869"/>
    <w:rsid w:val="4B0553E2"/>
    <w:rsid w:val="4B07591B"/>
    <w:rsid w:val="4B0A46FD"/>
    <w:rsid w:val="4B0E3843"/>
    <w:rsid w:val="4B0F01D9"/>
    <w:rsid w:val="4B106210"/>
    <w:rsid w:val="4B14344D"/>
    <w:rsid w:val="4B182425"/>
    <w:rsid w:val="4B192105"/>
    <w:rsid w:val="4B2109DA"/>
    <w:rsid w:val="4B260404"/>
    <w:rsid w:val="4B3362AE"/>
    <w:rsid w:val="4B39034E"/>
    <w:rsid w:val="4B443689"/>
    <w:rsid w:val="4B445A6B"/>
    <w:rsid w:val="4B487FEE"/>
    <w:rsid w:val="4B4A4569"/>
    <w:rsid w:val="4B4A4ACD"/>
    <w:rsid w:val="4B527B78"/>
    <w:rsid w:val="4B5349C1"/>
    <w:rsid w:val="4B58716D"/>
    <w:rsid w:val="4B5E26A7"/>
    <w:rsid w:val="4B640C66"/>
    <w:rsid w:val="4B644BB3"/>
    <w:rsid w:val="4B662B4A"/>
    <w:rsid w:val="4B671C90"/>
    <w:rsid w:val="4B783C93"/>
    <w:rsid w:val="4B805F48"/>
    <w:rsid w:val="4B921C7E"/>
    <w:rsid w:val="4B9F3C8F"/>
    <w:rsid w:val="4BA14B38"/>
    <w:rsid w:val="4BA37D51"/>
    <w:rsid w:val="4BA55F50"/>
    <w:rsid w:val="4BB74BE2"/>
    <w:rsid w:val="4BB943FC"/>
    <w:rsid w:val="4BBF579D"/>
    <w:rsid w:val="4BC60D53"/>
    <w:rsid w:val="4BCA2AEE"/>
    <w:rsid w:val="4BD01799"/>
    <w:rsid w:val="4BD538C8"/>
    <w:rsid w:val="4BDB1E76"/>
    <w:rsid w:val="4BDB4CD1"/>
    <w:rsid w:val="4BE04540"/>
    <w:rsid w:val="4BF00DA1"/>
    <w:rsid w:val="4BF61423"/>
    <w:rsid w:val="4BF90D0F"/>
    <w:rsid w:val="4BFE76F7"/>
    <w:rsid w:val="4C032EBD"/>
    <w:rsid w:val="4C0372C3"/>
    <w:rsid w:val="4C076B79"/>
    <w:rsid w:val="4C0C7A98"/>
    <w:rsid w:val="4C195151"/>
    <w:rsid w:val="4C1A4EC2"/>
    <w:rsid w:val="4C1A655B"/>
    <w:rsid w:val="4C264111"/>
    <w:rsid w:val="4C2C30A3"/>
    <w:rsid w:val="4C32405C"/>
    <w:rsid w:val="4C3E2BC9"/>
    <w:rsid w:val="4C421D9B"/>
    <w:rsid w:val="4C471427"/>
    <w:rsid w:val="4C473C3A"/>
    <w:rsid w:val="4C5E6396"/>
    <w:rsid w:val="4C5E6B9B"/>
    <w:rsid w:val="4C674162"/>
    <w:rsid w:val="4C6F2FDF"/>
    <w:rsid w:val="4C7D7204"/>
    <w:rsid w:val="4C88618B"/>
    <w:rsid w:val="4C910FFF"/>
    <w:rsid w:val="4C941637"/>
    <w:rsid w:val="4C9917B5"/>
    <w:rsid w:val="4C9E29E1"/>
    <w:rsid w:val="4CA70511"/>
    <w:rsid w:val="4CA73291"/>
    <w:rsid w:val="4CAC6436"/>
    <w:rsid w:val="4CAE06AB"/>
    <w:rsid w:val="4CB42DF3"/>
    <w:rsid w:val="4CC105F6"/>
    <w:rsid w:val="4CC2470A"/>
    <w:rsid w:val="4CCC427F"/>
    <w:rsid w:val="4CD3588D"/>
    <w:rsid w:val="4CD87B2F"/>
    <w:rsid w:val="4CDC3E95"/>
    <w:rsid w:val="4CE238B9"/>
    <w:rsid w:val="4CE24F36"/>
    <w:rsid w:val="4CE450DD"/>
    <w:rsid w:val="4CEA446B"/>
    <w:rsid w:val="4CF02FEA"/>
    <w:rsid w:val="4CF1078E"/>
    <w:rsid w:val="4CF248A9"/>
    <w:rsid w:val="4CF74B4E"/>
    <w:rsid w:val="4CFE6B5D"/>
    <w:rsid w:val="4D102FB2"/>
    <w:rsid w:val="4D257F8A"/>
    <w:rsid w:val="4D3167DC"/>
    <w:rsid w:val="4D335875"/>
    <w:rsid w:val="4D3D4B7B"/>
    <w:rsid w:val="4D403B2F"/>
    <w:rsid w:val="4D4865D5"/>
    <w:rsid w:val="4D493F44"/>
    <w:rsid w:val="4D4B2138"/>
    <w:rsid w:val="4D4B4575"/>
    <w:rsid w:val="4D55287F"/>
    <w:rsid w:val="4D63257A"/>
    <w:rsid w:val="4D681951"/>
    <w:rsid w:val="4D7D444D"/>
    <w:rsid w:val="4D7F2ACA"/>
    <w:rsid w:val="4D805C12"/>
    <w:rsid w:val="4D836A55"/>
    <w:rsid w:val="4D847A22"/>
    <w:rsid w:val="4D856F2C"/>
    <w:rsid w:val="4D887B0A"/>
    <w:rsid w:val="4D8D2F89"/>
    <w:rsid w:val="4D996236"/>
    <w:rsid w:val="4DA70848"/>
    <w:rsid w:val="4DAB396C"/>
    <w:rsid w:val="4DB46155"/>
    <w:rsid w:val="4DB6155A"/>
    <w:rsid w:val="4DC30E49"/>
    <w:rsid w:val="4DD41851"/>
    <w:rsid w:val="4DE23822"/>
    <w:rsid w:val="4DE54D27"/>
    <w:rsid w:val="4DE56120"/>
    <w:rsid w:val="4DE7136A"/>
    <w:rsid w:val="4DF35902"/>
    <w:rsid w:val="4DF64673"/>
    <w:rsid w:val="4DF647D2"/>
    <w:rsid w:val="4DF767F0"/>
    <w:rsid w:val="4DFB41CA"/>
    <w:rsid w:val="4E0300B3"/>
    <w:rsid w:val="4E0530FA"/>
    <w:rsid w:val="4E0557E3"/>
    <w:rsid w:val="4E165DC8"/>
    <w:rsid w:val="4E177875"/>
    <w:rsid w:val="4E21621B"/>
    <w:rsid w:val="4E2401D4"/>
    <w:rsid w:val="4E2979F9"/>
    <w:rsid w:val="4E2B6A9A"/>
    <w:rsid w:val="4E2F4846"/>
    <w:rsid w:val="4E3A069B"/>
    <w:rsid w:val="4E3C68EE"/>
    <w:rsid w:val="4E482A9A"/>
    <w:rsid w:val="4E4D0C9A"/>
    <w:rsid w:val="4E4E3811"/>
    <w:rsid w:val="4E5772E3"/>
    <w:rsid w:val="4E5D0E2C"/>
    <w:rsid w:val="4E6023E4"/>
    <w:rsid w:val="4E6C5C7F"/>
    <w:rsid w:val="4E6D4C04"/>
    <w:rsid w:val="4E7C6D86"/>
    <w:rsid w:val="4E8870D0"/>
    <w:rsid w:val="4E892306"/>
    <w:rsid w:val="4E8D0403"/>
    <w:rsid w:val="4E8E278E"/>
    <w:rsid w:val="4E8F6BD1"/>
    <w:rsid w:val="4EAE01E2"/>
    <w:rsid w:val="4EAF5DD0"/>
    <w:rsid w:val="4EB1214C"/>
    <w:rsid w:val="4EB63C54"/>
    <w:rsid w:val="4EBD062C"/>
    <w:rsid w:val="4EC201C1"/>
    <w:rsid w:val="4EC66DA9"/>
    <w:rsid w:val="4ECF7D34"/>
    <w:rsid w:val="4ED87C53"/>
    <w:rsid w:val="4EDD65E0"/>
    <w:rsid w:val="4EE53D07"/>
    <w:rsid w:val="4EE87EF0"/>
    <w:rsid w:val="4EF12C35"/>
    <w:rsid w:val="4EF979A7"/>
    <w:rsid w:val="4EFB012A"/>
    <w:rsid w:val="4EFC69B3"/>
    <w:rsid w:val="4EFE1ACD"/>
    <w:rsid w:val="4F013109"/>
    <w:rsid w:val="4F063DA8"/>
    <w:rsid w:val="4F100379"/>
    <w:rsid w:val="4F142BD5"/>
    <w:rsid w:val="4F1A37B1"/>
    <w:rsid w:val="4F1C2D54"/>
    <w:rsid w:val="4F1F2546"/>
    <w:rsid w:val="4F2A6B7A"/>
    <w:rsid w:val="4F315BDB"/>
    <w:rsid w:val="4F31739D"/>
    <w:rsid w:val="4F34478A"/>
    <w:rsid w:val="4F347AFC"/>
    <w:rsid w:val="4F355D51"/>
    <w:rsid w:val="4F372B88"/>
    <w:rsid w:val="4F3855EC"/>
    <w:rsid w:val="4F3F16BE"/>
    <w:rsid w:val="4F4010A2"/>
    <w:rsid w:val="4F402E34"/>
    <w:rsid w:val="4F410742"/>
    <w:rsid w:val="4F4356D0"/>
    <w:rsid w:val="4F450FF5"/>
    <w:rsid w:val="4F63249E"/>
    <w:rsid w:val="4F68718B"/>
    <w:rsid w:val="4F6E7C15"/>
    <w:rsid w:val="4F7069DD"/>
    <w:rsid w:val="4F7559E7"/>
    <w:rsid w:val="4F76551B"/>
    <w:rsid w:val="4F812422"/>
    <w:rsid w:val="4F8F1835"/>
    <w:rsid w:val="4F9B4437"/>
    <w:rsid w:val="4F9B47DF"/>
    <w:rsid w:val="4F9F5090"/>
    <w:rsid w:val="4FA30CD7"/>
    <w:rsid w:val="4FBB4C69"/>
    <w:rsid w:val="4FBC11DC"/>
    <w:rsid w:val="4FC21944"/>
    <w:rsid w:val="4FD516E8"/>
    <w:rsid w:val="4FD653CC"/>
    <w:rsid w:val="4FDB2157"/>
    <w:rsid w:val="4FDE6FF3"/>
    <w:rsid w:val="4FE32DDC"/>
    <w:rsid w:val="4FFC73B9"/>
    <w:rsid w:val="4FFD0E78"/>
    <w:rsid w:val="50001A63"/>
    <w:rsid w:val="50113D75"/>
    <w:rsid w:val="501774B8"/>
    <w:rsid w:val="502A4136"/>
    <w:rsid w:val="502D483C"/>
    <w:rsid w:val="503353D3"/>
    <w:rsid w:val="50366BBA"/>
    <w:rsid w:val="50383E61"/>
    <w:rsid w:val="503A38C5"/>
    <w:rsid w:val="5041387B"/>
    <w:rsid w:val="504651FF"/>
    <w:rsid w:val="504D6D78"/>
    <w:rsid w:val="505002C3"/>
    <w:rsid w:val="50627BAF"/>
    <w:rsid w:val="50662795"/>
    <w:rsid w:val="506B1AF0"/>
    <w:rsid w:val="506C7A1A"/>
    <w:rsid w:val="50704ED0"/>
    <w:rsid w:val="507B0DB7"/>
    <w:rsid w:val="50817AF1"/>
    <w:rsid w:val="508516F9"/>
    <w:rsid w:val="50915A0C"/>
    <w:rsid w:val="50A464AA"/>
    <w:rsid w:val="50AD23B0"/>
    <w:rsid w:val="50AE55C3"/>
    <w:rsid w:val="50B425AF"/>
    <w:rsid w:val="50B47A2C"/>
    <w:rsid w:val="50B603C7"/>
    <w:rsid w:val="50B92B6E"/>
    <w:rsid w:val="50C1705F"/>
    <w:rsid w:val="50CC0844"/>
    <w:rsid w:val="50D25C2E"/>
    <w:rsid w:val="50DA7231"/>
    <w:rsid w:val="50E15B49"/>
    <w:rsid w:val="50E37C9B"/>
    <w:rsid w:val="50E75901"/>
    <w:rsid w:val="50E97116"/>
    <w:rsid w:val="50FE66DC"/>
    <w:rsid w:val="50FF480A"/>
    <w:rsid w:val="50FF7F4A"/>
    <w:rsid w:val="51037F17"/>
    <w:rsid w:val="510C64AC"/>
    <w:rsid w:val="51101BF2"/>
    <w:rsid w:val="51105116"/>
    <w:rsid w:val="5111768F"/>
    <w:rsid w:val="512906F2"/>
    <w:rsid w:val="51317A65"/>
    <w:rsid w:val="51326232"/>
    <w:rsid w:val="5139206D"/>
    <w:rsid w:val="513B4AF2"/>
    <w:rsid w:val="513C4750"/>
    <w:rsid w:val="51407B1A"/>
    <w:rsid w:val="5149527A"/>
    <w:rsid w:val="514A5089"/>
    <w:rsid w:val="515171CF"/>
    <w:rsid w:val="5157193C"/>
    <w:rsid w:val="515E327A"/>
    <w:rsid w:val="516E6A86"/>
    <w:rsid w:val="517247AF"/>
    <w:rsid w:val="51726610"/>
    <w:rsid w:val="517F2915"/>
    <w:rsid w:val="51862589"/>
    <w:rsid w:val="518A24FB"/>
    <w:rsid w:val="518B35E7"/>
    <w:rsid w:val="519C126A"/>
    <w:rsid w:val="519E4424"/>
    <w:rsid w:val="51A02800"/>
    <w:rsid w:val="51A111FC"/>
    <w:rsid w:val="51A6413B"/>
    <w:rsid w:val="51B223A3"/>
    <w:rsid w:val="51BB4AD0"/>
    <w:rsid w:val="51C77A84"/>
    <w:rsid w:val="51D26405"/>
    <w:rsid w:val="51D51388"/>
    <w:rsid w:val="51ED68AC"/>
    <w:rsid w:val="51FD0D4C"/>
    <w:rsid w:val="521F653A"/>
    <w:rsid w:val="52266AE5"/>
    <w:rsid w:val="52293A1E"/>
    <w:rsid w:val="522D2459"/>
    <w:rsid w:val="52315ECC"/>
    <w:rsid w:val="52324100"/>
    <w:rsid w:val="52460F5C"/>
    <w:rsid w:val="52575906"/>
    <w:rsid w:val="525837D9"/>
    <w:rsid w:val="52591371"/>
    <w:rsid w:val="525E3014"/>
    <w:rsid w:val="526A2DD1"/>
    <w:rsid w:val="526E3E19"/>
    <w:rsid w:val="52703DD0"/>
    <w:rsid w:val="52766454"/>
    <w:rsid w:val="527D0CA4"/>
    <w:rsid w:val="527F3815"/>
    <w:rsid w:val="52893E45"/>
    <w:rsid w:val="528A7D75"/>
    <w:rsid w:val="528C7D18"/>
    <w:rsid w:val="52917F93"/>
    <w:rsid w:val="529668E0"/>
    <w:rsid w:val="52972BD8"/>
    <w:rsid w:val="52A34DAE"/>
    <w:rsid w:val="52A76D24"/>
    <w:rsid w:val="52B920A8"/>
    <w:rsid w:val="52C16B03"/>
    <w:rsid w:val="52C16B4F"/>
    <w:rsid w:val="52CA7EAB"/>
    <w:rsid w:val="52DB4A6F"/>
    <w:rsid w:val="52F77125"/>
    <w:rsid w:val="52F778C4"/>
    <w:rsid w:val="530059F1"/>
    <w:rsid w:val="53054577"/>
    <w:rsid w:val="530F4F7D"/>
    <w:rsid w:val="531D1F04"/>
    <w:rsid w:val="531D4062"/>
    <w:rsid w:val="53224666"/>
    <w:rsid w:val="532473AC"/>
    <w:rsid w:val="532A7FFB"/>
    <w:rsid w:val="535A55B3"/>
    <w:rsid w:val="535B1EEF"/>
    <w:rsid w:val="536F3DED"/>
    <w:rsid w:val="53714C5B"/>
    <w:rsid w:val="53723FF5"/>
    <w:rsid w:val="53726BD9"/>
    <w:rsid w:val="537C300A"/>
    <w:rsid w:val="53863231"/>
    <w:rsid w:val="53871F2E"/>
    <w:rsid w:val="538B5CF6"/>
    <w:rsid w:val="5393106E"/>
    <w:rsid w:val="53977E04"/>
    <w:rsid w:val="5399109F"/>
    <w:rsid w:val="539D509C"/>
    <w:rsid w:val="53A0070A"/>
    <w:rsid w:val="53A31479"/>
    <w:rsid w:val="53AB5BBE"/>
    <w:rsid w:val="53AB6071"/>
    <w:rsid w:val="53B619EF"/>
    <w:rsid w:val="53B759A5"/>
    <w:rsid w:val="53B806B4"/>
    <w:rsid w:val="53B95919"/>
    <w:rsid w:val="53C07566"/>
    <w:rsid w:val="53C10BF8"/>
    <w:rsid w:val="53C30E8B"/>
    <w:rsid w:val="53C6478D"/>
    <w:rsid w:val="53D67EA1"/>
    <w:rsid w:val="53D71478"/>
    <w:rsid w:val="53D91437"/>
    <w:rsid w:val="53EF1C7A"/>
    <w:rsid w:val="53EF2D41"/>
    <w:rsid w:val="53F86182"/>
    <w:rsid w:val="53FE206C"/>
    <w:rsid w:val="53FF2529"/>
    <w:rsid w:val="54070401"/>
    <w:rsid w:val="54090A66"/>
    <w:rsid w:val="54203C82"/>
    <w:rsid w:val="5420701B"/>
    <w:rsid w:val="5422311F"/>
    <w:rsid w:val="542301F1"/>
    <w:rsid w:val="542501EC"/>
    <w:rsid w:val="54252DCC"/>
    <w:rsid w:val="54374C8C"/>
    <w:rsid w:val="543A74EE"/>
    <w:rsid w:val="543B47E8"/>
    <w:rsid w:val="54474912"/>
    <w:rsid w:val="54570270"/>
    <w:rsid w:val="545D248C"/>
    <w:rsid w:val="545F5AA8"/>
    <w:rsid w:val="546269A8"/>
    <w:rsid w:val="546433E0"/>
    <w:rsid w:val="546E1E8C"/>
    <w:rsid w:val="54753AB0"/>
    <w:rsid w:val="54793260"/>
    <w:rsid w:val="54854B76"/>
    <w:rsid w:val="54881198"/>
    <w:rsid w:val="548D4C7B"/>
    <w:rsid w:val="54956E6B"/>
    <w:rsid w:val="54963B35"/>
    <w:rsid w:val="54A00862"/>
    <w:rsid w:val="54AA43C6"/>
    <w:rsid w:val="54AB1209"/>
    <w:rsid w:val="54B345BC"/>
    <w:rsid w:val="54BC096A"/>
    <w:rsid w:val="54CF2CD2"/>
    <w:rsid w:val="54CF77A2"/>
    <w:rsid w:val="54D00708"/>
    <w:rsid w:val="54DB0CEB"/>
    <w:rsid w:val="54EC2B7C"/>
    <w:rsid w:val="54F00E33"/>
    <w:rsid w:val="54F74D08"/>
    <w:rsid w:val="54F97F07"/>
    <w:rsid w:val="55003916"/>
    <w:rsid w:val="55011238"/>
    <w:rsid w:val="550823CC"/>
    <w:rsid w:val="550D55CD"/>
    <w:rsid w:val="550E576E"/>
    <w:rsid w:val="55105DA0"/>
    <w:rsid w:val="55204732"/>
    <w:rsid w:val="5525267A"/>
    <w:rsid w:val="55284BD2"/>
    <w:rsid w:val="552A161C"/>
    <w:rsid w:val="55371589"/>
    <w:rsid w:val="55433576"/>
    <w:rsid w:val="55433ABB"/>
    <w:rsid w:val="5549012C"/>
    <w:rsid w:val="555A7A65"/>
    <w:rsid w:val="555F5978"/>
    <w:rsid w:val="55637B3C"/>
    <w:rsid w:val="55710E8C"/>
    <w:rsid w:val="558D5191"/>
    <w:rsid w:val="559053E2"/>
    <w:rsid w:val="5591380F"/>
    <w:rsid w:val="5592668D"/>
    <w:rsid w:val="55947385"/>
    <w:rsid w:val="55967874"/>
    <w:rsid w:val="55972E45"/>
    <w:rsid w:val="559958D9"/>
    <w:rsid w:val="559F1982"/>
    <w:rsid w:val="55A55501"/>
    <w:rsid w:val="55A630A1"/>
    <w:rsid w:val="55A82625"/>
    <w:rsid w:val="55AB02DA"/>
    <w:rsid w:val="55CA7220"/>
    <w:rsid w:val="55D45579"/>
    <w:rsid w:val="55D95466"/>
    <w:rsid w:val="55D97A39"/>
    <w:rsid w:val="55E83E66"/>
    <w:rsid w:val="55E84736"/>
    <w:rsid w:val="55EC4169"/>
    <w:rsid w:val="560444F9"/>
    <w:rsid w:val="56046BC3"/>
    <w:rsid w:val="56116F0B"/>
    <w:rsid w:val="56130008"/>
    <w:rsid w:val="56160308"/>
    <w:rsid w:val="56195698"/>
    <w:rsid w:val="562C1F6B"/>
    <w:rsid w:val="564D2885"/>
    <w:rsid w:val="564E3C7A"/>
    <w:rsid w:val="565302B1"/>
    <w:rsid w:val="56594156"/>
    <w:rsid w:val="56595B15"/>
    <w:rsid w:val="565B5CBA"/>
    <w:rsid w:val="56634F51"/>
    <w:rsid w:val="56644308"/>
    <w:rsid w:val="566A6CA5"/>
    <w:rsid w:val="566C38A5"/>
    <w:rsid w:val="5673680A"/>
    <w:rsid w:val="567837CC"/>
    <w:rsid w:val="56791CD8"/>
    <w:rsid w:val="568A07E6"/>
    <w:rsid w:val="56986C0A"/>
    <w:rsid w:val="569A40B1"/>
    <w:rsid w:val="56A40B28"/>
    <w:rsid w:val="56A82CD5"/>
    <w:rsid w:val="56BD3707"/>
    <w:rsid w:val="56C43B9B"/>
    <w:rsid w:val="56C5096E"/>
    <w:rsid w:val="56CF25A3"/>
    <w:rsid w:val="56D33B06"/>
    <w:rsid w:val="56D5134A"/>
    <w:rsid w:val="56D84093"/>
    <w:rsid w:val="56D876EB"/>
    <w:rsid w:val="56D9235B"/>
    <w:rsid w:val="56DC5874"/>
    <w:rsid w:val="56F829DF"/>
    <w:rsid w:val="56FC1CE0"/>
    <w:rsid w:val="56FD351B"/>
    <w:rsid w:val="56FD581F"/>
    <w:rsid w:val="57027451"/>
    <w:rsid w:val="57043239"/>
    <w:rsid w:val="57114A7F"/>
    <w:rsid w:val="572553AC"/>
    <w:rsid w:val="572E3AF3"/>
    <w:rsid w:val="573360B0"/>
    <w:rsid w:val="573C6E7E"/>
    <w:rsid w:val="5743524D"/>
    <w:rsid w:val="57442A80"/>
    <w:rsid w:val="574608D4"/>
    <w:rsid w:val="574708D4"/>
    <w:rsid w:val="57571DB7"/>
    <w:rsid w:val="57572114"/>
    <w:rsid w:val="57604777"/>
    <w:rsid w:val="577402EE"/>
    <w:rsid w:val="577768E2"/>
    <w:rsid w:val="577D3BF4"/>
    <w:rsid w:val="5781468C"/>
    <w:rsid w:val="57885274"/>
    <w:rsid w:val="578B30E4"/>
    <w:rsid w:val="578C386C"/>
    <w:rsid w:val="578D4C44"/>
    <w:rsid w:val="57910CFB"/>
    <w:rsid w:val="57AC3688"/>
    <w:rsid w:val="57AD429F"/>
    <w:rsid w:val="57B11E70"/>
    <w:rsid w:val="57B25136"/>
    <w:rsid w:val="57B417A1"/>
    <w:rsid w:val="57C032E4"/>
    <w:rsid w:val="57C71F0C"/>
    <w:rsid w:val="57CB48DF"/>
    <w:rsid w:val="57D85514"/>
    <w:rsid w:val="57DA329B"/>
    <w:rsid w:val="57E0407F"/>
    <w:rsid w:val="57E14156"/>
    <w:rsid w:val="57E60AD7"/>
    <w:rsid w:val="57F424E4"/>
    <w:rsid w:val="57F5267E"/>
    <w:rsid w:val="57FD559E"/>
    <w:rsid w:val="57FD7B9B"/>
    <w:rsid w:val="580118DA"/>
    <w:rsid w:val="58076CC8"/>
    <w:rsid w:val="580E795F"/>
    <w:rsid w:val="580F359F"/>
    <w:rsid w:val="581426F0"/>
    <w:rsid w:val="581F77F2"/>
    <w:rsid w:val="5820752E"/>
    <w:rsid w:val="582D42AE"/>
    <w:rsid w:val="582E604D"/>
    <w:rsid w:val="583138BD"/>
    <w:rsid w:val="583D1187"/>
    <w:rsid w:val="583E2809"/>
    <w:rsid w:val="58426AEB"/>
    <w:rsid w:val="5846312B"/>
    <w:rsid w:val="584C2DF0"/>
    <w:rsid w:val="584E5A71"/>
    <w:rsid w:val="58575085"/>
    <w:rsid w:val="585B1666"/>
    <w:rsid w:val="586B6B62"/>
    <w:rsid w:val="586C3C92"/>
    <w:rsid w:val="586D36E2"/>
    <w:rsid w:val="587248D1"/>
    <w:rsid w:val="587624AC"/>
    <w:rsid w:val="587929D5"/>
    <w:rsid w:val="587D0E61"/>
    <w:rsid w:val="587F2E83"/>
    <w:rsid w:val="5885738D"/>
    <w:rsid w:val="58963B0F"/>
    <w:rsid w:val="58A31F41"/>
    <w:rsid w:val="58A87143"/>
    <w:rsid w:val="58B30F84"/>
    <w:rsid w:val="58B846F4"/>
    <w:rsid w:val="58B90D9E"/>
    <w:rsid w:val="58C10593"/>
    <w:rsid w:val="58C11A37"/>
    <w:rsid w:val="58C63BBB"/>
    <w:rsid w:val="58D36E20"/>
    <w:rsid w:val="58DB5546"/>
    <w:rsid w:val="58DE3CDE"/>
    <w:rsid w:val="58E57A34"/>
    <w:rsid w:val="58EF56FC"/>
    <w:rsid w:val="59002E37"/>
    <w:rsid w:val="5903423B"/>
    <w:rsid w:val="59094971"/>
    <w:rsid w:val="590956EC"/>
    <w:rsid w:val="59194DD6"/>
    <w:rsid w:val="591E6B0C"/>
    <w:rsid w:val="59272C3B"/>
    <w:rsid w:val="59287E18"/>
    <w:rsid w:val="593B5AEB"/>
    <w:rsid w:val="593E6292"/>
    <w:rsid w:val="59441D59"/>
    <w:rsid w:val="59486D7A"/>
    <w:rsid w:val="594C2F23"/>
    <w:rsid w:val="594F5C09"/>
    <w:rsid w:val="595A73E1"/>
    <w:rsid w:val="595C1BC6"/>
    <w:rsid w:val="595E3070"/>
    <w:rsid w:val="595E7AC8"/>
    <w:rsid w:val="59621657"/>
    <w:rsid w:val="59631BF4"/>
    <w:rsid w:val="596372B7"/>
    <w:rsid w:val="59665DB3"/>
    <w:rsid w:val="596C0E48"/>
    <w:rsid w:val="5979015A"/>
    <w:rsid w:val="59791D33"/>
    <w:rsid w:val="59823E0D"/>
    <w:rsid w:val="59882F11"/>
    <w:rsid w:val="598878D2"/>
    <w:rsid w:val="5991292B"/>
    <w:rsid w:val="59924D30"/>
    <w:rsid w:val="59A3309C"/>
    <w:rsid w:val="59A9232E"/>
    <w:rsid w:val="59B116B0"/>
    <w:rsid w:val="59BF150F"/>
    <w:rsid w:val="59C75D27"/>
    <w:rsid w:val="59C97A37"/>
    <w:rsid w:val="59DC3E4A"/>
    <w:rsid w:val="59E85F85"/>
    <w:rsid w:val="59F31946"/>
    <w:rsid w:val="59F57450"/>
    <w:rsid w:val="5A17609F"/>
    <w:rsid w:val="5A2307F8"/>
    <w:rsid w:val="5A236239"/>
    <w:rsid w:val="5A2A6F93"/>
    <w:rsid w:val="5A2D69C3"/>
    <w:rsid w:val="5A306E22"/>
    <w:rsid w:val="5A380407"/>
    <w:rsid w:val="5A3C6856"/>
    <w:rsid w:val="5A476518"/>
    <w:rsid w:val="5A540867"/>
    <w:rsid w:val="5A55535A"/>
    <w:rsid w:val="5A5949AC"/>
    <w:rsid w:val="5A6D4794"/>
    <w:rsid w:val="5A7313F1"/>
    <w:rsid w:val="5A86588E"/>
    <w:rsid w:val="5A883332"/>
    <w:rsid w:val="5A916C7C"/>
    <w:rsid w:val="5A9568D2"/>
    <w:rsid w:val="5A96231E"/>
    <w:rsid w:val="5A9A3A73"/>
    <w:rsid w:val="5AA32E17"/>
    <w:rsid w:val="5AA71FF7"/>
    <w:rsid w:val="5AB346D4"/>
    <w:rsid w:val="5AB65D54"/>
    <w:rsid w:val="5AD6212B"/>
    <w:rsid w:val="5ADA743B"/>
    <w:rsid w:val="5AE00F34"/>
    <w:rsid w:val="5AE82D1C"/>
    <w:rsid w:val="5AEB1B84"/>
    <w:rsid w:val="5AEB69FF"/>
    <w:rsid w:val="5AEB7133"/>
    <w:rsid w:val="5B0D5AFC"/>
    <w:rsid w:val="5B0F3DE5"/>
    <w:rsid w:val="5B132803"/>
    <w:rsid w:val="5B1419D1"/>
    <w:rsid w:val="5B183579"/>
    <w:rsid w:val="5B292BBE"/>
    <w:rsid w:val="5B305F6E"/>
    <w:rsid w:val="5B321CB4"/>
    <w:rsid w:val="5B474AC0"/>
    <w:rsid w:val="5B4F07F4"/>
    <w:rsid w:val="5B5B5435"/>
    <w:rsid w:val="5B6E44D3"/>
    <w:rsid w:val="5B6F335C"/>
    <w:rsid w:val="5B7128B8"/>
    <w:rsid w:val="5B84087F"/>
    <w:rsid w:val="5B863AFD"/>
    <w:rsid w:val="5B8C5EA6"/>
    <w:rsid w:val="5B947EE3"/>
    <w:rsid w:val="5B9D1450"/>
    <w:rsid w:val="5BA122C6"/>
    <w:rsid w:val="5BA97DF7"/>
    <w:rsid w:val="5BAB71E5"/>
    <w:rsid w:val="5BAD3D51"/>
    <w:rsid w:val="5BAF5A4B"/>
    <w:rsid w:val="5BB07252"/>
    <w:rsid w:val="5BBA7B59"/>
    <w:rsid w:val="5BCC4500"/>
    <w:rsid w:val="5BCD780A"/>
    <w:rsid w:val="5BD51E3C"/>
    <w:rsid w:val="5BD654FB"/>
    <w:rsid w:val="5BD67AB9"/>
    <w:rsid w:val="5BD85FA1"/>
    <w:rsid w:val="5BDE7097"/>
    <w:rsid w:val="5BE16545"/>
    <w:rsid w:val="5BE2295A"/>
    <w:rsid w:val="5BF0366A"/>
    <w:rsid w:val="5BF47964"/>
    <w:rsid w:val="5C075956"/>
    <w:rsid w:val="5C07748B"/>
    <w:rsid w:val="5C0B4384"/>
    <w:rsid w:val="5C1913C9"/>
    <w:rsid w:val="5C1A782B"/>
    <w:rsid w:val="5C1D7F00"/>
    <w:rsid w:val="5C1F71A8"/>
    <w:rsid w:val="5C2064FF"/>
    <w:rsid w:val="5C217D1F"/>
    <w:rsid w:val="5C236E6C"/>
    <w:rsid w:val="5C2F66D1"/>
    <w:rsid w:val="5C327231"/>
    <w:rsid w:val="5C33048F"/>
    <w:rsid w:val="5C3807E2"/>
    <w:rsid w:val="5C5A045B"/>
    <w:rsid w:val="5C5A15E7"/>
    <w:rsid w:val="5C5B251D"/>
    <w:rsid w:val="5C621A28"/>
    <w:rsid w:val="5C633F28"/>
    <w:rsid w:val="5C6C1812"/>
    <w:rsid w:val="5C7545E5"/>
    <w:rsid w:val="5C7567CD"/>
    <w:rsid w:val="5C7C01C3"/>
    <w:rsid w:val="5C830D2D"/>
    <w:rsid w:val="5C8870AD"/>
    <w:rsid w:val="5C965D75"/>
    <w:rsid w:val="5C981BAF"/>
    <w:rsid w:val="5CA03E5B"/>
    <w:rsid w:val="5CAD2C5E"/>
    <w:rsid w:val="5CBB27BB"/>
    <w:rsid w:val="5CD23EC3"/>
    <w:rsid w:val="5CDB387E"/>
    <w:rsid w:val="5CE26E4D"/>
    <w:rsid w:val="5CE553DF"/>
    <w:rsid w:val="5CE627FC"/>
    <w:rsid w:val="5CF15C4E"/>
    <w:rsid w:val="5CF927D1"/>
    <w:rsid w:val="5CFA485F"/>
    <w:rsid w:val="5D077318"/>
    <w:rsid w:val="5D0F5C4C"/>
    <w:rsid w:val="5D120634"/>
    <w:rsid w:val="5D19485C"/>
    <w:rsid w:val="5D1F59FE"/>
    <w:rsid w:val="5D25517D"/>
    <w:rsid w:val="5D2932B1"/>
    <w:rsid w:val="5D304BCA"/>
    <w:rsid w:val="5D381E48"/>
    <w:rsid w:val="5D3C5694"/>
    <w:rsid w:val="5D402F1C"/>
    <w:rsid w:val="5D403643"/>
    <w:rsid w:val="5D4351ED"/>
    <w:rsid w:val="5D44212C"/>
    <w:rsid w:val="5D455C27"/>
    <w:rsid w:val="5D4657F3"/>
    <w:rsid w:val="5D507B54"/>
    <w:rsid w:val="5D59546C"/>
    <w:rsid w:val="5D636F6D"/>
    <w:rsid w:val="5D671C40"/>
    <w:rsid w:val="5D6C6659"/>
    <w:rsid w:val="5D6D3CC8"/>
    <w:rsid w:val="5D76433B"/>
    <w:rsid w:val="5D892622"/>
    <w:rsid w:val="5D8E6948"/>
    <w:rsid w:val="5D8E74BC"/>
    <w:rsid w:val="5D9F6B9F"/>
    <w:rsid w:val="5DA21954"/>
    <w:rsid w:val="5DAC0629"/>
    <w:rsid w:val="5DAD0B30"/>
    <w:rsid w:val="5DB01731"/>
    <w:rsid w:val="5DB93891"/>
    <w:rsid w:val="5DCA21F3"/>
    <w:rsid w:val="5DCA485E"/>
    <w:rsid w:val="5DCF2B8A"/>
    <w:rsid w:val="5DD758CB"/>
    <w:rsid w:val="5DD85861"/>
    <w:rsid w:val="5DDB753C"/>
    <w:rsid w:val="5DDD360F"/>
    <w:rsid w:val="5DDE068C"/>
    <w:rsid w:val="5DE049F7"/>
    <w:rsid w:val="5DE72795"/>
    <w:rsid w:val="5DF95500"/>
    <w:rsid w:val="5E04086F"/>
    <w:rsid w:val="5E0874A7"/>
    <w:rsid w:val="5E0F790A"/>
    <w:rsid w:val="5E142AAB"/>
    <w:rsid w:val="5E2D01D8"/>
    <w:rsid w:val="5E306B2E"/>
    <w:rsid w:val="5E335236"/>
    <w:rsid w:val="5E3606C5"/>
    <w:rsid w:val="5E3F3A6B"/>
    <w:rsid w:val="5E484233"/>
    <w:rsid w:val="5E4C032F"/>
    <w:rsid w:val="5E4D4357"/>
    <w:rsid w:val="5E6029C3"/>
    <w:rsid w:val="5E687B6C"/>
    <w:rsid w:val="5E6A3D5B"/>
    <w:rsid w:val="5E7E2DBD"/>
    <w:rsid w:val="5E815D99"/>
    <w:rsid w:val="5E8C2122"/>
    <w:rsid w:val="5E9137C1"/>
    <w:rsid w:val="5E915D0E"/>
    <w:rsid w:val="5E916F41"/>
    <w:rsid w:val="5E9A6110"/>
    <w:rsid w:val="5EA834EB"/>
    <w:rsid w:val="5EA9423B"/>
    <w:rsid w:val="5EC6071F"/>
    <w:rsid w:val="5EC66F8D"/>
    <w:rsid w:val="5ECB4DB4"/>
    <w:rsid w:val="5ECD5438"/>
    <w:rsid w:val="5ED23B75"/>
    <w:rsid w:val="5ED3225E"/>
    <w:rsid w:val="5EE12C7A"/>
    <w:rsid w:val="5EEA5F66"/>
    <w:rsid w:val="5EEC1668"/>
    <w:rsid w:val="5EED21BF"/>
    <w:rsid w:val="5EEF1E3A"/>
    <w:rsid w:val="5EF10B7E"/>
    <w:rsid w:val="5F055C44"/>
    <w:rsid w:val="5F135BFE"/>
    <w:rsid w:val="5F190A2F"/>
    <w:rsid w:val="5F193EAA"/>
    <w:rsid w:val="5F30325A"/>
    <w:rsid w:val="5F322610"/>
    <w:rsid w:val="5F354F37"/>
    <w:rsid w:val="5F3E222C"/>
    <w:rsid w:val="5F4269F2"/>
    <w:rsid w:val="5F44276E"/>
    <w:rsid w:val="5F446D58"/>
    <w:rsid w:val="5F491906"/>
    <w:rsid w:val="5F4C3B02"/>
    <w:rsid w:val="5F4F60FC"/>
    <w:rsid w:val="5F526890"/>
    <w:rsid w:val="5F535FC1"/>
    <w:rsid w:val="5F5627E2"/>
    <w:rsid w:val="5F5F3B6D"/>
    <w:rsid w:val="5F6B37A9"/>
    <w:rsid w:val="5F6E0D1C"/>
    <w:rsid w:val="5F864835"/>
    <w:rsid w:val="5F886BFE"/>
    <w:rsid w:val="5F890DDC"/>
    <w:rsid w:val="5F9169EC"/>
    <w:rsid w:val="5F9D5169"/>
    <w:rsid w:val="5FA0129B"/>
    <w:rsid w:val="5FA268D1"/>
    <w:rsid w:val="5FA75807"/>
    <w:rsid w:val="5FA76023"/>
    <w:rsid w:val="5FAA5885"/>
    <w:rsid w:val="5FAC1BEF"/>
    <w:rsid w:val="5FB65389"/>
    <w:rsid w:val="5FBB1DE6"/>
    <w:rsid w:val="5FC50A55"/>
    <w:rsid w:val="5FC6360C"/>
    <w:rsid w:val="5FC72D30"/>
    <w:rsid w:val="5FCA65A5"/>
    <w:rsid w:val="5FD0738A"/>
    <w:rsid w:val="5FD7094D"/>
    <w:rsid w:val="5FD729E1"/>
    <w:rsid w:val="5FEE4169"/>
    <w:rsid w:val="5FF1465B"/>
    <w:rsid w:val="5FF23BED"/>
    <w:rsid w:val="5FFB0C3B"/>
    <w:rsid w:val="5FFD283E"/>
    <w:rsid w:val="600617B5"/>
    <w:rsid w:val="60080700"/>
    <w:rsid w:val="602960E1"/>
    <w:rsid w:val="602F2C64"/>
    <w:rsid w:val="6034688C"/>
    <w:rsid w:val="604C4572"/>
    <w:rsid w:val="604E41EF"/>
    <w:rsid w:val="6058293D"/>
    <w:rsid w:val="605F11ED"/>
    <w:rsid w:val="606C5D68"/>
    <w:rsid w:val="6072424B"/>
    <w:rsid w:val="607B66F8"/>
    <w:rsid w:val="607C39EE"/>
    <w:rsid w:val="60870211"/>
    <w:rsid w:val="608A45E0"/>
    <w:rsid w:val="60944DAC"/>
    <w:rsid w:val="609F1A0B"/>
    <w:rsid w:val="60A17A8D"/>
    <w:rsid w:val="60A43C8C"/>
    <w:rsid w:val="60AD6256"/>
    <w:rsid w:val="60B667AE"/>
    <w:rsid w:val="60C87428"/>
    <w:rsid w:val="60CA6E14"/>
    <w:rsid w:val="60CB60DC"/>
    <w:rsid w:val="60CF10FC"/>
    <w:rsid w:val="60DE6C23"/>
    <w:rsid w:val="60E112B3"/>
    <w:rsid w:val="60E46A2A"/>
    <w:rsid w:val="60E5136F"/>
    <w:rsid w:val="60EF447B"/>
    <w:rsid w:val="61030B23"/>
    <w:rsid w:val="61052834"/>
    <w:rsid w:val="610A4A4C"/>
    <w:rsid w:val="610B7A4A"/>
    <w:rsid w:val="61157620"/>
    <w:rsid w:val="612A46E1"/>
    <w:rsid w:val="612C5B03"/>
    <w:rsid w:val="613A4433"/>
    <w:rsid w:val="613B61F6"/>
    <w:rsid w:val="613C781E"/>
    <w:rsid w:val="613D495D"/>
    <w:rsid w:val="61403BB3"/>
    <w:rsid w:val="61463759"/>
    <w:rsid w:val="6148498D"/>
    <w:rsid w:val="615074ED"/>
    <w:rsid w:val="61575DDD"/>
    <w:rsid w:val="61634631"/>
    <w:rsid w:val="61650B74"/>
    <w:rsid w:val="617D1F93"/>
    <w:rsid w:val="618253C0"/>
    <w:rsid w:val="618F1F0A"/>
    <w:rsid w:val="619207AD"/>
    <w:rsid w:val="619479C0"/>
    <w:rsid w:val="619749AB"/>
    <w:rsid w:val="61A270B6"/>
    <w:rsid w:val="61A27909"/>
    <w:rsid w:val="61A57CD6"/>
    <w:rsid w:val="61A7220A"/>
    <w:rsid w:val="61B057BE"/>
    <w:rsid w:val="61B76010"/>
    <w:rsid w:val="61C12395"/>
    <w:rsid w:val="61C30247"/>
    <w:rsid w:val="61C53061"/>
    <w:rsid w:val="61C94E56"/>
    <w:rsid w:val="61C9511E"/>
    <w:rsid w:val="61CC505E"/>
    <w:rsid w:val="61DA77E5"/>
    <w:rsid w:val="61DE479A"/>
    <w:rsid w:val="61E27A6B"/>
    <w:rsid w:val="61E439BC"/>
    <w:rsid w:val="61EA29AA"/>
    <w:rsid w:val="61F44296"/>
    <w:rsid w:val="61F76C78"/>
    <w:rsid w:val="61FE743F"/>
    <w:rsid w:val="61FE7CE5"/>
    <w:rsid w:val="6200336F"/>
    <w:rsid w:val="620420B0"/>
    <w:rsid w:val="620518B0"/>
    <w:rsid w:val="620747A8"/>
    <w:rsid w:val="620A434A"/>
    <w:rsid w:val="620A76C7"/>
    <w:rsid w:val="621B21EB"/>
    <w:rsid w:val="621E304C"/>
    <w:rsid w:val="62242C63"/>
    <w:rsid w:val="62395743"/>
    <w:rsid w:val="6241713B"/>
    <w:rsid w:val="624C3FD4"/>
    <w:rsid w:val="62543368"/>
    <w:rsid w:val="625A4323"/>
    <w:rsid w:val="625D64C0"/>
    <w:rsid w:val="626A2D27"/>
    <w:rsid w:val="626C1EF2"/>
    <w:rsid w:val="626C387C"/>
    <w:rsid w:val="6274007D"/>
    <w:rsid w:val="62745DA5"/>
    <w:rsid w:val="6277783A"/>
    <w:rsid w:val="6278224F"/>
    <w:rsid w:val="62831CBB"/>
    <w:rsid w:val="628546ED"/>
    <w:rsid w:val="6289567F"/>
    <w:rsid w:val="62913109"/>
    <w:rsid w:val="629843E4"/>
    <w:rsid w:val="62A44208"/>
    <w:rsid w:val="62A83A57"/>
    <w:rsid w:val="62A84535"/>
    <w:rsid w:val="62AD37FE"/>
    <w:rsid w:val="62B14575"/>
    <w:rsid w:val="62B4098D"/>
    <w:rsid w:val="62B94571"/>
    <w:rsid w:val="62BB303E"/>
    <w:rsid w:val="62C5391D"/>
    <w:rsid w:val="62C65DFA"/>
    <w:rsid w:val="62C84A1C"/>
    <w:rsid w:val="62C9172C"/>
    <w:rsid w:val="62D538BE"/>
    <w:rsid w:val="62DD2F99"/>
    <w:rsid w:val="62E615B7"/>
    <w:rsid w:val="62F73DEC"/>
    <w:rsid w:val="630C4191"/>
    <w:rsid w:val="63165932"/>
    <w:rsid w:val="6318241E"/>
    <w:rsid w:val="633058FF"/>
    <w:rsid w:val="63345816"/>
    <w:rsid w:val="63361B5F"/>
    <w:rsid w:val="63470FAC"/>
    <w:rsid w:val="634B0809"/>
    <w:rsid w:val="634B2405"/>
    <w:rsid w:val="634C7FB0"/>
    <w:rsid w:val="635302D0"/>
    <w:rsid w:val="635677F4"/>
    <w:rsid w:val="635A2021"/>
    <w:rsid w:val="635A5C1D"/>
    <w:rsid w:val="635D2FF0"/>
    <w:rsid w:val="63623CB7"/>
    <w:rsid w:val="63675B29"/>
    <w:rsid w:val="63703626"/>
    <w:rsid w:val="63805ECC"/>
    <w:rsid w:val="63883308"/>
    <w:rsid w:val="63A41324"/>
    <w:rsid w:val="63A80993"/>
    <w:rsid w:val="63B57724"/>
    <w:rsid w:val="63B67859"/>
    <w:rsid w:val="63BC4B41"/>
    <w:rsid w:val="63BD585D"/>
    <w:rsid w:val="63CD6BC0"/>
    <w:rsid w:val="63D57E99"/>
    <w:rsid w:val="63D67691"/>
    <w:rsid w:val="63DC133C"/>
    <w:rsid w:val="63F20FD7"/>
    <w:rsid w:val="64122B44"/>
    <w:rsid w:val="64150738"/>
    <w:rsid w:val="641A0E65"/>
    <w:rsid w:val="641A10F2"/>
    <w:rsid w:val="641B282F"/>
    <w:rsid w:val="641D7D3F"/>
    <w:rsid w:val="64201817"/>
    <w:rsid w:val="64252A7A"/>
    <w:rsid w:val="6426160B"/>
    <w:rsid w:val="642E73F8"/>
    <w:rsid w:val="6437148D"/>
    <w:rsid w:val="64391053"/>
    <w:rsid w:val="643E0BC6"/>
    <w:rsid w:val="6441265F"/>
    <w:rsid w:val="644141BC"/>
    <w:rsid w:val="644B48CB"/>
    <w:rsid w:val="645C3A4A"/>
    <w:rsid w:val="64683BAA"/>
    <w:rsid w:val="647D774A"/>
    <w:rsid w:val="648B5B9D"/>
    <w:rsid w:val="649635C8"/>
    <w:rsid w:val="64A5619C"/>
    <w:rsid w:val="64AD4FC8"/>
    <w:rsid w:val="64B63443"/>
    <w:rsid w:val="64BC4134"/>
    <w:rsid w:val="64BF002D"/>
    <w:rsid w:val="64C201BE"/>
    <w:rsid w:val="64C26FAB"/>
    <w:rsid w:val="64C81E5F"/>
    <w:rsid w:val="64D775E2"/>
    <w:rsid w:val="64DF14B7"/>
    <w:rsid w:val="64E34C44"/>
    <w:rsid w:val="64E7236D"/>
    <w:rsid w:val="64F41CB9"/>
    <w:rsid w:val="64F96912"/>
    <w:rsid w:val="650D3314"/>
    <w:rsid w:val="650D7535"/>
    <w:rsid w:val="65130708"/>
    <w:rsid w:val="65141293"/>
    <w:rsid w:val="65197564"/>
    <w:rsid w:val="651D7430"/>
    <w:rsid w:val="6533207A"/>
    <w:rsid w:val="653512AF"/>
    <w:rsid w:val="653B217C"/>
    <w:rsid w:val="654358C9"/>
    <w:rsid w:val="65437F3A"/>
    <w:rsid w:val="654612E7"/>
    <w:rsid w:val="654759EE"/>
    <w:rsid w:val="654C55BA"/>
    <w:rsid w:val="654E7363"/>
    <w:rsid w:val="655D559C"/>
    <w:rsid w:val="655F34F4"/>
    <w:rsid w:val="656D2229"/>
    <w:rsid w:val="657B30CB"/>
    <w:rsid w:val="657F2480"/>
    <w:rsid w:val="6584610B"/>
    <w:rsid w:val="658C4FD6"/>
    <w:rsid w:val="658D0C10"/>
    <w:rsid w:val="658D2CB3"/>
    <w:rsid w:val="658E6D06"/>
    <w:rsid w:val="659437C9"/>
    <w:rsid w:val="659B0C58"/>
    <w:rsid w:val="659E1327"/>
    <w:rsid w:val="65A0695F"/>
    <w:rsid w:val="65A40C8F"/>
    <w:rsid w:val="65A45D62"/>
    <w:rsid w:val="65A530DF"/>
    <w:rsid w:val="65B3716A"/>
    <w:rsid w:val="65C20F3C"/>
    <w:rsid w:val="65D02CE8"/>
    <w:rsid w:val="65D35C2D"/>
    <w:rsid w:val="65D65829"/>
    <w:rsid w:val="65D8617E"/>
    <w:rsid w:val="65DD173F"/>
    <w:rsid w:val="65DE54FA"/>
    <w:rsid w:val="65E02AFF"/>
    <w:rsid w:val="65E501D9"/>
    <w:rsid w:val="65E84EB5"/>
    <w:rsid w:val="65FD19B3"/>
    <w:rsid w:val="660F14FA"/>
    <w:rsid w:val="66155D12"/>
    <w:rsid w:val="6625081B"/>
    <w:rsid w:val="662A3596"/>
    <w:rsid w:val="66363576"/>
    <w:rsid w:val="663821D6"/>
    <w:rsid w:val="66404525"/>
    <w:rsid w:val="6644016B"/>
    <w:rsid w:val="664B59F9"/>
    <w:rsid w:val="664E66B1"/>
    <w:rsid w:val="66536241"/>
    <w:rsid w:val="665413CC"/>
    <w:rsid w:val="6670076D"/>
    <w:rsid w:val="667B7712"/>
    <w:rsid w:val="668111AF"/>
    <w:rsid w:val="668A1170"/>
    <w:rsid w:val="668E0163"/>
    <w:rsid w:val="66973FA7"/>
    <w:rsid w:val="669C3B3F"/>
    <w:rsid w:val="66A20A82"/>
    <w:rsid w:val="66AA7A88"/>
    <w:rsid w:val="66B145C0"/>
    <w:rsid w:val="66C657DD"/>
    <w:rsid w:val="66C7201B"/>
    <w:rsid w:val="66CA0126"/>
    <w:rsid w:val="66CA25F0"/>
    <w:rsid w:val="66CE2BDE"/>
    <w:rsid w:val="66CE7B37"/>
    <w:rsid w:val="66D343D0"/>
    <w:rsid w:val="66D3562A"/>
    <w:rsid w:val="66DE16F7"/>
    <w:rsid w:val="66DF34A1"/>
    <w:rsid w:val="66E14283"/>
    <w:rsid w:val="66E5266F"/>
    <w:rsid w:val="66EC7AE4"/>
    <w:rsid w:val="66F422BC"/>
    <w:rsid w:val="66FD725B"/>
    <w:rsid w:val="6700109D"/>
    <w:rsid w:val="670112D9"/>
    <w:rsid w:val="67122384"/>
    <w:rsid w:val="67132635"/>
    <w:rsid w:val="6715317C"/>
    <w:rsid w:val="67182D45"/>
    <w:rsid w:val="671C7DC9"/>
    <w:rsid w:val="67250032"/>
    <w:rsid w:val="67331911"/>
    <w:rsid w:val="673608FC"/>
    <w:rsid w:val="67360FB7"/>
    <w:rsid w:val="67361B2D"/>
    <w:rsid w:val="6737650D"/>
    <w:rsid w:val="673C0B75"/>
    <w:rsid w:val="67441219"/>
    <w:rsid w:val="6746199B"/>
    <w:rsid w:val="674D2EAB"/>
    <w:rsid w:val="67545AC7"/>
    <w:rsid w:val="67662639"/>
    <w:rsid w:val="6772012B"/>
    <w:rsid w:val="677F460C"/>
    <w:rsid w:val="67835BBD"/>
    <w:rsid w:val="679D49C1"/>
    <w:rsid w:val="67A04C92"/>
    <w:rsid w:val="67A160A7"/>
    <w:rsid w:val="67A91AF1"/>
    <w:rsid w:val="67AC2435"/>
    <w:rsid w:val="67AC6EB4"/>
    <w:rsid w:val="67B0295E"/>
    <w:rsid w:val="67B05CB8"/>
    <w:rsid w:val="67BB59DF"/>
    <w:rsid w:val="67BB651E"/>
    <w:rsid w:val="67C40A4D"/>
    <w:rsid w:val="67DA43C2"/>
    <w:rsid w:val="67E0607A"/>
    <w:rsid w:val="67E6245F"/>
    <w:rsid w:val="67E67BA8"/>
    <w:rsid w:val="67EE094B"/>
    <w:rsid w:val="67F8554F"/>
    <w:rsid w:val="67FC7ABB"/>
    <w:rsid w:val="67FF07D6"/>
    <w:rsid w:val="6802493E"/>
    <w:rsid w:val="680A3E39"/>
    <w:rsid w:val="680C6800"/>
    <w:rsid w:val="680D2EE1"/>
    <w:rsid w:val="6811268A"/>
    <w:rsid w:val="68272BC4"/>
    <w:rsid w:val="68352AA8"/>
    <w:rsid w:val="683B3D7A"/>
    <w:rsid w:val="683D1677"/>
    <w:rsid w:val="684315E8"/>
    <w:rsid w:val="68504364"/>
    <w:rsid w:val="68512B8B"/>
    <w:rsid w:val="68561B05"/>
    <w:rsid w:val="685F55D2"/>
    <w:rsid w:val="686F225D"/>
    <w:rsid w:val="686F376B"/>
    <w:rsid w:val="68831072"/>
    <w:rsid w:val="688C5FE7"/>
    <w:rsid w:val="688E518D"/>
    <w:rsid w:val="68913FE0"/>
    <w:rsid w:val="68991AD6"/>
    <w:rsid w:val="68A30212"/>
    <w:rsid w:val="68A46A9A"/>
    <w:rsid w:val="68A5196B"/>
    <w:rsid w:val="68B97628"/>
    <w:rsid w:val="68BC76F5"/>
    <w:rsid w:val="68BF0823"/>
    <w:rsid w:val="68C61319"/>
    <w:rsid w:val="68D3620D"/>
    <w:rsid w:val="68E06D1A"/>
    <w:rsid w:val="68E614B4"/>
    <w:rsid w:val="68E952CB"/>
    <w:rsid w:val="68F21A1C"/>
    <w:rsid w:val="68F93FC5"/>
    <w:rsid w:val="68FB2E32"/>
    <w:rsid w:val="68FF23FC"/>
    <w:rsid w:val="69003DD6"/>
    <w:rsid w:val="690371C9"/>
    <w:rsid w:val="690623A9"/>
    <w:rsid w:val="69064363"/>
    <w:rsid w:val="69095482"/>
    <w:rsid w:val="690A4799"/>
    <w:rsid w:val="690B5623"/>
    <w:rsid w:val="691150BA"/>
    <w:rsid w:val="69175922"/>
    <w:rsid w:val="691776D0"/>
    <w:rsid w:val="691C4994"/>
    <w:rsid w:val="691F36A2"/>
    <w:rsid w:val="692136BF"/>
    <w:rsid w:val="69215183"/>
    <w:rsid w:val="6923134F"/>
    <w:rsid w:val="69295A62"/>
    <w:rsid w:val="69316843"/>
    <w:rsid w:val="69333876"/>
    <w:rsid w:val="693354FB"/>
    <w:rsid w:val="69345EDE"/>
    <w:rsid w:val="693725A1"/>
    <w:rsid w:val="69384EFE"/>
    <w:rsid w:val="69472695"/>
    <w:rsid w:val="69474573"/>
    <w:rsid w:val="69482EBE"/>
    <w:rsid w:val="695772DF"/>
    <w:rsid w:val="69587246"/>
    <w:rsid w:val="695B1EB5"/>
    <w:rsid w:val="695F5FA9"/>
    <w:rsid w:val="6962627A"/>
    <w:rsid w:val="699471AB"/>
    <w:rsid w:val="699C448B"/>
    <w:rsid w:val="69A72616"/>
    <w:rsid w:val="69A97E19"/>
    <w:rsid w:val="69AF0DC6"/>
    <w:rsid w:val="69B75849"/>
    <w:rsid w:val="69C20958"/>
    <w:rsid w:val="69C52E1D"/>
    <w:rsid w:val="69CB18D9"/>
    <w:rsid w:val="69D56DF5"/>
    <w:rsid w:val="69D871DE"/>
    <w:rsid w:val="69EA274E"/>
    <w:rsid w:val="69EB64C5"/>
    <w:rsid w:val="69F10597"/>
    <w:rsid w:val="69F46664"/>
    <w:rsid w:val="69F577C7"/>
    <w:rsid w:val="69FD5AFC"/>
    <w:rsid w:val="6A0D11B6"/>
    <w:rsid w:val="6A0E6CD6"/>
    <w:rsid w:val="6A166B9C"/>
    <w:rsid w:val="6A185754"/>
    <w:rsid w:val="6A21560E"/>
    <w:rsid w:val="6A23735C"/>
    <w:rsid w:val="6A261E57"/>
    <w:rsid w:val="6A26385C"/>
    <w:rsid w:val="6A2D3FE1"/>
    <w:rsid w:val="6A2F167D"/>
    <w:rsid w:val="6A3F397A"/>
    <w:rsid w:val="6A4A7EBE"/>
    <w:rsid w:val="6A4C7F40"/>
    <w:rsid w:val="6A515DFA"/>
    <w:rsid w:val="6A592D8C"/>
    <w:rsid w:val="6A5D4196"/>
    <w:rsid w:val="6A6365C6"/>
    <w:rsid w:val="6A637BED"/>
    <w:rsid w:val="6A653520"/>
    <w:rsid w:val="6A677899"/>
    <w:rsid w:val="6A774B62"/>
    <w:rsid w:val="6A7B45D1"/>
    <w:rsid w:val="6A7E1D2D"/>
    <w:rsid w:val="6A824543"/>
    <w:rsid w:val="6A837AF2"/>
    <w:rsid w:val="6A8B7071"/>
    <w:rsid w:val="6A9B300C"/>
    <w:rsid w:val="6A9B4D63"/>
    <w:rsid w:val="6A9C00CD"/>
    <w:rsid w:val="6A9E62EF"/>
    <w:rsid w:val="6A9E7058"/>
    <w:rsid w:val="6AA05138"/>
    <w:rsid w:val="6AA07AC5"/>
    <w:rsid w:val="6AA1562C"/>
    <w:rsid w:val="6AA85576"/>
    <w:rsid w:val="6AAC4F99"/>
    <w:rsid w:val="6AB66435"/>
    <w:rsid w:val="6AB71E4A"/>
    <w:rsid w:val="6AC00222"/>
    <w:rsid w:val="6AC02DBE"/>
    <w:rsid w:val="6AC250B9"/>
    <w:rsid w:val="6ACA0E56"/>
    <w:rsid w:val="6ACD0B07"/>
    <w:rsid w:val="6ACE41D1"/>
    <w:rsid w:val="6ACE45B0"/>
    <w:rsid w:val="6ACF4920"/>
    <w:rsid w:val="6ADA5469"/>
    <w:rsid w:val="6AE6749A"/>
    <w:rsid w:val="6AE854BD"/>
    <w:rsid w:val="6AE97EAB"/>
    <w:rsid w:val="6AEF0254"/>
    <w:rsid w:val="6AEF6997"/>
    <w:rsid w:val="6AF4229E"/>
    <w:rsid w:val="6B02606B"/>
    <w:rsid w:val="6B0315D2"/>
    <w:rsid w:val="6B122F46"/>
    <w:rsid w:val="6B162B5D"/>
    <w:rsid w:val="6B1948FD"/>
    <w:rsid w:val="6B2C6FD9"/>
    <w:rsid w:val="6B3C2116"/>
    <w:rsid w:val="6B3C47CE"/>
    <w:rsid w:val="6B4630B5"/>
    <w:rsid w:val="6B6454E0"/>
    <w:rsid w:val="6B6A7194"/>
    <w:rsid w:val="6B7045BF"/>
    <w:rsid w:val="6B8E0589"/>
    <w:rsid w:val="6B8E6BC2"/>
    <w:rsid w:val="6B8F5721"/>
    <w:rsid w:val="6B936E8C"/>
    <w:rsid w:val="6BA6532B"/>
    <w:rsid w:val="6BBE596E"/>
    <w:rsid w:val="6BC31543"/>
    <w:rsid w:val="6BC86FCB"/>
    <w:rsid w:val="6BCF3B60"/>
    <w:rsid w:val="6BDA3D8F"/>
    <w:rsid w:val="6BDD4997"/>
    <w:rsid w:val="6BE2734E"/>
    <w:rsid w:val="6BE7290C"/>
    <w:rsid w:val="6BFF1C7D"/>
    <w:rsid w:val="6BFF1E4C"/>
    <w:rsid w:val="6C0E32C0"/>
    <w:rsid w:val="6C1634CB"/>
    <w:rsid w:val="6C1F7869"/>
    <w:rsid w:val="6C261540"/>
    <w:rsid w:val="6C2651ED"/>
    <w:rsid w:val="6C3A2849"/>
    <w:rsid w:val="6C3A3A0D"/>
    <w:rsid w:val="6C496BB7"/>
    <w:rsid w:val="6C4C047A"/>
    <w:rsid w:val="6C5074CD"/>
    <w:rsid w:val="6C5661EE"/>
    <w:rsid w:val="6C5726A6"/>
    <w:rsid w:val="6C5C619E"/>
    <w:rsid w:val="6C6F64E1"/>
    <w:rsid w:val="6C711462"/>
    <w:rsid w:val="6C722F8E"/>
    <w:rsid w:val="6C7F51CC"/>
    <w:rsid w:val="6C8E19BA"/>
    <w:rsid w:val="6C903357"/>
    <w:rsid w:val="6C943A93"/>
    <w:rsid w:val="6C9A2679"/>
    <w:rsid w:val="6CA47B8C"/>
    <w:rsid w:val="6CA514B6"/>
    <w:rsid w:val="6CAA694A"/>
    <w:rsid w:val="6CAB6ECB"/>
    <w:rsid w:val="6CAE79F9"/>
    <w:rsid w:val="6CB556F6"/>
    <w:rsid w:val="6CBA1B19"/>
    <w:rsid w:val="6CC31E1F"/>
    <w:rsid w:val="6CC91CFD"/>
    <w:rsid w:val="6CD80838"/>
    <w:rsid w:val="6CE10D1B"/>
    <w:rsid w:val="6CE95F4B"/>
    <w:rsid w:val="6D0B54B5"/>
    <w:rsid w:val="6D126EDA"/>
    <w:rsid w:val="6D1500C1"/>
    <w:rsid w:val="6D234100"/>
    <w:rsid w:val="6D281661"/>
    <w:rsid w:val="6D365096"/>
    <w:rsid w:val="6D3D788D"/>
    <w:rsid w:val="6D3D7EC5"/>
    <w:rsid w:val="6D4004FA"/>
    <w:rsid w:val="6D494DD6"/>
    <w:rsid w:val="6D4E5E04"/>
    <w:rsid w:val="6D507547"/>
    <w:rsid w:val="6D533EF3"/>
    <w:rsid w:val="6D570ED7"/>
    <w:rsid w:val="6D575013"/>
    <w:rsid w:val="6D666784"/>
    <w:rsid w:val="6D7269FA"/>
    <w:rsid w:val="6D760165"/>
    <w:rsid w:val="6D80530B"/>
    <w:rsid w:val="6D860047"/>
    <w:rsid w:val="6D8B3917"/>
    <w:rsid w:val="6D8D616C"/>
    <w:rsid w:val="6DA45B3A"/>
    <w:rsid w:val="6DA620B4"/>
    <w:rsid w:val="6DAF1339"/>
    <w:rsid w:val="6DB1502C"/>
    <w:rsid w:val="6DB46098"/>
    <w:rsid w:val="6DB57323"/>
    <w:rsid w:val="6DB660DB"/>
    <w:rsid w:val="6DC53146"/>
    <w:rsid w:val="6DC544B7"/>
    <w:rsid w:val="6DCB7DCE"/>
    <w:rsid w:val="6DCE0FC7"/>
    <w:rsid w:val="6DD54C0B"/>
    <w:rsid w:val="6DE636A1"/>
    <w:rsid w:val="6DE90F32"/>
    <w:rsid w:val="6DEA5532"/>
    <w:rsid w:val="6DF9534F"/>
    <w:rsid w:val="6DFA3E44"/>
    <w:rsid w:val="6DFC560A"/>
    <w:rsid w:val="6E0A0658"/>
    <w:rsid w:val="6E102C48"/>
    <w:rsid w:val="6E136634"/>
    <w:rsid w:val="6E1971B9"/>
    <w:rsid w:val="6E2208AA"/>
    <w:rsid w:val="6E3322FE"/>
    <w:rsid w:val="6E336DA3"/>
    <w:rsid w:val="6E3459C8"/>
    <w:rsid w:val="6E3D6530"/>
    <w:rsid w:val="6E4B02DA"/>
    <w:rsid w:val="6E516E12"/>
    <w:rsid w:val="6E5C0C1C"/>
    <w:rsid w:val="6E611AD1"/>
    <w:rsid w:val="6E6A066A"/>
    <w:rsid w:val="6E7A2192"/>
    <w:rsid w:val="6E7B7E32"/>
    <w:rsid w:val="6E7E4A18"/>
    <w:rsid w:val="6E8F0F63"/>
    <w:rsid w:val="6E90572F"/>
    <w:rsid w:val="6E906880"/>
    <w:rsid w:val="6E937F9B"/>
    <w:rsid w:val="6E9A75C6"/>
    <w:rsid w:val="6E9B6B9B"/>
    <w:rsid w:val="6EA3154B"/>
    <w:rsid w:val="6EA31BDF"/>
    <w:rsid w:val="6EA60F8A"/>
    <w:rsid w:val="6EA80977"/>
    <w:rsid w:val="6EAB4FCF"/>
    <w:rsid w:val="6EB17E3E"/>
    <w:rsid w:val="6EBB1D88"/>
    <w:rsid w:val="6EBF1289"/>
    <w:rsid w:val="6ECA1FDF"/>
    <w:rsid w:val="6ED13A7A"/>
    <w:rsid w:val="6ED53FAA"/>
    <w:rsid w:val="6ED94EB9"/>
    <w:rsid w:val="6EE325AA"/>
    <w:rsid w:val="6EEF0F8A"/>
    <w:rsid w:val="6EF375F9"/>
    <w:rsid w:val="6F0215B7"/>
    <w:rsid w:val="6F0A6E17"/>
    <w:rsid w:val="6F1232FA"/>
    <w:rsid w:val="6F177718"/>
    <w:rsid w:val="6F1849FB"/>
    <w:rsid w:val="6F215546"/>
    <w:rsid w:val="6F301550"/>
    <w:rsid w:val="6F410C64"/>
    <w:rsid w:val="6F461990"/>
    <w:rsid w:val="6F557ADA"/>
    <w:rsid w:val="6F5B28C6"/>
    <w:rsid w:val="6F682943"/>
    <w:rsid w:val="6F6E4908"/>
    <w:rsid w:val="6F737843"/>
    <w:rsid w:val="6F73787E"/>
    <w:rsid w:val="6F740B78"/>
    <w:rsid w:val="6F773A06"/>
    <w:rsid w:val="6F7861F2"/>
    <w:rsid w:val="6F7E05F3"/>
    <w:rsid w:val="6F7E61A5"/>
    <w:rsid w:val="6F844C53"/>
    <w:rsid w:val="6F89088A"/>
    <w:rsid w:val="6F900759"/>
    <w:rsid w:val="6F980A08"/>
    <w:rsid w:val="6F9C535B"/>
    <w:rsid w:val="6F9C5F26"/>
    <w:rsid w:val="6FA92A02"/>
    <w:rsid w:val="6FB86722"/>
    <w:rsid w:val="6FBA2CB8"/>
    <w:rsid w:val="6FC618B5"/>
    <w:rsid w:val="6FCE1787"/>
    <w:rsid w:val="6FCE1D3E"/>
    <w:rsid w:val="6FCE527B"/>
    <w:rsid w:val="6FD94D15"/>
    <w:rsid w:val="6FEA249D"/>
    <w:rsid w:val="6FF3476B"/>
    <w:rsid w:val="6FF973DF"/>
    <w:rsid w:val="6FFB4539"/>
    <w:rsid w:val="70024B3B"/>
    <w:rsid w:val="700E7836"/>
    <w:rsid w:val="700E7CFF"/>
    <w:rsid w:val="70226889"/>
    <w:rsid w:val="70277AA2"/>
    <w:rsid w:val="702A6612"/>
    <w:rsid w:val="70304A58"/>
    <w:rsid w:val="70451735"/>
    <w:rsid w:val="70484F07"/>
    <w:rsid w:val="704F4650"/>
    <w:rsid w:val="705A58FC"/>
    <w:rsid w:val="705B22C7"/>
    <w:rsid w:val="70633C3A"/>
    <w:rsid w:val="706B2AA7"/>
    <w:rsid w:val="706B3967"/>
    <w:rsid w:val="7074442F"/>
    <w:rsid w:val="707658C3"/>
    <w:rsid w:val="707849DF"/>
    <w:rsid w:val="708B5919"/>
    <w:rsid w:val="709575AE"/>
    <w:rsid w:val="7097212A"/>
    <w:rsid w:val="70A445C0"/>
    <w:rsid w:val="70A57786"/>
    <w:rsid w:val="70B01837"/>
    <w:rsid w:val="70B101C6"/>
    <w:rsid w:val="70B412E4"/>
    <w:rsid w:val="70B50D40"/>
    <w:rsid w:val="70B86F3C"/>
    <w:rsid w:val="70C50741"/>
    <w:rsid w:val="70D07D80"/>
    <w:rsid w:val="70DC30ED"/>
    <w:rsid w:val="70E75287"/>
    <w:rsid w:val="70F63036"/>
    <w:rsid w:val="70F8307B"/>
    <w:rsid w:val="71042F18"/>
    <w:rsid w:val="710663A3"/>
    <w:rsid w:val="7111770A"/>
    <w:rsid w:val="711D4D3E"/>
    <w:rsid w:val="711F21FD"/>
    <w:rsid w:val="71223EF5"/>
    <w:rsid w:val="71435151"/>
    <w:rsid w:val="71455E8E"/>
    <w:rsid w:val="71506CE0"/>
    <w:rsid w:val="715C4699"/>
    <w:rsid w:val="71665C7D"/>
    <w:rsid w:val="716C3676"/>
    <w:rsid w:val="716F718E"/>
    <w:rsid w:val="7188070B"/>
    <w:rsid w:val="71900CCF"/>
    <w:rsid w:val="719904F3"/>
    <w:rsid w:val="719E43B4"/>
    <w:rsid w:val="71AB1F39"/>
    <w:rsid w:val="71B37DC8"/>
    <w:rsid w:val="71B53D7A"/>
    <w:rsid w:val="71BA55F8"/>
    <w:rsid w:val="71C91018"/>
    <w:rsid w:val="71E04B9E"/>
    <w:rsid w:val="71E25854"/>
    <w:rsid w:val="71ED1B65"/>
    <w:rsid w:val="71F00AB9"/>
    <w:rsid w:val="71FE018A"/>
    <w:rsid w:val="71FF2C69"/>
    <w:rsid w:val="71FF2D59"/>
    <w:rsid w:val="72043B45"/>
    <w:rsid w:val="72097FFB"/>
    <w:rsid w:val="721920E6"/>
    <w:rsid w:val="722941B1"/>
    <w:rsid w:val="7230379C"/>
    <w:rsid w:val="723137AB"/>
    <w:rsid w:val="72331340"/>
    <w:rsid w:val="72371011"/>
    <w:rsid w:val="7238710C"/>
    <w:rsid w:val="723E197B"/>
    <w:rsid w:val="724860EA"/>
    <w:rsid w:val="724E63CA"/>
    <w:rsid w:val="7250294D"/>
    <w:rsid w:val="725630CB"/>
    <w:rsid w:val="725A0D5A"/>
    <w:rsid w:val="725C6140"/>
    <w:rsid w:val="725E755A"/>
    <w:rsid w:val="7267753A"/>
    <w:rsid w:val="726D4FDA"/>
    <w:rsid w:val="72741763"/>
    <w:rsid w:val="727B69D7"/>
    <w:rsid w:val="72837F26"/>
    <w:rsid w:val="729879A9"/>
    <w:rsid w:val="72A352B9"/>
    <w:rsid w:val="72A90A6F"/>
    <w:rsid w:val="72AB49A6"/>
    <w:rsid w:val="72BA656E"/>
    <w:rsid w:val="72C34151"/>
    <w:rsid w:val="72C513D7"/>
    <w:rsid w:val="72C655E3"/>
    <w:rsid w:val="72C67687"/>
    <w:rsid w:val="72CA7A6C"/>
    <w:rsid w:val="72CC32FA"/>
    <w:rsid w:val="72CF45F4"/>
    <w:rsid w:val="72D21E45"/>
    <w:rsid w:val="72D44A60"/>
    <w:rsid w:val="72DE726A"/>
    <w:rsid w:val="72F3148D"/>
    <w:rsid w:val="72FB1285"/>
    <w:rsid w:val="730B4A17"/>
    <w:rsid w:val="730D53FE"/>
    <w:rsid w:val="7314692C"/>
    <w:rsid w:val="73253CB2"/>
    <w:rsid w:val="732573AC"/>
    <w:rsid w:val="732C607E"/>
    <w:rsid w:val="732C6B38"/>
    <w:rsid w:val="732F2BA4"/>
    <w:rsid w:val="73324E46"/>
    <w:rsid w:val="733F4AF1"/>
    <w:rsid w:val="735512D1"/>
    <w:rsid w:val="735B7B92"/>
    <w:rsid w:val="736B2E0B"/>
    <w:rsid w:val="73710423"/>
    <w:rsid w:val="73723E54"/>
    <w:rsid w:val="73775C9E"/>
    <w:rsid w:val="737F56EC"/>
    <w:rsid w:val="73851F0F"/>
    <w:rsid w:val="73922389"/>
    <w:rsid w:val="739455E6"/>
    <w:rsid w:val="739B31B7"/>
    <w:rsid w:val="73AD7DEF"/>
    <w:rsid w:val="73B05076"/>
    <w:rsid w:val="73B44CCF"/>
    <w:rsid w:val="73B53E88"/>
    <w:rsid w:val="73BE57F2"/>
    <w:rsid w:val="73C14F75"/>
    <w:rsid w:val="73C41B8F"/>
    <w:rsid w:val="73D467BD"/>
    <w:rsid w:val="73DC1F9E"/>
    <w:rsid w:val="73E33DD4"/>
    <w:rsid w:val="73E54D35"/>
    <w:rsid w:val="73E7704F"/>
    <w:rsid w:val="73F01B27"/>
    <w:rsid w:val="73F66F0B"/>
    <w:rsid w:val="73F76F7D"/>
    <w:rsid w:val="740A5C44"/>
    <w:rsid w:val="741727B5"/>
    <w:rsid w:val="74192953"/>
    <w:rsid w:val="741B4322"/>
    <w:rsid w:val="74297280"/>
    <w:rsid w:val="74397120"/>
    <w:rsid w:val="74407D43"/>
    <w:rsid w:val="74432DAE"/>
    <w:rsid w:val="744F3DA1"/>
    <w:rsid w:val="74531AAC"/>
    <w:rsid w:val="74581E87"/>
    <w:rsid w:val="746A5F76"/>
    <w:rsid w:val="7470414C"/>
    <w:rsid w:val="74764525"/>
    <w:rsid w:val="748025BC"/>
    <w:rsid w:val="74901F8A"/>
    <w:rsid w:val="74995DD4"/>
    <w:rsid w:val="749E6212"/>
    <w:rsid w:val="74A21230"/>
    <w:rsid w:val="74AA0726"/>
    <w:rsid w:val="74B076D2"/>
    <w:rsid w:val="74B12731"/>
    <w:rsid w:val="74B753BC"/>
    <w:rsid w:val="74C44F40"/>
    <w:rsid w:val="74CB6207"/>
    <w:rsid w:val="74CB6A49"/>
    <w:rsid w:val="74CC0B90"/>
    <w:rsid w:val="74D41CD4"/>
    <w:rsid w:val="74D43066"/>
    <w:rsid w:val="74D512E2"/>
    <w:rsid w:val="74DE5E3A"/>
    <w:rsid w:val="74E2149C"/>
    <w:rsid w:val="74E47630"/>
    <w:rsid w:val="74EF40DB"/>
    <w:rsid w:val="74F423B5"/>
    <w:rsid w:val="74F43966"/>
    <w:rsid w:val="74FC5008"/>
    <w:rsid w:val="75087FDA"/>
    <w:rsid w:val="751239C1"/>
    <w:rsid w:val="75175A3E"/>
    <w:rsid w:val="75260E0E"/>
    <w:rsid w:val="752708B9"/>
    <w:rsid w:val="752E40A9"/>
    <w:rsid w:val="75327AB7"/>
    <w:rsid w:val="75375DD2"/>
    <w:rsid w:val="75382B0F"/>
    <w:rsid w:val="753D5E70"/>
    <w:rsid w:val="753F135B"/>
    <w:rsid w:val="754677D5"/>
    <w:rsid w:val="75467D08"/>
    <w:rsid w:val="754B7222"/>
    <w:rsid w:val="75535BF6"/>
    <w:rsid w:val="755B6342"/>
    <w:rsid w:val="755B7ECE"/>
    <w:rsid w:val="75641C6B"/>
    <w:rsid w:val="756965E1"/>
    <w:rsid w:val="757A3B4C"/>
    <w:rsid w:val="757A4ABD"/>
    <w:rsid w:val="758C3AA9"/>
    <w:rsid w:val="759270CC"/>
    <w:rsid w:val="75A0795A"/>
    <w:rsid w:val="75A800EC"/>
    <w:rsid w:val="75A9735E"/>
    <w:rsid w:val="75B82BF8"/>
    <w:rsid w:val="75BD129B"/>
    <w:rsid w:val="75BE5813"/>
    <w:rsid w:val="75C6144C"/>
    <w:rsid w:val="75C736D1"/>
    <w:rsid w:val="75C86B96"/>
    <w:rsid w:val="75CA6DF3"/>
    <w:rsid w:val="75CD039A"/>
    <w:rsid w:val="75D36F22"/>
    <w:rsid w:val="75DB62C3"/>
    <w:rsid w:val="75DF5FEB"/>
    <w:rsid w:val="75E62115"/>
    <w:rsid w:val="75EC37AA"/>
    <w:rsid w:val="75ED7B90"/>
    <w:rsid w:val="75F50DE3"/>
    <w:rsid w:val="75F611A0"/>
    <w:rsid w:val="75F61345"/>
    <w:rsid w:val="7601247B"/>
    <w:rsid w:val="76035409"/>
    <w:rsid w:val="76061D89"/>
    <w:rsid w:val="7607437D"/>
    <w:rsid w:val="76081598"/>
    <w:rsid w:val="761472BD"/>
    <w:rsid w:val="76232687"/>
    <w:rsid w:val="76260DBB"/>
    <w:rsid w:val="762B294A"/>
    <w:rsid w:val="762C290E"/>
    <w:rsid w:val="763F4E71"/>
    <w:rsid w:val="764169E2"/>
    <w:rsid w:val="76424CC7"/>
    <w:rsid w:val="76531C8B"/>
    <w:rsid w:val="76597180"/>
    <w:rsid w:val="765F3CBD"/>
    <w:rsid w:val="76701028"/>
    <w:rsid w:val="76704438"/>
    <w:rsid w:val="768047A3"/>
    <w:rsid w:val="768D7DBB"/>
    <w:rsid w:val="768F36D1"/>
    <w:rsid w:val="7690010D"/>
    <w:rsid w:val="76982805"/>
    <w:rsid w:val="769B4141"/>
    <w:rsid w:val="769F1D15"/>
    <w:rsid w:val="769F71E2"/>
    <w:rsid w:val="76A06077"/>
    <w:rsid w:val="76A9748F"/>
    <w:rsid w:val="76B11F50"/>
    <w:rsid w:val="76B64A88"/>
    <w:rsid w:val="76BC62FA"/>
    <w:rsid w:val="76C079BC"/>
    <w:rsid w:val="76C168F1"/>
    <w:rsid w:val="76CA273A"/>
    <w:rsid w:val="76CB15A5"/>
    <w:rsid w:val="76CD509A"/>
    <w:rsid w:val="76D40956"/>
    <w:rsid w:val="76DA5F01"/>
    <w:rsid w:val="76E456B6"/>
    <w:rsid w:val="76E70E0A"/>
    <w:rsid w:val="76E808F4"/>
    <w:rsid w:val="76E91F6D"/>
    <w:rsid w:val="76ED4700"/>
    <w:rsid w:val="76F563DE"/>
    <w:rsid w:val="76F75A51"/>
    <w:rsid w:val="76FC64FA"/>
    <w:rsid w:val="771454D4"/>
    <w:rsid w:val="77236885"/>
    <w:rsid w:val="77291BE5"/>
    <w:rsid w:val="772D7068"/>
    <w:rsid w:val="77367C01"/>
    <w:rsid w:val="77570983"/>
    <w:rsid w:val="77590FE4"/>
    <w:rsid w:val="77623EE9"/>
    <w:rsid w:val="776348B5"/>
    <w:rsid w:val="77636D1D"/>
    <w:rsid w:val="77696CD0"/>
    <w:rsid w:val="776A281A"/>
    <w:rsid w:val="77862587"/>
    <w:rsid w:val="77925ACE"/>
    <w:rsid w:val="779610CC"/>
    <w:rsid w:val="779A1509"/>
    <w:rsid w:val="779A223B"/>
    <w:rsid w:val="77A372CB"/>
    <w:rsid w:val="77AD409F"/>
    <w:rsid w:val="77BB5A4E"/>
    <w:rsid w:val="77BF6E39"/>
    <w:rsid w:val="77D422C5"/>
    <w:rsid w:val="77E0098E"/>
    <w:rsid w:val="77EE09A5"/>
    <w:rsid w:val="77EE2B38"/>
    <w:rsid w:val="77F360A7"/>
    <w:rsid w:val="77FA6883"/>
    <w:rsid w:val="7802180A"/>
    <w:rsid w:val="78095188"/>
    <w:rsid w:val="780A0DBF"/>
    <w:rsid w:val="78152B81"/>
    <w:rsid w:val="78177B0E"/>
    <w:rsid w:val="7819184F"/>
    <w:rsid w:val="781E42F1"/>
    <w:rsid w:val="782945E3"/>
    <w:rsid w:val="782C4979"/>
    <w:rsid w:val="782D02AE"/>
    <w:rsid w:val="783614FC"/>
    <w:rsid w:val="78367213"/>
    <w:rsid w:val="783F4959"/>
    <w:rsid w:val="78412E49"/>
    <w:rsid w:val="785B52D4"/>
    <w:rsid w:val="785B6817"/>
    <w:rsid w:val="785C2EDC"/>
    <w:rsid w:val="785E4B8C"/>
    <w:rsid w:val="78636BEF"/>
    <w:rsid w:val="78687645"/>
    <w:rsid w:val="786C745B"/>
    <w:rsid w:val="786D1873"/>
    <w:rsid w:val="787069AE"/>
    <w:rsid w:val="787A7425"/>
    <w:rsid w:val="787B2775"/>
    <w:rsid w:val="787B3A03"/>
    <w:rsid w:val="78915693"/>
    <w:rsid w:val="78946526"/>
    <w:rsid w:val="78950B4D"/>
    <w:rsid w:val="789C5012"/>
    <w:rsid w:val="789E4C90"/>
    <w:rsid w:val="78A57A7F"/>
    <w:rsid w:val="78AB2DDD"/>
    <w:rsid w:val="78B26120"/>
    <w:rsid w:val="78B93C54"/>
    <w:rsid w:val="78B94C5A"/>
    <w:rsid w:val="78C47907"/>
    <w:rsid w:val="78C60FDA"/>
    <w:rsid w:val="78CD5723"/>
    <w:rsid w:val="78D10BC6"/>
    <w:rsid w:val="78D85FAE"/>
    <w:rsid w:val="78E425F5"/>
    <w:rsid w:val="78EE169A"/>
    <w:rsid w:val="78EF42F2"/>
    <w:rsid w:val="78F9011F"/>
    <w:rsid w:val="78FE60D4"/>
    <w:rsid w:val="790D713D"/>
    <w:rsid w:val="79181562"/>
    <w:rsid w:val="79523432"/>
    <w:rsid w:val="79526E68"/>
    <w:rsid w:val="795619A7"/>
    <w:rsid w:val="796C3C2A"/>
    <w:rsid w:val="79796B00"/>
    <w:rsid w:val="797B29A2"/>
    <w:rsid w:val="797B2BD2"/>
    <w:rsid w:val="797E703E"/>
    <w:rsid w:val="797F2824"/>
    <w:rsid w:val="79850113"/>
    <w:rsid w:val="798C6364"/>
    <w:rsid w:val="79911C3E"/>
    <w:rsid w:val="799179FC"/>
    <w:rsid w:val="79955E69"/>
    <w:rsid w:val="79A60085"/>
    <w:rsid w:val="79A616D2"/>
    <w:rsid w:val="79AF083E"/>
    <w:rsid w:val="79C1310C"/>
    <w:rsid w:val="79CB37AA"/>
    <w:rsid w:val="79D9547C"/>
    <w:rsid w:val="79DB2E31"/>
    <w:rsid w:val="79DE2595"/>
    <w:rsid w:val="79E25175"/>
    <w:rsid w:val="79E82F6B"/>
    <w:rsid w:val="79E878C0"/>
    <w:rsid w:val="79F4548F"/>
    <w:rsid w:val="79F72BB5"/>
    <w:rsid w:val="7A013DAE"/>
    <w:rsid w:val="7A026358"/>
    <w:rsid w:val="7A0761F5"/>
    <w:rsid w:val="7A077B1F"/>
    <w:rsid w:val="7A094E19"/>
    <w:rsid w:val="7A133DFB"/>
    <w:rsid w:val="7A1864A5"/>
    <w:rsid w:val="7A1B5254"/>
    <w:rsid w:val="7A227996"/>
    <w:rsid w:val="7A2F37C3"/>
    <w:rsid w:val="7A4A6432"/>
    <w:rsid w:val="7A4D1B19"/>
    <w:rsid w:val="7A507030"/>
    <w:rsid w:val="7A5A2D6D"/>
    <w:rsid w:val="7A5D64CD"/>
    <w:rsid w:val="7A647596"/>
    <w:rsid w:val="7A6521CB"/>
    <w:rsid w:val="7A6B5E89"/>
    <w:rsid w:val="7A765C7C"/>
    <w:rsid w:val="7A7B6914"/>
    <w:rsid w:val="7A7C5E41"/>
    <w:rsid w:val="7A7E14A6"/>
    <w:rsid w:val="7A812AFA"/>
    <w:rsid w:val="7A8253BA"/>
    <w:rsid w:val="7A8A0954"/>
    <w:rsid w:val="7A8E0160"/>
    <w:rsid w:val="7A910BAD"/>
    <w:rsid w:val="7A967948"/>
    <w:rsid w:val="7A980AB7"/>
    <w:rsid w:val="7A9C3BCA"/>
    <w:rsid w:val="7A9F087C"/>
    <w:rsid w:val="7AA17E36"/>
    <w:rsid w:val="7AA329CF"/>
    <w:rsid w:val="7AA5778E"/>
    <w:rsid w:val="7AA64AB2"/>
    <w:rsid w:val="7AAF4846"/>
    <w:rsid w:val="7AB3444A"/>
    <w:rsid w:val="7AB75F82"/>
    <w:rsid w:val="7ACC71B1"/>
    <w:rsid w:val="7ACD6AAF"/>
    <w:rsid w:val="7ADF39D3"/>
    <w:rsid w:val="7AEE363A"/>
    <w:rsid w:val="7B047FC0"/>
    <w:rsid w:val="7B050EB7"/>
    <w:rsid w:val="7B055EA7"/>
    <w:rsid w:val="7B057758"/>
    <w:rsid w:val="7B0D5245"/>
    <w:rsid w:val="7B0E3872"/>
    <w:rsid w:val="7B1207C8"/>
    <w:rsid w:val="7B265679"/>
    <w:rsid w:val="7B2A25CE"/>
    <w:rsid w:val="7B2D1293"/>
    <w:rsid w:val="7B381CFA"/>
    <w:rsid w:val="7B3C3C5C"/>
    <w:rsid w:val="7B404AD6"/>
    <w:rsid w:val="7B42436D"/>
    <w:rsid w:val="7B4F6E59"/>
    <w:rsid w:val="7B560C50"/>
    <w:rsid w:val="7B5E3BAE"/>
    <w:rsid w:val="7B6222BE"/>
    <w:rsid w:val="7B673489"/>
    <w:rsid w:val="7B680161"/>
    <w:rsid w:val="7B7265C4"/>
    <w:rsid w:val="7B833C4B"/>
    <w:rsid w:val="7B8532C8"/>
    <w:rsid w:val="7B886915"/>
    <w:rsid w:val="7B8A0C6A"/>
    <w:rsid w:val="7B9D07ED"/>
    <w:rsid w:val="7B9D6664"/>
    <w:rsid w:val="7B9F1DFC"/>
    <w:rsid w:val="7BA71443"/>
    <w:rsid w:val="7BA71BC7"/>
    <w:rsid w:val="7BAE4B21"/>
    <w:rsid w:val="7BB3059A"/>
    <w:rsid w:val="7BB34B2F"/>
    <w:rsid w:val="7BBB5975"/>
    <w:rsid w:val="7BC16D7D"/>
    <w:rsid w:val="7BC50AD7"/>
    <w:rsid w:val="7BCB09D4"/>
    <w:rsid w:val="7BCB3936"/>
    <w:rsid w:val="7BCD3EA4"/>
    <w:rsid w:val="7BD52AAE"/>
    <w:rsid w:val="7BD648AE"/>
    <w:rsid w:val="7BD86350"/>
    <w:rsid w:val="7BE074F7"/>
    <w:rsid w:val="7BE50840"/>
    <w:rsid w:val="7BE53459"/>
    <w:rsid w:val="7BE71A03"/>
    <w:rsid w:val="7BE928AA"/>
    <w:rsid w:val="7BF45754"/>
    <w:rsid w:val="7BF943B0"/>
    <w:rsid w:val="7C06062B"/>
    <w:rsid w:val="7C0A34E4"/>
    <w:rsid w:val="7C230C23"/>
    <w:rsid w:val="7C2D6A3D"/>
    <w:rsid w:val="7C2E67E6"/>
    <w:rsid w:val="7C30705D"/>
    <w:rsid w:val="7C310AE3"/>
    <w:rsid w:val="7C321B7D"/>
    <w:rsid w:val="7C391AE2"/>
    <w:rsid w:val="7C4F2B24"/>
    <w:rsid w:val="7C571FAE"/>
    <w:rsid w:val="7C5753C9"/>
    <w:rsid w:val="7C604CFC"/>
    <w:rsid w:val="7C6900E7"/>
    <w:rsid w:val="7C6E2177"/>
    <w:rsid w:val="7C6E3D28"/>
    <w:rsid w:val="7C722DCC"/>
    <w:rsid w:val="7C7863D9"/>
    <w:rsid w:val="7C8021C8"/>
    <w:rsid w:val="7C8C6E1D"/>
    <w:rsid w:val="7C8F34B5"/>
    <w:rsid w:val="7C902566"/>
    <w:rsid w:val="7C9177C3"/>
    <w:rsid w:val="7C9A7015"/>
    <w:rsid w:val="7CA31D92"/>
    <w:rsid w:val="7CA34603"/>
    <w:rsid w:val="7CA52BD8"/>
    <w:rsid w:val="7CB33604"/>
    <w:rsid w:val="7CB744E1"/>
    <w:rsid w:val="7CC67C2B"/>
    <w:rsid w:val="7CCA3BE8"/>
    <w:rsid w:val="7CCC6012"/>
    <w:rsid w:val="7CCD44FF"/>
    <w:rsid w:val="7CCE224E"/>
    <w:rsid w:val="7CD530E1"/>
    <w:rsid w:val="7CD54533"/>
    <w:rsid w:val="7CDD61DD"/>
    <w:rsid w:val="7CEE1493"/>
    <w:rsid w:val="7CF00610"/>
    <w:rsid w:val="7CF816FA"/>
    <w:rsid w:val="7D004632"/>
    <w:rsid w:val="7D0D2B05"/>
    <w:rsid w:val="7D0F4FE8"/>
    <w:rsid w:val="7D1338AA"/>
    <w:rsid w:val="7D13519F"/>
    <w:rsid w:val="7D161CB8"/>
    <w:rsid w:val="7D162F9A"/>
    <w:rsid w:val="7D195735"/>
    <w:rsid w:val="7D1F04AA"/>
    <w:rsid w:val="7D2A1C43"/>
    <w:rsid w:val="7D3106A5"/>
    <w:rsid w:val="7D371AB8"/>
    <w:rsid w:val="7D3D4CAA"/>
    <w:rsid w:val="7D49041A"/>
    <w:rsid w:val="7D4F415B"/>
    <w:rsid w:val="7D550419"/>
    <w:rsid w:val="7D5701DF"/>
    <w:rsid w:val="7D587F9D"/>
    <w:rsid w:val="7D5C2F6B"/>
    <w:rsid w:val="7D5C33BE"/>
    <w:rsid w:val="7D6128B9"/>
    <w:rsid w:val="7D6B5CC5"/>
    <w:rsid w:val="7D823FD5"/>
    <w:rsid w:val="7D846B45"/>
    <w:rsid w:val="7D884B2F"/>
    <w:rsid w:val="7D8B2AFE"/>
    <w:rsid w:val="7D8B2EF3"/>
    <w:rsid w:val="7D9A04C4"/>
    <w:rsid w:val="7DA06C1C"/>
    <w:rsid w:val="7DA8197E"/>
    <w:rsid w:val="7DAC2EE0"/>
    <w:rsid w:val="7DAC43F3"/>
    <w:rsid w:val="7DBB42EC"/>
    <w:rsid w:val="7DBC4988"/>
    <w:rsid w:val="7DBD725D"/>
    <w:rsid w:val="7DBF472A"/>
    <w:rsid w:val="7DC93ECB"/>
    <w:rsid w:val="7DCA21D2"/>
    <w:rsid w:val="7DE404DC"/>
    <w:rsid w:val="7DE6533B"/>
    <w:rsid w:val="7DEA1883"/>
    <w:rsid w:val="7DEF3FF5"/>
    <w:rsid w:val="7DF21B57"/>
    <w:rsid w:val="7E114991"/>
    <w:rsid w:val="7E1160F0"/>
    <w:rsid w:val="7E134AC9"/>
    <w:rsid w:val="7E14047A"/>
    <w:rsid w:val="7E175315"/>
    <w:rsid w:val="7E195A5A"/>
    <w:rsid w:val="7E1F7B72"/>
    <w:rsid w:val="7E213883"/>
    <w:rsid w:val="7E232D06"/>
    <w:rsid w:val="7E2F3782"/>
    <w:rsid w:val="7E327106"/>
    <w:rsid w:val="7E33779F"/>
    <w:rsid w:val="7E363055"/>
    <w:rsid w:val="7E495B4D"/>
    <w:rsid w:val="7E4E570F"/>
    <w:rsid w:val="7E5C062F"/>
    <w:rsid w:val="7E5F4684"/>
    <w:rsid w:val="7E5F71E6"/>
    <w:rsid w:val="7E62615D"/>
    <w:rsid w:val="7E626577"/>
    <w:rsid w:val="7E627EFC"/>
    <w:rsid w:val="7E6323D0"/>
    <w:rsid w:val="7E656627"/>
    <w:rsid w:val="7E6B5296"/>
    <w:rsid w:val="7E70705A"/>
    <w:rsid w:val="7E776038"/>
    <w:rsid w:val="7E7A596C"/>
    <w:rsid w:val="7E7E12C6"/>
    <w:rsid w:val="7E813D73"/>
    <w:rsid w:val="7E842C8D"/>
    <w:rsid w:val="7E887B42"/>
    <w:rsid w:val="7E90227A"/>
    <w:rsid w:val="7E9524DF"/>
    <w:rsid w:val="7EA41460"/>
    <w:rsid w:val="7EB42EAF"/>
    <w:rsid w:val="7EBF5081"/>
    <w:rsid w:val="7EC75E03"/>
    <w:rsid w:val="7ED0362D"/>
    <w:rsid w:val="7ED06918"/>
    <w:rsid w:val="7EDB0BC9"/>
    <w:rsid w:val="7EE01973"/>
    <w:rsid w:val="7EE6276B"/>
    <w:rsid w:val="7EF92D12"/>
    <w:rsid w:val="7EFB7332"/>
    <w:rsid w:val="7EFB7714"/>
    <w:rsid w:val="7F076437"/>
    <w:rsid w:val="7F093A0D"/>
    <w:rsid w:val="7F1A62D9"/>
    <w:rsid w:val="7F246068"/>
    <w:rsid w:val="7F2478AE"/>
    <w:rsid w:val="7F2E411A"/>
    <w:rsid w:val="7F2E58CA"/>
    <w:rsid w:val="7F2F418D"/>
    <w:rsid w:val="7F3A1FB4"/>
    <w:rsid w:val="7F3F342B"/>
    <w:rsid w:val="7F406B87"/>
    <w:rsid w:val="7F43310D"/>
    <w:rsid w:val="7F49118B"/>
    <w:rsid w:val="7F4D5AFD"/>
    <w:rsid w:val="7F61336A"/>
    <w:rsid w:val="7F6823EF"/>
    <w:rsid w:val="7F76245E"/>
    <w:rsid w:val="7F781D71"/>
    <w:rsid w:val="7F78719D"/>
    <w:rsid w:val="7F792409"/>
    <w:rsid w:val="7F794CA0"/>
    <w:rsid w:val="7F854BAC"/>
    <w:rsid w:val="7F9817A6"/>
    <w:rsid w:val="7F9C52A5"/>
    <w:rsid w:val="7FA13F24"/>
    <w:rsid w:val="7FA30572"/>
    <w:rsid w:val="7FA33B0E"/>
    <w:rsid w:val="7FA9094E"/>
    <w:rsid w:val="7FB054F8"/>
    <w:rsid w:val="7FB15034"/>
    <w:rsid w:val="7FBB232D"/>
    <w:rsid w:val="7FBC684A"/>
    <w:rsid w:val="7FBD6ECD"/>
    <w:rsid w:val="7FC33FBA"/>
    <w:rsid w:val="7FC36BD1"/>
    <w:rsid w:val="7FD80779"/>
    <w:rsid w:val="7FF52057"/>
    <w:rsid w:val="7FF62EB5"/>
    <w:rsid w:val="7FF943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rules v:ext="edit">
        <o:r id="V:Rule1" type="connector" idref="#_x0000_s2058"/>
        <o:r id="V:Rule2" type="connector" idref="#_x0000_s2061"/>
        <o:r id="V:Rule3" type="connector" idref="#_x0000_s2062"/>
        <o:r id="V:Rule4" type="connector" idref="#_x0000_s2063"/>
        <o:r id="V:Rule5" type="connector" idref="#_x0000_s2064"/>
        <o:r id="V:Rule6" type="connector" idref="#_x0000_s2068"/>
        <o:r id="V:Rule7" type="connector" idref="#_x0000_s2069"/>
        <o:r id="V:Rule8" type="connector" idref="#_x0000_s2070"/>
        <o:r id="V:Rule9" type="connector" idref="#_x0000_s2071"/>
        <o:r id="V:Rule10" type="connector" idref="#_x0000_s2077"/>
        <o:r id="V:Rule11" type="connector" idref="#_x0000_s2080"/>
        <o:r id="V:Rule12" type="connector" idref="#_x0000_s2081"/>
        <o:r id="V:Rule13" type="connector" idref="#_x0000_s2082"/>
        <o:r id="V:Rule14" type="connector" idref="#_x0000_s2083"/>
        <o:r id="V:Rule15" type="connector" idref="#_x0000_s2087"/>
        <o:r id="V:Rule16" type="connector" idref="#_x0000_s2091"/>
        <o:r id="V:Rule17" type="connector" idref="#_x0000_s2093"/>
        <o:r id="V:Rule18" type="connector" idref="#_x0000_s2094"/>
        <o:r id="V:Rule19" type="connector" idref="#_x0000_s2115"/>
        <o:r id="V:Rule20" type="connector" idref="#_x0000_s2128"/>
        <o:r id="V:Rule21" type="connector" idref="#_x0000_s2130"/>
        <o:r id="V:Rule22" type="connector" idref="#_x0000_s2131"/>
        <o:r id="V:Rule23" type="connector" idref="#_x0000_s2133"/>
        <o:r id="V:Rule24" type="connector" idref="#_x0000_s2134"/>
        <o:r id="V:Rule25" type="connector" idref="#_x0000_s2135"/>
        <o:r id="V:Rule26" type="connector" idref="#_x0000_s2136"/>
        <o:r id="V:Rule27" type="connector" idref="#_x0000_s2137"/>
        <o:r id="V:Rule28" type="connector" idref="#_x0000_s2138"/>
        <o:r id="V:Rule29" type="connector" idref="#_x0000_s2139"/>
        <o:r id="V:Rule30" type="connector" idref="#_x0000_s2140"/>
        <o:r id="V:Rule31" type="connector" idref="#_x0000_s2141"/>
        <o:r id="V:Rule32" type="connector" idref="#_x0000_s2142"/>
        <o:r id="V:Rule33" type="connector" idref="#_x0000_s2143"/>
        <o:r id="V:Rule34" type="connector" idref="#_x0000_s2144"/>
        <o:r id="V:Rule35" type="connector" idref="#_x0000_s2145"/>
        <o:r id="V:Rule36" type="connector" idref="#_x0000_s2146"/>
        <o:r id="V:Rule37" type="connector" idref="#_x0000_s2147"/>
        <o:r id="V:Rule38" type="connector" idref="#_x0000_s2148"/>
        <o:r id="V:Rule39" type="connector" idref="#_x0000_s2149"/>
        <o:r id="V:Rule40" type="connector" idref="#_x0000_s2169"/>
        <o:r id="V:Rule41" type="connector" idref="#_x0000_s2171"/>
        <o:r id="V:Rule42" type="connector" idref="#_x0000_s2173"/>
        <o:r id="V:Rule43" type="connector" idref="#_x0000_s2174"/>
        <o:r id="V:Rule44" type="connector" idref="#_x0000_s2175"/>
        <o:r id="V:Rule45" type="connector" idref="#_x0000_s2176"/>
        <o:r id="V:Rule46" type="connector" idref="#_x0000_s2177"/>
        <o:r id="V:Rule47" type="connector" idref="#_x0000_s2178"/>
        <o:r id="V:Rule48" type="connector" idref="#_x0000_s2179"/>
        <o:r id="V:Rule49" type="connector" idref="#_x0000_s2180"/>
        <o:r id="V:Rule50" type="connector" idref="#_x0000_s2181"/>
        <o:r id="V:Rule51" type="connector" idref="#_x0000_s2182"/>
        <o:r id="V:Rule52" type="connector" idref="#_x0000_s2185"/>
        <o:r id="V:Rule53" type="connector" idref="#_x0000_s2186"/>
        <o:r id="V:Rule54" type="connector" idref="#_x0000_s2187"/>
        <o:r id="V:Rule55" type="connector" idref="#_x0000_s2188"/>
        <o:r id="V:Rule56" type="connector" idref="#_x0000_s2190"/>
        <o:r id="V:Rule57" type="connector" idref="#_x0000_s2192"/>
        <o:r id="V:Rule58" type="connector" idref="#_x0000_s2194"/>
        <o:r id="V:Rule59" type="connector" idref="#_x0000_s2197"/>
        <o:r id="V:Rule60" type="connector" idref="#_x0000_s2198"/>
        <o:r id="V:Rule61" type="connector" idref="#_x0000_s2200"/>
        <o:r id="V:Rule62" type="connector" idref="#_x0000_s2201"/>
        <o:r id="V:Rule63" type="connector" idref="#_x0000_s2203"/>
        <o:r id="V:Rule64" type="connector" idref="#_x0000_s2208"/>
        <o:r id="V:Rule65" type="connector" idref="#_x0000_s2210"/>
        <o:r id="V:Rule66" type="connector" idref="#_x0000_s2211"/>
        <o:r id="V:Rule67" type="connector" idref="#_x0000_s2215"/>
        <o:r id="V:Rule68" type="connector" idref="#_x0000_s2217"/>
        <o:r id="V:Rule69" type="connector" idref="#_x0000_s2218"/>
        <o:r id="V:Rule70" type="connector" idref="#_x0000_s2220"/>
        <o:r id="V:Rule71" type="connector" idref="#_x0000_s2222"/>
        <o:r id="V:Rule72" type="connector" idref="#_x0000_s2223"/>
        <o:r id="V:Rule73" type="connector" idref="#_x0000_s2228"/>
        <o:r id="V:Rule74" type="connector" idref="#_x0000_s2230"/>
        <o:r id="V:Rule75" type="connector" idref="#_x0000_s2231"/>
        <o:r id="V:Rule76" type="connector" idref="#_x0000_s2234"/>
        <o:r id="V:Rule77" type="connector" idref="#_x0000_s2236"/>
        <o:r id="V:Rule78" type="connector" idref="#_x0000_s2237"/>
        <o:r id="V:Rule79" type="connector" idref="#_x0000_s2240"/>
        <o:r id="V:Rule80" type="connector" idref="#_x0000_s2242"/>
        <o:r id="V:Rule81" type="connector" idref="#_x0000_s2244"/>
        <o:r id="V:Rule82" type="connector" idref="#_x0000_s2246"/>
        <o:r id="V:Rule83" type="connector" idref="#_x0000_s2247"/>
        <o:r id="V:Rule84" type="connector" idref="#_x0000_s2250"/>
        <o:r id="V:Rule85" type="connector" idref="#_x0000_s2252"/>
        <o:r id="V:Rule86" type="connector" idref="#_x0000_s2254"/>
        <o:r id="V:Rule87" type="connector" idref="#_x0000_s2255"/>
        <o:r id="V:Rule88" type="connector" idref="#_x0000_s2262"/>
        <o:r id="V:Rule89" type="connector" idref="#_x0000_s2264"/>
        <o:r id="V:Rule90" type="connector" idref="#_x0000_s2265"/>
        <o:r id="V:Rule91" type="connector" idref="#_x0000_s2269"/>
        <o:r id="V:Rule92" type="connector" idref="#_x0000_s2271"/>
        <o:r id="V:Rule93" type="connector" idref="#_x0000_s2272"/>
        <o:r id="V:Rule94" type="connector" idref="#_x0000_s2274"/>
        <o:r id="V:Rule95" type="connector" idref="#_x0000_s2275"/>
        <o:r id="V:Rule96" type="connector" idref="#_x0000_s2277"/>
        <o:r id="V:Rule97" type="connector" idref="#_x0000_s2278"/>
        <o:r id="V:Rule98" type="connector" idref="#_x0000_s2280"/>
        <o:r id="V:Rule99" type="connector" idref="#_x0000_s2284"/>
        <o:r id="V:Rule100" type="connector" idref="#_x0000_s2285"/>
        <o:r id="V:Rule101" type="connector" idref="#_x0000_s2290"/>
        <o:r id="V:Rule102" type="connector" idref="#_x0000_s2291"/>
        <o:r id="V:Rule103" type="connector" idref="#_x0000_s2294"/>
        <o:r id="V:Rule104" type="connector" idref="#_x0000_s2296"/>
        <o:r id="V:Rule105" type="connector" idref="#_x0000_s2297"/>
        <o:r id="V:Rule106" type="connector" idref="#_x0000_s2298"/>
        <o:r id="V:Rule107" type="connector" idref="#_x0000_s2304"/>
        <o:r id="V:Rule108" type="connector" idref="#_x0000_s2305"/>
        <o:r id="V:Rule109" type="connector" idref="#_x0000_s2308"/>
        <o:r id="V:Rule110" type="connector" idref="#_x0000_s2311"/>
        <o:r id="V:Rule111" type="connector" idref="#_x0000_s2313"/>
        <o:r id="V:Rule112" type="connector" idref="#_x0000_s2314"/>
        <o:r id="V:Rule113" type="connector" idref="#_x0000_s2317"/>
        <o:r id="V:Rule114" type="connector" idref="#_x0000_s2319"/>
        <o:r id="V:Rule115" type="connector" idref="#_x0000_s2320"/>
        <o:r id="V:Rule116" type="connector" idref="#_x0000_s2323"/>
        <o:r id="V:Rule117" type="connector" idref="#_x0000_s2325"/>
        <o:r id="V:Rule118" type="connector" idref="#_x0000_s2326"/>
        <o:r id="V:Rule119" type="connector" idref="#_x0000_s2329"/>
        <o:r id="V:Rule120" type="connector" idref="#_x0000_s2331"/>
        <o:r id="V:Rule121" type="connector" idref="#_x0000_s2332"/>
        <o:r id="V:Rule122" type="connector" idref="#_x0000_s2335"/>
        <o:r id="V:Rule123" type="connector" idref="#_x0000_s2337"/>
        <o:r id="V:Rule124" type="connector" idref="#_x0000_s2338"/>
        <o:r id="V:Rule125" type="connector" idref="#_x0000_s2339"/>
        <o:r id="V:Rule126" type="connector" idref="#_x0000_s2342"/>
        <o:r id="V:Rule127" type="connector" idref="#_x0000_s2343"/>
        <o:r id="V:Rule128" type="connector" idref="#_x0000_s2344"/>
        <o:r id="V:Rule129" type="connector" idref="#_x0000_s2348"/>
        <o:r id="V:Rule130" type="connector" idref="#_x0000_s2351"/>
        <o:r id="V:Rule131" type="connector" idref="#_x0000_s2352"/>
        <o:r id="V:Rule132" type="connector" idref="#_x0000_s2354"/>
        <o:r id="V:Rule133" type="connector" idref="#_x0000_s2355"/>
        <o:r id="V:Rule134" type="connector" idref="#_x0000_s2359"/>
        <o:r id="V:Rule135" type="connector" idref="#_x0000_s2360"/>
        <o:r id="V:Rule136" type="connector" idref="#_x0000_s2364"/>
        <o:r id="V:Rule137" type="connector" idref="#_x0000_s2365"/>
        <o:r id="V:Rule138" type="connector" idref="#_x0000_s2369"/>
        <o:r id="V:Rule139" type="connector" idref="#_x0000_s2370"/>
        <o:r id="V:Rule140" type="connector" idref="#_x0000_s2373"/>
        <o:r id="V:Rule141" type="connector" idref="#_x0000_s2374"/>
        <o:r id="V:Rule142" type="connector" idref="#_x0000_s2375"/>
        <o:r id="V:Rule143" type="connector" idref="#_x0000_s2376"/>
        <o:r id="V:Rule144" type="connector" idref="#_x0000_s2377"/>
        <o:r id="V:Rule145" type="connector" idref="#_x0000_s2382"/>
        <o:r id="V:Rule146" type="connector" idref="#_x0000_s2385"/>
        <o:r id="V:Rule147" type="connector" idref="#_x0000_s2388"/>
        <o:r id="V:Rule148" type="connector" idref="#_x0000_s2406"/>
        <o:r id="V:Rule149" type="connector" idref="#_x0000_s2408"/>
        <o:r id="V:Rule150" type="connector" idref="#_x0000_s2409"/>
        <o:r id="V:Rule151" type="connector" idref="#_x0000_s2410"/>
        <o:r id="V:Rule152" type="connector" idref="#_x0000_s2413"/>
        <o:r id="V:Rule153" type="connector" idref="#_x0000_s2414"/>
        <o:r id="V:Rule154" type="connector" idref="#_x0000_s2416"/>
        <o:r id="V:Rule155" type="connector" idref="#_x0000_s2462"/>
        <o:r id="V:Rule156" type="connector" idref="#_x0000_s2464"/>
        <o:r id="V:Rule157" type="connector" idref="#_x0000_s2465"/>
        <o:r id="V:Rule158" type="connector" idref="#_x0000_s2469"/>
        <o:r id="V:Rule159" type="connector" idref="#_x0000_s2471"/>
        <o:r id="V:Rule160" type="connector" idref="#_x0000_s2472"/>
        <o:r id="V:Rule161" type="connector" idref="#_x0000_s2474"/>
        <o:r id="V:Rule162" type="connector" idref="#_x0000_s2476"/>
        <o:r id="V:Rule163" type="connector" idref="#_x0000_s2477"/>
        <o:r id="V:Rule164" type="connector" idref="#_x0000_s2482"/>
        <o:r id="V:Rule165" type="connector" idref="#_x0000_s2484"/>
        <o:r id="V:Rule166" type="connector" idref="#_x0000_s2485"/>
        <o:r id="V:Rule167" type="connector" idref="#_x0000_s2488"/>
        <o:r id="V:Rule168" type="connector" idref="#_x0000_s2490"/>
        <o:r id="V:Rule169" type="connector" idref="#_x0000_s2491"/>
        <o:r id="V:Rule170" type="connector" idref="#_x0000_s2494"/>
        <o:r id="V:Rule171" type="connector" idref="#_x0000_s2497"/>
        <o:r id="V:Rule172" type="connector" idref="#_x0000_s2500"/>
        <o:r id="V:Rule173" type="connector" idref="#_x0000_s2502"/>
        <o:r id="V:Rule174" type="connector" idref="#_x0000_s2503"/>
        <o:r id="V:Rule175" type="connector" idref="#_x0000_s2506"/>
        <o:r id="V:Rule176" type="connector" idref="#_x0000_s2508"/>
        <o:r id="V:Rule177" type="connector" idref="#_x0000_s2510"/>
        <o:r id="V:Rule178" type="connector" idref="#_x0000_s2511"/>
        <o:r id="V:Rule179" type="connector" idref="#_x0000_s2515"/>
        <o:r id="V:Rule180" type="connector" idref="#_x0000_s2516"/>
        <o:r id="V:Rule181" type="connector" idref="#_x0000_s2520"/>
        <o:r id="V:Rule182" type="connector" idref="#_x0000_s2521"/>
        <o:r id="V:Rule183" type="connector" idref="#_x0000_s2525"/>
        <o:r id="V:Rule184" type="connector" idref="#_x0000_s2526"/>
        <o:r id="V:Rule185" type="connector" idref="#_x0000_s2529"/>
        <o:r id="V:Rule186" type="connector" idref="#_x0000_s2530"/>
        <o:r id="V:Rule187" type="connector" idref="#_x0000_s2531"/>
        <o:r id="V:Rule188" type="connector" idref="#_x0000_s2532"/>
        <o:r id="V:Rule189" type="connector" idref="#_x0000_s2533"/>
        <o:r id="V:Rule190" type="connector" idref="#自选图形 1296"/>
        <o:r id="V:Rule191" type="connector" idref="#自选图形 1298"/>
        <o:r id="V:Rule192" type="connector" idref="#自选图形 1299"/>
        <o:r id="V:Rule193" type="connector" idref="#自选图形 1300"/>
        <o:r id="V:Rule194" type="connector" idref="#自选图形 1302"/>
        <o:r id="V:Rule195" type="connector" idref="#自选图形 1303"/>
        <o:r id="V:Rule196" type="connector" idref="#自选图形 1304"/>
        <o:r id="V:Rule197" type="connector" idref="#自选图形 1305"/>
        <o:r id="V:Rule198" type="connector" idref="#自选图形 1306"/>
        <o:r id="V:Rule199" type="connector" idref="#自选图形 1309"/>
        <o:r id="V:Rule200" type="connector" idref="#自选图形 1311"/>
        <o:r id="V:Rule201" type="connector" idref="#自选图形 1313"/>
        <o:r id="V:Rule202" type="connector" idref="#自选图形 1314"/>
        <o:r id="V:Rule203" type="connector" idref="#自选图形 1319"/>
        <o:r id="V:Rule204" type="connector" idref="#自选图形 1321"/>
        <o:r id="V:Rule205" type="connector" idref="#自选图形 1326"/>
        <o:r id="V:Rule206" type="connector" idref="#自选图形 1328"/>
        <o:r id="V:Rule207" type="connector" idref="#自选图形 1313"/>
        <o:r id="V:Rule208" type="connector" idref="#自选图形 1313"/>
        <o:r id="V:Rule209" type="connector" idref="#自选图形 1313"/>
        <o:r id="V:Rule210" type="connector" idref="#自选图形 1304"/>
        <o:r id="V:Rule211" type="connector" idref="#自选图形 1298"/>
        <o:r id="V:Rule212" type="connector" idref="#自选图形 1298"/>
        <o:r id="V:Rule213" type="connector" idref="#自选图形 1298"/>
        <o:r id="V:Rule214" type="connector" idref="#自选图形 1298"/>
        <o:r id="V:Rule215" type="connector" idref="#自选图形 1298"/>
        <o:r id="V:Rule216" type="connector" idref="#自选图形 1298"/>
        <o:r id="V:Rule217" type="connector" idref="#自选图形 1298"/>
        <o:r id="V:Rule218" type="connector" idref="#自选图形 1309"/>
        <o:r id="V:Rule219" type="connector" idref="#自选图形 1309"/>
        <o:r id="V:Rule220" type="connector" idref="#自选图形 1319"/>
        <o:r id="V:Rule221" type="connector" idref="#自选图形 1328"/>
        <o:r id="V:Rule222" type="connector" idref="#自选图形 1328"/>
        <o:r id="V:Rule223" type="connector" idref="#自选图形 1328"/>
        <o:r id="V:Rule224" type="connector" idref="#自选图形 1328"/>
        <o:r id="V:Rule225" type="connector" idref="#自选图形 1328"/>
        <o:r id="V:Rule226" type="connector" idref="#自选图形 1328"/>
        <o:r id="V:Rule227" type="connector" idref="#自选图形 1328"/>
        <o:r id="V:Rule228" type="connector" idref="#自选图形 1328"/>
        <o:r id="V:Rule229" type="connector" idref="#自选图形 1299"/>
        <o:r id="V:Rule230" type="connector" idref="#自选图形 1300"/>
        <o:r id="V:Rule231" type="connector" idref="#自选图形 1328"/>
        <o:r id="V:Rule232" type="connector" idref="#自选图形 1298"/>
        <o:r id="V:Rule233" type="connector" idref="#自选图形 1313"/>
        <o:r id="V:Rule234" type="connector" idref="#自选图形 1328"/>
        <o:r id="V:Rule235" type="connector" idref="#自选图形 1313"/>
        <o:r id="V:Rule236" type="connector" idref="#自选图形 1300"/>
        <o:r id="V:Rule237" type="connector" idref="#自选图形 1296"/>
        <o:r id="V:Rule238" type="connector" idref="#自选图形 1300"/>
        <o:r id="V:Rule239" type="connector" idref="#自选图形 1300"/>
        <o:r id="V:Rule240" type="connector" idref="#自选图形 1300"/>
        <o:r id="V:Rule241" type="connector" idref="#自选图形 1300"/>
        <o:r id="V:Rule242" type="connector" idref="#自选图形 1313"/>
        <o:r id="V:Rule243" type="connector" idref="#_x0000_s2676"/>
        <o:r id="V:Rule244" type="connector" idref="#_x0000_s2677"/>
        <o:r id="V:Rule245" type="connector" idref="#_x0000_s2678"/>
        <o:r id="V:Rule246" type="connector" idref="#_x0000_s2679"/>
        <o:r id="V:Rule247" type="connector" idref="#_x0000_s2683"/>
        <o:r id="V:Rule248" type="connector" idref="#_x0000_s2684"/>
        <o:r id="V:Rule249" type="connector" idref="#_x0000_s2685"/>
        <o:r id="V:Rule250" type="connector" idref="#_x0000_s2686"/>
        <o:r id="V:Rule251" type="connector" idref="#_x0000_s2692"/>
        <o:r id="V:Rule252" type="connector" idref="#_x0000_s2720"/>
        <o:r id="V:Rule253" type="connector" idref="#_x0000_s2721"/>
        <o:r id="V:Rule254" type="connector" idref="#_x0000_s2724"/>
        <o:r id="V:Rule255" type="connector" idref="#_x0000_s2726"/>
        <o:r id="V:Rule256" type="connector" idref="#_x0000_s2728"/>
        <o:r id="V:Rule257" type="connector" idref="#_x0000_s2729"/>
        <o:r id="V:Rule258" type="connector" idref="#_x0000_s2731"/>
        <o:r id="V:Rule259" type="connector" idref="#_x0000_s2732"/>
        <o:r id="V:Rule260" type="connector" idref="#_x0000_s2736"/>
        <o:r id="V:Rule261" type="connector" idref="#_x0000_s2737"/>
        <o:r id="V:Rule262" type="connector" idref="#_x0000_s2738"/>
        <o:r id="V:Rule263" type="connector" idref="#_x0000_s2739"/>
        <o:r id="V:Rule264" type="connector" idref="#_x0000_s2740"/>
        <o:r id="V:Rule265" type="connector" idref="#_x0000_s2744"/>
        <o:r id="V:Rule266" type="connector" idref="#_x0000_s2745"/>
        <o:r id="V:Rule267" type="connector" idref="#_x0000_s2746"/>
        <o:r id="V:Rule268" type="connector" idref="#_x0000_s2747"/>
        <o:r id="V:Rule269" type="connector" idref="#_x0000_s2750"/>
        <o:r id="V:Rule270" type="connector" idref="#_x0000_s2751"/>
        <o:r id="V:Rule271" type="connector" idref="#_x0000_s2756"/>
        <o:r id="V:Rule272" type="connector" idref="#_x0000_s2759"/>
        <o:r id="V:Rule273" type="connector" idref="#_x0000_s2760"/>
        <o:r id="V:Rule274" type="connector" idref="#_x0000_s2761"/>
        <o:r id="V:Rule275" type="connector" idref="#_x0000_s2765"/>
        <o:r id="V:Rule276" type="connector" idref="#_x0000_s2774"/>
        <o:r id="V:Rule277" type="connector" idref="#_x0000_s2776"/>
        <o:r id="V:Rule278" type="connector" idref="#_x0000_s2777"/>
        <o:r id="V:Rule279" type="connector" idref="#_x0000_s2778"/>
        <o:r id="V:Rule280" type="connector" idref="#_x0000_s2779"/>
        <o:r id="V:Rule281" type="connector" idref="#_x0000_s2783"/>
        <o:r id="V:Rule282" type="connector" idref="#_x0000_s2784"/>
        <o:r id="V:Rule283" type="connector" idref="#_x0000_s2785"/>
        <o:r id="V:Rule284" type="connector" idref="#_x0000_s2786"/>
        <o:r id="V:Rule285" type="connector" idref="#_x0000_s2846"/>
        <o:r id="V:Rule286" type="connector" idref="#_x0000_s2848"/>
        <o:r id="V:Rule287" type="connector" idref="#_x0000_s2850"/>
        <o:r id="V:Rule288" type="connector" idref="#_x0000_s2859"/>
        <o:r id="V:Rule289" type="connector" idref="#_x0000_s2860"/>
        <o:r id="V:Rule290" type="connector" idref="#_x0000_s2861"/>
        <o:r id="V:Rule291" type="connector" idref="#_x0000_s2862"/>
        <o:r id="V:Rule292" type="connector" idref="#_x0000_s2865"/>
        <o:r id="V:Rule293" type="connector" idref="#_x0000_s2867"/>
        <o:r id="V:Rule294" type="connector" idref="#_x0000_s2868"/>
        <o:r id="V:Rule295" type="connector" idref="#_x0000_s2869"/>
        <o:r id="V:Rule296" type="connector" idref="#_x0000_s2870"/>
        <o:r id="V:Rule297" type="connector" idref="#_x0000_s2872"/>
        <o:r id="V:Rule298" type="connector" idref="#_x0000_s2873"/>
        <o:r id="V:Rule299" type="connector" idref="#_x0000_s2874"/>
        <o:r id="V:Rule300" type="connector" idref="#_x0000_s2875"/>
        <o:r id="V:Rule301" type="connector" idref="#_x0000_s2876"/>
        <o:r id="V:Rule302" type="connector" idref="#_x0000_s2877"/>
        <o:r id="V:Rule303" type="connector" idref="#自选图形 1300"/>
        <o:r id="V:Rule304" type="connector" idref="#_x0000_s2906"/>
        <o:r id="V:Rule305" type="connector" idref="#_x0000_s2910"/>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semiHidden="0" w:name="Normal Indent"/>
    <w:lsdException w:uiPriority="99" w:name="footnote text"/>
    <w:lsdException w:qFormat="1" w:unhideWhenUsed="0" w:uiPriority="0" w:semiHidden="0" w:name="annotation text"/>
    <w:lsdException w:qFormat="1" w:uiPriority="99" w:semiHidden="0" w:name="header"/>
    <w:lsdException w:qFormat="1" w:uiPriority="0" w:semiHidden="0" w:name="footer"/>
    <w:lsdException w:uiPriority="99" w:name="index heading"/>
    <w:lsdException w:qFormat="1" w:uiPriority="35" w:name="caption"/>
    <w:lsdException w:qFormat="1" w:unhideWhenUsed="0" w:uiPriority="0" w:semiHidden="0"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qFormat="1"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qFormat="1" w:unhideWhenUsed="0" w:uiPriority="0" w:semiHidden="0" w:name="Body Text First Indent"/>
    <w:lsdException w:qFormat="1" w:uiPriority="99" w:semiHidden="0" w:name="Body Text First Indent 2"/>
    <w:lsdException w:uiPriority="99" w:name="Note Heading"/>
    <w:lsdException w:uiPriority="99" w:name="Body Text 2"/>
    <w:lsdException w:uiPriority="99" w:name="Body Text 3"/>
    <w:lsdException w:qFormat="1" w:uiPriority="99" w:name="Body Text Indent 2"/>
    <w:lsdException w:qFormat="1" w:uiPriority="99" w:semiHidden="0" w:name="Body Text Indent 3"/>
    <w:lsdException w:qFormat="1" w:unhideWhenUsed="0" w:uiPriority="0" w:semiHidden="0" w:name="Block Text"/>
    <w:lsdException w:qFormat="1" w:uiPriority="99" w:semiHidden="0" w:name="Hyperlink"/>
    <w:lsdException w:uiPriority="99" w:name="FollowedHyperlink"/>
    <w:lsdException w:qFormat="1" w:unhideWhenUsed="0" w:uiPriority="22" w:semiHidden="0" w:name="Strong"/>
    <w:lsdException w:qFormat="1" w:unhideWhenUsed="0" w:uiPriority="0" w:semiHidden="0" w:name="Emphasis"/>
    <w:lsdException w:qFormat="1"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47"/>
    <w:qFormat/>
    <w:uiPriority w:val="0"/>
    <w:pPr>
      <w:keepNext/>
      <w:keepLines/>
      <w:tabs>
        <w:tab w:val="left" w:pos="432"/>
      </w:tabs>
      <w:spacing w:before="340" w:after="330" w:line="578" w:lineRule="auto"/>
      <w:ind w:left="432" w:hanging="432"/>
      <w:outlineLvl w:val="0"/>
    </w:pPr>
    <w:rPr>
      <w:b/>
      <w:bCs/>
      <w:kern w:val="44"/>
      <w:sz w:val="44"/>
      <w:szCs w:val="44"/>
    </w:rPr>
  </w:style>
  <w:style w:type="paragraph" w:styleId="6">
    <w:name w:val="heading 2"/>
    <w:basedOn w:val="1"/>
    <w:next w:val="1"/>
    <w:link w:val="48"/>
    <w:qFormat/>
    <w:uiPriority w:val="0"/>
    <w:pPr>
      <w:keepNext/>
      <w:keepLines/>
      <w:numPr>
        <w:ilvl w:val="1"/>
        <w:numId w:val="1"/>
      </w:numPr>
      <w:tabs>
        <w:tab w:val="left" w:pos="432"/>
      </w:tabs>
      <w:spacing w:before="260" w:after="260" w:line="416" w:lineRule="auto"/>
      <w:outlineLvl w:val="1"/>
    </w:pPr>
    <w:rPr>
      <w:rFonts w:ascii="Arial" w:hAnsi="Arial" w:eastAsia="黑体"/>
      <w:b/>
      <w:bCs/>
      <w:sz w:val="32"/>
      <w:szCs w:val="32"/>
    </w:rPr>
  </w:style>
  <w:style w:type="paragraph" w:styleId="7">
    <w:name w:val="heading 3"/>
    <w:basedOn w:val="1"/>
    <w:next w:val="1"/>
    <w:link w:val="49"/>
    <w:qFormat/>
    <w:uiPriority w:val="0"/>
    <w:pPr>
      <w:keepNext/>
      <w:keepLines/>
      <w:numPr>
        <w:ilvl w:val="2"/>
        <w:numId w:val="2"/>
      </w:numPr>
      <w:tabs>
        <w:tab w:val="left" w:pos="432"/>
      </w:tabs>
      <w:spacing w:before="260" w:after="260" w:line="416" w:lineRule="auto"/>
      <w:outlineLvl w:val="2"/>
    </w:pPr>
    <w:rPr>
      <w:b/>
      <w:bCs/>
      <w:sz w:val="32"/>
      <w:szCs w:val="32"/>
    </w:rPr>
  </w:style>
  <w:style w:type="paragraph" w:styleId="8">
    <w:name w:val="heading 4"/>
    <w:basedOn w:val="1"/>
    <w:next w:val="1"/>
    <w:link w:val="50"/>
    <w:qFormat/>
    <w:uiPriority w:val="0"/>
    <w:pPr>
      <w:keepNext/>
      <w:keepLines/>
      <w:numPr>
        <w:ilvl w:val="3"/>
        <w:numId w:val="2"/>
      </w:numPr>
      <w:spacing w:line="377" w:lineRule="auto"/>
      <w:outlineLvl w:val="3"/>
    </w:pPr>
    <w:rPr>
      <w:rFonts w:ascii="宋体" w:hAnsi="宋体"/>
      <w:b/>
      <w:sz w:val="24"/>
      <w:szCs w:val="28"/>
    </w:rPr>
  </w:style>
  <w:style w:type="paragraph" w:styleId="9">
    <w:name w:val="heading 5"/>
    <w:basedOn w:val="1"/>
    <w:next w:val="1"/>
    <w:link w:val="86"/>
    <w:semiHidden/>
    <w:unhideWhenUsed/>
    <w:qFormat/>
    <w:uiPriority w:val="9"/>
    <w:pPr>
      <w:keepNext/>
      <w:keepLines/>
      <w:spacing w:before="280" w:after="290" w:line="376" w:lineRule="auto"/>
      <w:outlineLvl w:val="4"/>
    </w:pPr>
    <w:rPr>
      <w:b/>
      <w:bCs/>
      <w:sz w:val="28"/>
      <w:szCs w:val="28"/>
    </w:rPr>
  </w:style>
  <w:style w:type="character" w:default="1" w:styleId="38">
    <w:name w:val="Default Paragraph Font"/>
    <w:semiHidden/>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1"/>
    <w:link w:val="62"/>
    <w:qFormat/>
    <w:uiPriority w:val="0"/>
    <w:pPr>
      <w:ind w:firstLine="420" w:firstLineChars="100"/>
    </w:pPr>
  </w:style>
  <w:style w:type="paragraph" w:styleId="3">
    <w:name w:val="Body Text"/>
    <w:basedOn w:val="1"/>
    <w:next w:val="4"/>
    <w:link w:val="61"/>
    <w:unhideWhenUsed/>
    <w:qFormat/>
    <w:uiPriority w:val="0"/>
    <w:pPr>
      <w:spacing w:after="120"/>
    </w:pPr>
  </w:style>
  <w:style w:type="paragraph" w:styleId="4">
    <w:name w:val="List Bullet 5"/>
    <w:basedOn w:val="1"/>
    <w:semiHidden/>
    <w:unhideWhenUsed/>
    <w:qFormat/>
    <w:uiPriority w:val="99"/>
    <w:pPr>
      <w:numPr>
        <w:ilvl w:val="0"/>
        <w:numId w:val="3"/>
      </w:numPr>
    </w:pPr>
  </w:style>
  <w:style w:type="paragraph" w:styleId="10">
    <w:name w:val="toc 7"/>
    <w:basedOn w:val="1"/>
    <w:next w:val="1"/>
    <w:unhideWhenUsed/>
    <w:qFormat/>
    <w:uiPriority w:val="39"/>
    <w:pPr>
      <w:ind w:left="1260"/>
      <w:jc w:val="left"/>
    </w:pPr>
    <w:rPr>
      <w:rFonts w:asciiTheme="minorHAnsi" w:hAnsiTheme="minorHAnsi" w:cstheme="minorHAnsi"/>
      <w:sz w:val="20"/>
      <w:szCs w:val="20"/>
    </w:rPr>
  </w:style>
  <w:style w:type="paragraph" w:styleId="11">
    <w:name w:val="Normal Indent"/>
    <w:basedOn w:val="1"/>
    <w:link w:val="98"/>
    <w:unhideWhenUsed/>
    <w:qFormat/>
    <w:uiPriority w:val="0"/>
    <w:pPr>
      <w:ind w:firstLine="420" w:firstLineChars="200"/>
    </w:pPr>
  </w:style>
  <w:style w:type="paragraph" w:styleId="12">
    <w:name w:val="Document Map"/>
    <w:basedOn w:val="1"/>
    <w:link w:val="96"/>
    <w:semiHidden/>
    <w:unhideWhenUsed/>
    <w:qFormat/>
    <w:uiPriority w:val="99"/>
    <w:rPr>
      <w:rFonts w:ascii="宋体"/>
      <w:sz w:val="18"/>
      <w:szCs w:val="18"/>
    </w:rPr>
  </w:style>
  <w:style w:type="paragraph" w:styleId="13">
    <w:name w:val="annotation text"/>
    <w:basedOn w:val="1"/>
    <w:link w:val="75"/>
    <w:qFormat/>
    <w:uiPriority w:val="0"/>
    <w:pPr>
      <w:jc w:val="left"/>
    </w:pPr>
  </w:style>
  <w:style w:type="paragraph" w:styleId="14">
    <w:name w:val="Body Text Indent"/>
    <w:basedOn w:val="1"/>
    <w:next w:val="15"/>
    <w:link w:val="65"/>
    <w:semiHidden/>
    <w:unhideWhenUsed/>
    <w:qFormat/>
    <w:uiPriority w:val="99"/>
    <w:pPr>
      <w:spacing w:after="120"/>
      <w:ind w:left="420" w:leftChars="200"/>
    </w:pPr>
  </w:style>
  <w:style w:type="paragraph" w:customStyle="1" w:styleId="15">
    <w:name w:val="样式 正文文本缩进 + 行距: 1.5 倍行距"/>
    <w:basedOn w:val="1"/>
    <w:qFormat/>
    <w:uiPriority w:val="0"/>
    <w:pPr>
      <w:spacing w:after="120" w:line="360" w:lineRule="auto"/>
      <w:ind w:left="90" w:leftChars="32" w:firstLine="560" w:firstLineChars="200"/>
    </w:pPr>
    <w:rPr>
      <w:rFonts w:cs="宋体"/>
      <w:sz w:val="24"/>
    </w:rPr>
  </w:style>
  <w:style w:type="paragraph" w:styleId="16">
    <w:name w:val="Block Text"/>
    <w:basedOn w:val="1"/>
    <w:qFormat/>
    <w:uiPriority w:val="0"/>
    <w:pPr>
      <w:ind w:left="210" w:leftChars="100" w:right="210" w:rightChars="100" w:firstLine="560" w:firstLineChars="200"/>
    </w:pPr>
    <w:rPr>
      <w:rFonts w:ascii="宋体" w:hAnsi="宋体"/>
      <w:sz w:val="28"/>
    </w:rPr>
  </w:style>
  <w:style w:type="paragraph" w:styleId="17">
    <w:name w:val="toc 5"/>
    <w:basedOn w:val="1"/>
    <w:next w:val="1"/>
    <w:unhideWhenUsed/>
    <w:qFormat/>
    <w:uiPriority w:val="39"/>
    <w:pPr>
      <w:ind w:left="840"/>
      <w:jc w:val="left"/>
    </w:pPr>
    <w:rPr>
      <w:rFonts w:asciiTheme="minorHAnsi" w:hAnsiTheme="minorHAnsi" w:cstheme="minorHAnsi"/>
      <w:sz w:val="20"/>
      <w:szCs w:val="20"/>
    </w:rPr>
  </w:style>
  <w:style w:type="paragraph" w:styleId="18">
    <w:name w:val="toc 3"/>
    <w:basedOn w:val="1"/>
    <w:next w:val="1"/>
    <w:unhideWhenUsed/>
    <w:qFormat/>
    <w:uiPriority w:val="39"/>
    <w:pPr>
      <w:ind w:left="420"/>
      <w:jc w:val="left"/>
    </w:pPr>
    <w:rPr>
      <w:rFonts w:asciiTheme="minorHAnsi" w:hAnsiTheme="minorHAnsi" w:cstheme="minorHAnsi"/>
      <w:sz w:val="20"/>
      <w:szCs w:val="20"/>
    </w:rPr>
  </w:style>
  <w:style w:type="paragraph" w:styleId="19">
    <w:name w:val="Plain Text"/>
    <w:basedOn w:val="1"/>
    <w:link w:val="60"/>
    <w:qFormat/>
    <w:uiPriority w:val="0"/>
    <w:rPr>
      <w:rFonts w:ascii="宋体" w:hAnsi="Courier New" w:cstheme="minorBidi"/>
      <w:kern w:val="24"/>
      <w:sz w:val="24"/>
      <w:szCs w:val="21"/>
    </w:rPr>
  </w:style>
  <w:style w:type="paragraph" w:styleId="20">
    <w:name w:val="toc 8"/>
    <w:basedOn w:val="1"/>
    <w:next w:val="1"/>
    <w:unhideWhenUsed/>
    <w:qFormat/>
    <w:uiPriority w:val="39"/>
    <w:pPr>
      <w:ind w:left="1470"/>
      <w:jc w:val="left"/>
    </w:pPr>
    <w:rPr>
      <w:rFonts w:asciiTheme="minorHAnsi" w:hAnsiTheme="minorHAnsi" w:cstheme="minorHAnsi"/>
      <w:sz w:val="20"/>
      <w:szCs w:val="20"/>
    </w:rPr>
  </w:style>
  <w:style w:type="paragraph" w:styleId="21">
    <w:name w:val="Date"/>
    <w:basedOn w:val="1"/>
    <w:next w:val="1"/>
    <w:link w:val="53"/>
    <w:unhideWhenUsed/>
    <w:qFormat/>
    <w:uiPriority w:val="0"/>
    <w:pPr>
      <w:ind w:left="100" w:leftChars="2500"/>
    </w:pPr>
  </w:style>
  <w:style w:type="paragraph" w:styleId="22">
    <w:name w:val="Body Text Indent 2"/>
    <w:basedOn w:val="1"/>
    <w:link w:val="71"/>
    <w:semiHidden/>
    <w:unhideWhenUsed/>
    <w:qFormat/>
    <w:uiPriority w:val="99"/>
    <w:pPr>
      <w:spacing w:after="120" w:line="480" w:lineRule="auto"/>
      <w:ind w:left="420" w:leftChars="200"/>
    </w:pPr>
  </w:style>
  <w:style w:type="paragraph" w:styleId="23">
    <w:name w:val="Balloon Text"/>
    <w:basedOn w:val="1"/>
    <w:link w:val="68"/>
    <w:semiHidden/>
    <w:unhideWhenUsed/>
    <w:qFormat/>
    <w:uiPriority w:val="99"/>
    <w:rPr>
      <w:sz w:val="18"/>
      <w:szCs w:val="18"/>
    </w:rPr>
  </w:style>
  <w:style w:type="paragraph" w:styleId="24">
    <w:name w:val="footer"/>
    <w:basedOn w:val="1"/>
    <w:link w:val="46"/>
    <w:unhideWhenUsed/>
    <w:qFormat/>
    <w:uiPriority w:val="0"/>
    <w:pPr>
      <w:tabs>
        <w:tab w:val="center" w:pos="4153"/>
        <w:tab w:val="right" w:pos="8306"/>
      </w:tabs>
      <w:snapToGrid w:val="0"/>
      <w:jc w:val="left"/>
    </w:pPr>
    <w:rPr>
      <w:sz w:val="18"/>
      <w:szCs w:val="18"/>
    </w:rPr>
  </w:style>
  <w:style w:type="paragraph" w:styleId="25">
    <w:name w:val="header"/>
    <w:basedOn w:val="1"/>
    <w:link w:val="45"/>
    <w:unhideWhenUsed/>
    <w:qFormat/>
    <w:uiPriority w:val="99"/>
    <w:pPr>
      <w:pBdr>
        <w:bottom w:val="single" w:color="auto" w:sz="6" w:space="1"/>
      </w:pBdr>
      <w:tabs>
        <w:tab w:val="center" w:pos="4153"/>
        <w:tab w:val="right" w:pos="8306"/>
      </w:tabs>
      <w:snapToGrid w:val="0"/>
      <w:jc w:val="center"/>
    </w:pPr>
    <w:rPr>
      <w:sz w:val="18"/>
      <w:szCs w:val="18"/>
    </w:rPr>
  </w:style>
  <w:style w:type="paragraph" w:styleId="26">
    <w:name w:val="toc 1"/>
    <w:basedOn w:val="1"/>
    <w:next w:val="1"/>
    <w:unhideWhenUsed/>
    <w:qFormat/>
    <w:uiPriority w:val="39"/>
    <w:pPr>
      <w:spacing w:before="120"/>
      <w:jc w:val="left"/>
    </w:pPr>
    <w:rPr>
      <w:rFonts w:asciiTheme="minorHAnsi" w:hAnsiTheme="minorHAnsi" w:cstheme="minorHAnsi"/>
      <w:b/>
      <w:bCs/>
      <w:i/>
      <w:iCs/>
      <w:sz w:val="24"/>
    </w:rPr>
  </w:style>
  <w:style w:type="paragraph" w:styleId="27">
    <w:name w:val="toc 4"/>
    <w:basedOn w:val="1"/>
    <w:next w:val="1"/>
    <w:unhideWhenUsed/>
    <w:qFormat/>
    <w:uiPriority w:val="39"/>
    <w:pPr>
      <w:ind w:left="630"/>
      <w:jc w:val="left"/>
    </w:pPr>
    <w:rPr>
      <w:rFonts w:asciiTheme="minorHAnsi" w:hAnsiTheme="minorHAnsi" w:cstheme="minorHAnsi"/>
      <w:sz w:val="20"/>
      <w:szCs w:val="20"/>
    </w:rPr>
  </w:style>
  <w:style w:type="paragraph" w:styleId="28">
    <w:name w:val="List"/>
    <w:basedOn w:val="1"/>
    <w:qFormat/>
    <w:uiPriority w:val="0"/>
    <w:pPr>
      <w:ind w:left="200" w:hanging="200" w:hangingChars="200"/>
    </w:pPr>
  </w:style>
  <w:style w:type="paragraph" w:styleId="29">
    <w:name w:val="toc 6"/>
    <w:basedOn w:val="1"/>
    <w:next w:val="1"/>
    <w:unhideWhenUsed/>
    <w:qFormat/>
    <w:uiPriority w:val="39"/>
    <w:pPr>
      <w:ind w:left="1050"/>
      <w:jc w:val="left"/>
    </w:pPr>
    <w:rPr>
      <w:rFonts w:asciiTheme="minorHAnsi" w:hAnsiTheme="minorHAnsi" w:cstheme="minorHAnsi"/>
      <w:sz w:val="20"/>
      <w:szCs w:val="20"/>
    </w:rPr>
  </w:style>
  <w:style w:type="paragraph" w:styleId="30">
    <w:name w:val="Body Text Indent 3"/>
    <w:basedOn w:val="1"/>
    <w:link w:val="109"/>
    <w:unhideWhenUsed/>
    <w:qFormat/>
    <w:uiPriority w:val="99"/>
    <w:pPr>
      <w:spacing w:after="120"/>
      <w:ind w:left="420" w:leftChars="200"/>
    </w:pPr>
    <w:rPr>
      <w:sz w:val="16"/>
      <w:szCs w:val="16"/>
    </w:rPr>
  </w:style>
  <w:style w:type="paragraph" w:styleId="31">
    <w:name w:val="table of figures"/>
    <w:basedOn w:val="1"/>
    <w:next w:val="1"/>
    <w:qFormat/>
    <w:uiPriority w:val="0"/>
    <w:pPr>
      <w:widowControl/>
      <w:adjustRightInd w:val="0"/>
      <w:spacing w:line="360" w:lineRule="auto"/>
      <w:ind w:firstLine="200" w:firstLineChars="200"/>
      <w:jc w:val="left"/>
    </w:pPr>
    <w:rPr>
      <w:kern w:val="0"/>
      <w:sz w:val="24"/>
    </w:rPr>
  </w:style>
  <w:style w:type="paragraph" w:styleId="32">
    <w:name w:val="toc 2"/>
    <w:basedOn w:val="1"/>
    <w:next w:val="1"/>
    <w:unhideWhenUsed/>
    <w:qFormat/>
    <w:uiPriority w:val="39"/>
    <w:pPr>
      <w:tabs>
        <w:tab w:val="left" w:pos="600"/>
        <w:tab w:val="right" w:leader="dot" w:pos="9060"/>
      </w:tabs>
      <w:spacing w:before="120"/>
      <w:ind w:left="210"/>
      <w:jc w:val="left"/>
    </w:pPr>
    <w:rPr>
      <w:rFonts w:asciiTheme="minorHAnsi" w:hAnsiTheme="minorHAnsi" w:cstheme="minorHAnsi"/>
      <w:b/>
      <w:bCs/>
      <w:sz w:val="22"/>
      <w:szCs w:val="22"/>
    </w:rPr>
  </w:style>
  <w:style w:type="paragraph" w:styleId="33">
    <w:name w:val="toc 9"/>
    <w:basedOn w:val="1"/>
    <w:next w:val="1"/>
    <w:unhideWhenUsed/>
    <w:qFormat/>
    <w:uiPriority w:val="39"/>
    <w:pPr>
      <w:ind w:left="1680"/>
      <w:jc w:val="left"/>
    </w:pPr>
    <w:rPr>
      <w:rFonts w:asciiTheme="minorHAnsi" w:hAnsiTheme="minorHAnsi" w:cstheme="minorHAnsi"/>
      <w:sz w:val="20"/>
      <w:szCs w:val="20"/>
    </w:rPr>
  </w:style>
  <w:style w:type="paragraph" w:styleId="34">
    <w:name w:val="Normal (Web)"/>
    <w:basedOn w:val="1"/>
    <w:link w:val="97"/>
    <w:qFormat/>
    <w:uiPriority w:val="99"/>
    <w:pPr>
      <w:jc w:val="left"/>
    </w:pPr>
    <w:rPr>
      <w:rFonts w:asciiTheme="minorHAnsi" w:hAnsiTheme="minorHAnsi" w:eastAsiaTheme="minorEastAsia"/>
      <w:kern w:val="0"/>
      <w:sz w:val="24"/>
    </w:rPr>
  </w:style>
  <w:style w:type="paragraph" w:styleId="35">
    <w:name w:val="Body Text First Indent 2"/>
    <w:basedOn w:val="14"/>
    <w:next w:val="1"/>
    <w:link w:val="82"/>
    <w:unhideWhenUsed/>
    <w:qFormat/>
    <w:uiPriority w:val="99"/>
    <w:pPr>
      <w:ind w:firstLine="420" w:firstLineChars="200"/>
    </w:pPr>
  </w:style>
  <w:style w:type="table" w:styleId="37">
    <w:name w:val="Table Grid"/>
    <w:basedOn w:val="3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9">
    <w:name w:val="Strong"/>
    <w:basedOn w:val="38"/>
    <w:qFormat/>
    <w:uiPriority w:val="22"/>
    <w:rPr>
      <w:b/>
      <w:bCs/>
    </w:rPr>
  </w:style>
  <w:style w:type="character" w:styleId="40">
    <w:name w:val="page number"/>
    <w:basedOn w:val="38"/>
    <w:qFormat/>
    <w:uiPriority w:val="0"/>
  </w:style>
  <w:style w:type="character" w:styleId="41">
    <w:name w:val="Emphasis"/>
    <w:basedOn w:val="38"/>
    <w:qFormat/>
    <w:uiPriority w:val="0"/>
    <w:rPr>
      <w:i/>
      <w:iCs/>
    </w:rPr>
  </w:style>
  <w:style w:type="character" w:styleId="42">
    <w:name w:val="Hyperlink"/>
    <w:basedOn w:val="38"/>
    <w:unhideWhenUsed/>
    <w:qFormat/>
    <w:uiPriority w:val="99"/>
    <w:rPr>
      <w:color w:val="0000FF"/>
      <w:u w:val="single"/>
    </w:rPr>
  </w:style>
  <w:style w:type="character" w:styleId="43">
    <w:name w:val="annotation reference"/>
    <w:basedOn w:val="38"/>
    <w:qFormat/>
    <w:uiPriority w:val="0"/>
    <w:rPr>
      <w:sz w:val="21"/>
      <w:szCs w:val="21"/>
    </w:rPr>
  </w:style>
  <w:style w:type="paragraph" w:customStyle="1" w:styleId="44">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45">
    <w:name w:val="页眉 Char"/>
    <w:basedOn w:val="38"/>
    <w:link w:val="25"/>
    <w:qFormat/>
    <w:uiPriority w:val="99"/>
    <w:rPr>
      <w:sz w:val="18"/>
      <w:szCs w:val="18"/>
    </w:rPr>
  </w:style>
  <w:style w:type="character" w:customStyle="1" w:styleId="46">
    <w:name w:val="页脚 Char"/>
    <w:basedOn w:val="38"/>
    <w:link w:val="24"/>
    <w:qFormat/>
    <w:uiPriority w:val="0"/>
    <w:rPr>
      <w:sz w:val="18"/>
      <w:szCs w:val="18"/>
    </w:rPr>
  </w:style>
  <w:style w:type="character" w:customStyle="1" w:styleId="47">
    <w:name w:val="标题 1 Char"/>
    <w:basedOn w:val="38"/>
    <w:link w:val="5"/>
    <w:qFormat/>
    <w:uiPriority w:val="0"/>
    <w:rPr>
      <w:rFonts w:ascii="Times New Roman" w:hAnsi="Times New Roman" w:eastAsia="宋体" w:cs="Times New Roman"/>
      <w:b/>
      <w:bCs/>
      <w:kern w:val="44"/>
      <w:sz w:val="44"/>
      <w:szCs w:val="44"/>
    </w:rPr>
  </w:style>
  <w:style w:type="character" w:customStyle="1" w:styleId="48">
    <w:name w:val="标题 2 Char"/>
    <w:basedOn w:val="38"/>
    <w:link w:val="6"/>
    <w:qFormat/>
    <w:uiPriority w:val="0"/>
    <w:rPr>
      <w:rFonts w:ascii="Arial" w:hAnsi="Arial" w:eastAsia="黑体" w:cs="Times New Roman"/>
      <w:b/>
      <w:bCs/>
      <w:kern w:val="2"/>
      <w:sz w:val="32"/>
      <w:szCs w:val="32"/>
    </w:rPr>
  </w:style>
  <w:style w:type="character" w:customStyle="1" w:styleId="49">
    <w:name w:val="标题 3 Char"/>
    <w:basedOn w:val="38"/>
    <w:link w:val="7"/>
    <w:qFormat/>
    <w:uiPriority w:val="0"/>
    <w:rPr>
      <w:rFonts w:ascii="Times New Roman" w:hAnsi="Times New Roman" w:eastAsia="宋体" w:cs="Times New Roman"/>
      <w:b/>
      <w:bCs/>
      <w:kern w:val="2"/>
      <w:sz w:val="32"/>
      <w:szCs w:val="32"/>
    </w:rPr>
  </w:style>
  <w:style w:type="character" w:customStyle="1" w:styleId="50">
    <w:name w:val="标题 4 Char"/>
    <w:basedOn w:val="38"/>
    <w:link w:val="8"/>
    <w:qFormat/>
    <w:uiPriority w:val="0"/>
    <w:rPr>
      <w:rFonts w:ascii="宋体" w:hAnsi="宋体" w:eastAsia="宋体" w:cs="Times New Roman"/>
      <w:b/>
      <w:sz w:val="24"/>
      <w:szCs w:val="28"/>
    </w:rPr>
  </w:style>
  <w:style w:type="character" w:customStyle="1" w:styleId="51">
    <w:name w:val="fontstyle01"/>
    <w:basedOn w:val="38"/>
    <w:qFormat/>
    <w:uiPriority w:val="0"/>
    <w:rPr>
      <w:rFonts w:hint="default" w:ascii="TimesNewRomanPSMT" w:hAnsi="TimesNewRomanPSMT"/>
      <w:color w:val="000000"/>
      <w:sz w:val="22"/>
      <w:szCs w:val="22"/>
    </w:rPr>
  </w:style>
  <w:style w:type="character" w:customStyle="1" w:styleId="52">
    <w:name w:val="fontstyle21"/>
    <w:basedOn w:val="38"/>
    <w:qFormat/>
    <w:uiPriority w:val="0"/>
    <w:rPr>
      <w:rFonts w:hint="eastAsia" w:ascii="宋体" w:hAnsi="宋体" w:eastAsia="宋体"/>
      <w:color w:val="000000"/>
      <w:sz w:val="22"/>
      <w:szCs w:val="22"/>
    </w:rPr>
  </w:style>
  <w:style w:type="character" w:customStyle="1" w:styleId="53">
    <w:name w:val="日期 Char"/>
    <w:basedOn w:val="38"/>
    <w:link w:val="21"/>
    <w:semiHidden/>
    <w:qFormat/>
    <w:uiPriority w:val="99"/>
    <w:rPr>
      <w:rFonts w:ascii="Times New Roman" w:hAnsi="Times New Roman" w:eastAsia="宋体" w:cs="Times New Roman"/>
      <w:szCs w:val="24"/>
    </w:rPr>
  </w:style>
  <w:style w:type="paragraph" w:customStyle="1" w:styleId="54">
    <w:name w:val="Char Char Char Char"/>
    <w:basedOn w:val="1"/>
    <w:qFormat/>
    <w:uiPriority w:val="0"/>
    <w:rPr>
      <w:sz w:val="24"/>
    </w:rPr>
  </w:style>
  <w:style w:type="paragraph" w:styleId="55">
    <w:name w:val="List Paragraph"/>
    <w:basedOn w:val="1"/>
    <w:qFormat/>
    <w:uiPriority w:val="99"/>
    <w:pPr>
      <w:ind w:firstLine="420" w:firstLineChars="200"/>
    </w:pPr>
  </w:style>
  <w:style w:type="character" w:customStyle="1" w:styleId="56">
    <w:name w:val="fontstyle11"/>
    <w:basedOn w:val="38"/>
    <w:qFormat/>
    <w:uiPriority w:val="0"/>
    <w:rPr>
      <w:rFonts w:hint="default" w:ascii="Times New Roman" w:hAnsi="Times New Roman" w:cs="Times New Roman"/>
      <w:color w:val="000000"/>
      <w:sz w:val="24"/>
      <w:szCs w:val="24"/>
    </w:rPr>
  </w:style>
  <w:style w:type="character" w:customStyle="1" w:styleId="57">
    <w:name w:val="标题1"/>
    <w:basedOn w:val="38"/>
    <w:qFormat/>
    <w:uiPriority w:val="0"/>
  </w:style>
  <w:style w:type="character" w:customStyle="1" w:styleId="58">
    <w:name w:val="fontstyle31"/>
    <w:basedOn w:val="38"/>
    <w:qFormat/>
    <w:uiPriority w:val="0"/>
    <w:rPr>
      <w:rFonts w:hint="eastAsia" w:ascii="宋体" w:hAnsi="宋体" w:eastAsia="宋体"/>
      <w:color w:val="000000"/>
      <w:sz w:val="24"/>
      <w:szCs w:val="24"/>
    </w:rPr>
  </w:style>
  <w:style w:type="character" w:customStyle="1" w:styleId="59">
    <w:name w:val="正文文本 Char"/>
    <w:qFormat/>
    <w:uiPriority w:val="0"/>
    <w:rPr>
      <w:rFonts w:eastAsia="宋体"/>
      <w:kern w:val="2"/>
      <w:sz w:val="21"/>
      <w:szCs w:val="24"/>
      <w:lang w:val="en-US" w:eastAsia="zh-CN" w:bidi="ar-SA"/>
    </w:rPr>
  </w:style>
  <w:style w:type="character" w:customStyle="1" w:styleId="60">
    <w:name w:val="纯文本 Char1"/>
    <w:link w:val="19"/>
    <w:qFormat/>
    <w:uiPriority w:val="0"/>
    <w:rPr>
      <w:rFonts w:ascii="宋体" w:hAnsi="Courier New" w:eastAsia="宋体"/>
      <w:kern w:val="24"/>
      <w:sz w:val="24"/>
      <w:szCs w:val="21"/>
    </w:rPr>
  </w:style>
  <w:style w:type="character" w:customStyle="1" w:styleId="61">
    <w:name w:val="正文文本 Char1"/>
    <w:basedOn w:val="38"/>
    <w:link w:val="3"/>
    <w:semiHidden/>
    <w:qFormat/>
    <w:uiPriority w:val="99"/>
    <w:rPr>
      <w:rFonts w:ascii="Times New Roman" w:hAnsi="Times New Roman" w:eastAsia="宋体" w:cs="Times New Roman"/>
      <w:szCs w:val="24"/>
    </w:rPr>
  </w:style>
  <w:style w:type="character" w:customStyle="1" w:styleId="62">
    <w:name w:val="正文首行缩进 Char"/>
    <w:basedOn w:val="61"/>
    <w:link w:val="2"/>
    <w:qFormat/>
    <w:uiPriority w:val="0"/>
    <w:rPr>
      <w:rFonts w:ascii="Times New Roman" w:hAnsi="Times New Roman" w:eastAsia="宋体" w:cs="Times New Roman"/>
      <w:szCs w:val="24"/>
    </w:rPr>
  </w:style>
  <w:style w:type="character" w:customStyle="1" w:styleId="63">
    <w:name w:val="纯文本 Char"/>
    <w:basedOn w:val="38"/>
    <w:semiHidden/>
    <w:qFormat/>
    <w:uiPriority w:val="99"/>
    <w:rPr>
      <w:rFonts w:ascii="宋体" w:hAnsi="Courier New" w:eastAsia="宋体" w:cs="Courier New"/>
      <w:szCs w:val="21"/>
    </w:rPr>
  </w:style>
  <w:style w:type="paragraph" w:customStyle="1" w:styleId="64">
    <w:name w:val="Char"/>
    <w:basedOn w:val="1"/>
    <w:qFormat/>
    <w:uiPriority w:val="0"/>
    <w:rPr>
      <w:szCs w:val="21"/>
    </w:rPr>
  </w:style>
  <w:style w:type="character" w:customStyle="1" w:styleId="65">
    <w:name w:val="正文文本缩进 Char"/>
    <w:basedOn w:val="38"/>
    <w:link w:val="14"/>
    <w:semiHidden/>
    <w:qFormat/>
    <w:uiPriority w:val="99"/>
    <w:rPr>
      <w:rFonts w:ascii="Times New Roman" w:hAnsi="Times New Roman" w:eastAsia="宋体" w:cs="Times New Roman"/>
      <w:szCs w:val="24"/>
    </w:rPr>
  </w:style>
  <w:style w:type="paragraph" w:customStyle="1" w:styleId="66">
    <w:name w:val="Char Char Char Char1"/>
    <w:basedOn w:val="1"/>
    <w:qFormat/>
    <w:uiPriority w:val="0"/>
    <w:rPr>
      <w:sz w:val="24"/>
    </w:rPr>
  </w:style>
  <w:style w:type="paragraph" w:customStyle="1" w:styleId="67">
    <w:name w:val="Char Char Char Char2"/>
    <w:basedOn w:val="1"/>
    <w:qFormat/>
    <w:uiPriority w:val="0"/>
    <w:rPr>
      <w:sz w:val="24"/>
    </w:rPr>
  </w:style>
  <w:style w:type="character" w:customStyle="1" w:styleId="68">
    <w:name w:val="批注框文本 Char"/>
    <w:basedOn w:val="38"/>
    <w:link w:val="23"/>
    <w:semiHidden/>
    <w:qFormat/>
    <w:uiPriority w:val="99"/>
    <w:rPr>
      <w:rFonts w:ascii="Times New Roman" w:hAnsi="Times New Roman" w:eastAsia="宋体" w:cs="Times New Roman"/>
      <w:sz w:val="18"/>
      <w:szCs w:val="18"/>
    </w:rPr>
  </w:style>
  <w:style w:type="character" w:styleId="69">
    <w:name w:val="Placeholder Text"/>
    <w:basedOn w:val="38"/>
    <w:semiHidden/>
    <w:qFormat/>
    <w:uiPriority w:val="99"/>
    <w:rPr>
      <w:color w:val="808080"/>
    </w:rPr>
  </w:style>
  <w:style w:type="paragraph" w:customStyle="1" w:styleId="70">
    <w:name w:val="Char Char Char Char3"/>
    <w:basedOn w:val="1"/>
    <w:qFormat/>
    <w:uiPriority w:val="0"/>
    <w:rPr>
      <w:sz w:val="24"/>
    </w:rPr>
  </w:style>
  <w:style w:type="character" w:customStyle="1" w:styleId="71">
    <w:name w:val="正文文本缩进 2 Char"/>
    <w:basedOn w:val="38"/>
    <w:link w:val="22"/>
    <w:semiHidden/>
    <w:qFormat/>
    <w:uiPriority w:val="99"/>
    <w:rPr>
      <w:rFonts w:ascii="Times New Roman" w:hAnsi="Times New Roman" w:eastAsia="宋体" w:cs="Times New Roman"/>
      <w:szCs w:val="24"/>
    </w:rPr>
  </w:style>
  <w:style w:type="character" w:customStyle="1" w:styleId="72">
    <w:name w:val="我的表头 Char"/>
    <w:link w:val="73"/>
    <w:qFormat/>
    <w:uiPriority w:val="0"/>
    <w:rPr>
      <w:rFonts w:ascii="Times New Roman" w:hAnsi="Times New Roman" w:eastAsia="黑体" w:cs="宋体"/>
      <w:szCs w:val="24"/>
    </w:rPr>
  </w:style>
  <w:style w:type="paragraph" w:customStyle="1" w:styleId="73">
    <w:name w:val="我的表头"/>
    <w:next w:val="27"/>
    <w:link w:val="72"/>
    <w:qFormat/>
    <w:uiPriority w:val="0"/>
    <w:pPr>
      <w:spacing w:line="360" w:lineRule="auto"/>
      <w:jc w:val="center"/>
    </w:pPr>
    <w:rPr>
      <w:rFonts w:ascii="Times New Roman" w:hAnsi="Times New Roman" w:eastAsia="黑体" w:cs="宋体"/>
      <w:kern w:val="2"/>
      <w:sz w:val="21"/>
      <w:szCs w:val="24"/>
      <w:lang w:val="en-US" w:eastAsia="zh-CN" w:bidi="ar-SA"/>
    </w:rPr>
  </w:style>
  <w:style w:type="paragraph" w:customStyle="1" w:styleId="74">
    <w:name w:val="中文报告书样式"/>
    <w:next w:val="11"/>
    <w:qFormat/>
    <w:uiPriority w:val="0"/>
    <w:pPr>
      <w:widowControl w:val="0"/>
      <w:adjustRightInd w:val="0"/>
      <w:spacing w:line="480" w:lineRule="atLeast"/>
      <w:ind w:firstLine="482"/>
      <w:jc w:val="both"/>
    </w:pPr>
    <w:rPr>
      <w:rFonts w:ascii="宋体" w:hAnsi="Times New Roman" w:eastAsia="宋体" w:cs="宋体"/>
      <w:kern w:val="24"/>
      <w:sz w:val="24"/>
      <w:szCs w:val="28"/>
      <w:lang w:val="en-US" w:eastAsia="zh-CN" w:bidi="ar-SA"/>
    </w:rPr>
  </w:style>
  <w:style w:type="character" w:customStyle="1" w:styleId="75">
    <w:name w:val="批注文字 Char"/>
    <w:basedOn w:val="38"/>
    <w:link w:val="13"/>
    <w:qFormat/>
    <w:uiPriority w:val="0"/>
    <w:rPr>
      <w:rFonts w:ascii="Times New Roman" w:hAnsi="Times New Roman" w:eastAsia="宋体" w:cs="Times New Roman"/>
      <w:szCs w:val="24"/>
    </w:rPr>
  </w:style>
  <w:style w:type="paragraph" w:customStyle="1" w:styleId="76">
    <w:name w:val="表内式样"/>
    <w:qFormat/>
    <w:uiPriority w:val="0"/>
    <w:pPr>
      <w:widowControl w:val="0"/>
      <w:kinsoku w:val="0"/>
      <w:adjustRightInd w:val="0"/>
      <w:spacing w:line="360" w:lineRule="atLeast"/>
      <w:jc w:val="both"/>
      <w:textAlignment w:val="baseline"/>
    </w:pPr>
    <w:rPr>
      <w:rFonts w:ascii="宋体" w:hAnsi="Times New Roman" w:eastAsia="宋体" w:cs="Times New Roman"/>
      <w:snapToGrid w:val="0"/>
      <w:sz w:val="21"/>
      <w:lang w:val="en-US" w:eastAsia="zh-CN" w:bidi="ar-SA"/>
    </w:rPr>
  </w:style>
  <w:style w:type="paragraph" w:customStyle="1" w:styleId="77">
    <w:name w:val="表格"/>
    <w:basedOn w:val="1"/>
    <w:link w:val="111"/>
    <w:qFormat/>
    <w:uiPriority w:val="0"/>
    <w:pPr>
      <w:widowControl/>
      <w:adjustRightInd w:val="0"/>
      <w:snapToGrid w:val="0"/>
      <w:ind w:firstLine="200" w:firstLineChars="200"/>
      <w:jc w:val="center"/>
    </w:pPr>
    <w:rPr>
      <w:rFonts w:cs="宋体"/>
      <w:snapToGrid w:val="0"/>
      <w:spacing w:val="-4"/>
      <w:kern w:val="0"/>
      <w:szCs w:val="21"/>
    </w:rPr>
  </w:style>
  <w:style w:type="paragraph" w:customStyle="1" w:styleId="78">
    <w:name w:val="样式 表格 + 黑色"/>
    <w:basedOn w:val="77"/>
    <w:qFormat/>
    <w:uiPriority w:val="0"/>
    <w:rPr>
      <w:color w:val="000000"/>
    </w:rPr>
  </w:style>
  <w:style w:type="paragraph" w:customStyle="1" w:styleId="79">
    <w:name w:val="样式3"/>
    <w:basedOn w:val="7"/>
    <w:qFormat/>
    <w:uiPriority w:val="0"/>
    <w:pPr>
      <w:numPr>
        <w:numId w:val="4"/>
      </w:numPr>
      <w:tabs>
        <w:tab w:val="left" w:pos="0"/>
      </w:tabs>
      <w:spacing w:beforeLines="50" w:afterLines="50" w:line="360" w:lineRule="auto"/>
      <w:jc w:val="left"/>
    </w:pPr>
    <w:rPr>
      <w:rFonts w:eastAsia="黑体"/>
      <w:b w:val="0"/>
      <w:bCs w:val="0"/>
      <w:sz w:val="24"/>
      <w:szCs w:val="28"/>
    </w:rPr>
  </w:style>
  <w:style w:type="paragraph" w:customStyle="1" w:styleId="80">
    <w:name w:val="样式17"/>
    <w:basedOn w:val="1"/>
    <w:qFormat/>
    <w:uiPriority w:val="0"/>
    <w:pPr>
      <w:keepNext/>
      <w:keepLines/>
      <w:numPr>
        <w:ilvl w:val="0"/>
        <w:numId w:val="4"/>
      </w:numPr>
      <w:spacing w:beforeLines="50" w:afterLines="50" w:line="360" w:lineRule="auto"/>
      <w:outlineLvl w:val="0"/>
    </w:pPr>
    <w:rPr>
      <w:rFonts w:eastAsia="黑体"/>
      <w:kern w:val="44"/>
      <w:sz w:val="30"/>
      <w:szCs w:val="44"/>
    </w:rPr>
  </w:style>
  <w:style w:type="paragraph" w:customStyle="1" w:styleId="81">
    <w:name w:val="Char Char Char Char4"/>
    <w:basedOn w:val="1"/>
    <w:qFormat/>
    <w:uiPriority w:val="0"/>
    <w:rPr>
      <w:sz w:val="24"/>
    </w:rPr>
  </w:style>
  <w:style w:type="character" w:customStyle="1" w:styleId="82">
    <w:name w:val="正文首行缩进 2 Char"/>
    <w:basedOn w:val="65"/>
    <w:link w:val="35"/>
    <w:qFormat/>
    <w:uiPriority w:val="99"/>
    <w:rPr>
      <w:rFonts w:ascii="Times New Roman" w:hAnsi="Times New Roman" w:eastAsia="宋体" w:cs="Times New Roman"/>
      <w:szCs w:val="24"/>
    </w:rPr>
  </w:style>
  <w:style w:type="character" w:customStyle="1" w:styleId="83">
    <w:name w:val="ourfont11"/>
    <w:qFormat/>
    <w:uiPriority w:val="0"/>
    <w:rPr>
      <w:sz w:val="20"/>
      <w:szCs w:val="20"/>
    </w:rPr>
  </w:style>
  <w:style w:type="character" w:customStyle="1" w:styleId="84">
    <w:name w:val="font31"/>
    <w:basedOn w:val="38"/>
    <w:qFormat/>
    <w:uiPriority w:val="0"/>
    <w:rPr>
      <w:rFonts w:hint="default" w:ascii="Times New Roman" w:hAnsi="Times New Roman" w:cs="Times New Roman"/>
      <w:color w:val="000000"/>
      <w:sz w:val="21"/>
      <w:szCs w:val="21"/>
      <w:u w:val="none"/>
      <w:vertAlign w:val="superscript"/>
    </w:rPr>
  </w:style>
  <w:style w:type="paragraph" w:customStyle="1" w:styleId="85">
    <w:name w:val="样式 4级"/>
    <w:basedOn w:val="9"/>
    <w:qFormat/>
    <w:uiPriority w:val="0"/>
    <w:pPr>
      <w:tabs>
        <w:tab w:val="left" w:pos="480"/>
        <w:tab w:val="left" w:pos="1620"/>
      </w:tabs>
      <w:spacing w:before="60" w:after="60" w:line="360" w:lineRule="auto"/>
      <w:ind w:left="1620" w:hanging="360"/>
    </w:pPr>
    <w:rPr>
      <w:rFonts w:ascii="宋体" w:hAnsi="宋体" w:cs="宋体"/>
      <w:sz w:val="24"/>
      <w:szCs w:val="24"/>
    </w:rPr>
  </w:style>
  <w:style w:type="character" w:customStyle="1" w:styleId="86">
    <w:name w:val="标题 5 Char"/>
    <w:basedOn w:val="38"/>
    <w:link w:val="9"/>
    <w:semiHidden/>
    <w:qFormat/>
    <w:uiPriority w:val="9"/>
    <w:rPr>
      <w:rFonts w:ascii="Times New Roman" w:hAnsi="Times New Roman" w:eastAsia="宋体" w:cs="Times New Roman"/>
      <w:b/>
      <w:bCs/>
      <w:sz w:val="28"/>
      <w:szCs w:val="28"/>
    </w:rPr>
  </w:style>
  <w:style w:type="paragraph" w:customStyle="1" w:styleId="87">
    <w:name w:val="样式正文无级"/>
    <w:basedOn w:val="88"/>
    <w:link w:val="89"/>
    <w:qFormat/>
    <w:uiPriority w:val="0"/>
    <w:pPr>
      <w:spacing w:line="360" w:lineRule="auto"/>
      <w:ind w:firstLine="480" w:firstLineChars="200"/>
      <w:jc w:val="left"/>
    </w:pPr>
    <w:rPr>
      <w:color w:val="00B050"/>
      <w:sz w:val="24"/>
    </w:rPr>
  </w:style>
  <w:style w:type="paragraph" w:customStyle="1" w:styleId="88">
    <w:name w:val="样式30"/>
    <w:basedOn w:val="1"/>
    <w:qFormat/>
    <w:uiPriority w:val="0"/>
    <w:pPr>
      <w:spacing w:beforeLines="50" w:afterLines="50" w:line="360" w:lineRule="auto"/>
      <w:ind w:firstLine="480" w:firstLineChars="200"/>
    </w:pPr>
    <w:rPr>
      <w:sz w:val="24"/>
    </w:rPr>
  </w:style>
  <w:style w:type="character" w:customStyle="1" w:styleId="89">
    <w:name w:val="样式正文无级 Char"/>
    <w:link w:val="87"/>
    <w:qFormat/>
    <w:uiPriority w:val="0"/>
    <w:rPr>
      <w:rFonts w:ascii="Times New Roman" w:hAnsi="Times New Roman" w:eastAsia="宋体" w:cs="Times New Roman"/>
      <w:color w:val="00B050"/>
      <w:sz w:val="24"/>
      <w:szCs w:val="24"/>
    </w:rPr>
  </w:style>
  <w:style w:type="paragraph" w:customStyle="1" w:styleId="90">
    <w:name w:val="表第一列及表尾"/>
    <w:qFormat/>
    <w:uiPriority w:val="0"/>
    <w:pPr>
      <w:tabs>
        <w:tab w:val="center" w:pos="4200"/>
        <w:tab w:val="right" w:pos="8400"/>
      </w:tabs>
      <w:adjustRightInd w:val="0"/>
      <w:snapToGrid w:val="0"/>
      <w:jc w:val="center"/>
    </w:pPr>
    <w:rPr>
      <w:rFonts w:ascii="Times New Roman" w:hAnsi="Times New Roman" w:eastAsia="宋体" w:cs="Times New Roman"/>
      <w:b/>
      <w:snapToGrid w:val="0"/>
      <w:sz w:val="21"/>
      <w:szCs w:val="21"/>
      <w:lang w:val="en-US" w:eastAsia="zh-CN" w:bidi="ar-SA"/>
    </w:rPr>
  </w:style>
  <w:style w:type="paragraph" w:customStyle="1" w:styleId="91">
    <w:name w:val="题注 表头"/>
    <w:basedOn w:val="1"/>
    <w:link w:val="92"/>
    <w:qFormat/>
    <w:uiPriority w:val="0"/>
    <w:pPr>
      <w:adjustRightInd w:val="0"/>
      <w:snapToGrid w:val="0"/>
      <w:spacing w:line="240" w:lineRule="atLeast"/>
      <w:jc w:val="center"/>
    </w:pPr>
    <w:rPr>
      <w:rFonts w:hAnsi="宋体" w:eastAsia="黑体"/>
      <w:color w:val="000000"/>
      <w:sz w:val="24"/>
      <w:szCs w:val="21"/>
    </w:rPr>
  </w:style>
  <w:style w:type="character" w:customStyle="1" w:styleId="92">
    <w:name w:val="题注 表头 Char"/>
    <w:link w:val="91"/>
    <w:qFormat/>
    <w:uiPriority w:val="0"/>
    <w:rPr>
      <w:rFonts w:ascii="Times New Roman" w:hAnsi="宋体" w:eastAsia="黑体" w:cs="Times New Roman"/>
      <w:color w:val="000000"/>
      <w:sz w:val="24"/>
      <w:szCs w:val="21"/>
    </w:rPr>
  </w:style>
  <w:style w:type="paragraph" w:customStyle="1" w:styleId="93">
    <w:name w:val="正文 标数字"/>
    <w:basedOn w:val="87"/>
    <w:link w:val="94"/>
    <w:qFormat/>
    <w:uiPriority w:val="0"/>
    <w:pPr>
      <w:numPr>
        <w:ilvl w:val="0"/>
        <w:numId w:val="5"/>
      </w:numPr>
      <w:ind w:firstLine="0" w:firstLineChars="0"/>
    </w:pPr>
  </w:style>
  <w:style w:type="character" w:customStyle="1" w:styleId="94">
    <w:name w:val="正文 标数字 Char"/>
    <w:link w:val="93"/>
    <w:qFormat/>
    <w:uiPriority w:val="0"/>
    <w:rPr>
      <w:rFonts w:ascii="Times New Roman" w:hAnsi="Times New Roman" w:eastAsia="宋体" w:cs="Times New Roman"/>
      <w:color w:val="00B050"/>
      <w:kern w:val="2"/>
      <w:sz w:val="24"/>
      <w:szCs w:val="24"/>
    </w:rPr>
  </w:style>
  <w:style w:type="paragraph" w:customStyle="1" w:styleId="95">
    <w:name w:val="Normal_0"/>
    <w:qFormat/>
    <w:uiPriority w:val="0"/>
    <w:pPr>
      <w:widowControl w:val="0"/>
      <w:jc w:val="both"/>
    </w:pPr>
    <w:rPr>
      <w:rFonts w:ascii="Calibri" w:hAnsi="Calibri" w:eastAsia="宋体" w:cs="Times New Roman"/>
      <w:lang w:val="en-US" w:eastAsia="zh-CN" w:bidi="ar-SA"/>
    </w:rPr>
  </w:style>
  <w:style w:type="character" w:customStyle="1" w:styleId="96">
    <w:name w:val="文档结构图 Char"/>
    <w:basedOn w:val="38"/>
    <w:link w:val="12"/>
    <w:semiHidden/>
    <w:qFormat/>
    <w:uiPriority w:val="99"/>
    <w:rPr>
      <w:rFonts w:ascii="宋体" w:hAnsi="Times New Roman" w:eastAsia="宋体" w:cs="Times New Roman"/>
      <w:kern w:val="2"/>
      <w:sz w:val="18"/>
      <w:szCs w:val="18"/>
    </w:rPr>
  </w:style>
  <w:style w:type="character" w:customStyle="1" w:styleId="97">
    <w:name w:val="普通(网站) Char"/>
    <w:basedOn w:val="38"/>
    <w:link w:val="34"/>
    <w:qFormat/>
    <w:uiPriority w:val="99"/>
    <w:rPr>
      <w:rFonts w:cs="Times New Roman"/>
      <w:sz w:val="24"/>
      <w:szCs w:val="24"/>
    </w:rPr>
  </w:style>
  <w:style w:type="character" w:customStyle="1" w:styleId="98">
    <w:name w:val="正文缩进 Char"/>
    <w:link w:val="11"/>
    <w:qFormat/>
    <w:uiPriority w:val="0"/>
    <w:rPr>
      <w:rFonts w:ascii="Times New Roman" w:hAnsi="Times New Roman" w:eastAsia="宋体" w:cs="Times New Roman"/>
      <w:kern w:val="2"/>
      <w:sz w:val="21"/>
      <w:szCs w:val="24"/>
    </w:rPr>
  </w:style>
  <w:style w:type="paragraph" w:customStyle="1" w:styleId="99">
    <w:name w:val="报告表正文"/>
    <w:basedOn w:val="1"/>
    <w:qFormat/>
    <w:uiPriority w:val="0"/>
    <w:pPr>
      <w:adjustRightInd w:val="0"/>
      <w:spacing w:line="300" w:lineRule="auto"/>
      <w:ind w:left="113" w:right="113"/>
      <w:textAlignment w:val="baseline"/>
    </w:pPr>
    <w:rPr>
      <w:kern w:val="0"/>
      <w:sz w:val="24"/>
      <w:szCs w:val="20"/>
    </w:rPr>
  </w:style>
  <w:style w:type="character" w:customStyle="1" w:styleId="100">
    <w:name w:val="hhcwt正文 Char Char"/>
    <w:link w:val="101"/>
    <w:qFormat/>
    <w:uiPriority w:val="0"/>
    <w:rPr>
      <w:rFonts w:eastAsia="宋体" w:cs="宋体"/>
      <w:kern w:val="2"/>
      <w:sz w:val="24"/>
    </w:rPr>
  </w:style>
  <w:style w:type="paragraph" w:customStyle="1" w:styleId="101">
    <w:name w:val="hhcwt正文"/>
    <w:basedOn w:val="1"/>
    <w:link w:val="100"/>
    <w:qFormat/>
    <w:uiPriority w:val="0"/>
    <w:pPr>
      <w:spacing w:line="360" w:lineRule="auto"/>
      <w:ind w:firstLine="480" w:firstLineChars="200"/>
    </w:pPr>
    <w:rPr>
      <w:rFonts w:cs="宋体" w:asciiTheme="minorHAnsi" w:hAnsiTheme="minorHAnsi"/>
      <w:sz w:val="24"/>
      <w:szCs w:val="20"/>
    </w:rPr>
  </w:style>
  <w:style w:type="paragraph" w:customStyle="1" w:styleId="102">
    <w:name w:val="表、图标题"/>
    <w:basedOn w:val="1"/>
    <w:link w:val="103"/>
    <w:qFormat/>
    <w:uiPriority w:val="0"/>
    <w:pPr>
      <w:adjustRightInd w:val="0"/>
      <w:snapToGrid w:val="0"/>
      <w:jc w:val="center"/>
    </w:pPr>
    <w:rPr>
      <w:b/>
      <w:bCs/>
      <w:kern w:val="0"/>
      <w:szCs w:val="18"/>
    </w:rPr>
  </w:style>
  <w:style w:type="character" w:customStyle="1" w:styleId="103">
    <w:name w:val="表、图标题 Char Char"/>
    <w:link w:val="102"/>
    <w:qFormat/>
    <w:uiPriority w:val="0"/>
    <w:rPr>
      <w:rFonts w:ascii="Times New Roman" w:hAnsi="Times New Roman" w:eastAsia="宋体" w:cs="Times New Roman"/>
      <w:b/>
      <w:bCs/>
      <w:sz w:val="21"/>
      <w:szCs w:val="18"/>
    </w:rPr>
  </w:style>
  <w:style w:type="paragraph" w:customStyle="1" w:styleId="104">
    <w:name w:val="文字描述"/>
    <w:basedOn w:val="1"/>
    <w:link w:val="105"/>
    <w:qFormat/>
    <w:uiPriority w:val="0"/>
    <w:pPr>
      <w:adjustRightInd w:val="0"/>
      <w:snapToGrid w:val="0"/>
      <w:spacing w:line="360" w:lineRule="auto"/>
      <w:ind w:firstLine="200" w:firstLineChars="200"/>
    </w:pPr>
    <w:rPr>
      <w:spacing w:val="-2"/>
      <w:sz w:val="24"/>
    </w:rPr>
  </w:style>
  <w:style w:type="character" w:customStyle="1" w:styleId="105">
    <w:name w:val="文字描述 Char"/>
    <w:link w:val="104"/>
    <w:qFormat/>
    <w:uiPriority w:val="0"/>
    <w:rPr>
      <w:rFonts w:ascii="Times New Roman" w:hAnsi="Times New Roman" w:eastAsia="宋体" w:cs="Times New Roman"/>
      <w:spacing w:val="-2"/>
      <w:kern w:val="2"/>
      <w:sz w:val="24"/>
      <w:szCs w:val="24"/>
    </w:rPr>
  </w:style>
  <w:style w:type="paragraph" w:customStyle="1" w:styleId="106">
    <w:name w:val="插图标题"/>
    <w:basedOn w:val="1"/>
    <w:link w:val="107"/>
    <w:qFormat/>
    <w:uiPriority w:val="0"/>
    <w:pPr>
      <w:jc w:val="center"/>
    </w:pPr>
    <w:rPr>
      <w:b/>
      <w:szCs w:val="20"/>
    </w:rPr>
  </w:style>
  <w:style w:type="character" w:customStyle="1" w:styleId="107">
    <w:name w:val="插图标题 Char"/>
    <w:link w:val="106"/>
    <w:qFormat/>
    <w:uiPriority w:val="0"/>
    <w:rPr>
      <w:rFonts w:ascii="Times New Roman" w:hAnsi="Times New Roman" w:eastAsia="宋体" w:cs="Times New Roman"/>
      <w:b/>
      <w:kern w:val="2"/>
      <w:sz w:val="21"/>
    </w:rPr>
  </w:style>
  <w:style w:type="paragraph" w:customStyle="1" w:styleId="108">
    <w:name w:val="工艺统一正文"/>
    <w:basedOn w:val="1"/>
    <w:qFormat/>
    <w:uiPriority w:val="0"/>
    <w:pPr>
      <w:adjustRightInd w:val="0"/>
      <w:snapToGrid w:val="0"/>
      <w:spacing w:line="360" w:lineRule="auto"/>
      <w:ind w:firstLine="578"/>
    </w:pPr>
    <w:rPr>
      <w:rFonts w:ascii="宋体"/>
      <w:sz w:val="28"/>
      <w:szCs w:val="20"/>
    </w:rPr>
  </w:style>
  <w:style w:type="character" w:customStyle="1" w:styleId="109">
    <w:name w:val="正文文本缩进 3 Char"/>
    <w:basedOn w:val="38"/>
    <w:link w:val="30"/>
    <w:qFormat/>
    <w:uiPriority w:val="99"/>
    <w:rPr>
      <w:rFonts w:ascii="Times New Roman" w:hAnsi="Times New Roman" w:eastAsia="宋体" w:cs="Times New Roman"/>
      <w:kern w:val="2"/>
      <w:sz w:val="16"/>
      <w:szCs w:val="16"/>
    </w:rPr>
  </w:style>
  <w:style w:type="character" w:customStyle="1" w:styleId="110">
    <w:name w:val="font21"/>
    <w:qFormat/>
    <w:uiPriority w:val="0"/>
    <w:rPr>
      <w:rFonts w:hint="eastAsia" w:ascii="宋体" w:hAnsi="宋体" w:eastAsia="宋体"/>
      <w:color w:val="000000"/>
      <w:sz w:val="21"/>
      <w:szCs w:val="21"/>
      <w:u w:val="none"/>
    </w:rPr>
  </w:style>
  <w:style w:type="character" w:customStyle="1" w:styleId="111">
    <w:name w:val="表格 Char2"/>
    <w:link w:val="77"/>
    <w:qFormat/>
    <w:uiPriority w:val="0"/>
    <w:rPr>
      <w:rFonts w:ascii="Times New Roman" w:hAnsi="Times New Roman" w:eastAsia="宋体" w:cs="宋体"/>
      <w:snapToGrid w:val="0"/>
      <w:spacing w:val="-4"/>
      <w:sz w:val="21"/>
      <w:szCs w:val="21"/>
    </w:rPr>
  </w:style>
  <w:style w:type="character" w:customStyle="1" w:styleId="112">
    <w:name w:val="样式5 Char Char"/>
    <w:link w:val="113"/>
    <w:qFormat/>
    <w:uiPriority w:val="0"/>
    <w:rPr>
      <w:rFonts w:ascii="宋体"/>
      <w:sz w:val="28"/>
      <w:szCs w:val="28"/>
    </w:rPr>
  </w:style>
  <w:style w:type="paragraph" w:customStyle="1" w:styleId="113">
    <w:name w:val="样式5"/>
    <w:basedOn w:val="1"/>
    <w:link w:val="112"/>
    <w:qFormat/>
    <w:uiPriority w:val="0"/>
    <w:pPr>
      <w:adjustRightInd w:val="0"/>
      <w:spacing w:line="300" w:lineRule="auto"/>
      <w:ind w:firstLine="560" w:firstLineChars="200"/>
    </w:pPr>
    <w:rPr>
      <w:rFonts w:ascii="宋体" w:hAnsiTheme="minorHAnsi" w:eastAsiaTheme="minorEastAsia" w:cstheme="minorBidi"/>
      <w:kern w:val="0"/>
      <w:sz w:val="28"/>
      <w:szCs w:val="28"/>
    </w:rPr>
  </w:style>
  <w:style w:type="paragraph" w:customStyle="1" w:styleId="114">
    <w:name w:val="TOC Heading"/>
    <w:basedOn w:val="5"/>
    <w:next w:val="1"/>
    <w:semiHidden/>
    <w:unhideWhenUsed/>
    <w:qFormat/>
    <w:uiPriority w:val="39"/>
    <w:pPr>
      <w:widowControl/>
      <w:tabs>
        <w:tab w:val="clear" w:pos="432"/>
      </w:tabs>
      <w:spacing w:before="480" w:after="0" w:line="276" w:lineRule="auto"/>
      <w:ind w:left="0" w:firstLine="0"/>
      <w:jc w:val="left"/>
      <w:outlineLvl w:val="9"/>
    </w:pPr>
    <w:rPr>
      <w:rFonts w:asciiTheme="majorHAnsi" w:hAnsiTheme="majorHAnsi" w:eastAsiaTheme="majorEastAsia" w:cstheme="majorBidi"/>
      <w:color w:val="366091" w:themeColor="accent1" w:themeShade="BF"/>
      <w:kern w:val="0"/>
      <w:sz w:val="28"/>
      <w:szCs w:val="28"/>
    </w:rPr>
  </w:style>
  <w:style w:type="character" w:customStyle="1" w:styleId="115">
    <w:name w:val="正文(首行缩进) Char Char"/>
    <w:link w:val="116"/>
    <w:qFormat/>
    <w:uiPriority w:val="0"/>
    <w:rPr>
      <w:snapToGrid w:val="0"/>
      <w:sz w:val="24"/>
      <w:szCs w:val="24"/>
    </w:rPr>
  </w:style>
  <w:style w:type="paragraph" w:customStyle="1" w:styleId="116">
    <w:name w:val="正文(首行缩进)"/>
    <w:basedOn w:val="1"/>
    <w:link w:val="115"/>
    <w:qFormat/>
    <w:uiPriority w:val="0"/>
    <w:pPr>
      <w:adjustRightInd w:val="0"/>
      <w:snapToGrid w:val="0"/>
      <w:spacing w:line="360" w:lineRule="auto"/>
      <w:ind w:firstLine="200" w:firstLineChars="200"/>
    </w:pPr>
    <w:rPr>
      <w:rFonts w:asciiTheme="minorHAnsi" w:hAnsiTheme="minorHAnsi" w:eastAsiaTheme="minorEastAsia" w:cstheme="minorBidi"/>
      <w:snapToGrid w:val="0"/>
      <w:kern w:val="0"/>
      <w:sz w:val="24"/>
    </w:rPr>
  </w:style>
  <w:style w:type="paragraph" w:customStyle="1" w:styleId="117">
    <w:name w:val="新正文"/>
    <w:basedOn w:val="1"/>
    <w:qFormat/>
    <w:uiPriority w:val="0"/>
    <w:pPr>
      <w:spacing w:line="480" w:lineRule="exact"/>
      <w:ind w:firstLine="567"/>
    </w:pPr>
    <w:rPr>
      <w:rFonts w:ascii="仿宋_GB2312" w:eastAsia="仿宋_GB2312"/>
      <w:bCs/>
      <w:kern w:val="0"/>
      <w:sz w:val="28"/>
      <w:szCs w:val="20"/>
    </w:rPr>
  </w:style>
  <w:style w:type="character" w:customStyle="1" w:styleId="118">
    <w:name w:val="样式5 Char"/>
    <w:qFormat/>
    <w:uiPriority w:val="0"/>
    <w:rPr>
      <w:rFonts w:eastAsia="黑体"/>
      <w:kern w:val="2"/>
      <w:sz w:val="28"/>
      <w:szCs w:val="28"/>
    </w:rPr>
  </w:style>
  <w:style w:type="paragraph" w:customStyle="1" w:styleId="119">
    <w:name w:val="样式6"/>
    <w:basedOn w:val="120"/>
    <w:link w:val="121"/>
    <w:qFormat/>
    <w:uiPriority w:val="0"/>
    <w:pPr>
      <w:tabs>
        <w:tab w:val="left" w:pos="576"/>
        <w:tab w:val="left" w:pos="756"/>
        <w:tab w:val="left" w:pos="987"/>
      </w:tabs>
      <w:spacing w:line="360" w:lineRule="auto"/>
      <w:ind w:firstLine="600" w:firstLineChars="250"/>
    </w:pPr>
    <w:rPr>
      <w:rFonts w:ascii="宋体"/>
      <w:sz w:val="24"/>
    </w:rPr>
  </w:style>
  <w:style w:type="paragraph" w:customStyle="1" w:styleId="120">
    <w:name w:val="样式4"/>
    <w:basedOn w:val="1"/>
    <w:qFormat/>
    <w:uiPriority w:val="0"/>
    <w:pPr>
      <w:numPr>
        <w:ilvl w:val="1"/>
        <w:numId w:val="6"/>
      </w:numPr>
      <w:tabs>
        <w:tab w:val="left" w:pos="756"/>
        <w:tab w:val="left" w:pos="987"/>
      </w:tabs>
      <w:adjustRightInd w:val="0"/>
      <w:snapToGrid w:val="0"/>
      <w:spacing w:before="156" w:beforeLines="50" w:after="156" w:afterLines="50" w:line="360" w:lineRule="auto"/>
      <w:jc w:val="left"/>
      <w:outlineLvl w:val="1"/>
    </w:pPr>
    <w:rPr>
      <w:rFonts w:eastAsia="黑体"/>
      <w:b/>
      <w:sz w:val="24"/>
    </w:rPr>
  </w:style>
  <w:style w:type="character" w:customStyle="1" w:styleId="121">
    <w:name w:val="样式6 Char"/>
    <w:link w:val="119"/>
    <w:qFormat/>
    <w:uiPriority w:val="0"/>
    <w:rPr>
      <w:rFonts w:ascii="宋体" w:hAnsi="Times New Roman" w:eastAsia="宋体" w:cs="Times New Roman"/>
      <w:kern w:val="2"/>
      <w:sz w:val="24"/>
      <w:szCs w:val="24"/>
    </w:rPr>
  </w:style>
  <w:style w:type="character" w:customStyle="1" w:styleId="122">
    <w:name w:val="+正文-都 Char"/>
    <w:link w:val="123"/>
    <w:qFormat/>
    <w:uiPriority w:val="0"/>
    <w:rPr>
      <w:kern w:val="2"/>
      <w:sz w:val="24"/>
      <w:szCs w:val="28"/>
    </w:rPr>
  </w:style>
  <w:style w:type="paragraph" w:customStyle="1" w:styleId="123">
    <w:name w:val="+正文-都"/>
    <w:link w:val="122"/>
    <w:qFormat/>
    <w:uiPriority w:val="0"/>
    <w:pPr>
      <w:spacing w:line="480" w:lineRule="exact"/>
      <w:ind w:firstLine="200" w:firstLineChars="200"/>
    </w:pPr>
    <w:rPr>
      <w:rFonts w:asciiTheme="minorHAnsi" w:hAnsiTheme="minorHAnsi" w:eastAsiaTheme="minorEastAsia" w:cstheme="minorBidi"/>
      <w:kern w:val="2"/>
      <w:sz w:val="24"/>
      <w:szCs w:val="28"/>
      <w:lang w:val="en-US" w:eastAsia="zh-CN" w:bidi="ar-SA"/>
    </w:rPr>
  </w:style>
  <w:style w:type="paragraph" w:customStyle="1" w:styleId="124">
    <w:name w:val="表格填充1"/>
    <w:basedOn w:val="1"/>
    <w:qFormat/>
    <w:uiPriority w:val="0"/>
    <w:pPr>
      <w:adjustRightInd w:val="0"/>
      <w:snapToGrid w:val="0"/>
      <w:spacing w:line="400" w:lineRule="exact"/>
      <w:jc w:val="center"/>
    </w:pPr>
    <w:rPr>
      <w:snapToGrid w:val="0"/>
      <w:szCs w:val="18"/>
    </w:rPr>
  </w:style>
  <w:style w:type="paragraph" w:customStyle="1" w:styleId="125">
    <w:name w:val="报告正文"/>
    <w:basedOn w:val="1"/>
    <w:qFormat/>
    <w:uiPriority w:val="0"/>
    <w:pPr>
      <w:spacing w:line="360" w:lineRule="auto"/>
      <w:ind w:firstLine="482"/>
    </w:pPr>
    <w:rPr>
      <w:kern w:val="0"/>
      <w:sz w:val="24"/>
    </w:rPr>
  </w:style>
  <w:style w:type="paragraph" w:customStyle="1" w:styleId="126">
    <w:name w:val="表格标题"/>
    <w:basedOn w:val="1"/>
    <w:qFormat/>
    <w:uiPriority w:val="0"/>
    <w:pPr>
      <w:spacing w:before="60" w:beforeLines="0" w:line="460" w:lineRule="exact"/>
      <w:jc w:val="center"/>
    </w:pPr>
    <w:rPr>
      <w:sz w:val="24"/>
    </w:rPr>
  </w:style>
  <w:style w:type="character" w:customStyle="1" w:styleId="127">
    <w:name w:val="font11"/>
    <w:basedOn w:val="38"/>
    <w:qFormat/>
    <w:uiPriority w:val="0"/>
    <w:rPr>
      <w:rFonts w:hint="eastAsia" w:ascii="宋体" w:hAnsi="宋体" w:eastAsia="宋体" w:cs="宋体"/>
      <w:color w:val="000000"/>
      <w:sz w:val="21"/>
      <w:szCs w:val="21"/>
      <w:u w:val="none"/>
    </w:rPr>
  </w:style>
  <w:style w:type="paragraph" w:customStyle="1" w:styleId="128">
    <w:name w:val=" (文字) (文字)"/>
    <w:basedOn w:val="1"/>
    <w:qFormat/>
    <w:uiPriority w:val="0"/>
    <w:rPr>
      <w:szCs w:val="20"/>
    </w:rPr>
  </w:style>
  <w:style w:type="paragraph" w:customStyle="1" w:styleId="129">
    <w:name w:val="Table Paragraph"/>
    <w:basedOn w:val="1"/>
    <w:qFormat/>
    <w:uiPriority w:val="1"/>
    <w:pPr>
      <w:jc w:val="center"/>
    </w:pPr>
    <w:rPr>
      <w:rFonts w:ascii="宋体" w:hAnsi="宋体" w:eastAsia="宋体" w:cs="宋体"/>
      <w:lang w:val="zh-CN" w:eastAsia="zh-CN" w:bidi="zh-CN"/>
    </w:rPr>
  </w:style>
  <w:style w:type="character" w:customStyle="1" w:styleId="130">
    <w:name w:val="font01"/>
    <w:basedOn w:val="38"/>
    <w:qFormat/>
    <w:uiPriority w:val="0"/>
    <w:rPr>
      <w:rFonts w:hint="eastAsia" w:ascii="宋体" w:hAnsi="宋体" w:eastAsia="宋体" w:cs="宋体"/>
      <w:color w:val="000000"/>
      <w:sz w:val="18"/>
      <w:szCs w:val="18"/>
      <w:u w:val="none"/>
    </w:rPr>
  </w:style>
  <w:style w:type="paragraph" w:customStyle="1" w:styleId="131">
    <w:name w:val="工业统一正文"/>
    <w:basedOn w:val="1"/>
    <w:qFormat/>
    <w:uiPriority w:val="0"/>
    <w:pPr>
      <w:adjustRightInd w:val="0"/>
      <w:snapToGrid w:val="0"/>
      <w:spacing w:line="360" w:lineRule="auto"/>
      <w:ind w:firstLine="200" w:firstLineChars="200"/>
      <w:jc w:val="left"/>
    </w:pPr>
    <w:rPr>
      <w:rFonts w:ascii="宋体"/>
      <w:sz w:val="28"/>
      <w:szCs w:val="20"/>
    </w:rPr>
  </w:style>
  <w:style w:type="paragraph" w:customStyle="1" w:styleId="132">
    <w:name w:val="！4级标题"/>
    <w:basedOn w:val="1"/>
    <w:qFormat/>
    <w:uiPriority w:val="0"/>
    <w:pPr>
      <w:spacing w:before="120" w:beforeLines="50" w:after="120"/>
      <w:ind w:firstLine="482"/>
      <w:jc w:val="left"/>
      <w:outlineLvl w:val="3"/>
    </w:pPr>
    <w:rPr>
      <w:b/>
      <w:kern w:val="0"/>
      <w:szCs w:val="20"/>
    </w:rPr>
  </w:style>
  <w:style w:type="paragraph" w:customStyle="1" w:styleId="133">
    <w:name w:val="正文文本2"/>
    <w:basedOn w:val="3"/>
    <w:qFormat/>
    <w:uiPriority w:val="0"/>
    <w:pPr>
      <w:spacing w:after="0" w:line="360" w:lineRule="auto"/>
      <w:ind w:firstLine="480" w:firstLineChars="200"/>
    </w:pPr>
    <w:rPr>
      <w:rFonts w:ascii="宋体" w:cs="宋体"/>
      <w:sz w:val="24"/>
      <w:szCs w:val="20"/>
    </w:rPr>
  </w:style>
  <w:style w:type="character" w:customStyle="1" w:styleId="134">
    <w:name w:val="font112"/>
    <w:basedOn w:val="38"/>
    <w:qFormat/>
    <w:uiPriority w:val="0"/>
    <w:rPr>
      <w:rFonts w:hint="default" w:ascii="Times New Roman" w:hAnsi="Times New Roman" w:cs="Times New Roman"/>
      <w:b/>
      <w:color w:val="000000"/>
      <w:sz w:val="20"/>
      <w:szCs w:val="20"/>
      <w:u w:val="none"/>
    </w:rPr>
  </w:style>
  <w:style w:type="character" w:customStyle="1" w:styleId="135">
    <w:name w:val="font71"/>
    <w:basedOn w:val="38"/>
    <w:qFormat/>
    <w:uiPriority w:val="0"/>
    <w:rPr>
      <w:rFonts w:hint="default" w:ascii="Times New Roman" w:hAnsi="Times New Roman" w:cs="Times New Roman"/>
      <w:b/>
      <w:color w:val="000000"/>
      <w:sz w:val="20"/>
      <w:szCs w:val="20"/>
      <w:u w:val="none"/>
      <w:vertAlign w:val="superscript"/>
    </w:rPr>
  </w:style>
  <w:style w:type="character" w:customStyle="1" w:styleId="136">
    <w:name w:val="font81"/>
    <w:basedOn w:val="38"/>
    <w:qFormat/>
    <w:uiPriority w:val="0"/>
    <w:rPr>
      <w:rFonts w:hint="default" w:ascii="Times New Roman" w:hAnsi="Times New Roman" w:cs="Times New Roman"/>
      <w:color w:val="000000"/>
      <w:sz w:val="20"/>
      <w:szCs w:val="20"/>
      <w:u w:val="none"/>
    </w:rPr>
  </w:style>
  <w:style w:type="character" w:customStyle="1" w:styleId="137">
    <w:name w:val="font91"/>
    <w:basedOn w:val="38"/>
    <w:qFormat/>
    <w:uiPriority w:val="0"/>
    <w:rPr>
      <w:rFonts w:hint="default" w:ascii="Times New Roman" w:hAnsi="Times New Roman" w:cs="Times New Roman"/>
      <w:color w:val="000000"/>
      <w:sz w:val="20"/>
      <w:szCs w:val="20"/>
      <w:u w:val="none"/>
      <w:vertAlign w:val="subscript"/>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1" Type="http://schemas.openxmlformats.org/officeDocument/2006/relationships/fontTable" Target="fontTable.xml"/><Relationship Id="rId60" Type="http://schemas.openxmlformats.org/officeDocument/2006/relationships/customXml" Target="../customXml/item2.xml"/><Relationship Id="rId6" Type="http://schemas.openxmlformats.org/officeDocument/2006/relationships/footer" Target="footer2.xml"/><Relationship Id="rId59" Type="http://schemas.openxmlformats.org/officeDocument/2006/relationships/numbering" Target="numbering.xml"/><Relationship Id="rId58" Type="http://schemas.openxmlformats.org/officeDocument/2006/relationships/customXml" Target="../customXml/item1.xml"/><Relationship Id="rId57" Type="http://schemas.openxmlformats.org/officeDocument/2006/relationships/image" Target="media/image38.png"/><Relationship Id="rId56" Type="http://schemas.openxmlformats.org/officeDocument/2006/relationships/image" Target="media/image37.jpeg"/><Relationship Id="rId55" Type="http://schemas.openxmlformats.org/officeDocument/2006/relationships/image" Target="media/image36.png"/><Relationship Id="rId54" Type="http://schemas.openxmlformats.org/officeDocument/2006/relationships/image" Target="media/image35.png"/><Relationship Id="rId53" Type="http://schemas.openxmlformats.org/officeDocument/2006/relationships/image" Target="media/image34.png"/><Relationship Id="rId52" Type="http://schemas.openxmlformats.org/officeDocument/2006/relationships/image" Target="media/image33.png"/><Relationship Id="rId51" Type="http://schemas.openxmlformats.org/officeDocument/2006/relationships/image" Target="media/image32.png"/><Relationship Id="rId50" Type="http://schemas.openxmlformats.org/officeDocument/2006/relationships/image" Target="media/image31.png"/><Relationship Id="rId5" Type="http://schemas.openxmlformats.org/officeDocument/2006/relationships/header" Target="header2.xml"/><Relationship Id="rId49" Type="http://schemas.openxmlformats.org/officeDocument/2006/relationships/image" Target="media/image30.png"/><Relationship Id="rId48" Type="http://schemas.openxmlformats.org/officeDocument/2006/relationships/image" Target="media/image29.png"/><Relationship Id="rId47" Type="http://schemas.openxmlformats.org/officeDocument/2006/relationships/image" Target="media/image28.png"/><Relationship Id="rId46" Type="http://schemas.openxmlformats.org/officeDocument/2006/relationships/image" Target="media/image27.wmf"/><Relationship Id="rId45" Type="http://schemas.openxmlformats.org/officeDocument/2006/relationships/image" Target="media/image26.wmf"/><Relationship Id="rId44" Type="http://schemas.openxmlformats.org/officeDocument/2006/relationships/image" Target="media/image25.wmf"/><Relationship Id="rId43" Type="http://schemas.openxmlformats.org/officeDocument/2006/relationships/image" Target="media/image24.wmf"/><Relationship Id="rId42" Type="http://schemas.openxmlformats.org/officeDocument/2006/relationships/image" Target="media/image23.wmf"/><Relationship Id="rId41" Type="http://schemas.openxmlformats.org/officeDocument/2006/relationships/image" Target="media/image22.wmf"/><Relationship Id="rId40" Type="http://schemas.openxmlformats.org/officeDocument/2006/relationships/image" Target="media/image21.wmf"/><Relationship Id="rId4" Type="http://schemas.openxmlformats.org/officeDocument/2006/relationships/footer" Target="footer1.xml"/><Relationship Id="rId39" Type="http://schemas.openxmlformats.org/officeDocument/2006/relationships/image" Target="media/image20.wmf"/><Relationship Id="rId38" Type="http://schemas.openxmlformats.org/officeDocument/2006/relationships/image" Target="media/image19.wmf"/><Relationship Id="rId37" Type="http://schemas.openxmlformats.org/officeDocument/2006/relationships/image" Target="media/image18.wmf"/><Relationship Id="rId36" Type="http://schemas.openxmlformats.org/officeDocument/2006/relationships/image" Target="media/image17.wmf"/><Relationship Id="rId35" Type="http://schemas.openxmlformats.org/officeDocument/2006/relationships/image" Target="media/image16.wmf"/><Relationship Id="rId34" Type="http://schemas.openxmlformats.org/officeDocument/2006/relationships/image" Target="media/image15.wmf"/><Relationship Id="rId33" Type="http://schemas.openxmlformats.org/officeDocument/2006/relationships/image" Target="media/image14.wmf"/><Relationship Id="rId32" Type="http://schemas.openxmlformats.org/officeDocument/2006/relationships/image" Target="media/image13.wmf"/><Relationship Id="rId31" Type="http://schemas.openxmlformats.org/officeDocument/2006/relationships/image" Target="media/image12.png"/><Relationship Id="rId30" Type="http://schemas.openxmlformats.org/officeDocument/2006/relationships/image" Target="media/image11.wmf"/><Relationship Id="rId3" Type="http://schemas.openxmlformats.org/officeDocument/2006/relationships/header" Target="header1.xml"/><Relationship Id="rId29" Type="http://schemas.openxmlformats.org/officeDocument/2006/relationships/oleObject" Target="embeddings/oleObject9.bin"/><Relationship Id="rId28" Type="http://schemas.openxmlformats.org/officeDocument/2006/relationships/image" Target="media/image10.wmf"/><Relationship Id="rId27" Type="http://schemas.openxmlformats.org/officeDocument/2006/relationships/oleObject" Target="embeddings/oleObject8.bin"/><Relationship Id="rId26" Type="http://schemas.openxmlformats.org/officeDocument/2006/relationships/image" Target="media/image9.wmf"/><Relationship Id="rId25" Type="http://schemas.openxmlformats.org/officeDocument/2006/relationships/oleObject" Target="embeddings/oleObject7.bin"/><Relationship Id="rId24" Type="http://schemas.openxmlformats.org/officeDocument/2006/relationships/image" Target="media/image8.wmf"/><Relationship Id="rId23" Type="http://schemas.openxmlformats.org/officeDocument/2006/relationships/oleObject" Target="embeddings/oleObject6.bin"/><Relationship Id="rId22" Type="http://schemas.openxmlformats.org/officeDocument/2006/relationships/image" Target="media/image7.wmf"/><Relationship Id="rId21" Type="http://schemas.openxmlformats.org/officeDocument/2006/relationships/oleObject" Target="embeddings/oleObject5.bin"/><Relationship Id="rId20" Type="http://schemas.openxmlformats.org/officeDocument/2006/relationships/image" Target="media/image6.wmf"/><Relationship Id="rId2" Type="http://schemas.openxmlformats.org/officeDocument/2006/relationships/settings" Target="settings.xml"/><Relationship Id="rId19" Type="http://schemas.openxmlformats.org/officeDocument/2006/relationships/oleObject" Target="embeddings/oleObject4.bin"/><Relationship Id="rId18" Type="http://schemas.openxmlformats.org/officeDocument/2006/relationships/image" Target="media/image5.wmf"/><Relationship Id="rId17" Type="http://schemas.openxmlformats.org/officeDocument/2006/relationships/oleObject" Target="embeddings/oleObject3.bin"/><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wmf"/><Relationship Id="rId13" Type="http://schemas.openxmlformats.org/officeDocument/2006/relationships/oleObject" Target="embeddings/oleObject2.bin"/><Relationship Id="rId12" Type="http://schemas.openxmlformats.org/officeDocument/2006/relationships/image" Target="media/image1.wmf"/><Relationship Id="rId11" Type="http://schemas.openxmlformats.org/officeDocument/2006/relationships/oleObject" Target="embeddings/oleObject1.bin"/><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3078" textRotate="1"/>
    <customShpInfo spid="_x0000_s3079" textRotate="1"/>
    <customShpInfo spid="_x0000_s2050"/>
    <customShpInfo spid="_x0000_s2054"/>
    <customShpInfo spid="_x0000_s2056"/>
    <customShpInfo spid="_x0000_s2058"/>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52"/>
    <customShpInfo spid="_x0000_s2075"/>
    <customShpInfo spid="_x0000_s2076"/>
    <customShpInfo spid="_x0000_s2077"/>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91"/>
    <customShpInfo spid="_x0000_s2093"/>
    <customShpInfo spid="_x0000_s2094"/>
    <customShpInfo spid="_x0000_s2095"/>
    <customShpInfo spid="_x0000_s2102"/>
    <customShpInfo spid="_x0000_s2074"/>
    <customShpInfo spid="_x0000_s2104"/>
    <customShpInfo spid="_x0000_s2107"/>
    <customShpInfo spid="_x0000_s2115"/>
    <customShpInfo spid="_x0000_s2675"/>
    <customShpInfo spid="_x0000_s2676"/>
    <customShpInfo spid="_x0000_s2677"/>
    <customShpInfo spid="_x0000_s2678"/>
    <customShpInfo spid="_x0000_s2679"/>
    <customShpInfo spid="_x0000_s2680"/>
    <customShpInfo spid="_x0000_s2681"/>
    <customShpInfo spid="_x0000_s2682"/>
    <customShpInfo spid="_x0000_s2683"/>
    <customShpInfo spid="_x0000_s2684"/>
    <customShpInfo spid="_x0000_s2685"/>
    <customShpInfo spid="_x0000_s2686"/>
    <customShpInfo spid="_x0000_s2687"/>
    <customShpInfo spid="_x0000_s2688"/>
    <customShpInfo spid="_x0000_s2103"/>
    <customShpInfo spid="_x0000_s2690"/>
    <customShpInfo spid="_x0000_s2691"/>
    <customShpInfo spid="_x0000_s2692"/>
    <customShpInfo spid="_x0000_s2718"/>
    <customShpInfo spid="_x0000_s2737"/>
    <customShpInfo spid="_x0000_s2738"/>
    <customShpInfo spid="_x0000_s2739"/>
    <customShpInfo spid="_x0000_s2740"/>
    <customShpInfo spid="_x0000_s2741"/>
    <customShpInfo spid="_x0000_s2742"/>
    <customShpInfo spid="_x0000_s2743"/>
    <customShpInfo spid="_x0000_s2744"/>
    <customShpInfo spid="_x0000_s2745"/>
    <customShpInfo spid="_x0000_s2746"/>
    <customShpInfo spid="_x0000_s2747"/>
    <customShpInfo spid="_x0000_s2748"/>
    <customShpInfo spid="_x0000_s2749"/>
    <customShpInfo spid="_x0000_s2750"/>
    <customShpInfo spid="_x0000_s2751"/>
    <customShpInfo spid="_x0000_s2752"/>
    <customShpInfo spid="_x0000_s2689"/>
    <customShpInfo spid="_x0000_s2754"/>
    <customShpInfo spid="_x0000_s2755"/>
    <customShpInfo spid="_x0000_s2756"/>
    <customShpInfo spid="_x0000_s2757"/>
    <customShpInfo spid="_x0000_s2759"/>
    <customShpInfo spid="_x0000_s2760"/>
    <customShpInfo spid="_x0000_s2761"/>
    <customShpInfo spid="_x0000_s2762"/>
    <customShpInfo spid="_x0000_s2764"/>
    <customShpInfo spid="_x0000_s2765"/>
    <customShpInfo spid="_x0000_s2904"/>
    <customShpInfo spid="_x0000_s2906"/>
    <customShpInfo spid="_x0000_s2908"/>
    <customShpInfo spid="_x0000_s2910"/>
    <customShpInfo spid="_x0000_s2753"/>
    <customShpInfo spid="_x0000_s2772"/>
    <customShpInfo spid="_x0000_s2773"/>
    <customShpInfo spid="_x0000_s2774"/>
    <customShpInfo spid="_x0000_s2775"/>
    <customShpInfo spid="_x0000_s2776"/>
    <customShpInfo spid="_x0000_s2777"/>
    <customShpInfo spid="_x0000_s2778"/>
    <customShpInfo spid="_x0000_s2779"/>
    <customShpInfo spid="_x0000_s2780"/>
    <customShpInfo spid="_x0000_s2781"/>
    <customShpInfo spid="_x0000_s2782"/>
    <customShpInfo spid="_x0000_s2783"/>
    <customShpInfo spid="_x0000_s2784"/>
    <customShpInfo spid="_x0000_s2785"/>
    <customShpInfo spid="_x0000_s2786"/>
    <customShpInfo spid="_x0000_s2787"/>
    <customShpInfo spid="_x0000_s2788"/>
    <customShpInfo spid="_x0000_s2771"/>
    <customShpInfo spid="_x0000_s2902"/>
    <customShpInfo spid="_x0000_s2542"/>
    <customShpInfo spid="_x0000_s2543"/>
    <customShpInfo spid="_x0000_s2544"/>
    <customShpInfo spid="_x0000_s2545"/>
    <customShpInfo spid="_x0000_s2546"/>
    <customShpInfo spid="_x0000_s2547"/>
    <customShpInfo spid="_x0000_s2548"/>
    <customShpInfo spid="_x0000_s2549"/>
    <customShpInfo spid="_x0000_s2550"/>
    <customShpInfo spid="_x0000_s2551"/>
    <customShpInfo spid="_x0000_s2552"/>
    <customShpInfo spid="_x0000_s2553"/>
    <customShpInfo spid="_x0000_s2554"/>
    <customShpInfo spid="_x0000_s2555"/>
    <customShpInfo spid="_x0000_s2556"/>
    <customShpInfo spid="_x0000_s2557"/>
    <customShpInfo spid="_x0000_s2558"/>
    <customShpInfo spid="_x0000_s2559"/>
    <customShpInfo spid="_x0000_s2560"/>
    <customShpInfo spid="_x0000_s2561"/>
    <customShpInfo spid="_x0000_s2562"/>
    <customShpInfo spid="_x0000_s2563"/>
    <customShpInfo spid="_x0000_s2564"/>
    <customShpInfo spid="_x0000_s2565"/>
    <customShpInfo spid="_x0000_s2566"/>
    <customShpInfo spid="_x0000_s2567"/>
    <customShpInfo spid="_x0000_s2568"/>
    <customShpInfo spid="_x0000_s2569"/>
    <customShpInfo spid="_x0000_s2570"/>
    <customShpInfo spid="_x0000_s2571"/>
    <customShpInfo spid="_x0000_s2572"/>
    <customShpInfo spid="_x0000_s2573"/>
    <customShpInfo spid="_x0000_s2574"/>
    <customShpInfo spid="_x0000_s2575"/>
    <customShpInfo spid="_x0000_s2576"/>
    <customShpInfo spid="_x0000_s2577"/>
    <customShpInfo spid="_x0000_s2578"/>
    <customShpInfo spid="_x0000_s2579"/>
    <customShpInfo spid="_x0000_s2580"/>
    <customShpInfo spid="_x0000_s2581"/>
    <customShpInfo spid="_x0000_s2582"/>
    <customShpInfo spid="_x0000_s2583"/>
    <customShpInfo spid="_x0000_s2584"/>
    <customShpInfo spid="_x0000_s2585"/>
    <customShpInfo spid="_x0000_s2586"/>
    <customShpInfo spid="_x0000_s2587"/>
    <customShpInfo spid="_x0000_s2588"/>
    <customShpInfo spid="_x0000_s2589"/>
    <customShpInfo spid="_x0000_s2590"/>
    <customShpInfo spid="_x0000_s2591"/>
    <customShpInfo spid="_x0000_s2592"/>
    <customShpInfo spid="_x0000_s2593"/>
    <customShpInfo spid="_x0000_s2594"/>
    <customShpInfo spid="_x0000_s2595"/>
    <customShpInfo spid="_x0000_s2596"/>
    <customShpInfo spid="_x0000_s2597"/>
    <customShpInfo spid="_x0000_s2598"/>
    <customShpInfo spid="_x0000_s2599"/>
    <customShpInfo spid="_x0000_s2600"/>
    <customShpInfo spid="_x0000_s2601"/>
    <customShpInfo spid="_x0000_s2602"/>
    <customShpInfo spid="_x0000_s2603"/>
    <customShpInfo spid="_x0000_s2604"/>
    <customShpInfo spid="_x0000_s2605"/>
    <customShpInfo spid="_x0000_s2606"/>
    <customShpInfo spid="_x0000_s2607"/>
    <customShpInfo spid="_x0000_s2608"/>
    <customShpInfo spid="_x0000_s2609"/>
    <customShpInfo spid="_x0000_s2610"/>
    <customShpInfo spid="_x0000_s2611"/>
    <customShpInfo spid="_x0000_s2612"/>
    <customShpInfo spid="_x0000_s2613"/>
    <customShpInfo spid="_x0000_s2614"/>
    <customShpInfo spid="_x0000_s2615"/>
    <customShpInfo spid="_x0000_s2616"/>
    <customShpInfo spid="_x0000_s2617"/>
    <customShpInfo spid="_x0000_s2618"/>
    <customShpInfo spid="_x0000_s2619"/>
    <customShpInfo spid="_x0000_s2620"/>
    <customShpInfo spid="_x0000_s2621"/>
    <customShpInfo spid="_x0000_s2622"/>
    <customShpInfo spid="_x0000_s2623"/>
    <customShpInfo spid="_x0000_s2624"/>
    <customShpInfo spid="_x0000_s2625"/>
    <customShpInfo spid="_x0000_s2626"/>
    <customShpInfo spid="_x0000_s2627"/>
    <customShpInfo spid="_x0000_s2628"/>
    <customShpInfo spid="_x0000_s2629"/>
    <customShpInfo spid="_x0000_s2630"/>
    <customShpInfo spid="_x0000_s2631"/>
    <customShpInfo spid="_x0000_s2632"/>
    <customShpInfo spid="_x0000_s2633"/>
    <customShpInfo spid="_x0000_s2634"/>
    <customShpInfo spid="_x0000_s2635"/>
    <customShpInfo spid="_x0000_s2636"/>
    <customShpInfo spid="_x0000_s2637"/>
    <customShpInfo spid="_x0000_s2638"/>
    <customShpInfo spid="_x0000_s2639"/>
    <customShpInfo spid="_x0000_s2640"/>
    <customShpInfo spid="_x0000_s2641"/>
    <customShpInfo spid="_x0000_s2642"/>
    <customShpInfo spid="_x0000_s2643"/>
    <customShpInfo spid="_x0000_s2644"/>
    <customShpInfo spid="_x0000_s2645"/>
    <customShpInfo spid="_x0000_s2646"/>
    <customShpInfo spid="_x0000_s2647"/>
    <customShpInfo spid="_x0000_s2648"/>
    <customShpInfo spid="_x0000_s2649"/>
    <customShpInfo spid="_x0000_s2650"/>
    <customShpInfo spid="_x0000_s2651"/>
    <customShpInfo spid="_x0000_s2652"/>
    <customShpInfo spid="_x0000_s2653"/>
    <customShpInfo spid="_x0000_s2654"/>
    <customShpInfo spid="_x0000_s2655"/>
    <customShpInfo spid="_x0000_s2656"/>
    <customShpInfo spid="_x0000_s2657"/>
    <customShpInfo spid="_x0000_s2658"/>
    <customShpInfo spid="_x0000_s2659"/>
    <customShpInfo spid="_x0000_s2660"/>
    <customShpInfo spid="_x0000_s2661"/>
    <customShpInfo spid="_x0000_s2662"/>
    <customShpInfo spid="_x0000_s2664"/>
    <customShpInfo spid="_x0000_s2665"/>
    <customShpInfo spid="_x0000_s2666"/>
    <customShpInfo spid="_x0000_s2671"/>
    <customShpInfo spid="_x0000_s2673"/>
    <customShpInfo spid="_x0000_s2674"/>
    <customShpInfo spid="_x0000_s2885"/>
    <customShpInfo spid="_x0000_s2903"/>
    <customShpInfo spid="_x0000_s2541"/>
    <customShpInfo spid="_x0000_s2051"/>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Info spid="_x0000_s2154"/>
    <customShpInfo spid="_x0000_s2155"/>
    <customShpInfo spid="_x0000_s2156"/>
    <customShpInfo spid="_x0000_s2157"/>
    <customShpInfo spid="_x0000_s2158"/>
    <customShpInfo spid="_x0000_s2159"/>
    <customShpInfo spid="_x0000_s2160"/>
    <customShpInfo spid="_x0000_s2161"/>
    <customShpInfo spid="_x0000_s2162"/>
    <customShpInfo spid="_x0000_s2163"/>
    <customShpInfo spid="_x0000_s2164"/>
    <customShpInfo spid="_x0000_s2165"/>
    <customShpInfo spid="_x0000_s2166"/>
    <customShpInfo spid="_x0000_s2167"/>
    <customShpInfo spid="_x0000_s2168"/>
    <customShpInfo spid="_x0000_s2169"/>
    <customShpInfo spid="_x0000_s2170"/>
    <customShpInfo spid="_x0000_s2171"/>
    <customShpInfo spid="_x0000_s2172"/>
    <customShpInfo spid="_x0000_s2173"/>
    <customShpInfo spid="_x0000_s2174"/>
    <customShpInfo spid="_x0000_s2175"/>
    <customShpInfo spid="_x0000_s2176"/>
    <customShpInfo spid="_x0000_s2177"/>
    <customShpInfo spid="_x0000_s2178"/>
    <customShpInfo spid="_x0000_s2179"/>
    <customShpInfo spid="_x0000_s2180"/>
    <customShpInfo spid="_x0000_s2181"/>
    <customShpInfo spid="_x0000_s2182"/>
    <customShpInfo spid="_x0000_s2183"/>
    <customShpInfo spid="_x0000_s2184"/>
    <customShpInfo spid="_x0000_s2185"/>
    <customShpInfo spid="_x0000_s2186"/>
    <customShpInfo spid="_x0000_s2187"/>
    <customShpInfo spid="_x0000_s2188"/>
    <customShpInfo spid="_x0000_s2189"/>
    <customShpInfo spid="_x0000_s2190"/>
    <customShpInfo spid="_x0000_s2191"/>
    <customShpInfo spid="_x0000_s2192"/>
    <customShpInfo spid="_x0000_s2193"/>
    <customShpInfo spid="_x0000_s2194"/>
    <customShpInfo spid="_x0000_s2195"/>
    <customShpInfo spid="_x0000_s2196"/>
    <customShpInfo spid="_x0000_s2197"/>
    <customShpInfo spid="_x0000_s2198"/>
    <customShpInfo spid="_x0000_s2199"/>
    <customShpInfo spid="_x0000_s2200"/>
    <customShpInfo spid="_x0000_s2201"/>
    <customShpInfo spid="_x0000_s2202"/>
    <customShpInfo spid="_x0000_s2203"/>
    <customShpInfo spid="_x0000_s2204"/>
    <customShpInfo spid="_x0000_s2116"/>
    <customShpInfo spid="_x0000_s2260"/>
    <customShpInfo spid="_x0000_s2261"/>
    <customShpInfo spid="_x0000_s2262"/>
    <customShpInfo spid="_x0000_s2263"/>
    <customShpInfo spid="_x0000_s2264"/>
    <customShpInfo spid="_x0000_s2265"/>
    <customShpInfo spid="_x0000_s2266"/>
    <customShpInfo spid="_x0000_s2267"/>
    <customShpInfo spid="_x0000_s2268"/>
    <customShpInfo spid="_x0000_s2269"/>
    <customShpInfo spid="_x0000_s2270"/>
    <customShpInfo spid="_x0000_s2271"/>
    <customShpInfo spid="_x0000_s2272"/>
    <customShpInfo spid="_x0000_s2273"/>
    <customShpInfo spid="_x0000_s2275"/>
    <customShpInfo spid="_x0000_s2276"/>
    <customShpInfo spid="_x0000_s2277"/>
    <customShpInfo spid="_x0000_s2278"/>
    <customShpInfo spid="_x0000_s2286"/>
    <customShpInfo spid="_x0000_s2303"/>
    <customShpInfo spid="_x0000_s2310"/>
    <customShpInfo spid="_x0000_s2311"/>
    <customShpInfo spid="_x0000_s2312"/>
    <customShpInfo spid="_x0000_s2313"/>
    <customShpInfo spid="_x0000_s2314"/>
    <customShpInfo spid="_x0000_s2315"/>
    <customShpInfo spid="_x0000_s2316"/>
    <customShpInfo spid="_x0000_s2317"/>
    <customShpInfo spid="_x0000_s2318"/>
    <customShpInfo spid="_x0000_s2319"/>
    <customShpInfo spid="_x0000_s2320"/>
    <customShpInfo spid="_x0000_s2321"/>
    <customShpInfo spid="_x0000_s2322"/>
    <customShpInfo spid="_x0000_s2323"/>
    <customShpInfo spid="_x0000_s2324"/>
    <customShpInfo spid="_x0000_s2325"/>
    <customShpInfo spid="_x0000_s2326"/>
    <customShpInfo spid="_x0000_s2327"/>
    <customShpInfo spid="_x0000_s2328"/>
    <customShpInfo spid="_x0000_s2329"/>
    <customShpInfo spid="_x0000_s2330"/>
    <customShpInfo spid="_x0000_s2331"/>
    <customShpInfo spid="_x0000_s2332"/>
    <customShpInfo spid="_x0000_s2333"/>
    <customShpInfo spid="_x0000_s2334"/>
    <customShpInfo spid="_x0000_s2338"/>
    <customShpInfo spid="_x0000_s2340"/>
    <customShpInfo spid="_x0000_s2344"/>
    <customShpInfo spid="_x0000_s2353"/>
    <customShpInfo spid="_x0000_s2354"/>
    <customShpInfo spid="_x0000_s2355"/>
    <customShpInfo spid="_x0000_s2356"/>
    <customShpInfo spid="_x0000_s2357"/>
    <customShpInfo spid="_x0000_s2358"/>
    <customShpInfo spid="_x0000_s2359"/>
    <customShpInfo spid="_x0000_s2360"/>
    <customShpInfo spid="_x0000_s2361"/>
    <customShpInfo spid="_x0000_s2362"/>
    <customShpInfo spid="_x0000_s2363"/>
    <customShpInfo spid="_x0000_s2364"/>
    <customShpInfo spid="_x0000_s2365"/>
    <customShpInfo spid="_x0000_s2366"/>
    <customShpInfo spid="_x0000_s2367"/>
    <customShpInfo spid="_x0000_s2368"/>
    <customShpInfo spid="_x0000_s2369"/>
    <customShpInfo spid="_x0000_s2370"/>
    <customShpInfo spid="_x0000_s2371"/>
    <customShpInfo spid="_x0000_s2372"/>
    <customShpInfo spid="_x0000_s2373"/>
    <customShpInfo spid="_x0000_s2374"/>
    <customShpInfo spid="_x0000_s2375"/>
    <customShpInfo spid="_x0000_s2376"/>
    <customShpInfo spid="_x0000_s2377"/>
    <customShpInfo spid="_x0000_s2378"/>
    <customShpInfo spid="_x0000_s2379"/>
    <customShpInfo spid="_x0000_s2380"/>
    <customShpInfo spid="_x0000_s2845"/>
    <customShpInfo spid="_x0000_s2846"/>
    <customShpInfo spid="_x0000_s2847"/>
    <customShpInfo spid="_x0000_s2848"/>
    <customShpInfo spid="_x0000_s2850"/>
    <customShpInfo spid="_x0000_s2851"/>
    <customShpInfo spid="_x0000_s2852"/>
    <customShpInfo spid="_x0000_s2853"/>
    <customShpInfo spid="_x0000_s2854"/>
    <customShpInfo spid="_x0000_s2855"/>
    <customShpInfo spid="_x0000_s2856"/>
    <customShpInfo spid="_x0000_s2857"/>
    <customShpInfo spid="_x0000_s2858"/>
    <customShpInfo spid="_x0000_s2859"/>
    <customShpInfo spid="_x0000_s2860"/>
    <customShpInfo spid="_x0000_s2861"/>
    <customShpInfo spid="_x0000_s2862"/>
    <customShpInfo spid="_x0000_s2863"/>
    <customShpInfo spid="_x0000_s2864"/>
    <customShpInfo spid="_x0000_s2865"/>
    <customShpInfo spid="_x0000_s2866"/>
    <customShpInfo spid="_x0000_s2867"/>
    <customShpInfo spid="_x0000_s2868"/>
    <customShpInfo spid="_x0000_s2869"/>
    <customShpInfo spid="_x0000_s2870"/>
    <customShpInfo spid="_x0000_s2871"/>
    <customShpInfo spid="_x0000_s2872"/>
    <customShpInfo spid="_x0000_s2873"/>
    <customShpInfo spid="_x0000_s2874"/>
    <customShpInfo spid="_x0000_s2875"/>
    <customShpInfo spid="_x0000_s2876"/>
    <customShpInfo spid="_x0000_s2877"/>
    <customShpInfo spid="_x0000_s2878"/>
    <customShpInfo spid="_x0000_s2879"/>
    <customShpInfo spid="_x0000_s2880"/>
    <customShpInfo spid="_x0000_s2881"/>
    <customShpInfo spid="_x0000_s2259"/>
    <customShpInfo spid="_x0000_s2460"/>
    <customShpInfo spid="_x0000_s2461"/>
    <customShpInfo spid="_x0000_s2462"/>
    <customShpInfo spid="_x0000_s2463"/>
    <customShpInfo spid="_x0000_s2464"/>
    <customShpInfo spid="_x0000_s2465"/>
    <customShpInfo spid="_x0000_s2466"/>
    <customShpInfo spid="_x0000_s2467"/>
    <customShpInfo spid="_x0000_s2468"/>
    <customShpInfo spid="_x0000_s2469"/>
    <customShpInfo spid="_x0000_s2470"/>
    <customShpInfo spid="_x0000_s2471"/>
    <customShpInfo spid="_x0000_s2472"/>
    <customShpInfo spid="_x0000_s2473"/>
    <customShpInfo spid="_x0000_s2474"/>
    <customShpInfo spid="_x0000_s2475"/>
    <customShpInfo spid="_x0000_s2476"/>
    <customShpInfo spid="_x0000_s2477"/>
    <customShpInfo spid="_x0000_s2478"/>
    <customShpInfo spid="_x0000_s2479"/>
    <customShpInfo spid="_x0000_s2480"/>
    <customShpInfo spid="_x0000_s2481"/>
    <customShpInfo spid="_x0000_s2482"/>
    <customShpInfo spid="_x0000_s2483"/>
    <customShpInfo spid="_x0000_s2484"/>
    <customShpInfo spid="_x0000_s2485"/>
    <customShpInfo spid="_x0000_s2486"/>
    <customShpInfo spid="_x0000_s2487"/>
    <customShpInfo spid="_x0000_s2488"/>
    <customShpInfo spid="_x0000_s2489"/>
    <customShpInfo spid="_x0000_s2490"/>
    <customShpInfo spid="_x0000_s2491"/>
    <customShpInfo spid="_x0000_s2492"/>
    <customShpInfo spid="_x0000_s2493"/>
    <customShpInfo spid="_x0000_s2494"/>
    <customShpInfo spid="_x0000_s2495"/>
    <customShpInfo spid="_x0000_s2497"/>
    <customShpInfo spid="_x0000_s2499"/>
    <customShpInfo spid="_x0000_s2500"/>
    <customShpInfo spid="_x0000_s2501"/>
    <customShpInfo spid="_x0000_s2502"/>
    <customShpInfo spid="_x0000_s2503"/>
    <customShpInfo spid="_x0000_s2504"/>
    <customShpInfo spid="_x0000_s2505"/>
    <customShpInfo spid="_x0000_s2506"/>
    <customShpInfo spid="_x0000_s2507"/>
    <customShpInfo spid="_x0000_s2508"/>
    <customShpInfo spid="_x0000_s2509"/>
    <customShpInfo spid="_x0000_s2510"/>
    <customShpInfo spid="_x0000_s2511"/>
    <customShpInfo spid="_x0000_s2512"/>
    <customShpInfo spid="_x0000_s2513"/>
    <customShpInfo spid="_x0000_s2514"/>
    <customShpInfo spid="_x0000_s2515"/>
    <customShpInfo spid="_x0000_s2516"/>
    <customShpInfo spid="_x0000_s2517"/>
    <customShpInfo spid="_x0000_s2518"/>
    <customShpInfo spid="_x0000_s2519"/>
    <customShpInfo spid="_x0000_s2520"/>
    <customShpInfo spid="_x0000_s2521"/>
    <customShpInfo spid="_x0000_s2522"/>
    <customShpInfo spid="_x0000_s2523"/>
    <customShpInfo spid="_x0000_s2524"/>
    <customShpInfo spid="_x0000_s2525"/>
    <customShpInfo spid="_x0000_s2526"/>
    <customShpInfo spid="_x0000_s2527"/>
    <customShpInfo spid="_x0000_s2528"/>
    <customShpInfo spid="_x0000_s2529"/>
    <customShpInfo spid="_x0000_s2530"/>
    <customShpInfo spid="_x0000_s2531"/>
    <customShpInfo spid="_x0000_s2532"/>
    <customShpInfo spid="_x0000_s2533"/>
    <customShpInfo spid="_x0000_s2534"/>
    <customShpInfo spid="_x0000_s2535"/>
    <customShpInfo spid="_x0000_s2536"/>
    <customShpInfo spid="_x0000_s2719"/>
    <customShpInfo spid="_x0000_s2720"/>
    <customShpInfo spid="_x0000_s2721"/>
    <customShpInfo spid="_x0000_s2722"/>
    <customShpInfo spid="_x0000_s2723"/>
    <customShpInfo spid="_x0000_s2724"/>
    <customShpInfo spid="_x0000_s2725"/>
    <customShpInfo spid="_x0000_s2726"/>
    <customShpInfo spid="_x0000_s2727"/>
    <customShpInfo spid="_x0000_s2728"/>
    <customShpInfo spid="_x0000_s2729"/>
    <customShpInfo spid="_x0000_s2730"/>
    <customShpInfo spid="_x0000_s2731"/>
    <customShpInfo spid="_x0000_s2732"/>
    <customShpInfo spid="_x0000_s2733"/>
    <customShpInfo spid="_x0000_s2734"/>
    <customShpInfo spid="_x0000_s2735"/>
    <customShpInfo spid="_x0000_s2736"/>
    <customShpInfo spid="_x0000_s2459"/>
    <customShpInfo spid="_x0000_s2206"/>
    <customShpInfo spid="_x0000_s2207"/>
    <customShpInfo spid="_x0000_s2208"/>
    <customShpInfo spid="_x0000_s2209"/>
    <customShpInfo spid="_x0000_s2210"/>
    <customShpInfo spid="_x0000_s2211"/>
    <customShpInfo spid="_x0000_s2212"/>
    <customShpInfo spid="_x0000_s2213"/>
    <customShpInfo spid="_x0000_s2214"/>
    <customShpInfo spid="_x0000_s2215"/>
    <customShpInfo spid="_x0000_s2216"/>
    <customShpInfo spid="_x0000_s2217"/>
    <customShpInfo spid="_x0000_s2218"/>
    <customShpInfo spid="_x0000_s2219"/>
    <customShpInfo spid="_x0000_s2220"/>
    <customShpInfo spid="_x0000_s2221"/>
    <customShpInfo spid="_x0000_s2222"/>
    <customShpInfo spid="_x0000_s2223"/>
    <customShpInfo spid="_x0000_s2224"/>
    <customShpInfo spid="_x0000_s2225"/>
    <customShpInfo spid="_x0000_s2226"/>
    <customShpInfo spid="_x0000_s2227"/>
    <customShpInfo spid="_x0000_s2228"/>
    <customShpInfo spid="_x0000_s2230"/>
    <customShpInfo spid="_x0000_s2231"/>
    <customShpInfo spid="_x0000_s2232"/>
    <customShpInfo spid="_x0000_s2233"/>
    <customShpInfo spid="_x0000_s2234"/>
    <customShpInfo spid="_x0000_s2235"/>
    <customShpInfo spid="_x0000_s2236"/>
    <customShpInfo spid="_x0000_s2237"/>
    <customShpInfo spid="_x0000_s2238"/>
    <customShpInfo spid="_x0000_s2239"/>
    <customShpInfo spid="_x0000_s2240"/>
    <customShpInfo spid="_x0000_s2241"/>
    <customShpInfo spid="_x0000_s2242"/>
    <customShpInfo spid="_x0000_s2243"/>
    <customShpInfo spid="_x0000_s2244"/>
    <customShpInfo spid="_x0000_s2245"/>
    <customShpInfo spid="_x0000_s2246"/>
    <customShpInfo spid="_x0000_s2247"/>
    <customShpInfo spid="_x0000_s2248"/>
    <customShpInfo spid="_x0000_s2249"/>
    <customShpInfo spid="_x0000_s2250"/>
    <customShpInfo spid="_x0000_s2251"/>
    <customShpInfo spid="_x0000_s2252"/>
    <customShpInfo spid="_x0000_s2253"/>
    <customShpInfo spid="_x0000_s2254"/>
    <customShpInfo spid="_x0000_s2255"/>
    <customShpInfo spid="_x0000_s2256"/>
    <customShpInfo spid="_x0000_s2257"/>
    <customShpInfo spid="_x0000_s2274"/>
    <customShpInfo spid="_x0000_s2280"/>
    <customShpInfo spid="_x0000_s2281"/>
    <customShpInfo spid="_x0000_s2282"/>
    <customShpInfo spid="_x0000_s2283"/>
    <customShpInfo spid="_x0000_s2284"/>
    <customShpInfo spid="_x0000_s2285"/>
    <customShpInfo spid="_x0000_s2287"/>
    <customShpInfo spid="_x0000_s2288"/>
    <customShpInfo spid="_x0000_s2289"/>
    <customShpInfo spid="_x0000_s2290"/>
    <customShpInfo spid="_x0000_s2291"/>
    <customShpInfo spid="_x0000_s2292"/>
    <customShpInfo spid="_x0000_s2293"/>
    <customShpInfo spid="_x0000_s2294"/>
    <customShpInfo spid="_x0000_s2296"/>
    <customShpInfo spid="_x0000_s2297"/>
    <customShpInfo spid="_x0000_s2298"/>
    <customShpInfo spid="_x0000_s2299"/>
    <customShpInfo spid="_x0000_s2300"/>
    <customShpInfo spid="_x0000_s2301"/>
    <customShpInfo spid="_x0000_s2302"/>
    <customShpInfo spid="_x0000_s2304"/>
    <customShpInfo spid="_x0000_s2305"/>
    <customShpInfo spid="_x0000_s2306"/>
    <customShpInfo spid="_x0000_s2307"/>
    <customShpInfo spid="_x0000_s2308"/>
    <customShpInfo spid="_x0000_s2309"/>
    <customShpInfo spid="_x0000_s2335"/>
    <customShpInfo spid="_x0000_s2336"/>
    <customShpInfo spid="_x0000_s2337"/>
    <customShpInfo spid="_x0000_s2339"/>
    <customShpInfo spid="_x0000_s2341"/>
    <customShpInfo spid="_x0000_s2342"/>
    <customShpInfo spid="_x0000_s2343"/>
    <customShpInfo spid="_x0000_s2345"/>
    <customShpInfo spid="_x0000_s2346"/>
    <customShpInfo spid="_x0000_s2347"/>
    <customShpInfo spid="_x0000_s2348"/>
    <customShpInfo spid="_x0000_s2350"/>
    <customShpInfo spid="_x0000_s2351"/>
    <customShpInfo spid="_x0000_s2352"/>
    <customShpInfo spid="_x0000_s2381"/>
    <customShpInfo spid="_x0000_s2382"/>
    <customShpInfo spid="_x0000_s2384"/>
    <customShpInfo spid="_x0000_s2385"/>
    <customShpInfo spid="_x0000_s2387"/>
    <customShpInfo spid="_x0000_s2388"/>
    <customShpInfo spid="_x0000_s2401"/>
    <customShpInfo spid="_x0000_s2402"/>
    <customShpInfo spid="_x0000_s2403"/>
    <customShpInfo spid="_x0000_s2405"/>
    <customShpInfo spid="_x0000_s2406"/>
    <customShpInfo spid="_x0000_s2407"/>
    <customShpInfo spid="_x0000_s2408"/>
    <customShpInfo spid="_x0000_s2409"/>
    <customShpInfo spid="_x0000_s2410"/>
    <customShpInfo spid="_x0000_s2411"/>
    <customShpInfo spid="_x0000_s2412"/>
    <customShpInfo spid="_x0000_s2413"/>
    <customShpInfo spid="_x0000_s2414"/>
    <customShpInfo spid="_x0000_s2415"/>
    <customShpInfo spid="_x0000_s2416"/>
    <customShpInfo spid="_x0000_s2417"/>
    <customShpInfo spid="_x0000_s2205"/>
    <customShpInfo spid="_x0000_s2693"/>
    <customShpInfo spid="_x0000_s2839"/>
    <customShpInfo spid="_x0000_s2840"/>
    <customShpInfo spid="_x0000_s2841"/>
    <customShpInfo spid="_x0000_s2842"/>
    <customShpInfo spid="_x0000_s2843"/>
    <customShpInfo spid="_x0000_s2844"/>
    <customShpInfo spid="_x0000_s2695"/>
    <customShpInfo spid="_x0000_s2696"/>
    <customShpInfo spid="_x0000_s2697"/>
    <customShpInfo spid="_x0000_s2698"/>
    <customShpInfo spid="_x0000_s2699"/>
    <customShpInfo spid="_x0000_s2700"/>
    <customShpInfo spid="_x0000_s2701"/>
    <customShpInfo spid="_x0000_s2702"/>
    <customShpInfo spid="_x0000_s2703"/>
    <customShpInfo spid="_x0000_s2704"/>
    <customShpInfo spid="_x0000_s2705"/>
    <customShpInfo spid="_x0000_s2706"/>
    <customShpInfo spid="_x0000_s2707"/>
    <customShpInfo spid="_x0000_s2708"/>
    <customShpInfo spid="_x0000_s2709"/>
    <customShpInfo spid="_x0000_s2710"/>
    <customShpInfo spid="_x0000_s2711"/>
    <customShpInfo spid="_x0000_s2712"/>
    <customShpInfo spid="_x0000_s2713"/>
    <customShpInfo spid="_x0000_s2714"/>
    <customShpInfo spid="_x0000_s2694"/>
    <customShpInfo spid="_x0000_s2716"/>
    <customShpInfo spid="_x0000_s2717"/>
    <customShpInfo spid="_x0000_s2715"/>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9AB37E8-D975-4CAA-8A5D-6AF0BE4A613B}">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77</Pages>
  <Words>9590</Words>
  <Characters>54665</Characters>
  <Lines>455</Lines>
  <Paragraphs>128</Paragraphs>
  <TotalTime>5</TotalTime>
  <ScaleCrop>false</ScaleCrop>
  <LinksUpToDate>false</LinksUpToDate>
  <CharactersWithSpaces>64127</CharactersWithSpaces>
  <Application>WPS Office_11.1.0.9208_F1E327BC-269C-435d-A152-05C5408002CA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2018-04-02T01:15:00Z</dcterms:created>
  <dc:creator>Lenovo</dc:creator>
  <cp:lastModifiedBy>admin</cp:lastModifiedBy>
  <cp:lastPrinted>2018-11-29T01:30:00Z</cp:lastPrinted>
  <dcterms:modified xsi:type="dcterms:W3CDTF">2019-12-09T01:39:52Z</dcterms:modified>
  <cp:revision>1350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